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E9726E" w:rsidRDefault="001E51F5" w:rsidP="000B31F9">
      <w:pPr>
        <w:spacing w:after="0" w:line="240" w:lineRule="auto"/>
        <w:jc w:val="center"/>
        <w:rPr>
          <w:rFonts w:eastAsia="Times New Roman"/>
          <w:b/>
          <w:sz w:val="22"/>
          <w:szCs w:val="22"/>
          <w:u w:val="single"/>
          <w:lang w:eastAsia="en-AU"/>
        </w:rPr>
      </w:pPr>
      <w:r w:rsidRPr="00E9726E">
        <w:rPr>
          <w:rFonts w:eastAsia="Times New Roman"/>
          <w:b/>
          <w:sz w:val="22"/>
          <w:szCs w:val="22"/>
          <w:u w:val="single"/>
          <w:lang w:eastAsia="en-AU"/>
        </w:rPr>
        <w:t>EXPLANATORY STATEMENT</w:t>
      </w:r>
    </w:p>
    <w:p w14:paraId="7549D6D7" w14:textId="77777777" w:rsidR="00837EB9" w:rsidRPr="00E9726E" w:rsidRDefault="00837EB9" w:rsidP="000B31F9">
      <w:pPr>
        <w:spacing w:after="0" w:line="240" w:lineRule="auto"/>
        <w:jc w:val="center"/>
        <w:rPr>
          <w:rFonts w:eastAsia="Times New Roman"/>
          <w:iCs/>
          <w:sz w:val="22"/>
          <w:szCs w:val="22"/>
          <w:lang w:eastAsia="en-AU"/>
        </w:rPr>
      </w:pPr>
    </w:p>
    <w:p w14:paraId="65F796CD" w14:textId="60DC0F75" w:rsidR="001E51F5" w:rsidRPr="00E9726E" w:rsidRDefault="001E51F5" w:rsidP="000B31F9">
      <w:pPr>
        <w:spacing w:after="0" w:line="240" w:lineRule="auto"/>
        <w:jc w:val="center"/>
        <w:rPr>
          <w:rFonts w:eastAsia="Times New Roman"/>
          <w:sz w:val="22"/>
          <w:szCs w:val="22"/>
          <w:u w:val="single"/>
          <w:lang w:eastAsia="en-AU"/>
        </w:rPr>
      </w:pPr>
      <w:r w:rsidRPr="00E9726E">
        <w:rPr>
          <w:rFonts w:eastAsia="Times New Roman"/>
          <w:i/>
          <w:sz w:val="22"/>
          <w:szCs w:val="22"/>
          <w:lang w:eastAsia="en-AU"/>
        </w:rPr>
        <w:t>Therapeutic Goods Act 1989</w:t>
      </w:r>
    </w:p>
    <w:p w14:paraId="7C443CC3" w14:textId="77777777" w:rsidR="00837EB9" w:rsidRPr="00E9726E" w:rsidRDefault="00837EB9" w:rsidP="000B31F9">
      <w:pPr>
        <w:spacing w:after="0" w:line="240" w:lineRule="auto"/>
        <w:jc w:val="center"/>
        <w:rPr>
          <w:rFonts w:eastAsia="Times New Roman"/>
          <w:iCs/>
          <w:sz w:val="22"/>
          <w:szCs w:val="22"/>
          <w:lang w:eastAsia="en-AU"/>
        </w:rPr>
      </w:pPr>
    </w:p>
    <w:p w14:paraId="36148F37" w14:textId="35FE0E6A" w:rsidR="001E51F5" w:rsidRPr="00E9726E" w:rsidRDefault="001E51F5" w:rsidP="000B31F9">
      <w:pPr>
        <w:spacing w:after="0" w:line="240" w:lineRule="auto"/>
        <w:jc w:val="center"/>
        <w:rPr>
          <w:rFonts w:eastAsia="Times New Roman"/>
          <w:i/>
          <w:sz w:val="22"/>
          <w:szCs w:val="22"/>
          <w:lang w:eastAsia="en-AU"/>
        </w:rPr>
      </w:pPr>
      <w:r w:rsidRPr="00E9726E">
        <w:rPr>
          <w:rFonts w:eastAsia="Times New Roman"/>
          <w:i/>
          <w:sz w:val="22"/>
          <w:szCs w:val="22"/>
          <w:lang w:eastAsia="en-AU"/>
        </w:rPr>
        <w:t>Therapeutic Goods (</w:t>
      </w:r>
      <w:r w:rsidR="005E3D9E" w:rsidRPr="00E9726E">
        <w:rPr>
          <w:rFonts w:eastAsia="Times New Roman"/>
          <w:i/>
          <w:sz w:val="22"/>
          <w:szCs w:val="22"/>
          <w:lang w:eastAsia="en-AU"/>
        </w:rPr>
        <w:t>Excluded Goods</w:t>
      </w:r>
      <w:r w:rsidRPr="00E9726E">
        <w:rPr>
          <w:rFonts w:eastAsia="Times New Roman"/>
          <w:i/>
          <w:sz w:val="22"/>
          <w:szCs w:val="22"/>
          <w:lang w:eastAsia="en-AU"/>
        </w:rPr>
        <w:t xml:space="preserve">) Amendment </w:t>
      </w:r>
      <w:r w:rsidR="00EE08CB" w:rsidRPr="00E9726E">
        <w:rPr>
          <w:rFonts w:eastAsia="Times New Roman"/>
          <w:i/>
          <w:sz w:val="22"/>
          <w:szCs w:val="22"/>
          <w:lang w:eastAsia="en-AU"/>
        </w:rPr>
        <w:t>Determination</w:t>
      </w:r>
      <w:r w:rsidRPr="00E9726E">
        <w:rPr>
          <w:rFonts w:eastAsia="Times New Roman"/>
          <w:i/>
          <w:sz w:val="22"/>
          <w:szCs w:val="22"/>
          <w:lang w:eastAsia="en-AU"/>
        </w:rPr>
        <w:t xml:space="preserve"> 202</w:t>
      </w:r>
      <w:r w:rsidR="00F0458B" w:rsidRPr="00E9726E">
        <w:rPr>
          <w:rFonts w:eastAsia="Times New Roman"/>
          <w:i/>
          <w:sz w:val="22"/>
          <w:szCs w:val="22"/>
          <w:lang w:eastAsia="en-AU"/>
        </w:rPr>
        <w:t>4</w:t>
      </w:r>
    </w:p>
    <w:p w14:paraId="71411FAD"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1C0775F0" w14:textId="17B0C735" w:rsidR="00837EB9" w:rsidRPr="00E9726E" w:rsidRDefault="00837EB9"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bookmarkStart w:id="0" w:name="_Hlk168468061"/>
      <w:r w:rsidRPr="00E9726E">
        <w:rPr>
          <w:rFonts w:eastAsia="Times New Roman"/>
          <w:i/>
          <w:sz w:val="22"/>
          <w:szCs w:val="22"/>
          <w:lang w:eastAsia="en-AU"/>
        </w:rPr>
        <w:t>Therapeutic Goods Act 1989</w:t>
      </w:r>
      <w:r w:rsidRPr="00E9726E">
        <w:rPr>
          <w:rFonts w:eastAsia="Times New Roman"/>
          <w:sz w:val="22"/>
          <w:szCs w:val="22"/>
          <w:lang w:eastAsia="en-AU"/>
        </w:rPr>
        <w:t xml:space="preserve"> (the Act) </w:t>
      </w:r>
      <w:bookmarkEnd w:id="0"/>
      <w:r w:rsidRPr="00E9726E">
        <w:rPr>
          <w:rFonts w:eastAsia="Times New Roman"/>
          <w:sz w:val="22"/>
          <w:szCs w:val="22"/>
          <w:lang w:eastAsia="en-AU"/>
        </w:rPr>
        <w:t>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p>
    <w:p w14:paraId="61034D6E"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43822BD7" w14:textId="6D01BB99" w:rsidR="00456485" w:rsidRPr="00E9726E" w:rsidRDefault="00456485" w:rsidP="000B31F9">
      <w:pPr>
        <w:autoSpaceDE w:val="0"/>
        <w:autoSpaceDN w:val="0"/>
        <w:adjustRightInd w:val="0"/>
        <w:spacing w:after="0" w:line="240" w:lineRule="auto"/>
        <w:rPr>
          <w:rFonts w:eastAsia="Times New Roman"/>
          <w:sz w:val="22"/>
          <w:szCs w:val="22"/>
          <w:lang w:eastAsia="en-AU"/>
        </w:rPr>
      </w:pPr>
      <w:bookmarkStart w:id="1" w:name="_Hlk153349896"/>
      <w:r w:rsidRPr="00E9726E">
        <w:rPr>
          <w:rFonts w:eastAsia="Times New Roman"/>
          <w:sz w:val="22"/>
          <w:szCs w:val="22"/>
          <w:lang w:eastAsia="en-AU"/>
        </w:rPr>
        <w:t xml:space="preserve">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relevantly provides that the Minister may, by legislative instrument, determine that specified goods are excluded goods for the purposes of the Act. The effect of a determination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is to exclude </w:t>
      </w:r>
      <w:r w:rsidR="006D61CE" w:rsidRPr="00E9726E">
        <w:rPr>
          <w:rFonts w:eastAsia="Times New Roman"/>
          <w:sz w:val="22"/>
          <w:szCs w:val="22"/>
          <w:lang w:eastAsia="en-AU"/>
        </w:rPr>
        <w:t xml:space="preserve">the </w:t>
      </w:r>
      <w:r w:rsidRPr="00E9726E">
        <w:rPr>
          <w:rFonts w:eastAsia="Times New Roman"/>
          <w:sz w:val="22"/>
          <w:szCs w:val="22"/>
          <w:lang w:eastAsia="en-AU"/>
        </w:rPr>
        <w:t xml:space="preserve">specified goods from </w:t>
      </w:r>
      <w:r w:rsidR="0023634F" w:rsidRPr="00E9726E">
        <w:rPr>
          <w:rFonts w:eastAsia="Times New Roman"/>
          <w:sz w:val="22"/>
          <w:szCs w:val="22"/>
          <w:lang w:eastAsia="en-AU"/>
        </w:rPr>
        <w:t>the operation of</w:t>
      </w:r>
      <w:r w:rsidRPr="00E9726E">
        <w:rPr>
          <w:rFonts w:eastAsia="Times New Roman"/>
          <w:sz w:val="22"/>
          <w:szCs w:val="22"/>
          <w:lang w:eastAsia="en-AU"/>
        </w:rPr>
        <w:t xml:space="preserve"> </w:t>
      </w:r>
      <w:r w:rsidR="00EB6E25" w:rsidRPr="00E9726E">
        <w:rPr>
          <w:rFonts w:eastAsia="Times New Roman"/>
          <w:sz w:val="22"/>
          <w:szCs w:val="22"/>
          <w:lang w:eastAsia="en-AU"/>
        </w:rPr>
        <w:t xml:space="preserve">the </w:t>
      </w:r>
      <w:r w:rsidRPr="00E9726E">
        <w:rPr>
          <w:rFonts w:eastAsia="Times New Roman"/>
          <w:sz w:val="22"/>
          <w:szCs w:val="22"/>
          <w:lang w:eastAsia="en-AU"/>
        </w:rPr>
        <w:t>Act.</w:t>
      </w:r>
    </w:p>
    <w:p w14:paraId="606E62C9"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762A06C7" w14:textId="08DF9AAE" w:rsidR="008D2C8A" w:rsidRPr="00E9726E" w:rsidRDefault="008D2C8A"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E9726E">
        <w:rPr>
          <w:rFonts w:eastAsia="Times New Roman"/>
          <w:i/>
          <w:iCs/>
          <w:sz w:val="22"/>
          <w:szCs w:val="22"/>
          <w:lang w:eastAsia="en-AU"/>
        </w:rPr>
        <w:t>Therapeutic Goods (Excluded Goods) Determination 2018</w:t>
      </w:r>
      <w:r w:rsidRPr="00E9726E">
        <w:rPr>
          <w:rFonts w:eastAsia="Times New Roman"/>
          <w:sz w:val="22"/>
          <w:szCs w:val="22"/>
          <w:lang w:eastAsia="en-AU"/>
        </w:rPr>
        <w:t xml:space="preserve"> (the Principal </w:t>
      </w:r>
      <w:r w:rsidR="00CF4D5D" w:rsidRPr="00E9726E">
        <w:rPr>
          <w:rFonts w:eastAsia="Times New Roman"/>
          <w:sz w:val="22"/>
          <w:szCs w:val="22"/>
          <w:lang w:eastAsia="en-AU"/>
        </w:rPr>
        <w:t>Determination</w:t>
      </w:r>
      <w:r w:rsidRPr="00E9726E">
        <w:rPr>
          <w:rFonts w:eastAsia="Times New Roman"/>
          <w:sz w:val="22"/>
          <w:szCs w:val="22"/>
          <w:lang w:eastAsia="en-AU"/>
        </w:rPr>
        <w:t xml:space="preserve">) is made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The Principal </w:t>
      </w:r>
      <w:r w:rsidR="00CF4D5D" w:rsidRPr="00E9726E">
        <w:rPr>
          <w:rFonts w:eastAsia="Times New Roman"/>
          <w:sz w:val="22"/>
          <w:szCs w:val="22"/>
          <w:lang w:eastAsia="en-AU"/>
        </w:rPr>
        <w:t xml:space="preserve">Determination </w:t>
      </w:r>
      <w:r w:rsidRPr="00E9726E">
        <w:rPr>
          <w:rFonts w:eastAsia="Times New Roman"/>
          <w:sz w:val="22"/>
          <w:szCs w:val="22"/>
          <w:lang w:eastAsia="en-AU"/>
        </w:rPr>
        <w:t>determines specified goods, including specified goods when used, advertised or presented for supply in a specified manner, to be excluded goods for the purposes of the Act.</w:t>
      </w:r>
      <w:r w:rsidR="002F2C38">
        <w:rPr>
          <w:rFonts w:eastAsia="Times New Roman"/>
          <w:sz w:val="22"/>
          <w:szCs w:val="22"/>
          <w:lang w:eastAsia="en-AU"/>
        </w:rPr>
        <w:t xml:space="preserve"> The effect of the Principal Determination is that the goods that are determined to be excluded goods are not subject to the Act.</w:t>
      </w:r>
    </w:p>
    <w:p w14:paraId="2CB562EE" w14:textId="45A10533"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57E9050B" w14:textId="640806E5" w:rsidR="005D7EB7" w:rsidRPr="00E9726E" w:rsidRDefault="00837EB9"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The</w:t>
      </w:r>
      <w:r w:rsidR="00497811">
        <w:rPr>
          <w:rFonts w:eastAsia="Times New Roman"/>
          <w:sz w:val="22"/>
          <w:szCs w:val="22"/>
          <w:lang w:eastAsia="en-AU"/>
        </w:rPr>
        <w:t xml:space="preserve"> </w:t>
      </w:r>
      <w:r w:rsidR="00497811">
        <w:rPr>
          <w:rFonts w:eastAsia="Times New Roman"/>
          <w:i/>
          <w:iCs/>
          <w:sz w:val="22"/>
          <w:szCs w:val="22"/>
          <w:lang w:eastAsia="en-AU"/>
        </w:rPr>
        <w:t>Therapeutic Goods (Excluded Goods) Amendment Determination 2024</w:t>
      </w:r>
      <w:r w:rsidR="00497811">
        <w:rPr>
          <w:rFonts w:eastAsia="Times New Roman"/>
          <w:sz w:val="22"/>
          <w:szCs w:val="22"/>
          <w:lang w:eastAsia="en-AU"/>
        </w:rPr>
        <w:t xml:space="preserve"> (the Amendment Determination) amends the Principal Determination to correct a reference in </w:t>
      </w:r>
      <w:r w:rsidR="002F2C38">
        <w:rPr>
          <w:rFonts w:eastAsia="Times New Roman"/>
          <w:sz w:val="22"/>
          <w:szCs w:val="22"/>
          <w:lang w:eastAsia="en-AU"/>
        </w:rPr>
        <w:t xml:space="preserve">new </w:t>
      </w:r>
      <w:r w:rsidR="00497811">
        <w:rPr>
          <w:rFonts w:eastAsia="Times New Roman"/>
          <w:sz w:val="22"/>
          <w:szCs w:val="22"/>
          <w:lang w:eastAsia="en-AU"/>
        </w:rPr>
        <w:t xml:space="preserve">subsection 7(2), which </w:t>
      </w:r>
      <w:r w:rsidR="002F2C38">
        <w:rPr>
          <w:rFonts w:eastAsia="Times New Roman"/>
          <w:sz w:val="22"/>
          <w:szCs w:val="22"/>
          <w:lang w:eastAsia="en-AU"/>
        </w:rPr>
        <w:t>is</w:t>
      </w:r>
      <w:r w:rsidR="00497811">
        <w:rPr>
          <w:rFonts w:eastAsia="Times New Roman"/>
          <w:sz w:val="22"/>
          <w:szCs w:val="22"/>
          <w:lang w:eastAsia="en-AU"/>
        </w:rPr>
        <w:t xml:space="preserve"> introduced by</w:t>
      </w:r>
      <w:r w:rsidR="002F2C38">
        <w:rPr>
          <w:rFonts w:eastAsia="Times New Roman"/>
          <w:sz w:val="22"/>
          <w:szCs w:val="22"/>
          <w:lang w:eastAsia="en-AU"/>
        </w:rPr>
        <w:t xml:space="preserve"> the</w:t>
      </w:r>
      <w:r w:rsidRPr="00E9726E">
        <w:rPr>
          <w:rFonts w:eastAsia="Times New Roman"/>
          <w:sz w:val="22"/>
          <w:szCs w:val="22"/>
          <w:lang w:eastAsia="en-AU"/>
        </w:rPr>
        <w:t xml:space="preserve"> </w:t>
      </w:r>
      <w:r w:rsidRPr="00E9726E">
        <w:rPr>
          <w:rFonts w:eastAsia="Times New Roman"/>
          <w:i/>
          <w:iCs/>
          <w:sz w:val="22"/>
          <w:szCs w:val="22"/>
          <w:lang w:eastAsia="en-AU"/>
        </w:rPr>
        <w:t xml:space="preserve">Therapeutic Goods </w:t>
      </w:r>
      <w:r w:rsidR="00514D55" w:rsidRPr="00E9726E">
        <w:rPr>
          <w:rFonts w:eastAsia="Times New Roman"/>
          <w:i/>
          <w:iCs/>
          <w:sz w:val="22"/>
          <w:szCs w:val="22"/>
          <w:lang w:eastAsia="en-AU"/>
        </w:rPr>
        <w:t>(</w:t>
      </w:r>
      <w:r w:rsidRPr="00E9726E">
        <w:rPr>
          <w:rFonts w:eastAsia="Times New Roman"/>
          <w:i/>
          <w:iCs/>
          <w:sz w:val="22"/>
          <w:szCs w:val="22"/>
          <w:lang w:eastAsia="en-AU"/>
        </w:rPr>
        <w:t>Excluded Goods) Amendment (</w:t>
      </w:r>
      <w:r w:rsidR="00F0458B" w:rsidRPr="00E9726E">
        <w:rPr>
          <w:rFonts w:eastAsia="Times New Roman"/>
          <w:i/>
          <w:iCs/>
          <w:sz w:val="22"/>
          <w:szCs w:val="22"/>
          <w:lang w:eastAsia="en-AU"/>
        </w:rPr>
        <w:t>Sunscreen</w:t>
      </w:r>
      <w:r w:rsidRPr="00E9726E">
        <w:rPr>
          <w:rFonts w:eastAsia="Times New Roman"/>
          <w:i/>
          <w:iCs/>
          <w:sz w:val="22"/>
          <w:szCs w:val="22"/>
          <w:lang w:eastAsia="en-AU"/>
        </w:rPr>
        <w:t>) Determination 202</w:t>
      </w:r>
      <w:r w:rsidR="00F0458B" w:rsidRPr="00E9726E">
        <w:rPr>
          <w:rFonts w:eastAsia="Times New Roman"/>
          <w:i/>
          <w:iCs/>
          <w:sz w:val="22"/>
          <w:szCs w:val="22"/>
          <w:lang w:eastAsia="en-AU"/>
        </w:rPr>
        <w:t>4</w:t>
      </w:r>
      <w:r w:rsidR="00497811">
        <w:rPr>
          <w:rFonts w:eastAsia="Times New Roman"/>
          <w:sz w:val="22"/>
          <w:szCs w:val="22"/>
          <w:lang w:eastAsia="en-AU"/>
        </w:rPr>
        <w:t xml:space="preserve">. </w:t>
      </w:r>
      <w:r w:rsidR="002F2C38">
        <w:rPr>
          <w:rFonts w:eastAsia="Times New Roman"/>
          <w:sz w:val="22"/>
          <w:szCs w:val="22"/>
          <w:lang w:eastAsia="en-AU"/>
        </w:rPr>
        <w:t>New s</w:t>
      </w:r>
      <w:r w:rsidR="00497811">
        <w:rPr>
          <w:rFonts w:eastAsia="Times New Roman"/>
          <w:sz w:val="22"/>
          <w:szCs w:val="22"/>
          <w:lang w:eastAsia="en-AU"/>
        </w:rPr>
        <w:t>ubsection 7(2) refers to “items 5 and 9” of the table in Schedule</w:t>
      </w:r>
      <w:r w:rsidR="00527B2C">
        <w:rPr>
          <w:rFonts w:eastAsia="Times New Roman"/>
          <w:sz w:val="22"/>
          <w:szCs w:val="22"/>
          <w:lang w:eastAsia="en-AU"/>
        </w:rPr>
        <w:t> </w:t>
      </w:r>
      <w:r w:rsidR="00497811">
        <w:rPr>
          <w:rFonts w:eastAsia="Times New Roman"/>
          <w:sz w:val="22"/>
          <w:szCs w:val="22"/>
          <w:lang w:eastAsia="en-AU"/>
        </w:rPr>
        <w:t>2 in error, and should instead refer to items 5 and 10 of the table in Schedule 2 to the Principal Determination</w:t>
      </w:r>
      <w:r w:rsidR="002F2C38">
        <w:rPr>
          <w:rFonts w:eastAsia="Times New Roman"/>
          <w:sz w:val="22"/>
          <w:szCs w:val="22"/>
          <w:lang w:eastAsia="en-AU"/>
        </w:rPr>
        <w:t xml:space="preserve"> – the </w:t>
      </w:r>
      <w:r w:rsidR="00497811">
        <w:rPr>
          <w:rFonts w:eastAsia="Times New Roman"/>
          <w:sz w:val="22"/>
          <w:szCs w:val="22"/>
          <w:lang w:eastAsia="en-AU"/>
        </w:rPr>
        <w:t>Amendment Determination makes this correction.</w:t>
      </w:r>
    </w:p>
    <w:p w14:paraId="498C436F" w14:textId="2503DD95"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1464BF06" w14:textId="77777777" w:rsidR="00C07687" w:rsidRPr="00E9726E" w:rsidRDefault="00C07687"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Background</w:t>
      </w:r>
    </w:p>
    <w:p w14:paraId="3B97E316" w14:textId="77777777" w:rsidR="00E33BC1" w:rsidRPr="00E9726E" w:rsidRDefault="00E33BC1" w:rsidP="00BF604E">
      <w:pPr>
        <w:keepNext/>
        <w:autoSpaceDE w:val="0"/>
        <w:autoSpaceDN w:val="0"/>
        <w:adjustRightInd w:val="0"/>
        <w:spacing w:after="0" w:line="240" w:lineRule="auto"/>
        <w:rPr>
          <w:rFonts w:eastAsia="Times New Roman"/>
          <w:b/>
          <w:sz w:val="22"/>
          <w:szCs w:val="22"/>
          <w:lang w:eastAsia="en-AU"/>
        </w:rPr>
      </w:pPr>
    </w:p>
    <w:p w14:paraId="04458CED" w14:textId="40A6A344" w:rsidR="00497811" w:rsidRDefault="00497811" w:rsidP="00B95BEE">
      <w:pPr>
        <w:widowControl w:val="0"/>
        <w:autoSpaceDE w:val="0"/>
        <w:autoSpaceDN w:val="0"/>
        <w:adjustRightInd w:val="0"/>
        <w:spacing w:after="0" w:line="240" w:lineRule="auto"/>
        <w:rPr>
          <w:rFonts w:eastAsia="Times New Roman"/>
          <w:sz w:val="22"/>
          <w:szCs w:val="22"/>
          <w:lang w:eastAsia="en-AU"/>
        </w:rPr>
      </w:pPr>
      <w:bookmarkStart w:id="2" w:name="_Hlk168468320"/>
      <w:r w:rsidRPr="00E9726E">
        <w:rPr>
          <w:rFonts w:eastAsia="Times New Roman"/>
          <w:sz w:val="22"/>
          <w:szCs w:val="22"/>
          <w:lang w:eastAsia="en-AU"/>
        </w:rPr>
        <w:t xml:space="preserve">The Principal Determination is made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The Principal Determination determines specified goods, including specified goods when used, advertised, or presented for supply in a specified way, to be excluded goods for the purposes of the Act. </w:t>
      </w:r>
    </w:p>
    <w:p w14:paraId="6214F74D" w14:textId="77777777" w:rsidR="00EE2423" w:rsidRPr="00E9726E" w:rsidRDefault="00EE2423" w:rsidP="005E3873">
      <w:pPr>
        <w:widowControl w:val="0"/>
        <w:autoSpaceDE w:val="0"/>
        <w:autoSpaceDN w:val="0"/>
        <w:adjustRightInd w:val="0"/>
        <w:spacing w:after="0" w:line="240" w:lineRule="auto"/>
        <w:rPr>
          <w:rFonts w:eastAsia="Times New Roman"/>
          <w:sz w:val="22"/>
          <w:szCs w:val="22"/>
          <w:lang w:eastAsia="en-AU"/>
        </w:rPr>
      </w:pPr>
    </w:p>
    <w:p w14:paraId="1EA93E9B" w14:textId="22FD65FF" w:rsidR="004E5A4A" w:rsidRPr="00E9726E" w:rsidRDefault="00EE2423" w:rsidP="005E3873">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Under items 14 and 15 in Schedule 1 to the Principal Determination, and items 5 and 10 in Schedule 2 to the Principal Determination, </w:t>
      </w:r>
      <w:r w:rsidR="00497811">
        <w:rPr>
          <w:rFonts w:eastAsia="Times New Roman"/>
          <w:sz w:val="22"/>
          <w:szCs w:val="22"/>
          <w:lang w:eastAsia="en-AU"/>
        </w:rPr>
        <w:t>a number of</w:t>
      </w:r>
      <w:r w:rsidR="00497811" w:rsidRPr="00E9726E">
        <w:rPr>
          <w:rFonts w:eastAsia="Times New Roman"/>
          <w:sz w:val="22"/>
          <w:szCs w:val="22"/>
          <w:lang w:eastAsia="en-AU"/>
        </w:rPr>
        <w:t xml:space="preserve"> </w:t>
      </w:r>
      <w:r w:rsidR="004E5A4A" w:rsidRPr="00E9726E">
        <w:rPr>
          <w:rFonts w:eastAsia="Times New Roman"/>
          <w:sz w:val="22"/>
          <w:szCs w:val="22"/>
          <w:lang w:eastAsia="en-AU"/>
        </w:rPr>
        <w:t>s</w:t>
      </w:r>
      <w:r w:rsidR="008F6024" w:rsidRPr="00E9726E">
        <w:rPr>
          <w:rFonts w:eastAsia="Times New Roman"/>
          <w:sz w:val="22"/>
          <w:szCs w:val="22"/>
          <w:lang w:eastAsia="en-AU"/>
        </w:rPr>
        <w:t>econdary sunscreen</w:t>
      </w:r>
      <w:r w:rsidR="00232242" w:rsidRPr="00E9726E">
        <w:rPr>
          <w:rFonts w:eastAsia="Times New Roman"/>
          <w:sz w:val="22"/>
          <w:szCs w:val="22"/>
          <w:lang w:eastAsia="en-AU"/>
        </w:rPr>
        <w:t xml:space="preserve"> products are excluded goods</w:t>
      </w:r>
      <w:r w:rsidR="00497811">
        <w:rPr>
          <w:rFonts w:eastAsia="Times New Roman"/>
          <w:sz w:val="22"/>
          <w:szCs w:val="22"/>
          <w:lang w:eastAsia="en-AU"/>
        </w:rPr>
        <w:t xml:space="preserve">. </w:t>
      </w:r>
      <w:r w:rsidR="00497811" w:rsidRPr="00E9726E">
        <w:rPr>
          <w:rFonts w:eastAsia="Times New Roman"/>
          <w:sz w:val="22"/>
          <w:szCs w:val="22"/>
          <w:lang w:eastAsia="en-AU"/>
        </w:rPr>
        <w:t>Secondary sunscreens are products that are represented as having a primary function other than sun protection</w:t>
      </w:r>
      <w:r w:rsidR="00497811">
        <w:rPr>
          <w:rFonts w:eastAsia="Times New Roman"/>
          <w:sz w:val="22"/>
          <w:szCs w:val="22"/>
          <w:lang w:eastAsia="en-AU"/>
        </w:rPr>
        <w:t xml:space="preserve">, </w:t>
      </w:r>
      <w:r w:rsidR="00497811" w:rsidRPr="00E9726E">
        <w:rPr>
          <w:rFonts w:eastAsia="Times New Roman"/>
          <w:sz w:val="22"/>
          <w:szCs w:val="22"/>
          <w:lang w:eastAsia="en-AU"/>
        </w:rPr>
        <w:t xml:space="preserve">that also provide some protection of the skin from </w:t>
      </w:r>
      <w:r w:rsidR="00497811">
        <w:rPr>
          <w:rFonts w:eastAsia="Times New Roman"/>
          <w:sz w:val="22"/>
          <w:szCs w:val="22"/>
          <w:lang w:eastAsia="en-AU"/>
        </w:rPr>
        <w:t>ultraviolet radiation (</w:t>
      </w:r>
      <w:r w:rsidR="00497811" w:rsidRPr="00E9726E">
        <w:rPr>
          <w:rFonts w:eastAsia="Times New Roman"/>
          <w:sz w:val="22"/>
          <w:szCs w:val="22"/>
          <w:lang w:eastAsia="en-AU"/>
        </w:rPr>
        <w:t>UV</w:t>
      </w:r>
      <w:r w:rsidR="00497811">
        <w:rPr>
          <w:rFonts w:eastAsia="Times New Roman"/>
          <w:sz w:val="22"/>
          <w:szCs w:val="22"/>
          <w:lang w:eastAsia="en-AU"/>
        </w:rPr>
        <w:t>)</w:t>
      </w:r>
      <w:r w:rsidR="00497811" w:rsidRPr="00E9726E">
        <w:rPr>
          <w:rFonts w:eastAsia="Times New Roman"/>
          <w:sz w:val="22"/>
          <w:szCs w:val="22"/>
          <w:lang w:eastAsia="en-AU"/>
        </w:rPr>
        <w:t xml:space="preserve"> radiation.</w:t>
      </w:r>
      <w:r w:rsidR="00497811">
        <w:rPr>
          <w:rFonts w:eastAsia="Times New Roman"/>
          <w:sz w:val="22"/>
          <w:szCs w:val="22"/>
          <w:lang w:eastAsia="en-AU"/>
        </w:rPr>
        <w:t xml:space="preserve"> The secondary sunscreens that are excluded goods</w:t>
      </w:r>
      <w:r w:rsidR="00232242" w:rsidRPr="00E9726E">
        <w:rPr>
          <w:rFonts w:eastAsia="Times New Roman"/>
          <w:sz w:val="22"/>
          <w:szCs w:val="22"/>
          <w:lang w:eastAsia="en-AU"/>
        </w:rPr>
        <w:t xml:space="preserve"> </w:t>
      </w:r>
      <w:r w:rsidR="008F6024" w:rsidRPr="00E9726E">
        <w:rPr>
          <w:rFonts w:eastAsia="Times New Roman"/>
          <w:sz w:val="22"/>
          <w:szCs w:val="22"/>
          <w:lang w:eastAsia="en-AU"/>
        </w:rPr>
        <w:t>include:</w:t>
      </w:r>
    </w:p>
    <w:p w14:paraId="2719692F" w14:textId="7A04E415" w:rsidR="004E5A4A" w:rsidRPr="00E9726E" w:rsidRDefault="00611DA2"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w:t>
      </w:r>
      <w:r w:rsidR="008F6024" w:rsidRPr="00E9726E">
        <w:rPr>
          <w:rFonts w:eastAsia="Times New Roman"/>
          <w:sz w:val="22"/>
          <w:szCs w:val="22"/>
          <w:lang w:eastAsia="en-AU"/>
        </w:rPr>
        <w:t>roducts applied to the lips</w:t>
      </w:r>
      <w:r w:rsidR="00232242" w:rsidRPr="00E9726E">
        <w:rPr>
          <w:rFonts w:eastAsia="Times New Roman"/>
          <w:sz w:val="22"/>
          <w:szCs w:val="22"/>
          <w:lang w:eastAsia="en-AU"/>
        </w:rPr>
        <w:t xml:space="preserve"> that contain sunscreen;</w:t>
      </w:r>
      <w:r w:rsidR="008F6024" w:rsidRPr="00E9726E">
        <w:rPr>
          <w:rFonts w:eastAsia="Times New Roman"/>
          <w:sz w:val="22"/>
          <w:szCs w:val="22"/>
          <w:lang w:eastAsia="en-AU"/>
        </w:rPr>
        <w:t xml:space="preserve"> </w:t>
      </w:r>
    </w:p>
    <w:p w14:paraId="05FD7107" w14:textId="2EC499B3" w:rsidR="004E5A4A" w:rsidRPr="00E9726E" w:rsidRDefault="008F6024"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tinted bases and foundations </w:t>
      </w:r>
      <w:r w:rsidR="00232242" w:rsidRPr="00E9726E">
        <w:rPr>
          <w:rFonts w:eastAsia="Times New Roman"/>
          <w:sz w:val="22"/>
          <w:szCs w:val="22"/>
          <w:lang w:eastAsia="en-AU"/>
        </w:rPr>
        <w:t>that contain sunscreen;</w:t>
      </w:r>
      <w:r w:rsidRPr="00E9726E">
        <w:rPr>
          <w:rFonts w:eastAsia="Times New Roman"/>
          <w:sz w:val="22"/>
          <w:szCs w:val="22"/>
          <w:lang w:eastAsia="en-AU"/>
        </w:rPr>
        <w:t xml:space="preserve"> </w:t>
      </w:r>
    </w:p>
    <w:p w14:paraId="3CB1962C" w14:textId="6ED86BFB" w:rsidR="004E5A4A" w:rsidRPr="00E9726E" w:rsidRDefault="008F6024"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moisturisers </w:t>
      </w:r>
      <w:r w:rsidR="00232242" w:rsidRPr="00E9726E">
        <w:rPr>
          <w:rFonts w:eastAsia="Times New Roman"/>
          <w:sz w:val="22"/>
          <w:szCs w:val="22"/>
          <w:lang w:eastAsia="en-AU"/>
        </w:rPr>
        <w:t>that contain sunscreen with SPF</w:t>
      </w:r>
      <w:r w:rsidRPr="00E9726E">
        <w:rPr>
          <w:rFonts w:eastAsia="Times New Roman"/>
          <w:sz w:val="22"/>
          <w:szCs w:val="22"/>
          <w:lang w:eastAsia="en-AU"/>
        </w:rPr>
        <w:t xml:space="preserve"> of up to 15 in a pack size no larger than 300</w:t>
      </w:r>
      <w:r w:rsidR="00611DA2">
        <w:rPr>
          <w:rFonts w:eastAsia="Times New Roman"/>
          <w:sz w:val="22"/>
          <w:szCs w:val="22"/>
          <w:lang w:eastAsia="en-AU"/>
        </w:rPr>
        <w:t xml:space="preserve"> </w:t>
      </w:r>
      <w:r w:rsidRPr="00E9726E">
        <w:rPr>
          <w:rFonts w:eastAsia="Times New Roman"/>
          <w:sz w:val="22"/>
          <w:szCs w:val="22"/>
          <w:lang w:eastAsia="en-AU"/>
        </w:rPr>
        <w:t>mL</w:t>
      </w:r>
      <w:r w:rsidR="00232242" w:rsidRPr="00E9726E">
        <w:rPr>
          <w:rFonts w:eastAsia="Times New Roman"/>
          <w:sz w:val="22"/>
          <w:szCs w:val="22"/>
          <w:lang w:eastAsia="en-AU"/>
        </w:rPr>
        <w:t xml:space="preserve"> or </w:t>
      </w:r>
      <w:r w:rsidRPr="00E9726E">
        <w:rPr>
          <w:rFonts w:eastAsia="Times New Roman"/>
          <w:sz w:val="22"/>
          <w:szCs w:val="22"/>
          <w:lang w:eastAsia="en-AU"/>
        </w:rPr>
        <w:t>300</w:t>
      </w:r>
      <w:r w:rsidR="00611DA2">
        <w:rPr>
          <w:rFonts w:eastAsia="Times New Roman"/>
          <w:sz w:val="22"/>
          <w:szCs w:val="22"/>
          <w:lang w:eastAsia="en-AU"/>
        </w:rPr>
        <w:t xml:space="preserve"> </w:t>
      </w:r>
      <w:r w:rsidRPr="00E9726E">
        <w:rPr>
          <w:rFonts w:eastAsia="Times New Roman"/>
          <w:sz w:val="22"/>
          <w:szCs w:val="22"/>
          <w:lang w:eastAsia="en-AU"/>
        </w:rPr>
        <w:t>g</w:t>
      </w:r>
      <w:r w:rsidR="00611DA2">
        <w:rPr>
          <w:rFonts w:eastAsia="Times New Roman"/>
          <w:sz w:val="22"/>
          <w:szCs w:val="22"/>
          <w:lang w:eastAsia="en-AU"/>
        </w:rPr>
        <w:t>,</w:t>
      </w:r>
      <w:r w:rsidRPr="00E9726E">
        <w:rPr>
          <w:rFonts w:eastAsia="Times New Roman"/>
          <w:sz w:val="22"/>
          <w:szCs w:val="22"/>
          <w:lang w:eastAsia="en-AU"/>
        </w:rPr>
        <w:t xml:space="preserve"> that do not make any therapeutic claims other than reducing premature ageing from sun exposure</w:t>
      </w:r>
      <w:r w:rsidR="00232242" w:rsidRPr="00E9726E">
        <w:rPr>
          <w:rFonts w:eastAsia="Times New Roman"/>
          <w:sz w:val="22"/>
          <w:szCs w:val="22"/>
          <w:lang w:eastAsia="en-AU"/>
        </w:rPr>
        <w:t>;</w:t>
      </w:r>
      <w:r w:rsidRPr="00E9726E">
        <w:rPr>
          <w:rFonts w:eastAsia="Times New Roman"/>
          <w:sz w:val="22"/>
          <w:szCs w:val="22"/>
          <w:lang w:eastAsia="en-AU"/>
        </w:rPr>
        <w:t xml:space="preserve"> </w:t>
      </w:r>
      <w:r w:rsidR="002F2C38">
        <w:rPr>
          <w:rFonts w:eastAsia="Times New Roman"/>
          <w:sz w:val="22"/>
          <w:szCs w:val="22"/>
          <w:lang w:eastAsia="en-AU"/>
        </w:rPr>
        <w:t>and</w:t>
      </w:r>
    </w:p>
    <w:p w14:paraId="2AC7660E" w14:textId="0C555BBA" w:rsidR="008F6024" w:rsidRPr="00E9726E" w:rsidRDefault="008F6024" w:rsidP="005E3873">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sunbathing products (e.g. products for tanning without sun</w:t>
      </w:r>
      <w:r w:rsidR="00611DA2">
        <w:rPr>
          <w:rFonts w:eastAsia="Times New Roman"/>
          <w:sz w:val="22"/>
          <w:szCs w:val="22"/>
          <w:lang w:eastAsia="en-AU"/>
        </w:rPr>
        <w:t>,</w:t>
      </w:r>
      <w:r w:rsidRPr="00E9726E">
        <w:rPr>
          <w:rFonts w:eastAsia="Times New Roman"/>
          <w:sz w:val="22"/>
          <w:szCs w:val="22"/>
          <w:lang w:eastAsia="en-AU"/>
        </w:rPr>
        <w:t xml:space="preserve"> and after-sun skin care products) with a</w:t>
      </w:r>
      <w:r w:rsidR="00232242" w:rsidRPr="00E9726E">
        <w:rPr>
          <w:rFonts w:eastAsia="Times New Roman"/>
          <w:sz w:val="22"/>
          <w:szCs w:val="22"/>
          <w:lang w:eastAsia="en-AU"/>
        </w:rPr>
        <w:t>n</w:t>
      </w:r>
      <w:r w:rsidRPr="00E9726E">
        <w:rPr>
          <w:rFonts w:eastAsia="Times New Roman"/>
          <w:sz w:val="22"/>
          <w:szCs w:val="22"/>
          <w:lang w:eastAsia="en-AU"/>
        </w:rPr>
        <w:t xml:space="preserve"> SPF of between 4 and 15 in a pack size no larger than </w:t>
      </w:r>
      <w:proofErr w:type="spellStart"/>
      <w:r w:rsidRPr="00E9726E">
        <w:rPr>
          <w:rFonts w:eastAsia="Times New Roman"/>
          <w:sz w:val="22"/>
          <w:szCs w:val="22"/>
          <w:lang w:eastAsia="en-AU"/>
        </w:rPr>
        <w:t>300mL</w:t>
      </w:r>
      <w:proofErr w:type="spellEnd"/>
      <w:r w:rsidR="00232242" w:rsidRPr="00E9726E">
        <w:rPr>
          <w:rFonts w:eastAsia="Times New Roman"/>
          <w:sz w:val="22"/>
          <w:szCs w:val="22"/>
          <w:lang w:eastAsia="en-AU"/>
        </w:rPr>
        <w:t xml:space="preserve"> or </w:t>
      </w:r>
      <w:proofErr w:type="spellStart"/>
      <w:r w:rsidRPr="00E9726E">
        <w:rPr>
          <w:rFonts w:eastAsia="Times New Roman"/>
          <w:sz w:val="22"/>
          <w:szCs w:val="22"/>
          <w:lang w:eastAsia="en-AU"/>
        </w:rPr>
        <w:t>300g</w:t>
      </w:r>
      <w:proofErr w:type="spellEnd"/>
      <w:r w:rsidR="00611DA2">
        <w:rPr>
          <w:rFonts w:eastAsia="Times New Roman"/>
          <w:sz w:val="22"/>
          <w:szCs w:val="22"/>
          <w:lang w:eastAsia="en-AU"/>
        </w:rPr>
        <w:t>,</w:t>
      </w:r>
      <w:r w:rsidRPr="00E9726E">
        <w:rPr>
          <w:rFonts w:eastAsia="Times New Roman"/>
          <w:sz w:val="22"/>
          <w:szCs w:val="22"/>
          <w:lang w:eastAsia="en-AU"/>
        </w:rPr>
        <w:t xml:space="preserve"> that do not make any therapeutic claims other than those relating to premature ageing from sun exposure.</w:t>
      </w:r>
    </w:p>
    <w:p w14:paraId="50E05F7C" w14:textId="6B3AD6B6" w:rsidR="00232242" w:rsidRPr="004A16BD" w:rsidRDefault="00611DA2" w:rsidP="005E3873">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These goods are exempt </w:t>
      </w:r>
      <w:r w:rsidRPr="00E9726E">
        <w:rPr>
          <w:rFonts w:eastAsia="Times New Roman"/>
          <w:sz w:val="22"/>
          <w:szCs w:val="22"/>
          <w:lang w:eastAsia="en-AU"/>
        </w:rPr>
        <w:t>provid</w:t>
      </w:r>
      <w:r>
        <w:rPr>
          <w:rFonts w:eastAsia="Times New Roman"/>
          <w:sz w:val="22"/>
          <w:szCs w:val="22"/>
          <w:lang w:eastAsia="en-AU"/>
        </w:rPr>
        <w:t>ed</w:t>
      </w:r>
      <w:r w:rsidRPr="00E9726E">
        <w:rPr>
          <w:rFonts w:eastAsia="Times New Roman"/>
          <w:sz w:val="22"/>
          <w:szCs w:val="22"/>
          <w:lang w:eastAsia="en-AU"/>
        </w:rPr>
        <w:t xml:space="preserve"> they do not contain ingredients in Schedule 2, 3, 4 or 8 </w:t>
      </w:r>
      <w:r>
        <w:rPr>
          <w:rFonts w:eastAsia="Times New Roman"/>
          <w:sz w:val="22"/>
          <w:szCs w:val="22"/>
          <w:lang w:eastAsia="en-AU"/>
        </w:rPr>
        <w:t>to</w:t>
      </w:r>
      <w:r w:rsidRPr="00E9726E">
        <w:rPr>
          <w:rFonts w:eastAsia="Times New Roman"/>
          <w:sz w:val="22"/>
          <w:szCs w:val="22"/>
          <w:lang w:eastAsia="en-AU"/>
        </w:rPr>
        <w:t xml:space="preserve"> the Poisons Standard and </w:t>
      </w:r>
      <w:r>
        <w:rPr>
          <w:rFonts w:eastAsia="Times New Roman"/>
          <w:sz w:val="22"/>
          <w:szCs w:val="22"/>
          <w:lang w:eastAsia="en-AU"/>
        </w:rPr>
        <w:t xml:space="preserve">they </w:t>
      </w:r>
      <w:r w:rsidRPr="00E9726E">
        <w:rPr>
          <w:rFonts w:eastAsia="Times New Roman"/>
          <w:sz w:val="22"/>
          <w:szCs w:val="22"/>
          <w:lang w:eastAsia="en-AU"/>
        </w:rPr>
        <w:t xml:space="preserve">meet </w:t>
      </w:r>
      <w:r w:rsidR="00497811">
        <w:rPr>
          <w:rFonts w:eastAsia="Times New Roman"/>
          <w:sz w:val="22"/>
          <w:szCs w:val="22"/>
          <w:lang w:eastAsia="en-AU"/>
        </w:rPr>
        <w:t>relevant</w:t>
      </w:r>
      <w:r w:rsidR="00497811" w:rsidRPr="00E9726E">
        <w:rPr>
          <w:rFonts w:eastAsia="Times New Roman"/>
          <w:sz w:val="22"/>
          <w:szCs w:val="22"/>
          <w:lang w:eastAsia="en-AU"/>
        </w:rPr>
        <w:t xml:space="preserve"> </w:t>
      </w:r>
      <w:r w:rsidRPr="00E9726E">
        <w:rPr>
          <w:rFonts w:eastAsia="Times New Roman"/>
          <w:sz w:val="22"/>
          <w:szCs w:val="22"/>
          <w:lang w:eastAsia="en-AU"/>
        </w:rPr>
        <w:t>sunscreen standards</w:t>
      </w:r>
      <w:r>
        <w:rPr>
          <w:rFonts w:eastAsia="Times New Roman"/>
          <w:sz w:val="22"/>
          <w:szCs w:val="22"/>
          <w:lang w:eastAsia="en-AU"/>
        </w:rPr>
        <w:t xml:space="preserve">. </w:t>
      </w:r>
    </w:p>
    <w:p w14:paraId="12497181" w14:textId="77777777" w:rsidR="00232242" w:rsidRPr="00E9726E" w:rsidRDefault="00232242" w:rsidP="005E3873">
      <w:pPr>
        <w:widowControl w:val="0"/>
        <w:autoSpaceDE w:val="0"/>
        <w:autoSpaceDN w:val="0"/>
        <w:adjustRightInd w:val="0"/>
        <w:spacing w:after="0" w:line="240" w:lineRule="auto"/>
        <w:rPr>
          <w:rFonts w:eastAsia="Times New Roman"/>
          <w:sz w:val="22"/>
          <w:szCs w:val="22"/>
          <w:lang w:eastAsia="en-AU"/>
        </w:rPr>
      </w:pPr>
    </w:p>
    <w:p w14:paraId="0A16A130" w14:textId="7F6B9F44" w:rsidR="00497811" w:rsidRDefault="003B117C" w:rsidP="00497811">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T</w:t>
      </w:r>
      <w:r w:rsidR="00E33BC1" w:rsidRPr="00E9726E">
        <w:rPr>
          <w:rFonts w:eastAsia="Times New Roman"/>
          <w:sz w:val="22"/>
          <w:szCs w:val="22"/>
          <w:lang w:eastAsia="en-AU"/>
        </w:rPr>
        <w:t>he</w:t>
      </w:r>
      <w:r w:rsidR="00497811">
        <w:rPr>
          <w:rFonts w:eastAsia="Times New Roman"/>
          <w:sz w:val="22"/>
          <w:szCs w:val="22"/>
          <w:lang w:eastAsia="en-AU"/>
        </w:rPr>
        <w:t xml:space="preserve"> </w:t>
      </w:r>
      <w:r w:rsidR="00497811">
        <w:rPr>
          <w:rFonts w:eastAsia="Times New Roman"/>
          <w:i/>
          <w:iCs/>
          <w:sz w:val="22"/>
          <w:szCs w:val="22"/>
          <w:lang w:eastAsia="en-AU"/>
        </w:rPr>
        <w:t>Therapeutic Goods (Excluded Goods) Amendment (Sunscreen) Determination 2024</w:t>
      </w:r>
      <w:r w:rsidR="00497811">
        <w:rPr>
          <w:rFonts w:eastAsia="Times New Roman"/>
          <w:sz w:val="22"/>
          <w:szCs w:val="22"/>
          <w:lang w:eastAsia="en-AU"/>
        </w:rPr>
        <w:t>, which commences on 1 July 2024,</w:t>
      </w:r>
      <w:r w:rsidR="00497811">
        <w:rPr>
          <w:rFonts w:eastAsia="Times New Roman"/>
          <w:i/>
          <w:iCs/>
          <w:sz w:val="22"/>
          <w:szCs w:val="22"/>
          <w:lang w:eastAsia="en-AU"/>
        </w:rPr>
        <w:t xml:space="preserve"> </w:t>
      </w:r>
      <w:r w:rsidR="00497811">
        <w:rPr>
          <w:rFonts w:eastAsia="Times New Roman"/>
          <w:sz w:val="22"/>
          <w:szCs w:val="22"/>
          <w:lang w:eastAsia="en-AU"/>
        </w:rPr>
        <w:t>amends items 14 and 15 in Schedule 1 to the Principal Determination, and items 5 and 10 in Schedule 2 to the Principal Determination,</w:t>
      </w:r>
      <w:r w:rsidR="00497811" w:rsidRPr="00E9726E" w:rsidDel="00EE2423">
        <w:rPr>
          <w:rFonts w:eastAsia="Times New Roman"/>
          <w:sz w:val="22"/>
          <w:szCs w:val="22"/>
          <w:lang w:eastAsia="en-AU"/>
        </w:rPr>
        <w:t xml:space="preserve"> </w:t>
      </w:r>
      <w:r w:rsidR="00497811" w:rsidRPr="00E9726E">
        <w:rPr>
          <w:rFonts w:eastAsia="Times New Roman"/>
          <w:sz w:val="22"/>
          <w:szCs w:val="22"/>
          <w:lang w:eastAsia="en-AU"/>
        </w:rPr>
        <w:t xml:space="preserve">to remove reference to the 1998 </w:t>
      </w:r>
      <w:r w:rsidR="00497811" w:rsidRPr="00E9726E">
        <w:rPr>
          <w:rFonts w:eastAsia="Times New Roman"/>
          <w:sz w:val="22"/>
          <w:szCs w:val="22"/>
          <w:lang w:eastAsia="en-AU"/>
        </w:rPr>
        <w:lastRenderedPageBreak/>
        <w:t xml:space="preserve">Sunscreen Standard and the 2012 Sunscreen Standard, and to </w:t>
      </w:r>
      <w:r w:rsidR="00497811">
        <w:rPr>
          <w:rFonts w:eastAsia="Times New Roman"/>
          <w:sz w:val="22"/>
          <w:szCs w:val="22"/>
          <w:lang w:eastAsia="en-AU"/>
        </w:rPr>
        <w:t>require</w:t>
      </w:r>
      <w:r w:rsidR="00497811" w:rsidRPr="00E9726E">
        <w:rPr>
          <w:rFonts w:eastAsia="Times New Roman"/>
          <w:sz w:val="22"/>
          <w:szCs w:val="22"/>
          <w:lang w:eastAsia="en-AU"/>
        </w:rPr>
        <w:t xml:space="preserve"> compliance with the 2021 Sunscreen Standard for specified sunscreen preparations that are excluded goods.</w:t>
      </w:r>
    </w:p>
    <w:p w14:paraId="43126F8A" w14:textId="77777777" w:rsidR="00497811" w:rsidRDefault="00497811" w:rsidP="00497811">
      <w:pPr>
        <w:autoSpaceDE w:val="0"/>
        <w:autoSpaceDN w:val="0"/>
        <w:adjustRightInd w:val="0"/>
        <w:spacing w:after="0" w:line="240" w:lineRule="auto"/>
        <w:rPr>
          <w:rFonts w:eastAsia="Times New Roman"/>
          <w:sz w:val="22"/>
          <w:szCs w:val="22"/>
          <w:lang w:eastAsia="en-AU"/>
        </w:rPr>
      </w:pPr>
    </w:p>
    <w:p w14:paraId="1C49BA2B" w14:textId="7F17BF79" w:rsidR="00497811" w:rsidRPr="00B95BEE" w:rsidRDefault="00497811" w:rsidP="00497811">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The</w:t>
      </w:r>
      <w:r>
        <w:rPr>
          <w:rFonts w:eastAsia="Times New Roman"/>
          <w:bCs/>
          <w:sz w:val="22"/>
          <w:szCs w:val="22"/>
          <w:lang w:eastAsia="en-AU"/>
        </w:rPr>
        <w:t xml:space="preserve">se amendments also included a </w:t>
      </w:r>
      <w:r w:rsidRPr="00E9726E">
        <w:rPr>
          <w:rFonts w:eastAsia="Times New Roman"/>
          <w:bCs/>
          <w:sz w:val="22"/>
          <w:szCs w:val="22"/>
          <w:lang w:eastAsia="en-AU"/>
        </w:rPr>
        <w:t>5</w:t>
      </w:r>
      <w:r>
        <w:rPr>
          <w:rFonts w:eastAsia="Times New Roman"/>
          <w:bCs/>
          <w:sz w:val="22"/>
          <w:szCs w:val="22"/>
          <w:lang w:eastAsia="en-AU"/>
        </w:rPr>
        <w:t>-</w:t>
      </w:r>
      <w:r w:rsidRPr="00E9726E">
        <w:rPr>
          <w:rFonts w:eastAsia="Times New Roman"/>
          <w:bCs/>
          <w:sz w:val="22"/>
          <w:szCs w:val="22"/>
          <w:lang w:eastAsia="en-AU"/>
        </w:rPr>
        <w:t>year transitional arrangement</w:t>
      </w:r>
      <w:r>
        <w:rPr>
          <w:rFonts w:eastAsia="Times New Roman"/>
          <w:bCs/>
          <w:sz w:val="22"/>
          <w:szCs w:val="22"/>
          <w:lang w:eastAsia="en-AU"/>
        </w:rPr>
        <w:t xml:space="preserve"> for goods that were excluded goods immediately prior to the</w:t>
      </w:r>
      <w:r w:rsidR="00667781">
        <w:rPr>
          <w:rFonts w:eastAsia="Times New Roman"/>
          <w:bCs/>
          <w:sz w:val="22"/>
          <w:szCs w:val="22"/>
          <w:lang w:eastAsia="en-AU"/>
        </w:rPr>
        <w:t>se</w:t>
      </w:r>
      <w:r>
        <w:rPr>
          <w:rFonts w:eastAsia="Times New Roman"/>
          <w:bCs/>
          <w:sz w:val="22"/>
          <w:szCs w:val="22"/>
          <w:lang w:eastAsia="en-AU"/>
        </w:rPr>
        <w:t xml:space="preserve"> amendments</w:t>
      </w:r>
      <w:r w:rsidR="00B9281E">
        <w:rPr>
          <w:rFonts w:eastAsia="Times New Roman"/>
          <w:bCs/>
          <w:sz w:val="22"/>
          <w:szCs w:val="22"/>
          <w:lang w:eastAsia="en-AU"/>
        </w:rPr>
        <w:t>. These goods can comply with either the 2021 Sunscreen Standard, or the 2012 Sunscreen Standard until 1 July 2029</w:t>
      </w:r>
      <w:r w:rsidRPr="00E9726E">
        <w:rPr>
          <w:rFonts w:eastAsia="Times New Roman"/>
          <w:bCs/>
          <w:sz w:val="22"/>
          <w:szCs w:val="22"/>
          <w:lang w:eastAsia="en-AU"/>
        </w:rPr>
        <w:t xml:space="preserve">. </w:t>
      </w:r>
      <w:r w:rsidR="00667781">
        <w:rPr>
          <w:rFonts w:eastAsia="Times New Roman"/>
          <w:bCs/>
          <w:sz w:val="22"/>
          <w:szCs w:val="22"/>
          <w:lang w:eastAsia="en-AU"/>
        </w:rPr>
        <w:t xml:space="preserve">Subsection 7(2) was introduced by the </w:t>
      </w:r>
      <w:r w:rsidR="00667781">
        <w:rPr>
          <w:rFonts w:eastAsia="Times New Roman"/>
          <w:i/>
          <w:iCs/>
          <w:sz w:val="22"/>
          <w:szCs w:val="22"/>
          <w:lang w:eastAsia="en-AU"/>
        </w:rPr>
        <w:t>Therapeutic Goods (Excluded Goods) Amendment (Sunscreen) Determination 2024</w:t>
      </w:r>
      <w:r w:rsidR="00667781">
        <w:rPr>
          <w:rFonts w:eastAsia="Times New Roman"/>
          <w:sz w:val="22"/>
          <w:szCs w:val="22"/>
          <w:lang w:eastAsia="en-AU"/>
        </w:rPr>
        <w:t xml:space="preserve">, and provides that secondary sunscreen products that </w:t>
      </w:r>
      <w:r>
        <w:rPr>
          <w:rFonts w:eastAsia="Times New Roman"/>
          <w:bCs/>
          <w:sz w:val="22"/>
          <w:szCs w:val="22"/>
          <w:lang w:eastAsia="en-AU"/>
        </w:rPr>
        <w:t xml:space="preserve">were excluded goods prior to these amendments </w:t>
      </w:r>
      <w:r w:rsidR="00667781">
        <w:rPr>
          <w:rFonts w:eastAsia="Times New Roman"/>
          <w:bCs/>
          <w:sz w:val="22"/>
          <w:szCs w:val="22"/>
          <w:lang w:eastAsia="en-AU"/>
        </w:rPr>
        <w:t xml:space="preserve">and meet the requirements of the 2012 Sunscreen Standard </w:t>
      </w:r>
      <w:r w:rsidRPr="00E9726E">
        <w:rPr>
          <w:rFonts w:eastAsia="Times New Roman"/>
          <w:bCs/>
          <w:sz w:val="22"/>
          <w:szCs w:val="22"/>
          <w:lang w:eastAsia="en-AU"/>
        </w:rPr>
        <w:t>continue to be excluded goods until 1</w:t>
      </w:r>
      <w:r w:rsidR="00B9281E">
        <w:rPr>
          <w:rFonts w:eastAsia="Times New Roman"/>
          <w:bCs/>
          <w:sz w:val="22"/>
          <w:szCs w:val="22"/>
          <w:lang w:eastAsia="en-AU"/>
        </w:rPr>
        <w:t> </w:t>
      </w:r>
      <w:r w:rsidRPr="00E9726E">
        <w:rPr>
          <w:rFonts w:eastAsia="Times New Roman"/>
          <w:bCs/>
          <w:sz w:val="22"/>
          <w:szCs w:val="22"/>
          <w:lang w:eastAsia="en-AU"/>
        </w:rPr>
        <w:t>July</w:t>
      </w:r>
      <w:r w:rsidR="00B9281E">
        <w:rPr>
          <w:rFonts w:eastAsia="Times New Roman"/>
          <w:bCs/>
          <w:sz w:val="22"/>
          <w:szCs w:val="22"/>
          <w:lang w:eastAsia="en-AU"/>
        </w:rPr>
        <w:t> </w:t>
      </w:r>
      <w:r w:rsidRPr="00E9726E">
        <w:rPr>
          <w:rFonts w:eastAsia="Times New Roman"/>
          <w:bCs/>
          <w:sz w:val="22"/>
          <w:szCs w:val="22"/>
          <w:lang w:eastAsia="en-AU"/>
        </w:rPr>
        <w:t>2029</w:t>
      </w:r>
      <w:r w:rsidR="00667781">
        <w:rPr>
          <w:rFonts w:eastAsia="Times New Roman"/>
          <w:bCs/>
          <w:sz w:val="22"/>
          <w:szCs w:val="22"/>
          <w:lang w:eastAsia="en-AU"/>
        </w:rPr>
        <w:t>.</w:t>
      </w:r>
    </w:p>
    <w:bookmarkEnd w:id="2"/>
    <w:p w14:paraId="600AAE08" w14:textId="77777777" w:rsidR="00C07687" w:rsidRPr="00E9726E" w:rsidRDefault="00C07687" w:rsidP="000B31F9">
      <w:pPr>
        <w:autoSpaceDE w:val="0"/>
        <w:autoSpaceDN w:val="0"/>
        <w:adjustRightInd w:val="0"/>
        <w:spacing w:after="0" w:line="240" w:lineRule="auto"/>
        <w:rPr>
          <w:rFonts w:eastAsia="Times New Roman"/>
          <w:bCs/>
          <w:sz w:val="22"/>
          <w:szCs w:val="22"/>
          <w:lang w:eastAsia="en-AU"/>
        </w:rPr>
      </w:pPr>
    </w:p>
    <w:p w14:paraId="5B4842BD" w14:textId="60FF77D0" w:rsidR="00E21CA7" w:rsidRPr="00E9726E" w:rsidRDefault="00EE08CB"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P</w:t>
      </w:r>
      <w:r w:rsidR="00E21CA7" w:rsidRPr="00E9726E">
        <w:rPr>
          <w:rFonts w:eastAsia="Times New Roman"/>
          <w:b/>
          <w:sz w:val="22"/>
          <w:szCs w:val="22"/>
          <w:lang w:eastAsia="en-AU"/>
        </w:rPr>
        <w:t>urpose</w:t>
      </w:r>
    </w:p>
    <w:p w14:paraId="3C6CC88D" w14:textId="77777777" w:rsidR="00837EB9" w:rsidRPr="00E9726E" w:rsidRDefault="00837EB9" w:rsidP="00BF604E">
      <w:pPr>
        <w:keepNext/>
        <w:autoSpaceDE w:val="0"/>
        <w:autoSpaceDN w:val="0"/>
        <w:adjustRightInd w:val="0"/>
        <w:spacing w:after="0" w:line="240" w:lineRule="auto"/>
        <w:rPr>
          <w:rFonts w:eastAsia="Times New Roman"/>
          <w:sz w:val="22"/>
          <w:szCs w:val="22"/>
          <w:lang w:eastAsia="en-AU"/>
        </w:rPr>
      </w:pPr>
      <w:bookmarkStart w:id="3" w:name="_Hlk168468979"/>
    </w:p>
    <w:p w14:paraId="2A0998ED" w14:textId="530585F0" w:rsidR="00667781" w:rsidRDefault="00667781" w:rsidP="00DC0323">
      <w:pPr>
        <w:autoSpaceDE w:val="0"/>
        <w:autoSpaceDN w:val="0"/>
        <w:adjustRightInd w:val="0"/>
        <w:spacing w:after="0" w:line="240" w:lineRule="auto"/>
        <w:rPr>
          <w:rFonts w:eastAsia="Times New Roman"/>
          <w:sz w:val="22"/>
          <w:szCs w:val="22"/>
          <w:lang w:eastAsia="en-AU"/>
        </w:rPr>
      </w:pPr>
      <w:r>
        <w:rPr>
          <w:rFonts w:eastAsia="Times New Roman"/>
          <w:bCs/>
          <w:sz w:val="22"/>
          <w:szCs w:val="22"/>
          <w:lang w:eastAsia="en-AU"/>
        </w:rPr>
        <w:t xml:space="preserve">Subsection 7(2), as introduced by the </w:t>
      </w:r>
      <w:r>
        <w:rPr>
          <w:rFonts w:eastAsia="Times New Roman"/>
          <w:i/>
          <w:iCs/>
          <w:sz w:val="22"/>
          <w:szCs w:val="22"/>
          <w:lang w:eastAsia="en-AU"/>
        </w:rPr>
        <w:t xml:space="preserve">Therapeutic Goods (Excluded Goods) Amendment (Sunscreen) Determination </w:t>
      </w:r>
      <w:r w:rsidRPr="00667781">
        <w:rPr>
          <w:rFonts w:eastAsia="Times New Roman"/>
          <w:i/>
          <w:iCs/>
          <w:sz w:val="22"/>
          <w:szCs w:val="22"/>
          <w:lang w:eastAsia="en-AU"/>
        </w:rPr>
        <w:t>2024</w:t>
      </w:r>
      <w:r>
        <w:rPr>
          <w:rFonts w:eastAsia="Times New Roman"/>
          <w:sz w:val="22"/>
          <w:szCs w:val="22"/>
          <w:lang w:eastAsia="en-AU"/>
        </w:rPr>
        <w:t xml:space="preserve">, contains an incorrect reference to item 9 of the table in Schedule 2 to the Principal </w:t>
      </w:r>
      <w:r w:rsidR="002F2C38">
        <w:rPr>
          <w:rFonts w:eastAsia="Times New Roman"/>
          <w:sz w:val="22"/>
          <w:szCs w:val="22"/>
          <w:lang w:eastAsia="en-AU"/>
        </w:rPr>
        <w:t>Determination</w:t>
      </w:r>
      <w:r>
        <w:rPr>
          <w:rFonts w:eastAsia="Times New Roman"/>
          <w:sz w:val="22"/>
          <w:szCs w:val="22"/>
          <w:lang w:eastAsia="en-AU"/>
        </w:rPr>
        <w:t xml:space="preserve">. This provision should instead refer to item 10 of the table in Schedule 2 to the Principal </w:t>
      </w:r>
      <w:r w:rsidR="002F2C38">
        <w:rPr>
          <w:rFonts w:eastAsia="Times New Roman"/>
          <w:sz w:val="22"/>
          <w:szCs w:val="22"/>
          <w:lang w:eastAsia="en-AU"/>
        </w:rPr>
        <w:t>Determination</w:t>
      </w:r>
      <w:r>
        <w:rPr>
          <w:rFonts w:eastAsia="Times New Roman"/>
          <w:sz w:val="22"/>
          <w:szCs w:val="22"/>
          <w:lang w:eastAsia="en-AU"/>
        </w:rPr>
        <w:t xml:space="preserve"> as the </w:t>
      </w:r>
      <w:r>
        <w:rPr>
          <w:rFonts w:eastAsia="Times New Roman"/>
          <w:i/>
          <w:iCs/>
          <w:sz w:val="22"/>
          <w:szCs w:val="22"/>
          <w:lang w:eastAsia="en-AU"/>
        </w:rPr>
        <w:t xml:space="preserve">Therapeutic Goods (Excluded Goods) Amendment (Sunscreen) Determination </w:t>
      </w:r>
      <w:r w:rsidRPr="00667781">
        <w:rPr>
          <w:rFonts w:eastAsia="Times New Roman"/>
          <w:i/>
          <w:iCs/>
          <w:sz w:val="22"/>
          <w:szCs w:val="22"/>
          <w:lang w:eastAsia="en-AU"/>
        </w:rPr>
        <w:t>2024</w:t>
      </w:r>
      <w:r>
        <w:rPr>
          <w:rFonts w:eastAsia="Times New Roman"/>
          <w:sz w:val="22"/>
          <w:szCs w:val="22"/>
          <w:lang w:eastAsia="en-AU"/>
        </w:rPr>
        <w:t xml:space="preserve"> replaces item 10 of Schedule 2, not item 9.</w:t>
      </w:r>
    </w:p>
    <w:p w14:paraId="18AFFC82" w14:textId="77777777" w:rsidR="00667781" w:rsidRDefault="00667781" w:rsidP="00DC0323">
      <w:pPr>
        <w:autoSpaceDE w:val="0"/>
        <w:autoSpaceDN w:val="0"/>
        <w:adjustRightInd w:val="0"/>
        <w:spacing w:after="0" w:line="240" w:lineRule="auto"/>
        <w:rPr>
          <w:rFonts w:eastAsia="Times New Roman"/>
          <w:sz w:val="22"/>
          <w:szCs w:val="22"/>
          <w:lang w:eastAsia="en-AU"/>
        </w:rPr>
      </w:pPr>
    </w:p>
    <w:p w14:paraId="1002A9BA" w14:textId="41887A48" w:rsidR="00667781" w:rsidRDefault="00CD214D" w:rsidP="00667781">
      <w:pPr>
        <w:autoSpaceDE w:val="0"/>
        <w:autoSpaceDN w:val="0"/>
        <w:adjustRightInd w:val="0"/>
        <w:spacing w:after="0" w:line="240" w:lineRule="auto"/>
        <w:rPr>
          <w:rFonts w:eastAsia="Times New Roman"/>
          <w:sz w:val="22"/>
          <w:szCs w:val="22"/>
          <w:lang w:eastAsia="en-AU"/>
        </w:rPr>
      </w:pPr>
      <w:r w:rsidRPr="00667781">
        <w:rPr>
          <w:rFonts w:eastAsia="Times New Roman"/>
          <w:sz w:val="22"/>
          <w:szCs w:val="22"/>
          <w:lang w:eastAsia="en-AU"/>
        </w:rPr>
        <w:t>The</w:t>
      </w:r>
      <w:r w:rsidRPr="00E9726E">
        <w:rPr>
          <w:rFonts w:eastAsia="Times New Roman"/>
          <w:sz w:val="22"/>
          <w:szCs w:val="22"/>
          <w:lang w:eastAsia="en-AU"/>
        </w:rPr>
        <w:t xml:space="preserve"> Amendment </w:t>
      </w:r>
      <w:r w:rsidR="00CF4D5D" w:rsidRPr="00E9726E">
        <w:rPr>
          <w:rFonts w:eastAsia="Times New Roman"/>
          <w:sz w:val="22"/>
          <w:szCs w:val="22"/>
          <w:lang w:eastAsia="en-AU"/>
        </w:rPr>
        <w:t xml:space="preserve">Determination </w:t>
      </w:r>
      <w:r w:rsidR="008D2C8A" w:rsidRPr="00E9726E">
        <w:rPr>
          <w:rFonts w:eastAsia="Times New Roman"/>
          <w:sz w:val="22"/>
          <w:szCs w:val="22"/>
          <w:lang w:eastAsia="en-AU"/>
        </w:rPr>
        <w:t>amends</w:t>
      </w:r>
      <w:r w:rsidR="00280B08" w:rsidRPr="00E9726E">
        <w:rPr>
          <w:rFonts w:eastAsia="Times New Roman"/>
          <w:sz w:val="22"/>
          <w:szCs w:val="22"/>
          <w:lang w:eastAsia="en-AU"/>
        </w:rPr>
        <w:t xml:space="preserve"> </w:t>
      </w:r>
      <w:r w:rsidR="00667781">
        <w:rPr>
          <w:rFonts w:eastAsia="Times New Roman"/>
          <w:sz w:val="22"/>
          <w:szCs w:val="22"/>
          <w:lang w:eastAsia="en-AU"/>
        </w:rPr>
        <w:t xml:space="preserve">subsection 7(2) of the Principal Determination to correct this </w:t>
      </w:r>
      <w:r w:rsidR="00527B2C">
        <w:rPr>
          <w:rFonts w:eastAsia="Times New Roman"/>
          <w:sz w:val="22"/>
          <w:szCs w:val="22"/>
          <w:lang w:eastAsia="en-AU"/>
        </w:rPr>
        <w:t>error</w:t>
      </w:r>
      <w:r w:rsidR="00667781">
        <w:rPr>
          <w:rFonts w:eastAsia="Times New Roman"/>
          <w:sz w:val="22"/>
          <w:szCs w:val="22"/>
          <w:lang w:eastAsia="en-AU"/>
        </w:rPr>
        <w:t xml:space="preserve"> and replace </w:t>
      </w:r>
      <w:r w:rsidR="00527B2C">
        <w:rPr>
          <w:rFonts w:eastAsia="Times New Roman"/>
          <w:sz w:val="22"/>
          <w:szCs w:val="22"/>
          <w:lang w:eastAsia="en-AU"/>
        </w:rPr>
        <w:t>the reference to item 9 with a</w:t>
      </w:r>
      <w:r w:rsidR="00667781">
        <w:rPr>
          <w:rFonts w:eastAsia="Times New Roman"/>
          <w:sz w:val="22"/>
          <w:szCs w:val="22"/>
          <w:lang w:eastAsia="en-AU"/>
        </w:rPr>
        <w:t xml:space="preserve"> reference to item 10 of the table in Schedule 2 to the Principal Determination.</w:t>
      </w:r>
    </w:p>
    <w:p w14:paraId="64704679" w14:textId="77777777" w:rsidR="00667781" w:rsidRDefault="00667781" w:rsidP="00667781">
      <w:pPr>
        <w:autoSpaceDE w:val="0"/>
        <w:autoSpaceDN w:val="0"/>
        <w:adjustRightInd w:val="0"/>
        <w:spacing w:after="0" w:line="240" w:lineRule="auto"/>
        <w:rPr>
          <w:rFonts w:eastAsia="Times New Roman"/>
          <w:sz w:val="22"/>
          <w:szCs w:val="22"/>
          <w:lang w:eastAsia="en-AU"/>
        </w:rPr>
      </w:pPr>
    </w:p>
    <w:p w14:paraId="08E6EEE4" w14:textId="62CFEDE3" w:rsidR="006F4398" w:rsidRPr="00E9726E" w:rsidRDefault="00667781" w:rsidP="000B31F9">
      <w:pPr>
        <w:autoSpaceDE w:val="0"/>
        <w:autoSpaceDN w:val="0"/>
        <w:adjustRightInd w:val="0"/>
        <w:spacing w:after="0" w:line="240" w:lineRule="auto"/>
        <w:rPr>
          <w:rFonts w:eastAsia="Times New Roman"/>
          <w:bCs/>
          <w:sz w:val="22"/>
          <w:szCs w:val="22"/>
          <w:lang w:eastAsia="en-AU"/>
        </w:rPr>
      </w:pPr>
      <w:r>
        <w:rPr>
          <w:rFonts w:eastAsia="Times New Roman"/>
          <w:sz w:val="22"/>
          <w:szCs w:val="22"/>
          <w:lang w:eastAsia="en-AU"/>
        </w:rPr>
        <w:t xml:space="preserve">The Amendment Determination commences immediately after the commencement of the </w:t>
      </w:r>
      <w:r>
        <w:rPr>
          <w:rFonts w:eastAsia="Times New Roman"/>
          <w:i/>
          <w:iCs/>
          <w:sz w:val="22"/>
          <w:szCs w:val="22"/>
          <w:lang w:eastAsia="en-AU"/>
        </w:rPr>
        <w:t xml:space="preserve">Therapeutic Goods (Excluded Goods) Amendment (Sunscreen) Determination </w:t>
      </w:r>
      <w:r w:rsidRPr="00B95BEE">
        <w:rPr>
          <w:rFonts w:eastAsia="Times New Roman"/>
          <w:i/>
          <w:iCs/>
          <w:sz w:val="22"/>
          <w:szCs w:val="22"/>
          <w:lang w:eastAsia="en-AU"/>
        </w:rPr>
        <w:t>2024</w:t>
      </w:r>
      <w:r>
        <w:rPr>
          <w:rFonts w:eastAsia="Times New Roman"/>
          <w:sz w:val="22"/>
          <w:szCs w:val="22"/>
          <w:lang w:eastAsia="en-AU"/>
        </w:rPr>
        <w:t xml:space="preserve"> to </w:t>
      </w:r>
      <w:r w:rsidR="002F2C38">
        <w:rPr>
          <w:rFonts w:eastAsia="Times New Roman"/>
          <w:sz w:val="22"/>
          <w:szCs w:val="22"/>
          <w:lang w:eastAsia="en-AU"/>
        </w:rPr>
        <w:t>affect</w:t>
      </w:r>
      <w:r>
        <w:rPr>
          <w:rFonts w:eastAsia="Times New Roman"/>
          <w:sz w:val="22"/>
          <w:szCs w:val="22"/>
          <w:lang w:eastAsia="en-AU"/>
        </w:rPr>
        <w:t xml:space="preserve"> an immediate correction to </w:t>
      </w:r>
      <w:r w:rsidR="004A5FC0">
        <w:rPr>
          <w:rFonts w:eastAsia="Times New Roman"/>
          <w:sz w:val="22"/>
          <w:szCs w:val="22"/>
          <w:lang w:eastAsia="en-AU"/>
        </w:rPr>
        <w:t>subsection</w:t>
      </w:r>
      <w:r>
        <w:rPr>
          <w:rFonts w:eastAsia="Times New Roman"/>
          <w:sz w:val="22"/>
          <w:szCs w:val="22"/>
          <w:lang w:eastAsia="en-AU"/>
        </w:rPr>
        <w:t xml:space="preserve"> 7(2).</w:t>
      </w:r>
    </w:p>
    <w:bookmarkEnd w:id="3"/>
    <w:p w14:paraId="14673B77" w14:textId="77777777" w:rsidR="00747C04" w:rsidRPr="00E9726E" w:rsidRDefault="00747C04" w:rsidP="000B31F9">
      <w:pPr>
        <w:autoSpaceDE w:val="0"/>
        <w:autoSpaceDN w:val="0"/>
        <w:adjustRightInd w:val="0"/>
        <w:spacing w:after="0" w:line="240" w:lineRule="auto"/>
        <w:rPr>
          <w:rFonts w:eastAsia="Times New Roman"/>
          <w:bCs/>
          <w:sz w:val="22"/>
          <w:szCs w:val="22"/>
          <w:lang w:eastAsia="en-AU"/>
        </w:rPr>
      </w:pPr>
    </w:p>
    <w:p w14:paraId="0F1BC78C" w14:textId="1449F25A" w:rsidR="00981002" w:rsidRPr="00E9726E" w:rsidRDefault="00CD214D"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Statutory pre-conditions</w:t>
      </w:r>
    </w:p>
    <w:p w14:paraId="48FC38CC" w14:textId="73E320D6" w:rsidR="00981002" w:rsidRPr="00E9726E" w:rsidRDefault="00981002" w:rsidP="00BF604E">
      <w:pPr>
        <w:keepNext/>
        <w:autoSpaceDE w:val="0"/>
        <w:autoSpaceDN w:val="0"/>
        <w:adjustRightInd w:val="0"/>
        <w:spacing w:after="0" w:line="240" w:lineRule="auto"/>
        <w:rPr>
          <w:rFonts w:eastAsia="Times New Roman"/>
          <w:bCs/>
          <w:sz w:val="22"/>
          <w:szCs w:val="22"/>
          <w:lang w:eastAsia="en-AU"/>
        </w:rPr>
      </w:pPr>
    </w:p>
    <w:p w14:paraId="6B6FB025" w14:textId="158D6684" w:rsidR="00CD214D" w:rsidRPr="00E9726E" w:rsidRDefault="00CD214D" w:rsidP="000B31F9">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Subsection </w:t>
      </w:r>
      <w:proofErr w:type="spellStart"/>
      <w:r w:rsidRPr="00E9726E">
        <w:rPr>
          <w:rFonts w:eastAsia="Times New Roman"/>
          <w:bCs/>
          <w:sz w:val="22"/>
          <w:szCs w:val="22"/>
          <w:lang w:eastAsia="en-AU"/>
        </w:rPr>
        <w:t>7AA</w:t>
      </w:r>
      <w:proofErr w:type="spellEnd"/>
      <w:r w:rsidRPr="00E9726E">
        <w:rPr>
          <w:rFonts w:eastAsia="Times New Roman"/>
          <w:bCs/>
          <w:sz w:val="22"/>
          <w:szCs w:val="22"/>
          <w:lang w:eastAsia="en-AU"/>
        </w:rPr>
        <w:t>(3) provides that</w:t>
      </w:r>
      <w:r w:rsidR="007A066F" w:rsidRPr="00E9726E">
        <w:rPr>
          <w:rFonts w:eastAsia="Times New Roman"/>
          <w:bCs/>
          <w:sz w:val="22"/>
          <w:szCs w:val="22"/>
          <w:lang w:eastAsia="en-AU"/>
        </w:rPr>
        <w:t>,</w:t>
      </w:r>
      <w:r w:rsidRPr="00E9726E">
        <w:rPr>
          <w:rFonts w:eastAsia="Times New Roman"/>
          <w:bCs/>
          <w:sz w:val="22"/>
          <w:szCs w:val="22"/>
          <w:lang w:eastAsia="en-AU"/>
        </w:rPr>
        <w:t xml:space="preserve"> before making a determination under </w:t>
      </w:r>
      <w:r w:rsidR="006B5292">
        <w:rPr>
          <w:rFonts w:eastAsia="Times New Roman"/>
          <w:bCs/>
          <w:sz w:val="22"/>
          <w:szCs w:val="22"/>
          <w:lang w:eastAsia="en-AU"/>
        </w:rPr>
        <w:t xml:space="preserve">section </w:t>
      </w:r>
      <w:proofErr w:type="spellStart"/>
      <w:r w:rsidR="006B5292">
        <w:rPr>
          <w:rFonts w:eastAsia="Times New Roman"/>
          <w:bCs/>
          <w:sz w:val="22"/>
          <w:szCs w:val="22"/>
          <w:lang w:eastAsia="en-AU"/>
        </w:rPr>
        <w:t>7AA</w:t>
      </w:r>
      <w:proofErr w:type="spellEnd"/>
      <w:r w:rsidRPr="00E9726E">
        <w:rPr>
          <w:rFonts w:eastAsia="Times New Roman"/>
          <w:bCs/>
          <w:sz w:val="22"/>
          <w:szCs w:val="22"/>
          <w:lang w:eastAsia="en-AU"/>
        </w:rPr>
        <w:t>, the Minister must have regard to the following matters:</w:t>
      </w:r>
    </w:p>
    <w:p w14:paraId="6BDC1FD3" w14:textId="6CA28156"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whether it is likely that the specified goods, if not regulated under </w:t>
      </w:r>
      <w:r w:rsidR="006B5292">
        <w:rPr>
          <w:rFonts w:eastAsia="Times New Roman"/>
          <w:bCs/>
          <w:sz w:val="22"/>
          <w:szCs w:val="22"/>
          <w:lang w:eastAsia="en-AU"/>
        </w:rPr>
        <w:t>the</w:t>
      </w:r>
      <w:r w:rsidR="006B5292" w:rsidRPr="00E9726E">
        <w:rPr>
          <w:rFonts w:eastAsia="Times New Roman"/>
          <w:bCs/>
          <w:sz w:val="22"/>
          <w:szCs w:val="22"/>
          <w:lang w:eastAsia="en-AU"/>
        </w:rPr>
        <w:t xml:space="preserve"> </w:t>
      </w:r>
      <w:r w:rsidRPr="00E9726E">
        <w:rPr>
          <w:rFonts w:eastAsia="Times New Roman"/>
          <w:bCs/>
          <w:sz w:val="22"/>
          <w:szCs w:val="22"/>
          <w:lang w:eastAsia="en-AU"/>
        </w:rPr>
        <w:t>Act, might harm the health of members of the public;</w:t>
      </w:r>
    </w:p>
    <w:p w14:paraId="3FFB840F" w14:textId="3148A09A"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whether it is appropriate in all the circumstances to apply the national system of controls relating to the quality, safety, efficacy and performance of therapeutic goods established by </w:t>
      </w:r>
      <w:r w:rsidR="006B5292">
        <w:rPr>
          <w:rFonts w:eastAsia="Times New Roman"/>
          <w:bCs/>
          <w:sz w:val="22"/>
          <w:szCs w:val="22"/>
          <w:lang w:eastAsia="en-AU"/>
        </w:rPr>
        <w:t>the</w:t>
      </w:r>
      <w:r w:rsidR="006B5292" w:rsidRPr="00E9726E">
        <w:rPr>
          <w:rFonts w:eastAsia="Times New Roman"/>
          <w:bCs/>
          <w:sz w:val="22"/>
          <w:szCs w:val="22"/>
          <w:lang w:eastAsia="en-AU"/>
        </w:rPr>
        <w:t xml:space="preserve"> </w:t>
      </w:r>
      <w:r w:rsidRPr="00E9726E">
        <w:rPr>
          <w:rFonts w:eastAsia="Times New Roman"/>
          <w:bCs/>
          <w:sz w:val="22"/>
          <w:szCs w:val="22"/>
          <w:lang w:eastAsia="en-AU"/>
        </w:rPr>
        <w:t>Act to regulate the specified goods;</w:t>
      </w:r>
    </w:p>
    <w:p w14:paraId="2B64EB81" w14:textId="5D994382"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whether the kinds of risks from the specified goods to which members of the public might be exposed could be more appropriately dealt with under another regulatory scheme.</w:t>
      </w:r>
    </w:p>
    <w:p w14:paraId="5FD5844A" w14:textId="65002103" w:rsidR="00CD214D" w:rsidRPr="00E9726E" w:rsidRDefault="00CD214D" w:rsidP="000B31F9">
      <w:pPr>
        <w:autoSpaceDE w:val="0"/>
        <w:autoSpaceDN w:val="0"/>
        <w:adjustRightInd w:val="0"/>
        <w:spacing w:after="0" w:line="240" w:lineRule="auto"/>
        <w:rPr>
          <w:rFonts w:eastAsia="Times New Roman"/>
          <w:bCs/>
          <w:sz w:val="22"/>
          <w:szCs w:val="22"/>
          <w:lang w:eastAsia="en-AU"/>
        </w:rPr>
      </w:pPr>
    </w:p>
    <w:p w14:paraId="44E538DE" w14:textId="5D5A2C60" w:rsidR="00981002" w:rsidRPr="00020BB0" w:rsidRDefault="0005743D" w:rsidP="000B31F9">
      <w:pPr>
        <w:autoSpaceDE w:val="0"/>
        <w:autoSpaceDN w:val="0"/>
        <w:adjustRightInd w:val="0"/>
        <w:spacing w:after="0" w:line="240" w:lineRule="auto"/>
        <w:rPr>
          <w:sz w:val="22"/>
          <w:szCs w:val="22"/>
        </w:rPr>
      </w:pPr>
      <w:r w:rsidRPr="00E9726E">
        <w:rPr>
          <w:rFonts w:eastAsia="Times New Roman"/>
          <w:bCs/>
          <w:sz w:val="22"/>
          <w:szCs w:val="22"/>
          <w:lang w:eastAsia="en-AU"/>
        </w:rPr>
        <w:t xml:space="preserve">These matters have </w:t>
      </w:r>
      <w:r w:rsidR="00AA18F9" w:rsidRPr="00E9726E">
        <w:rPr>
          <w:rFonts w:eastAsia="Times New Roman"/>
          <w:bCs/>
          <w:sz w:val="22"/>
          <w:szCs w:val="22"/>
          <w:lang w:eastAsia="en-AU"/>
        </w:rPr>
        <w:t xml:space="preserve">been considered </w:t>
      </w:r>
      <w:r w:rsidR="007B53F8" w:rsidRPr="00E9726E">
        <w:rPr>
          <w:rFonts w:eastAsia="Times New Roman"/>
          <w:bCs/>
          <w:sz w:val="22"/>
          <w:szCs w:val="22"/>
          <w:lang w:eastAsia="en-AU"/>
        </w:rPr>
        <w:t xml:space="preserve">by the </w:t>
      </w:r>
      <w:r w:rsidR="006B5292">
        <w:rPr>
          <w:rFonts w:eastAsia="Times New Roman"/>
          <w:bCs/>
          <w:sz w:val="22"/>
          <w:szCs w:val="22"/>
          <w:lang w:eastAsia="en-AU"/>
        </w:rPr>
        <w:t>rule-maker</w:t>
      </w:r>
      <w:r w:rsidR="006B5292" w:rsidRPr="00E9726E">
        <w:rPr>
          <w:rFonts w:eastAsia="Times New Roman"/>
          <w:bCs/>
          <w:sz w:val="22"/>
          <w:szCs w:val="22"/>
          <w:lang w:eastAsia="en-AU"/>
        </w:rPr>
        <w:t xml:space="preserve"> </w:t>
      </w:r>
      <w:r w:rsidR="00AA18F9" w:rsidRPr="00E9726E">
        <w:rPr>
          <w:rFonts w:eastAsia="Times New Roman"/>
          <w:bCs/>
          <w:sz w:val="22"/>
          <w:szCs w:val="22"/>
          <w:lang w:eastAsia="en-AU"/>
        </w:rPr>
        <w:t xml:space="preserve">in </w:t>
      </w:r>
      <w:r w:rsidR="00C909E6" w:rsidRPr="00E9726E">
        <w:rPr>
          <w:rFonts w:eastAsia="Times New Roman"/>
          <w:bCs/>
          <w:sz w:val="22"/>
          <w:szCs w:val="22"/>
          <w:lang w:eastAsia="en-AU"/>
        </w:rPr>
        <w:t xml:space="preserve">making the Amendment </w:t>
      </w:r>
      <w:r w:rsidR="00CF4D5D" w:rsidRPr="00E9726E">
        <w:rPr>
          <w:rFonts w:eastAsia="Times New Roman"/>
          <w:bCs/>
          <w:sz w:val="22"/>
          <w:szCs w:val="22"/>
          <w:lang w:eastAsia="en-AU"/>
        </w:rPr>
        <w:t>Determination</w:t>
      </w:r>
      <w:r w:rsidR="00C909E6" w:rsidRPr="00E9726E">
        <w:rPr>
          <w:rFonts w:eastAsia="Times New Roman"/>
          <w:bCs/>
          <w:sz w:val="22"/>
          <w:szCs w:val="22"/>
          <w:lang w:eastAsia="en-AU"/>
        </w:rPr>
        <w:t>.</w:t>
      </w:r>
      <w:r w:rsidR="00B95BEE">
        <w:rPr>
          <w:rFonts w:eastAsia="Times New Roman"/>
          <w:bCs/>
          <w:sz w:val="22"/>
          <w:szCs w:val="22"/>
          <w:lang w:eastAsia="en-AU"/>
        </w:rPr>
        <w:t xml:space="preserve"> However, the purpose of </w:t>
      </w:r>
      <w:r w:rsidR="002F2C38">
        <w:rPr>
          <w:rFonts w:eastAsia="Times New Roman"/>
          <w:bCs/>
          <w:sz w:val="22"/>
          <w:szCs w:val="22"/>
          <w:lang w:eastAsia="en-AU"/>
        </w:rPr>
        <w:t>the Amendment Determination</w:t>
      </w:r>
      <w:r w:rsidR="00B95BEE">
        <w:rPr>
          <w:rFonts w:eastAsia="Times New Roman"/>
          <w:bCs/>
          <w:sz w:val="22"/>
          <w:szCs w:val="22"/>
          <w:lang w:eastAsia="en-AU"/>
        </w:rPr>
        <w:t xml:space="preserve"> is simply to correct an </w:t>
      </w:r>
      <w:r w:rsidR="00527B2C">
        <w:rPr>
          <w:rFonts w:eastAsia="Times New Roman"/>
          <w:bCs/>
          <w:sz w:val="22"/>
          <w:szCs w:val="22"/>
          <w:lang w:eastAsia="en-AU"/>
        </w:rPr>
        <w:t>inadvertent error</w:t>
      </w:r>
      <w:r w:rsidR="00B95BEE">
        <w:rPr>
          <w:rFonts w:eastAsia="Times New Roman"/>
          <w:bCs/>
          <w:sz w:val="22"/>
          <w:szCs w:val="22"/>
          <w:lang w:eastAsia="en-AU"/>
        </w:rPr>
        <w:t>.</w:t>
      </w:r>
      <w:bookmarkEnd w:id="1"/>
    </w:p>
    <w:p w14:paraId="60B8A841" w14:textId="77777777" w:rsidR="00D818D9" w:rsidRPr="00020BB0" w:rsidRDefault="00D818D9" w:rsidP="000B31F9">
      <w:pPr>
        <w:autoSpaceDE w:val="0"/>
        <w:autoSpaceDN w:val="0"/>
        <w:adjustRightInd w:val="0"/>
        <w:spacing w:after="0" w:line="240" w:lineRule="auto"/>
        <w:rPr>
          <w:rFonts w:eastAsia="Times New Roman"/>
          <w:bCs/>
          <w:sz w:val="22"/>
          <w:szCs w:val="22"/>
          <w:lang w:eastAsia="en-AU"/>
        </w:rPr>
      </w:pPr>
    </w:p>
    <w:p w14:paraId="7A1B0BE3" w14:textId="78B93556" w:rsidR="00E14D05" w:rsidRPr="00020BB0" w:rsidRDefault="00DC5A0D" w:rsidP="00BF604E">
      <w:pPr>
        <w:keepNext/>
        <w:autoSpaceDE w:val="0"/>
        <w:autoSpaceDN w:val="0"/>
        <w:adjustRightInd w:val="0"/>
        <w:spacing w:after="0" w:line="240" w:lineRule="auto"/>
        <w:rPr>
          <w:rFonts w:eastAsia="Times New Roman"/>
          <w:b/>
          <w:sz w:val="22"/>
          <w:szCs w:val="22"/>
          <w:lang w:eastAsia="en-AU"/>
        </w:rPr>
      </w:pPr>
      <w:r w:rsidRPr="00020BB0">
        <w:rPr>
          <w:rFonts w:eastAsia="Times New Roman"/>
          <w:b/>
          <w:sz w:val="22"/>
          <w:szCs w:val="22"/>
          <w:lang w:eastAsia="en-AU"/>
        </w:rPr>
        <w:t>Consultation</w:t>
      </w:r>
    </w:p>
    <w:p w14:paraId="44CBEB7E" w14:textId="77777777" w:rsidR="00837EB9" w:rsidRPr="00020BB0" w:rsidRDefault="00837EB9" w:rsidP="00BF604E">
      <w:pPr>
        <w:keepNext/>
        <w:autoSpaceDE w:val="0"/>
        <w:autoSpaceDN w:val="0"/>
        <w:adjustRightInd w:val="0"/>
        <w:spacing w:after="0" w:line="240" w:lineRule="auto"/>
        <w:rPr>
          <w:rFonts w:eastAsia="Times New Roman"/>
          <w:bCs/>
          <w:sz w:val="22"/>
          <w:szCs w:val="22"/>
          <w:lang w:eastAsia="en-AU"/>
        </w:rPr>
      </w:pPr>
      <w:bookmarkStart w:id="4" w:name="_Hlk135994503"/>
    </w:p>
    <w:p w14:paraId="012591FD" w14:textId="680AA666" w:rsidR="009F4578" w:rsidRPr="00E9726E" w:rsidRDefault="00B95BEE" w:rsidP="000B31F9">
      <w:pPr>
        <w:autoSpaceDE w:val="0"/>
        <w:autoSpaceDN w:val="0"/>
        <w:adjustRightInd w:val="0"/>
        <w:spacing w:after="0" w:line="240" w:lineRule="auto"/>
        <w:rPr>
          <w:rFonts w:eastAsia="Times New Roman"/>
          <w:bCs/>
          <w:sz w:val="22"/>
          <w:szCs w:val="22"/>
          <w:lang w:eastAsia="en-AU"/>
        </w:rPr>
      </w:pPr>
      <w:bookmarkStart w:id="5" w:name="_Hlk135995230"/>
      <w:bookmarkEnd w:id="4"/>
      <w:r>
        <w:rPr>
          <w:rFonts w:eastAsia="Times New Roman"/>
          <w:bCs/>
          <w:sz w:val="22"/>
          <w:szCs w:val="22"/>
          <w:lang w:eastAsia="en-AU"/>
        </w:rPr>
        <w:t xml:space="preserve">Consultation was not undertaken because the purpose of the Amendment Determination is simply to correct </w:t>
      </w:r>
      <w:r w:rsidR="004A5FC0">
        <w:rPr>
          <w:rFonts w:eastAsia="Times New Roman"/>
          <w:bCs/>
          <w:sz w:val="22"/>
          <w:szCs w:val="22"/>
          <w:lang w:eastAsia="en-AU"/>
        </w:rPr>
        <w:t xml:space="preserve">an </w:t>
      </w:r>
      <w:r w:rsidR="00527B2C">
        <w:rPr>
          <w:rFonts w:eastAsia="Times New Roman"/>
          <w:bCs/>
          <w:sz w:val="22"/>
          <w:szCs w:val="22"/>
          <w:lang w:eastAsia="en-AU"/>
        </w:rPr>
        <w:t>inadvertent error</w:t>
      </w:r>
      <w:r>
        <w:rPr>
          <w:rFonts w:eastAsia="Times New Roman"/>
          <w:bCs/>
          <w:sz w:val="22"/>
          <w:szCs w:val="22"/>
          <w:lang w:eastAsia="en-AU"/>
        </w:rPr>
        <w:t xml:space="preserve">. Consultation was separately undertaken in relation to the </w:t>
      </w:r>
      <w:r>
        <w:rPr>
          <w:rFonts w:eastAsia="Times New Roman"/>
          <w:i/>
          <w:iCs/>
          <w:sz w:val="22"/>
          <w:szCs w:val="22"/>
          <w:lang w:eastAsia="en-AU"/>
        </w:rPr>
        <w:t xml:space="preserve">Therapeutic Goods (Excluded Goods) Amendment (Sunscreen) Determination </w:t>
      </w:r>
      <w:r w:rsidRPr="00B95BEE">
        <w:rPr>
          <w:rFonts w:eastAsia="Times New Roman"/>
          <w:i/>
          <w:iCs/>
          <w:sz w:val="22"/>
          <w:szCs w:val="22"/>
          <w:lang w:eastAsia="en-AU"/>
        </w:rPr>
        <w:t>2024</w:t>
      </w:r>
      <w:r>
        <w:rPr>
          <w:rFonts w:eastAsia="Times New Roman"/>
          <w:sz w:val="22"/>
          <w:szCs w:val="22"/>
          <w:lang w:eastAsia="en-AU"/>
        </w:rPr>
        <w:t>.</w:t>
      </w:r>
      <w:r w:rsidR="009F4578" w:rsidRPr="00E9726E">
        <w:rPr>
          <w:rFonts w:eastAsia="Times New Roman"/>
          <w:bCs/>
          <w:sz w:val="22"/>
          <w:szCs w:val="22"/>
          <w:lang w:eastAsia="en-AU"/>
        </w:rPr>
        <w:t xml:space="preserve"> </w:t>
      </w:r>
    </w:p>
    <w:p w14:paraId="1E113C0D" w14:textId="6F7F4B85" w:rsidR="005C4A76" w:rsidRPr="00E9726E" w:rsidRDefault="005C4A76" w:rsidP="00BF604E">
      <w:pPr>
        <w:keepNext/>
        <w:autoSpaceDE w:val="0"/>
        <w:autoSpaceDN w:val="0"/>
        <w:adjustRightInd w:val="0"/>
        <w:spacing w:after="0" w:line="240" w:lineRule="auto"/>
        <w:rPr>
          <w:rFonts w:eastAsia="Times New Roman"/>
          <w:b/>
          <w:sz w:val="22"/>
          <w:szCs w:val="22"/>
          <w:lang w:eastAsia="en-AU"/>
        </w:rPr>
      </w:pPr>
    </w:p>
    <w:p w14:paraId="11D6D35B" w14:textId="612F918A" w:rsidR="00DC5A0D" w:rsidRPr="00E9726E" w:rsidRDefault="00DC5A0D"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Other details</w:t>
      </w:r>
      <w:bookmarkEnd w:id="5"/>
    </w:p>
    <w:p w14:paraId="6986F734" w14:textId="77777777" w:rsidR="00837EB9" w:rsidRPr="00E9726E" w:rsidRDefault="00837EB9" w:rsidP="00BF604E">
      <w:pPr>
        <w:keepNext/>
        <w:autoSpaceDE w:val="0"/>
        <w:autoSpaceDN w:val="0"/>
        <w:adjustRightInd w:val="0"/>
        <w:spacing w:after="0" w:line="240" w:lineRule="auto"/>
        <w:rPr>
          <w:rFonts w:eastAsia="Times New Roman"/>
          <w:sz w:val="22"/>
          <w:szCs w:val="22"/>
          <w:lang w:eastAsia="en-AU"/>
        </w:rPr>
      </w:pPr>
    </w:p>
    <w:p w14:paraId="79770489" w14:textId="6A6A6145" w:rsidR="0093285E" w:rsidRPr="00E9726E" w:rsidRDefault="006A361A"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Details of the Amendment Determination are set out in </w:t>
      </w:r>
      <w:r w:rsidRPr="00E9726E">
        <w:rPr>
          <w:rFonts w:eastAsia="Times New Roman"/>
          <w:b/>
          <w:sz w:val="22"/>
          <w:szCs w:val="22"/>
          <w:lang w:eastAsia="en-AU"/>
        </w:rPr>
        <w:t>Attachment A</w:t>
      </w:r>
      <w:r w:rsidRPr="00E9726E">
        <w:rPr>
          <w:rFonts w:eastAsia="Times New Roman"/>
          <w:sz w:val="22"/>
          <w:szCs w:val="22"/>
          <w:lang w:eastAsia="en-AU"/>
        </w:rPr>
        <w:t>.</w:t>
      </w:r>
    </w:p>
    <w:p w14:paraId="4B41EFDF" w14:textId="77777777" w:rsidR="00837EB9" w:rsidRDefault="00837EB9" w:rsidP="000B31F9">
      <w:pPr>
        <w:spacing w:after="0" w:line="240" w:lineRule="auto"/>
        <w:rPr>
          <w:rFonts w:eastAsia="Times New Roman"/>
          <w:sz w:val="22"/>
          <w:szCs w:val="22"/>
          <w:lang w:eastAsia="en-AU"/>
        </w:rPr>
      </w:pPr>
    </w:p>
    <w:p w14:paraId="3A7BA960" w14:textId="32551DE8" w:rsidR="00C45580" w:rsidRPr="00020BB0" w:rsidRDefault="00C45580" w:rsidP="00C45580">
      <w:pPr>
        <w:spacing w:after="0" w:line="240" w:lineRule="auto"/>
        <w:rPr>
          <w:rFonts w:eastAsia="Times New Roman"/>
          <w:sz w:val="22"/>
          <w:szCs w:val="22"/>
          <w:lang w:eastAsia="en-AU"/>
        </w:rPr>
      </w:pPr>
      <w:r w:rsidRPr="00020BB0">
        <w:rPr>
          <w:rFonts w:eastAsia="Times New Roman"/>
          <w:sz w:val="22"/>
          <w:szCs w:val="22"/>
          <w:lang w:eastAsia="en-AU"/>
        </w:rPr>
        <w:t xml:space="preserve">An impact analysis was </w:t>
      </w:r>
      <w:r w:rsidR="00B95BEE">
        <w:rPr>
          <w:rFonts w:eastAsia="Times New Roman"/>
          <w:sz w:val="22"/>
          <w:szCs w:val="22"/>
          <w:lang w:eastAsia="en-AU"/>
        </w:rPr>
        <w:t xml:space="preserve">not </w:t>
      </w:r>
      <w:r w:rsidRPr="00020BB0">
        <w:rPr>
          <w:rFonts w:eastAsia="Times New Roman"/>
          <w:sz w:val="22"/>
          <w:szCs w:val="22"/>
          <w:lang w:eastAsia="en-AU"/>
        </w:rPr>
        <w:t xml:space="preserve">prepared </w:t>
      </w:r>
      <w:r w:rsidR="00B95BEE">
        <w:rPr>
          <w:rFonts w:eastAsia="Times New Roman"/>
          <w:sz w:val="22"/>
          <w:szCs w:val="22"/>
          <w:lang w:eastAsia="en-AU"/>
        </w:rPr>
        <w:t>in relation to the Amendment Determination as the amendment is minor and machinery in nature.</w:t>
      </w:r>
    </w:p>
    <w:p w14:paraId="5A856D5E" w14:textId="77777777" w:rsidR="00C45580" w:rsidRPr="00E9726E" w:rsidRDefault="00C45580" w:rsidP="000B31F9">
      <w:pPr>
        <w:spacing w:after="0" w:line="240" w:lineRule="auto"/>
        <w:rPr>
          <w:rFonts w:eastAsia="Times New Roman"/>
          <w:sz w:val="22"/>
          <w:szCs w:val="22"/>
          <w:lang w:eastAsia="en-AU"/>
        </w:rPr>
      </w:pPr>
    </w:p>
    <w:p w14:paraId="2A5E6F42" w14:textId="0E228FA0" w:rsidR="006A361A" w:rsidRPr="00E9726E" w:rsidRDefault="006A361A" w:rsidP="000B31F9">
      <w:pPr>
        <w:spacing w:after="0" w:line="240" w:lineRule="auto"/>
        <w:rPr>
          <w:rFonts w:eastAsia="Times New Roman"/>
          <w:sz w:val="22"/>
          <w:szCs w:val="22"/>
          <w:lang w:eastAsia="en-AU"/>
        </w:rPr>
      </w:pPr>
      <w:r w:rsidRPr="00E9726E">
        <w:rPr>
          <w:rFonts w:eastAsia="Times New Roman"/>
          <w:sz w:val="22"/>
          <w:szCs w:val="22"/>
          <w:lang w:eastAsia="en-AU"/>
        </w:rPr>
        <w:lastRenderedPageBreak/>
        <w:t xml:space="preserve">The Amendment Determination is compatible with human rights and freedoms recognised or declared under section 3 of the </w:t>
      </w:r>
      <w:r w:rsidRPr="00E9726E">
        <w:rPr>
          <w:rFonts w:eastAsia="Times New Roman"/>
          <w:i/>
          <w:sz w:val="22"/>
          <w:szCs w:val="22"/>
          <w:lang w:eastAsia="en-AU"/>
        </w:rPr>
        <w:t>Human Rights (Parliamentary Scrutiny) Act 2011</w:t>
      </w:r>
      <w:r w:rsidRPr="00E9726E">
        <w:rPr>
          <w:rFonts w:eastAsia="Times New Roman"/>
          <w:sz w:val="22"/>
          <w:szCs w:val="22"/>
          <w:lang w:eastAsia="en-AU"/>
        </w:rPr>
        <w:t xml:space="preserve">. A full statement of compatibility is set out in </w:t>
      </w:r>
      <w:r w:rsidRPr="00E9726E">
        <w:rPr>
          <w:rFonts w:eastAsia="Times New Roman"/>
          <w:b/>
          <w:sz w:val="22"/>
          <w:szCs w:val="22"/>
          <w:lang w:eastAsia="en-AU"/>
        </w:rPr>
        <w:t>Attachment B</w:t>
      </w:r>
      <w:r w:rsidRPr="00E9726E">
        <w:rPr>
          <w:rFonts w:eastAsia="Times New Roman"/>
          <w:bCs/>
          <w:sz w:val="22"/>
          <w:szCs w:val="22"/>
          <w:lang w:eastAsia="en-AU"/>
        </w:rPr>
        <w:t>.</w:t>
      </w:r>
    </w:p>
    <w:p w14:paraId="50DDEAA3" w14:textId="77777777" w:rsidR="00837EB9" w:rsidRPr="00E9726E" w:rsidRDefault="00837EB9" w:rsidP="000B31F9">
      <w:pPr>
        <w:spacing w:after="0" w:line="240" w:lineRule="auto"/>
        <w:rPr>
          <w:rFonts w:eastAsia="Times New Roman"/>
          <w:sz w:val="22"/>
          <w:szCs w:val="22"/>
          <w:lang w:eastAsia="en-AU"/>
        </w:rPr>
      </w:pPr>
    </w:p>
    <w:p w14:paraId="6C027A28" w14:textId="60E89D02" w:rsidR="00837EB9" w:rsidRPr="00E9726E" w:rsidRDefault="006A361A" w:rsidP="000B31F9">
      <w:pPr>
        <w:spacing w:after="0" w:line="240" w:lineRule="auto"/>
        <w:rPr>
          <w:rFonts w:eastAsia="Times New Roman"/>
          <w:sz w:val="22"/>
          <w:szCs w:val="22"/>
          <w:lang w:eastAsia="en-AU"/>
        </w:rPr>
      </w:pPr>
      <w:r w:rsidRPr="00E9726E">
        <w:rPr>
          <w:rFonts w:eastAsia="Times New Roman"/>
          <w:sz w:val="22"/>
          <w:szCs w:val="22"/>
          <w:lang w:eastAsia="en-AU"/>
        </w:rPr>
        <w:t>The Amendment Determination is a disallowable legislative instrument</w:t>
      </w:r>
      <w:r w:rsidRPr="00E9726E">
        <w:rPr>
          <w:rFonts w:eastAsia="Times New Roman"/>
          <w:i/>
          <w:sz w:val="22"/>
          <w:szCs w:val="22"/>
          <w:lang w:eastAsia="en-AU"/>
        </w:rPr>
        <w:t xml:space="preserve"> </w:t>
      </w:r>
      <w:r w:rsidRPr="00E9726E">
        <w:rPr>
          <w:rFonts w:eastAsia="Times New Roman"/>
          <w:sz w:val="22"/>
          <w:szCs w:val="22"/>
          <w:lang w:eastAsia="en-AU"/>
        </w:rPr>
        <w:t xml:space="preserve">for the purposes of the </w:t>
      </w:r>
      <w:r w:rsidRPr="00E9726E">
        <w:rPr>
          <w:rFonts w:eastAsia="Times New Roman"/>
          <w:i/>
          <w:sz w:val="22"/>
          <w:szCs w:val="22"/>
          <w:lang w:eastAsia="en-AU"/>
        </w:rPr>
        <w:t xml:space="preserve">Legislation Act 2003 </w:t>
      </w:r>
      <w:r w:rsidRPr="00020BB0">
        <w:rPr>
          <w:rFonts w:eastAsia="Times New Roman"/>
          <w:sz w:val="22"/>
          <w:szCs w:val="22"/>
          <w:lang w:eastAsia="en-AU"/>
        </w:rPr>
        <w:t>and commences</w:t>
      </w:r>
      <w:r w:rsidR="002D0A2B" w:rsidRPr="00020BB0">
        <w:rPr>
          <w:rFonts w:eastAsia="Times New Roman"/>
          <w:sz w:val="22"/>
          <w:szCs w:val="22"/>
          <w:lang w:eastAsia="en-AU"/>
        </w:rPr>
        <w:t xml:space="preserve"> </w:t>
      </w:r>
      <w:r w:rsidR="00B95BEE">
        <w:rPr>
          <w:rFonts w:eastAsia="Times New Roman"/>
          <w:sz w:val="22"/>
          <w:szCs w:val="22"/>
          <w:lang w:eastAsia="en-AU"/>
        </w:rPr>
        <w:t xml:space="preserve">immediately after the commencement of the </w:t>
      </w:r>
      <w:r w:rsidR="00B95BEE">
        <w:rPr>
          <w:rFonts w:eastAsia="Times New Roman"/>
          <w:i/>
          <w:iCs/>
          <w:sz w:val="22"/>
          <w:szCs w:val="22"/>
          <w:lang w:eastAsia="en-AU"/>
        </w:rPr>
        <w:t xml:space="preserve">Therapeutic Goods (Excluded Goods) Amendment (Sunscreen) Determination </w:t>
      </w:r>
      <w:r w:rsidR="00B95BEE" w:rsidRPr="00B95BEE">
        <w:rPr>
          <w:rFonts w:eastAsia="Times New Roman"/>
          <w:i/>
          <w:iCs/>
          <w:sz w:val="22"/>
          <w:szCs w:val="22"/>
          <w:lang w:eastAsia="en-AU"/>
        </w:rPr>
        <w:t>2024</w:t>
      </w:r>
      <w:r w:rsidR="00B95BEE">
        <w:rPr>
          <w:rFonts w:eastAsia="Times New Roman"/>
          <w:sz w:val="22"/>
          <w:szCs w:val="22"/>
          <w:lang w:eastAsia="en-AU"/>
        </w:rPr>
        <w:t xml:space="preserve"> </w:t>
      </w:r>
      <w:r w:rsidR="00A54375" w:rsidRPr="00020BB0">
        <w:rPr>
          <w:rFonts w:eastAsia="Times New Roman"/>
          <w:sz w:val="22"/>
          <w:szCs w:val="22"/>
          <w:lang w:eastAsia="en-AU"/>
        </w:rPr>
        <w:t>on 1 July 202</w:t>
      </w:r>
      <w:r w:rsidR="00747C04" w:rsidRPr="00020BB0">
        <w:rPr>
          <w:rFonts w:eastAsia="Times New Roman"/>
          <w:sz w:val="22"/>
          <w:szCs w:val="22"/>
          <w:lang w:eastAsia="en-AU"/>
        </w:rPr>
        <w:t>4</w:t>
      </w:r>
      <w:r w:rsidR="002D0A2B" w:rsidRPr="00020BB0">
        <w:rPr>
          <w:rFonts w:eastAsia="Times New Roman"/>
          <w:sz w:val="22"/>
          <w:szCs w:val="22"/>
          <w:lang w:eastAsia="en-AU"/>
        </w:rPr>
        <w:t>.</w:t>
      </w:r>
    </w:p>
    <w:p w14:paraId="1AFD487F" w14:textId="6C7F5591" w:rsidR="001E51F5" w:rsidRPr="00E9726E" w:rsidRDefault="001E51F5" w:rsidP="000B31F9">
      <w:pPr>
        <w:spacing w:after="0" w:line="240" w:lineRule="auto"/>
        <w:rPr>
          <w:rFonts w:eastAsia="Times New Roman"/>
          <w:sz w:val="22"/>
          <w:szCs w:val="22"/>
          <w:lang w:eastAsia="en-AU"/>
        </w:rPr>
      </w:pPr>
      <w:r w:rsidRPr="00E9726E">
        <w:rPr>
          <w:rFonts w:eastAsia="Times New Roman"/>
          <w:b/>
          <w:bCs/>
          <w:sz w:val="22"/>
          <w:szCs w:val="22"/>
          <w:lang w:eastAsia="en-AU"/>
        </w:rPr>
        <w:br w:type="page"/>
      </w:r>
    </w:p>
    <w:p w14:paraId="01D2E0B2" w14:textId="77777777" w:rsidR="001E51F5" w:rsidRPr="00E9726E" w:rsidRDefault="001E51F5" w:rsidP="000B31F9">
      <w:pPr>
        <w:spacing w:after="0" w:line="240" w:lineRule="auto"/>
        <w:jc w:val="right"/>
        <w:rPr>
          <w:rFonts w:eastAsia="Times New Roman"/>
          <w:b/>
          <w:bCs/>
          <w:sz w:val="22"/>
          <w:szCs w:val="22"/>
          <w:lang w:eastAsia="en-AU"/>
        </w:rPr>
      </w:pPr>
      <w:r w:rsidRPr="00E9726E">
        <w:rPr>
          <w:rFonts w:eastAsia="Times New Roman"/>
          <w:b/>
          <w:bCs/>
          <w:sz w:val="22"/>
          <w:szCs w:val="22"/>
          <w:lang w:eastAsia="en-AU"/>
        </w:rPr>
        <w:lastRenderedPageBreak/>
        <w:t>Attachment A</w:t>
      </w:r>
    </w:p>
    <w:p w14:paraId="6B11CAAE" w14:textId="77777777" w:rsidR="00837EB9" w:rsidRPr="00E9726E" w:rsidRDefault="00837EB9" w:rsidP="000B31F9">
      <w:pPr>
        <w:spacing w:after="0" w:line="240" w:lineRule="auto"/>
        <w:rPr>
          <w:rFonts w:eastAsia="Times New Roman"/>
          <w:sz w:val="22"/>
          <w:szCs w:val="22"/>
          <w:lang w:eastAsia="en-AU"/>
        </w:rPr>
      </w:pPr>
    </w:p>
    <w:p w14:paraId="0CDD0A6A" w14:textId="6E8CA782" w:rsidR="001E51F5" w:rsidRPr="00E9726E" w:rsidRDefault="001E51F5" w:rsidP="000B31F9">
      <w:pPr>
        <w:spacing w:after="0" w:line="240" w:lineRule="auto"/>
        <w:rPr>
          <w:rFonts w:eastAsia="Times New Roman"/>
          <w:b/>
          <w:bCs/>
          <w:i/>
          <w:sz w:val="22"/>
          <w:szCs w:val="22"/>
          <w:lang w:eastAsia="en-AU"/>
        </w:rPr>
      </w:pPr>
      <w:r w:rsidRPr="00E9726E">
        <w:rPr>
          <w:rFonts w:eastAsia="Times New Roman"/>
          <w:b/>
          <w:bCs/>
          <w:sz w:val="22"/>
          <w:szCs w:val="22"/>
          <w:lang w:eastAsia="en-AU"/>
        </w:rPr>
        <w:t xml:space="preserve">Details of the </w:t>
      </w:r>
      <w:r w:rsidR="00D2737D" w:rsidRPr="00E9726E">
        <w:rPr>
          <w:rFonts w:eastAsia="Times New Roman"/>
          <w:b/>
          <w:bCs/>
          <w:i/>
          <w:sz w:val="22"/>
          <w:szCs w:val="22"/>
          <w:lang w:eastAsia="en-AU"/>
        </w:rPr>
        <w:t>Therapeutic Goods (Excluded Goods) Amendment Determination</w:t>
      </w:r>
      <w:r w:rsidR="00246EDA" w:rsidRPr="00E9726E">
        <w:rPr>
          <w:rFonts w:eastAsia="Times New Roman"/>
          <w:b/>
          <w:bCs/>
          <w:i/>
          <w:sz w:val="22"/>
          <w:szCs w:val="22"/>
          <w:lang w:eastAsia="en-AU"/>
        </w:rPr>
        <w:t> </w:t>
      </w:r>
      <w:r w:rsidR="00D2737D" w:rsidRPr="00E9726E">
        <w:rPr>
          <w:rFonts w:eastAsia="Times New Roman"/>
          <w:b/>
          <w:bCs/>
          <w:i/>
          <w:sz w:val="22"/>
          <w:szCs w:val="22"/>
          <w:lang w:eastAsia="en-AU"/>
        </w:rPr>
        <w:t>202</w:t>
      </w:r>
      <w:r w:rsidR="00F0458B" w:rsidRPr="00E9726E">
        <w:rPr>
          <w:rFonts w:eastAsia="Times New Roman"/>
          <w:b/>
          <w:bCs/>
          <w:i/>
          <w:sz w:val="22"/>
          <w:szCs w:val="22"/>
          <w:lang w:eastAsia="en-AU"/>
        </w:rPr>
        <w:t>4</w:t>
      </w:r>
    </w:p>
    <w:p w14:paraId="2AA53E70" w14:textId="77777777" w:rsidR="00837EB9" w:rsidRPr="00E9726E" w:rsidRDefault="00837EB9" w:rsidP="000B31F9">
      <w:pPr>
        <w:spacing w:after="0" w:line="240" w:lineRule="auto"/>
        <w:rPr>
          <w:rFonts w:eastAsia="Times New Roman"/>
          <w:sz w:val="22"/>
          <w:szCs w:val="22"/>
          <w:lang w:eastAsia="en-AU"/>
        </w:rPr>
      </w:pPr>
    </w:p>
    <w:p w14:paraId="7225F5C7" w14:textId="24995D8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1 – Name</w:t>
      </w:r>
    </w:p>
    <w:p w14:paraId="132D65FE" w14:textId="77777777" w:rsidR="00837EB9" w:rsidRPr="00E9726E" w:rsidRDefault="00837EB9" w:rsidP="00BF604E">
      <w:pPr>
        <w:keepNext/>
        <w:spacing w:after="0" w:line="240" w:lineRule="auto"/>
        <w:rPr>
          <w:rFonts w:eastAsia="Times New Roman"/>
          <w:sz w:val="22"/>
          <w:szCs w:val="22"/>
          <w:lang w:eastAsia="en-AU"/>
        </w:rPr>
      </w:pPr>
    </w:p>
    <w:p w14:paraId="4346BAF4" w14:textId="309853D3" w:rsidR="001E51F5" w:rsidRPr="00E9726E" w:rsidRDefault="001E51F5"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This section provides that the name of the instrument is the </w:t>
      </w:r>
      <w:r w:rsidR="00D2737D" w:rsidRPr="00E9726E">
        <w:rPr>
          <w:rFonts w:eastAsia="Times New Roman"/>
          <w:i/>
          <w:sz w:val="22"/>
          <w:szCs w:val="22"/>
          <w:lang w:eastAsia="en-AU"/>
        </w:rPr>
        <w:t>Therapeutic Goods (Excluded Goods) Amendment Determination 202</w:t>
      </w:r>
      <w:r w:rsidR="00F0458B" w:rsidRPr="00E9726E">
        <w:rPr>
          <w:rFonts w:eastAsia="Times New Roman"/>
          <w:i/>
          <w:sz w:val="22"/>
          <w:szCs w:val="22"/>
          <w:lang w:eastAsia="en-AU"/>
        </w:rPr>
        <w:t>4</w:t>
      </w:r>
      <w:r w:rsidRPr="00E9726E">
        <w:rPr>
          <w:rFonts w:eastAsia="Times New Roman"/>
          <w:i/>
          <w:sz w:val="22"/>
          <w:szCs w:val="22"/>
          <w:lang w:eastAsia="en-AU"/>
        </w:rPr>
        <w:t xml:space="preserve"> </w:t>
      </w:r>
      <w:r w:rsidR="00BB2758" w:rsidRPr="00E9726E">
        <w:rPr>
          <w:rFonts w:eastAsia="Times New Roman"/>
          <w:sz w:val="22"/>
          <w:szCs w:val="22"/>
          <w:lang w:eastAsia="en-AU"/>
        </w:rPr>
        <w:t xml:space="preserve">(“the Amendment </w:t>
      </w:r>
      <w:r w:rsidR="00BA2EE9" w:rsidRPr="00E9726E">
        <w:rPr>
          <w:rFonts w:eastAsia="Times New Roman"/>
          <w:sz w:val="22"/>
          <w:szCs w:val="22"/>
          <w:lang w:eastAsia="en-AU"/>
        </w:rPr>
        <w:t>Determination</w:t>
      </w:r>
      <w:r w:rsidRPr="00E9726E">
        <w:rPr>
          <w:rFonts w:eastAsia="Times New Roman"/>
          <w:sz w:val="22"/>
          <w:szCs w:val="22"/>
          <w:lang w:eastAsia="en-AU"/>
        </w:rPr>
        <w:t>”).</w:t>
      </w:r>
    </w:p>
    <w:p w14:paraId="724620FB" w14:textId="77777777" w:rsidR="00837EB9" w:rsidRPr="00E9726E" w:rsidRDefault="00837EB9" w:rsidP="000B31F9">
      <w:pPr>
        <w:spacing w:after="0" w:line="240" w:lineRule="auto"/>
        <w:rPr>
          <w:rFonts w:eastAsia="Times New Roman"/>
          <w:sz w:val="22"/>
          <w:szCs w:val="22"/>
          <w:lang w:eastAsia="en-AU"/>
        </w:rPr>
      </w:pPr>
    </w:p>
    <w:p w14:paraId="2155701C" w14:textId="076C2E54"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2 – Commencement</w:t>
      </w:r>
    </w:p>
    <w:p w14:paraId="0D7AA190" w14:textId="77777777" w:rsidR="00837EB9" w:rsidRPr="00E9726E" w:rsidRDefault="00837EB9" w:rsidP="00BF604E">
      <w:pPr>
        <w:keepNext/>
        <w:spacing w:after="0" w:line="240" w:lineRule="auto"/>
        <w:rPr>
          <w:rFonts w:eastAsia="Times New Roman"/>
          <w:bCs/>
          <w:sz w:val="22"/>
          <w:szCs w:val="22"/>
          <w:lang w:eastAsia="en-AU"/>
        </w:rPr>
      </w:pPr>
    </w:p>
    <w:p w14:paraId="42A42C1F" w14:textId="53056AAE" w:rsidR="001E51F5" w:rsidRPr="00E9726E" w:rsidRDefault="001E51F5" w:rsidP="000B31F9">
      <w:pPr>
        <w:spacing w:after="0" w:line="240" w:lineRule="auto"/>
        <w:rPr>
          <w:rFonts w:eastAsia="Times New Roman"/>
          <w:bCs/>
          <w:sz w:val="22"/>
          <w:szCs w:val="22"/>
          <w:lang w:eastAsia="en-AU"/>
        </w:rPr>
      </w:pPr>
      <w:r w:rsidRPr="00020BB0">
        <w:rPr>
          <w:rFonts w:eastAsia="Times New Roman"/>
          <w:bCs/>
          <w:sz w:val="22"/>
          <w:szCs w:val="22"/>
          <w:lang w:eastAsia="en-AU"/>
        </w:rPr>
        <w:t xml:space="preserve">This section provides that the Amendment </w:t>
      </w:r>
      <w:r w:rsidR="00BA2EE9" w:rsidRPr="00020BB0">
        <w:rPr>
          <w:rFonts w:eastAsia="Times New Roman"/>
          <w:bCs/>
          <w:sz w:val="22"/>
          <w:szCs w:val="22"/>
          <w:lang w:eastAsia="en-AU"/>
        </w:rPr>
        <w:t xml:space="preserve">Determination </w:t>
      </w:r>
      <w:r w:rsidRPr="00020BB0">
        <w:rPr>
          <w:rFonts w:eastAsia="Times New Roman"/>
          <w:bCs/>
          <w:sz w:val="22"/>
          <w:szCs w:val="22"/>
          <w:lang w:eastAsia="en-AU"/>
        </w:rPr>
        <w:t xml:space="preserve">commences </w:t>
      </w:r>
      <w:r w:rsidR="00B95BEE">
        <w:rPr>
          <w:rFonts w:eastAsia="Times New Roman"/>
          <w:sz w:val="22"/>
          <w:szCs w:val="22"/>
          <w:lang w:eastAsia="en-AU"/>
        </w:rPr>
        <w:t xml:space="preserve">immediately after the commencement of the </w:t>
      </w:r>
      <w:r w:rsidR="00B95BEE">
        <w:rPr>
          <w:rFonts w:eastAsia="Times New Roman"/>
          <w:i/>
          <w:iCs/>
          <w:sz w:val="22"/>
          <w:szCs w:val="22"/>
          <w:lang w:eastAsia="en-AU"/>
        </w:rPr>
        <w:t xml:space="preserve">Therapeutic Goods (Excluded Goods) Amendment (Sunscreen) Determination </w:t>
      </w:r>
      <w:r w:rsidR="00B95BEE" w:rsidRPr="00B95BEE">
        <w:rPr>
          <w:rFonts w:eastAsia="Times New Roman"/>
          <w:i/>
          <w:iCs/>
          <w:sz w:val="22"/>
          <w:szCs w:val="22"/>
          <w:lang w:eastAsia="en-AU"/>
        </w:rPr>
        <w:t>2024</w:t>
      </w:r>
      <w:r w:rsidR="00B95BEE">
        <w:rPr>
          <w:rFonts w:eastAsia="Times New Roman"/>
          <w:sz w:val="22"/>
          <w:szCs w:val="22"/>
          <w:lang w:eastAsia="en-AU"/>
        </w:rPr>
        <w:t xml:space="preserve"> </w:t>
      </w:r>
      <w:r w:rsidR="00C421C0" w:rsidRPr="00020BB0">
        <w:rPr>
          <w:rFonts w:eastAsia="Times New Roman"/>
          <w:sz w:val="22"/>
          <w:szCs w:val="22"/>
          <w:lang w:eastAsia="en-AU"/>
        </w:rPr>
        <w:t>on 1 July 2024</w:t>
      </w:r>
      <w:r w:rsidR="002D0A2B" w:rsidRPr="00020BB0">
        <w:rPr>
          <w:rFonts w:eastAsia="Times New Roman"/>
          <w:sz w:val="22"/>
          <w:szCs w:val="22"/>
          <w:lang w:eastAsia="en-AU"/>
        </w:rPr>
        <w:t>.</w:t>
      </w:r>
    </w:p>
    <w:p w14:paraId="4AE6A433" w14:textId="77777777" w:rsidR="00837EB9" w:rsidRPr="00E9726E" w:rsidRDefault="00837EB9" w:rsidP="000B31F9">
      <w:pPr>
        <w:spacing w:after="0" w:line="240" w:lineRule="auto"/>
        <w:rPr>
          <w:rFonts w:eastAsia="Times New Roman"/>
          <w:sz w:val="22"/>
          <w:szCs w:val="22"/>
          <w:lang w:eastAsia="en-AU"/>
        </w:rPr>
      </w:pPr>
    </w:p>
    <w:p w14:paraId="665A7296" w14:textId="3494C8C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3 – Authority</w:t>
      </w:r>
    </w:p>
    <w:p w14:paraId="701D7E4A" w14:textId="77777777" w:rsidR="00837EB9" w:rsidRPr="00E9726E" w:rsidRDefault="00837EB9" w:rsidP="00BF604E">
      <w:pPr>
        <w:keepNext/>
        <w:spacing w:after="0" w:line="240" w:lineRule="auto"/>
        <w:rPr>
          <w:rFonts w:eastAsia="Times New Roman"/>
          <w:bCs/>
          <w:sz w:val="22"/>
          <w:szCs w:val="22"/>
          <w:lang w:eastAsia="en-AU"/>
        </w:rPr>
      </w:pPr>
    </w:p>
    <w:p w14:paraId="6AFE41B9" w14:textId="4D727135" w:rsidR="001E51F5" w:rsidRPr="00E9726E" w:rsidRDefault="001E51F5" w:rsidP="000B31F9">
      <w:pPr>
        <w:spacing w:after="0" w:line="240" w:lineRule="auto"/>
        <w:rPr>
          <w:rFonts w:eastAsia="Times New Roman"/>
          <w:bCs/>
          <w:i/>
          <w:sz w:val="22"/>
          <w:szCs w:val="22"/>
          <w:lang w:eastAsia="en-AU"/>
        </w:rPr>
      </w:pPr>
      <w:r w:rsidRPr="00E9726E">
        <w:rPr>
          <w:rFonts w:eastAsia="Times New Roman"/>
          <w:bCs/>
          <w:sz w:val="22"/>
          <w:szCs w:val="22"/>
          <w:lang w:eastAsia="en-AU"/>
        </w:rPr>
        <w:t xml:space="preserve">This section provides that the legislative authority for making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 xml:space="preserve">is section </w:t>
      </w:r>
      <w:proofErr w:type="spellStart"/>
      <w:r w:rsidRPr="00E9726E">
        <w:rPr>
          <w:rFonts w:eastAsia="Times New Roman"/>
          <w:bCs/>
          <w:sz w:val="22"/>
          <w:szCs w:val="22"/>
          <w:lang w:eastAsia="en-AU"/>
        </w:rPr>
        <w:t>7</w:t>
      </w:r>
      <w:r w:rsidR="00BB2758" w:rsidRPr="00E9726E">
        <w:rPr>
          <w:rFonts w:eastAsia="Times New Roman"/>
          <w:bCs/>
          <w:sz w:val="22"/>
          <w:szCs w:val="22"/>
          <w:lang w:eastAsia="en-AU"/>
        </w:rPr>
        <w:t>AA</w:t>
      </w:r>
      <w:proofErr w:type="spellEnd"/>
      <w:r w:rsidRPr="00E9726E">
        <w:rPr>
          <w:rFonts w:eastAsia="Times New Roman"/>
          <w:bCs/>
          <w:sz w:val="22"/>
          <w:szCs w:val="22"/>
          <w:lang w:eastAsia="en-AU"/>
        </w:rPr>
        <w:t xml:space="preserve"> of the </w:t>
      </w:r>
      <w:r w:rsidRPr="00E9726E">
        <w:rPr>
          <w:rFonts w:eastAsia="Times New Roman"/>
          <w:bCs/>
          <w:i/>
          <w:sz w:val="22"/>
          <w:szCs w:val="22"/>
          <w:lang w:eastAsia="en-AU"/>
        </w:rPr>
        <w:t xml:space="preserve">Therapeutic Goods Act 1989 </w:t>
      </w:r>
      <w:r w:rsidRPr="00E9726E">
        <w:rPr>
          <w:rFonts w:eastAsia="Times New Roman"/>
          <w:bCs/>
          <w:sz w:val="22"/>
          <w:szCs w:val="22"/>
          <w:lang w:eastAsia="en-AU"/>
        </w:rPr>
        <w:t>(“the Act”)</w:t>
      </w:r>
      <w:r w:rsidRPr="00E9726E">
        <w:rPr>
          <w:rFonts w:eastAsia="Times New Roman"/>
          <w:bCs/>
          <w:i/>
          <w:sz w:val="22"/>
          <w:szCs w:val="22"/>
          <w:lang w:eastAsia="en-AU"/>
        </w:rPr>
        <w:t>.</w:t>
      </w:r>
    </w:p>
    <w:p w14:paraId="5412560E" w14:textId="77777777" w:rsidR="00837EB9" w:rsidRPr="00E9726E" w:rsidRDefault="00837EB9" w:rsidP="000B31F9">
      <w:pPr>
        <w:spacing w:after="0" w:line="240" w:lineRule="auto"/>
        <w:rPr>
          <w:rFonts w:eastAsia="Times New Roman"/>
          <w:bCs/>
          <w:sz w:val="22"/>
          <w:szCs w:val="22"/>
          <w:lang w:eastAsia="en-AU"/>
        </w:rPr>
      </w:pPr>
    </w:p>
    <w:p w14:paraId="39AB7B19" w14:textId="7460E8B1"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t xml:space="preserve">Subsection 33(3) of the </w:t>
      </w:r>
      <w:r w:rsidRPr="00E9726E">
        <w:rPr>
          <w:rFonts w:eastAsia="Times New Roman"/>
          <w:bCs/>
          <w:i/>
          <w:sz w:val="22"/>
          <w:szCs w:val="22"/>
          <w:lang w:eastAsia="en-AU"/>
        </w:rPr>
        <w:t>Acts Interpretation Act 1901</w:t>
      </w:r>
      <w:r w:rsidRPr="00E9726E">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BA2EE9" w:rsidRPr="00E9726E">
        <w:rPr>
          <w:rFonts w:eastAsia="Times New Roman"/>
          <w:bCs/>
          <w:sz w:val="22"/>
          <w:szCs w:val="22"/>
          <w:lang w:eastAsia="en-AU"/>
        </w:rPr>
        <w:t xml:space="preserve">The </w:t>
      </w:r>
      <w:r w:rsidR="008D1E44" w:rsidRPr="00E9726E">
        <w:rPr>
          <w:rFonts w:eastAsia="Times New Roman"/>
          <w:bCs/>
          <w:sz w:val="22"/>
          <w:szCs w:val="22"/>
          <w:lang w:eastAsia="en-AU"/>
        </w:rPr>
        <w:t xml:space="preserve">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is made in accordance with that provision.</w:t>
      </w:r>
    </w:p>
    <w:p w14:paraId="5C1D74E6" w14:textId="77777777" w:rsidR="00837EB9" w:rsidRPr="00E9726E" w:rsidRDefault="00837EB9" w:rsidP="000B31F9">
      <w:pPr>
        <w:spacing w:after="0" w:line="240" w:lineRule="auto"/>
        <w:rPr>
          <w:rFonts w:eastAsia="Times New Roman"/>
          <w:sz w:val="22"/>
          <w:szCs w:val="22"/>
          <w:lang w:eastAsia="en-AU"/>
        </w:rPr>
      </w:pPr>
    </w:p>
    <w:p w14:paraId="0CC41FB6" w14:textId="5E7C2828" w:rsidR="001E51F5" w:rsidRPr="00E9726E" w:rsidRDefault="001E51F5" w:rsidP="000F0D2A">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4 – Schedules</w:t>
      </w:r>
    </w:p>
    <w:p w14:paraId="2249B082" w14:textId="77777777" w:rsidR="00837EB9" w:rsidRPr="00E9726E" w:rsidRDefault="00837EB9" w:rsidP="000F0D2A">
      <w:pPr>
        <w:keepNext/>
        <w:spacing w:after="0" w:line="240" w:lineRule="auto"/>
        <w:rPr>
          <w:rFonts w:eastAsia="Times New Roman"/>
          <w:bCs/>
          <w:sz w:val="22"/>
          <w:szCs w:val="22"/>
          <w:lang w:eastAsia="en-AU"/>
        </w:rPr>
      </w:pPr>
    </w:p>
    <w:p w14:paraId="5BC041E3" w14:textId="09401140"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t>This section provides that each instrument that is specified in a</w:t>
      </w:r>
      <w:r w:rsidR="00BB2758" w:rsidRPr="00E9726E">
        <w:rPr>
          <w:rFonts w:eastAsia="Times New Roman"/>
          <w:bCs/>
          <w:sz w:val="22"/>
          <w:szCs w:val="22"/>
          <w:lang w:eastAsia="en-AU"/>
        </w:rPr>
        <w:t xml:space="preserve"> Schedule to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is amended as set out in the applicable items in the Schedule concerned, and that any other item in a</w:t>
      </w:r>
      <w:r w:rsidR="00BB2758" w:rsidRPr="00E9726E">
        <w:rPr>
          <w:rFonts w:eastAsia="Times New Roman"/>
          <w:bCs/>
          <w:sz w:val="22"/>
          <w:szCs w:val="22"/>
          <w:lang w:eastAsia="en-AU"/>
        </w:rPr>
        <w:t xml:space="preserve"> Schedule to the Amendment </w:t>
      </w:r>
      <w:r w:rsidR="00BA2EE9" w:rsidRPr="00E9726E">
        <w:rPr>
          <w:rFonts w:eastAsia="Times New Roman"/>
          <w:bCs/>
          <w:sz w:val="22"/>
          <w:szCs w:val="22"/>
          <w:lang w:eastAsia="en-AU"/>
        </w:rPr>
        <w:t xml:space="preserve">Determination </w:t>
      </w:r>
      <w:r w:rsidRPr="00E9726E">
        <w:rPr>
          <w:rFonts w:eastAsia="Times New Roman"/>
          <w:bCs/>
          <w:sz w:val="22"/>
          <w:szCs w:val="22"/>
          <w:lang w:eastAsia="en-AU"/>
        </w:rPr>
        <w:t>has effect according to its terms.</w:t>
      </w:r>
    </w:p>
    <w:p w14:paraId="619F983B" w14:textId="77777777" w:rsidR="00837EB9" w:rsidRPr="00E9726E" w:rsidRDefault="00837EB9" w:rsidP="000B31F9">
      <w:pPr>
        <w:spacing w:after="0" w:line="240" w:lineRule="auto"/>
        <w:rPr>
          <w:rFonts w:eastAsia="Times New Roman"/>
          <w:sz w:val="22"/>
          <w:szCs w:val="22"/>
          <w:lang w:eastAsia="en-AU"/>
        </w:rPr>
      </w:pPr>
    </w:p>
    <w:p w14:paraId="7EC9FF24" w14:textId="77777777" w:rsidR="00EF6D34" w:rsidRPr="00E9726E" w:rsidRDefault="00EF6D34" w:rsidP="000F0D2A">
      <w:pPr>
        <w:keepNext/>
        <w:spacing w:after="0" w:line="240" w:lineRule="auto"/>
        <w:rPr>
          <w:rFonts w:eastAsia="Times New Roman"/>
          <w:b/>
          <w:bCs/>
          <w:sz w:val="22"/>
          <w:szCs w:val="22"/>
          <w:lang w:eastAsia="en-AU"/>
        </w:rPr>
      </w:pPr>
      <w:r w:rsidRPr="00E9726E">
        <w:rPr>
          <w:rFonts w:eastAsia="Times New Roman"/>
          <w:b/>
          <w:bCs/>
          <w:sz w:val="22"/>
          <w:szCs w:val="22"/>
          <w:lang w:eastAsia="en-AU"/>
        </w:rPr>
        <w:t>Schedule 1 – Amendments</w:t>
      </w:r>
    </w:p>
    <w:p w14:paraId="264DF434" w14:textId="77777777" w:rsidR="00EF6D34" w:rsidRPr="00E9726E" w:rsidRDefault="00EF6D34" w:rsidP="000F0D2A">
      <w:pPr>
        <w:keepNext/>
        <w:spacing w:after="0" w:line="240" w:lineRule="auto"/>
        <w:rPr>
          <w:rFonts w:eastAsia="Times New Roman"/>
          <w:bCs/>
          <w:sz w:val="22"/>
          <w:szCs w:val="22"/>
          <w:lang w:eastAsia="en-AU"/>
        </w:rPr>
      </w:pPr>
    </w:p>
    <w:p w14:paraId="179E2691" w14:textId="77777777" w:rsidR="00EF6D34" w:rsidRPr="00E9726E" w:rsidRDefault="00EF6D34" w:rsidP="000B31F9">
      <w:pPr>
        <w:spacing w:after="0" w:line="240" w:lineRule="auto"/>
        <w:rPr>
          <w:rFonts w:eastAsia="Times New Roman"/>
          <w:bCs/>
          <w:sz w:val="22"/>
          <w:szCs w:val="22"/>
          <w:lang w:eastAsia="en-AU"/>
        </w:rPr>
      </w:pPr>
      <w:r w:rsidRPr="00E9726E">
        <w:rPr>
          <w:rFonts w:eastAsia="Times New Roman"/>
          <w:bCs/>
          <w:sz w:val="22"/>
          <w:szCs w:val="22"/>
          <w:lang w:eastAsia="en-AU"/>
        </w:rPr>
        <w:t xml:space="preserve">This Schedule amends the </w:t>
      </w:r>
      <w:r w:rsidRPr="00E9726E">
        <w:rPr>
          <w:rFonts w:eastAsia="Times New Roman"/>
          <w:bCs/>
          <w:i/>
          <w:sz w:val="22"/>
          <w:szCs w:val="22"/>
          <w:lang w:eastAsia="en-AU"/>
        </w:rPr>
        <w:t>Therapeutic Goods (Excluded Goods) Determination 2018</w:t>
      </w:r>
      <w:r w:rsidRPr="00E9726E">
        <w:rPr>
          <w:rFonts w:eastAsia="Times New Roman"/>
          <w:bCs/>
          <w:sz w:val="22"/>
          <w:szCs w:val="22"/>
          <w:lang w:eastAsia="en-AU"/>
        </w:rPr>
        <w:t xml:space="preserve"> (“the Principal Determination”).</w:t>
      </w:r>
    </w:p>
    <w:p w14:paraId="6C4170C9" w14:textId="77777777" w:rsidR="00EF6D34" w:rsidRPr="00E9726E" w:rsidRDefault="00EF6D34" w:rsidP="000B31F9">
      <w:pPr>
        <w:spacing w:after="0" w:line="240" w:lineRule="auto"/>
        <w:rPr>
          <w:rFonts w:eastAsia="Times New Roman"/>
          <w:bCs/>
          <w:sz w:val="22"/>
          <w:szCs w:val="22"/>
          <w:lang w:eastAsia="en-AU"/>
        </w:rPr>
      </w:pPr>
    </w:p>
    <w:p w14:paraId="01B6EC6B" w14:textId="5606C56B" w:rsidR="00E17537" w:rsidRPr="00E9726E" w:rsidRDefault="00E17537" w:rsidP="00E17537">
      <w:pPr>
        <w:keepNext/>
        <w:spacing w:after="0" w:line="240" w:lineRule="auto"/>
        <w:rPr>
          <w:rFonts w:eastAsia="Times New Roman"/>
          <w:bCs/>
          <w:sz w:val="22"/>
          <w:szCs w:val="22"/>
          <w:lang w:eastAsia="en-AU"/>
        </w:rPr>
      </w:pPr>
      <w:r w:rsidRPr="00E9726E">
        <w:rPr>
          <w:rFonts w:eastAsia="Times New Roman"/>
          <w:b/>
          <w:sz w:val="22"/>
          <w:szCs w:val="22"/>
          <w:lang w:eastAsia="en-AU"/>
        </w:rPr>
        <w:t xml:space="preserve">Item 1– </w:t>
      </w:r>
      <w:r w:rsidR="00B95BEE">
        <w:rPr>
          <w:rFonts w:eastAsia="Times New Roman"/>
          <w:b/>
          <w:sz w:val="22"/>
          <w:szCs w:val="22"/>
          <w:lang w:eastAsia="en-AU"/>
        </w:rPr>
        <w:t>Subsection 7(2)</w:t>
      </w:r>
    </w:p>
    <w:p w14:paraId="4388794A" w14:textId="02926495" w:rsidR="00E17537" w:rsidRPr="00E9726E" w:rsidRDefault="00E17537" w:rsidP="00E17537">
      <w:pPr>
        <w:spacing w:after="0" w:line="240" w:lineRule="auto"/>
        <w:rPr>
          <w:rFonts w:eastAsia="Times New Roman"/>
          <w:bCs/>
          <w:sz w:val="22"/>
          <w:szCs w:val="22"/>
          <w:lang w:eastAsia="en-AU"/>
        </w:rPr>
      </w:pPr>
      <w:bookmarkStart w:id="6" w:name="_Hlk160610592"/>
      <w:r w:rsidRPr="00E9726E">
        <w:rPr>
          <w:rFonts w:eastAsia="Times New Roman"/>
          <w:bCs/>
          <w:sz w:val="22"/>
          <w:szCs w:val="22"/>
          <w:lang w:eastAsia="en-AU"/>
        </w:rPr>
        <w:t xml:space="preserve">This item </w:t>
      </w:r>
      <w:r w:rsidR="00B95BEE">
        <w:rPr>
          <w:rFonts w:eastAsia="Times New Roman"/>
          <w:bCs/>
          <w:sz w:val="22"/>
          <w:szCs w:val="22"/>
          <w:lang w:eastAsia="en-AU"/>
        </w:rPr>
        <w:t>replaces the incorrect reference to item 9 in subsection 7(2) with a reference to item 10 of the table in Schedule 2 to the Principal Determination. Subsection 7(2) should refer to item 10 instead</w:t>
      </w:r>
      <w:r w:rsidR="002F2C38">
        <w:rPr>
          <w:rFonts w:eastAsia="Times New Roman"/>
          <w:bCs/>
          <w:sz w:val="22"/>
          <w:szCs w:val="22"/>
          <w:lang w:eastAsia="en-AU"/>
        </w:rPr>
        <w:t>,</w:t>
      </w:r>
      <w:r w:rsidR="00B95BEE">
        <w:rPr>
          <w:rFonts w:eastAsia="Times New Roman"/>
          <w:bCs/>
          <w:sz w:val="22"/>
          <w:szCs w:val="22"/>
          <w:lang w:eastAsia="en-AU"/>
        </w:rPr>
        <w:t xml:space="preserve"> as the </w:t>
      </w:r>
      <w:r w:rsidR="00B95BEE">
        <w:rPr>
          <w:rFonts w:eastAsia="Times New Roman"/>
          <w:i/>
          <w:iCs/>
          <w:sz w:val="22"/>
          <w:szCs w:val="22"/>
          <w:lang w:eastAsia="en-AU"/>
        </w:rPr>
        <w:t xml:space="preserve">Therapeutic Goods (Excluded Goods) Amendment (Sunscreen) Determination </w:t>
      </w:r>
      <w:r w:rsidR="00B95BEE" w:rsidRPr="00D63E0A">
        <w:rPr>
          <w:rFonts w:eastAsia="Times New Roman"/>
          <w:sz w:val="22"/>
          <w:szCs w:val="22"/>
          <w:lang w:eastAsia="en-AU"/>
        </w:rPr>
        <w:t>2024</w:t>
      </w:r>
      <w:r w:rsidR="00B95BEE">
        <w:rPr>
          <w:rFonts w:eastAsia="Times New Roman"/>
          <w:sz w:val="22"/>
          <w:szCs w:val="22"/>
          <w:lang w:eastAsia="en-AU"/>
        </w:rPr>
        <w:t xml:space="preserve"> replaced item 10</w:t>
      </w:r>
      <w:r w:rsidR="002F2C38">
        <w:rPr>
          <w:rFonts w:eastAsia="Times New Roman"/>
          <w:sz w:val="22"/>
          <w:szCs w:val="22"/>
          <w:lang w:eastAsia="en-AU"/>
        </w:rPr>
        <w:t xml:space="preserve"> with an updated reference to the 2021 Sunscreen Standard.</w:t>
      </w:r>
    </w:p>
    <w:bookmarkEnd w:id="6"/>
    <w:p w14:paraId="14A5A430" w14:textId="6A7F5AFD" w:rsidR="001E51F5" w:rsidRPr="00E9726E" w:rsidRDefault="001E51F5" w:rsidP="000B31F9">
      <w:pPr>
        <w:spacing w:after="0" w:line="240" w:lineRule="auto"/>
        <w:rPr>
          <w:rFonts w:eastAsia="Times New Roman"/>
          <w:bCs/>
          <w:sz w:val="22"/>
          <w:szCs w:val="22"/>
          <w:lang w:eastAsia="en-AU"/>
        </w:rPr>
      </w:pPr>
      <w:r w:rsidRPr="00E9726E">
        <w:rPr>
          <w:rFonts w:eastAsia="Times New Roman"/>
          <w:bCs/>
          <w:sz w:val="22"/>
          <w:szCs w:val="22"/>
          <w:lang w:eastAsia="en-AU"/>
        </w:rPr>
        <w:br w:type="page"/>
      </w:r>
    </w:p>
    <w:p w14:paraId="568BA265" w14:textId="77777777" w:rsidR="00E744B0" w:rsidRPr="00E9726E" w:rsidRDefault="00E744B0" w:rsidP="000B31F9">
      <w:pPr>
        <w:spacing w:after="0" w:line="240" w:lineRule="auto"/>
        <w:jc w:val="right"/>
        <w:rPr>
          <w:b/>
          <w:sz w:val="22"/>
          <w:szCs w:val="22"/>
        </w:rPr>
      </w:pPr>
      <w:r w:rsidRPr="00E9726E">
        <w:rPr>
          <w:b/>
          <w:sz w:val="22"/>
          <w:szCs w:val="22"/>
        </w:rPr>
        <w:lastRenderedPageBreak/>
        <w:t>Attachment B</w:t>
      </w:r>
    </w:p>
    <w:p w14:paraId="45E1E345" w14:textId="77777777" w:rsidR="00E744B0" w:rsidRPr="00E9726E" w:rsidRDefault="00E744B0" w:rsidP="000B31F9">
      <w:pPr>
        <w:spacing w:after="0" w:line="240" w:lineRule="auto"/>
        <w:jc w:val="center"/>
        <w:rPr>
          <w:bCs/>
          <w:sz w:val="22"/>
          <w:szCs w:val="22"/>
        </w:rPr>
      </w:pPr>
    </w:p>
    <w:p w14:paraId="05D89B19" w14:textId="77777777" w:rsidR="00E744B0" w:rsidRPr="00E9726E" w:rsidRDefault="00E744B0" w:rsidP="000B31F9">
      <w:pPr>
        <w:spacing w:after="0" w:line="240" w:lineRule="auto"/>
        <w:jc w:val="center"/>
        <w:rPr>
          <w:b/>
          <w:sz w:val="22"/>
          <w:szCs w:val="22"/>
        </w:rPr>
      </w:pPr>
      <w:r w:rsidRPr="00E9726E">
        <w:rPr>
          <w:b/>
          <w:sz w:val="22"/>
          <w:szCs w:val="22"/>
        </w:rPr>
        <w:t>Statement of Compatibility with Human Rights</w:t>
      </w:r>
    </w:p>
    <w:p w14:paraId="61C2B711" w14:textId="77777777" w:rsidR="00E744B0" w:rsidRPr="00E9726E" w:rsidRDefault="00E744B0" w:rsidP="000B31F9">
      <w:pPr>
        <w:spacing w:after="0" w:line="240" w:lineRule="auto"/>
        <w:rPr>
          <w:sz w:val="22"/>
          <w:szCs w:val="22"/>
        </w:rPr>
      </w:pPr>
    </w:p>
    <w:p w14:paraId="05F5EEBB" w14:textId="77777777" w:rsidR="00E744B0" w:rsidRPr="00E9726E" w:rsidRDefault="00E744B0" w:rsidP="000B31F9">
      <w:pPr>
        <w:spacing w:after="0" w:line="240" w:lineRule="auto"/>
        <w:jc w:val="center"/>
        <w:rPr>
          <w:sz w:val="22"/>
          <w:szCs w:val="22"/>
        </w:rPr>
      </w:pPr>
      <w:r w:rsidRPr="00E9726E">
        <w:rPr>
          <w:sz w:val="22"/>
          <w:szCs w:val="22"/>
        </w:rPr>
        <w:t xml:space="preserve">Prepared in accordance with Part 3 of the </w:t>
      </w:r>
      <w:r w:rsidRPr="00E9726E">
        <w:rPr>
          <w:i/>
          <w:sz w:val="22"/>
          <w:szCs w:val="22"/>
        </w:rPr>
        <w:t>Human Rights (Parliamentary Scrutiny) Act 2011</w:t>
      </w:r>
    </w:p>
    <w:p w14:paraId="46D43075" w14:textId="77777777" w:rsidR="00E744B0" w:rsidRPr="00E9726E" w:rsidRDefault="00E744B0" w:rsidP="000B31F9">
      <w:pPr>
        <w:spacing w:after="0" w:line="240" w:lineRule="auto"/>
        <w:jc w:val="center"/>
        <w:rPr>
          <w:bCs/>
          <w:sz w:val="22"/>
          <w:szCs w:val="22"/>
        </w:rPr>
      </w:pPr>
    </w:p>
    <w:p w14:paraId="3DAB8214" w14:textId="77AEC5FC" w:rsidR="001E51F5" w:rsidRPr="00E9726E" w:rsidRDefault="00DA449C" w:rsidP="000B31F9">
      <w:pPr>
        <w:spacing w:after="0" w:line="240" w:lineRule="auto"/>
        <w:jc w:val="center"/>
        <w:rPr>
          <w:rFonts w:eastAsia="Times New Roman"/>
          <w:b/>
          <w:sz w:val="22"/>
          <w:szCs w:val="22"/>
          <w:lang w:eastAsia="en-AU"/>
        </w:rPr>
      </w:pPr>
      <w:r w:rsidRPr="00E9726E">
        <w:rPr>
          <w:rFonts w:eastAsia="Times New Roman"/>
          <w:b/>
          <w:i/>
          <w:sz w:val="22"/>
          <w:szCs w:val="22"/>
          <w:lang w:eastAsia="en-AU"/>
        </w:rPr>
        <w:t>Therapeutic Goods (Excluded Goods) Amendment Determination 202</w:t>
      </w:r>
      <w:r w:rsidR="00FB2164" w:rsidRPr="00E9726E">
        <w:rPr>
          <w:rFonts w:eastAsia="Times New Roman"/>
          <w:b/>
          <w:i/>
          <w:sz w:val="22"/>
          <w:szCs w:val="22"/>
          <w:lang w:eastAsia="en-AU"/>
        </w:rPr>
        <w:t>4</w:t>
      </w:r>
    </w:p>
    <w:p w14:paraId="20F0978C" w14:textId="77777777" w:rsidR="00E744B0" w:rsidRPr="00E9726E" w:rsidRDefault="00E744B0" w:rsidP="000B31F9">
      <w:pPr>
        <w:spacing w:after="0" w:line="240" w:lineRule="auto"/>
        <w:rPr>
          <w:rFonts w:eastAsia="Times New Roman"/>
          <w:sz w:val="22"/>
          <w:szCs w:val="22"/>
          <w:lang w:eastAsia="en-AU"/>
        </w:rPr>
      </w:pPr>
    </w:p>
    <w:p w14:paraId="52B743F6" w14:textId="5305CF5A" w:rsidR="001E51F5" w:rsidRPr="00E9726E" w:rsidRDefault="001E51F5"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E9726E">
        <w:rPr>
          <w:rFonts w:eastAsia="Times New Roman"/>
          <w:i/>
          <w:sz w:val="22"/>
          <w:szCs w:val="22"/>
          <w:lang w:eastAsia="en-AU"/>
        </w:rPr>
        <w:t>Human Rights (Parliamentary Scrutiny) Act 2011</w:t>
      </w:r>
      <w:r w:rsidRPr="00E9726E">
        <w:rPr>
          <w:rFonts w:eastAsia="Times New Roman"/>
          <w:sz w:val="22"/>
          <w:szCs w:val="22"/>
          <w:lang w:eastAsia="en-AU"/>
        </w:rPr>
        <w:t>.</w:t>
      </w:r>
    </w:p>
    <w:p w14:paraId="1FE107FF" w14:textId="77777777" w:rsidR="00E744B0" w:rsidRPr="00E9726E" w:rsidRDefault="00E744B0" w:rsidP="000B31F9">
      <w:pPr>
        <w:spacing w:after="0" w:line="240" w:lineRule="auto"/>
        <w:rPr>
          <w:rFonts w:eastAsia="Times New Roman"/>
          <w:bCs/>
          <w:sz w:val="22"/>
          <w:szCs w:val="22"/>
          <w:lang w:eastAsia="en-AU"/>
        </w:rPr>
      </w:pPr>
    </w:p>
    <w:p w14:paraId="5BB723C9" w14:textId="48F2A642" w:rsidR="001E51F5" w:rsidRPr="00E9726E" w:rsidRDefault="001E51F5" w:rsidP="000F0D2A">
      <w:pPr>
        <w:keepNext/>
        <w:spacing w:after="0" w:line="240" w:lineRule="auto"/>
        <w:rPr>
          <w:rFonts w:eastAsia="Times New Roman"/>
          <w:b/>
          <w:sz w:val="22"/>
          <w:szCs w:val="22"/>
          <w:lang w:eastAsia="en-AU"/>
        </w:rPr>
      </w:pPr>
      <w:r w:rsidRPr="00E9726E">
        <w:rPr>
          <w:rFonts w:eastAsia="Times New Roman"/>
          <w:b/>
          <w:sz w:val="22"/>
          <w:szCs w:val="22"/>
          <w:lang w:eastAsia="en-AU"/>
        </w:rPr>
        <w:t>Overview of legislative instrument</w:t>
      </w:r>
    </w:p>
    <w:p w14:paraId="24D11CB8" w14:textId="77777777" w:rsidR="002F2C38" w:rsidRPr="00E9726E" w:rsidRDefault="002F2C38" w:rsidP="002F2C38">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relevantly provides that the Minister may, by legislative instrument, determine that specified goods are excluded goods for the purposes of the Act. The effect of a determination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is to exclude the specified goods from the operation of the Act.</w:t>
      </w:r>
    </w:p>
    <w:p w14:paraId="0547971D" w14:textId="77777777" w:rsidR="002F2C38" w:rsidRPr="00E9726E" w:rsidRDefault="002F2C38" w:rsidP="002F2C38">
      <w:pPr>
        <w:autoSpaceDE w:val="0"/>
        <w:autoSpaceDN w:val="0"/>
        <w:adjustRightInd w:val="0"/>
        <w:spacing w:after="0" w:line="240" w:lineRule="auto"/>
        <w:rPr>
          <w:rFonts w:eastAsia="Times New Roman"/>
          <w:sz w:val="22"/>
          <w:szCs w:val="22"/>
          <w:lang w:eastAsia="en-AU"/>
        </w:rPr>
      </w:pPr>
    </w:p>
    <w:p w14:paraId="267CE5F7" w14:textId="77777777" w:rsidR="002F2C38" w:rsidRPr="00E9726E" w:rsidRDefault="002F2C38" w:rsidP="002F2C38">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E9726E">
        <w:rPr>
          <w:rFonts w:eastAsia="Times New Roman"/>
          <w:i/>
          <w:iCs/>
          <w:sz w:val="22"/>
          <w:szCs w:val="22"/>
          <w:lang w:eastAsia="en-AU"/>
        </w:rPr>
        <w:t>Therapeutic Goods (Excluded Goods) Determination 2018</w:t>
      </w:r>
      <w:r w:rsidRPr="00E9726E">
        <w:rPr>
          <w:rFonts w:eastAsia="Times New Roman"/>
          <w:sz w:val="22"/>
          <w:szCs w:val="22"/>
          <w:lang w:eastAsia="en-AU"/>
        </w:rPr>
        <w:t xml:space="preserve"> (the Principal Determination) is made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The Principal Determination determines specified goods, including specified goods when used, advertised or presented for supply in a specified manner, to be excluded goods for the purposes of the Act.</w:t>
      </w:r>
      <w:r>
        <w:rPr>
          <w:rFonts w:eastAsia="Times New Roman"/>
          <w:sz w:val="22"/>
          <w:szCs w:val="22"/>
          <w:lang w:eastAsia="en-AU"/>
        </w:rPr>
        <w:t xml:space="preserve"> The effect of the Principal Determination is that the goods that are determined to be excluded goods are not subject to the Act.</w:t>
      </w:r>
    </w:p>
    <w:p w14:paraId="208EF193" w14:textId="77777777" w:rsidR="002F2C38" w:rsidRPr="00E9726E" w:rsidRDefault="002F2C38" w:rsidP="002F2C38">
      <w:pPr>
        <w:autoSpaceDE w:val="0"/>
        <w:autoSpaceDN w:val="0"/>
        <w:adjustRightInd w:val="0"/>
        <w:spacing w:after="0" w:line="240" w:lineRule="auto"/>
        <w:rPr>
          <w:rFonts w:eastAsia="Times New Roman"/>
          <w:sz w:val="22"/>
          <w:szCs w:val="22"/>
          <w:lang w:eastAsia="en-AU"/>
        </w:rPr>
      </w:pPr>
    </w:p>
    <w:p w14:paraId="26D65AC3" w14:textId="77777777" w:rsidR="002F2C38" w:rsidRPr="00E9726E" w:rsidRDefault="002F2C38" w:rsidP="002F2C38">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The</w:t>
      </w:r>
      <w:r>
        <w:rPr>
          <w:rFonts w:eastAsia="Times New Roman"/>
          <w:sz w:val="22"/>
          <w:szCs w:val="22"/>
          <w:lang w:eastAsia="en-AU"/>
        </w:rPr>
        <w:t xml:space="preserve"> </w:t>
      </w:r>
      <w:r>
        <w:rPr>
          <w:rFonts w:eastAsia="Times New Roman"/>
          <w:i/>
          <w:iCs/>
          <w:sz w:val="22"/>
          <w:szCs w:val="22"/>
          <w:lang w:eastAsia="en-AU"/>
        </w:rPr>
        <w:t>Therapeutic Goods (Excluded Goods) Amendment Determination 2024</w:t>
      </w:r>
      <w:r>
        <w:rPr>
          <w:rFonts w:eastAsia="Times New Roman"/>
          <w:sz w:val="22"/>
          <w:szCs w:val="22"/>
          <w:lang w:eastAsia="en-AU"/>
        </w:rPr>
        <w:t xml:space="preserve"> (the Amendment Determination) amends the Principal Determination to correct a reference in new subsection 7(2), which is introduced by the</w:t>
      </w:r>
      <w:r w:rsidRPr="00E9726E">
        <w:rPr>
          <w:rFonts w:eastAsia="Times New Roman"/>
          <w:sz w:val="22"/>
          <w:szCs w:val="22"/>
          <w:lang w:eastAsia="en-AU"/>
        </w:rPr>
        <w:t xml:space="preserve"> </w:t>
      </w:r>
      <w:r w:rsidRPr="00E9726E">
        <w:rPr>
          <w:rFonts w:eastAsia="Times New Roman"/>
          <w:i/>
          <w:iCs/>
          <w:sz w:val="22"/>
          <w:szCs w:val="22"/>
          <w:lang w:eastAsia="en-AU"/>
        </w:rPr>
        <w:t>Therapeutic Goods (Excluded Goods) Amendment (Sunscreen) Determination 2024</w:t>
      </w:r>
      <w:r>
        <w:rPr>
          <w:rFonts w:eastAsia="Times New Roman"/>
          <w:sz w:val="22"/>
          <w:szCs w:val="22"/>
          <w:lang w:eastAsia="en-AU"/>
        </w:rPr>
        <w:t>. New subsection 7(2) refers to “items 5 and 9” of the table in Schedule 2 in error, and should instead refer to items 5 and 10 of the table in Schedule 2 to the Principal Determination – the Amendment Determination makes this correction.</w:t>
      </w:r>
    </w:p>
    <w:p w14:paraId="0864B3D3" w14:textId="77777777" w:rsidR="002F2C38" w:rsidRPr="00E9726E" w:rsidRDefault="002F2C38" w:rsidP="002F2C38">
      <w:pPr>
        <w:autoSpaceDE w:val="0"/>
        <w:autoSpaceDN w:val="0"/>
        <w:adjustRightInd w:val="0"/>
        <w:spacing w:after="0" w:line="240" w:lineRule="auto"/>
        <w:rPr>
          <w:rFonts w:eastAsia="Times New Roman"/>
          <w:sz w:val="22"/>
          <w:szCs w:val="22"/>
          <w:lang w:eastAsia="en-AU"/>
        </w:rPr>
      </w:pPr>
    </w:p>
    <w:p w14:paraId="1A5355FC" w14:textId="77777777" w:rsidR="002F2C38" w:rsidRPr="002F2C38" w:rsidRDefault="002F2C38" w:rsidP="002F2C38">
      <w:pPr>
        <w:keepNext/>
        <w:autoSpaceDE w:val="0"/>
        <w:autoSpaceDN w:val="0"/>
        <w:adjustRightInd w:val="0"/>
        <w:spacing w:after="0" w:line="240" w:lineRule="auto"/>
        <w:rPr>
          <w:rFonts w:eastAsia="Times New Roman"/>
          <w:b/>
          <w:i/>
          <w:iCs/>
          <w:sz w:val="22"/>
          <w:szCs w:val="22"/>
          <w:lang w:eastAsia="en-AU"/>
        </w:rPr>
      </w:pPr>
      <w:r w:rsidRPr="002F2C38">
        <w:rPr>
          <w:rFonts w:eastAsia="Times New Roman"/>
          <w:b/>
          <w:i/>
          <w:iCs/>
          <w:sz w:val="22"/>
          <w:szCs w:val="22"/>
          <w:lang w:eastAsia="en-AU"/>
        </w:rPr>
        <w:t>Background</w:t>
      </w:r>
    </w:p>
    <w:p w14:paraId="0A165E18" w14:textId="77777777" w:rsidR="002F2C38" w:rsidRPr="00E9726E" w:rsidRDefault="002F2C38" w:rsidP="002F2C38">
      <w:pPr>
        <w:keepNext/>
        <w:autoSpaceDE w:val="0"/>
        <w:autoSpaceDN w:val="0"/>
        <w:adjustRightInd w:val="0"/>
        <w:spacing w:after="0" w:line="240" w:lineRule="auto"/>
        <w:rPr>
          <w:rFonts w:eastAsia="Times New Roman"/>
          <w:b/>
          <w:sz w:val="22"/>
          <w:szCs w:val="22"/>
          <w:lang w:eastAsia="en-AU"/>
        </w:rPr>
      </w:pPr>
    </w:p>
    <w:p w14:paraId="17248561" w14:textId="77777777" w:rsidR="002F2C38" w:rsidRDefault="002F2C38" w:rsidP="002F2C38">
      <w:pPr>
        <w:widowControl w:val="0"/>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Principal Determination is made under section </w:t>
      </w:r>
      <w:proofErr w:type="spellStart"/>
      <w:r w:rsidRPr="00E9726E">
        <w:rPr>
          <w:rFonts w:eastAsia="Times New Roman"/>
          <w:sz w:val="22"/>
          <w:szCs w:val="22"/>
          <w:lang w:eastAsia="en-AU"/>
        </w:rPr>
        <w:t>7AA</w:t>
      </w:r>
      <w:proofErr w:type="spellEnd"/>
      <w:r w:rsidRPr="00E9726E">
        <w:rPr>
          <w:rFonts w:eastAsia="Times New Roman"/>
          <w:sz w:val="22"/>
          <w:szCs w:val="22"/>
          <w:lang w:eastAsia="en-AU"/>
        </w:rPr>
        <w:t xml:space="preserve"> of the Act. The Principal Determination determines specified goods, including specified goods when used, advertised, or presented for supply in a specified way, to be excluded goods for the purposes of the Act. </w:t>
      </w:r>
    </w:p>
    <w:p w14:paraId="6F1D98BA" w14:textId="77777777" w:rsidR="002F2C38" w:rsidRPr="00E9726E" w:rsidRDefault="002F2C38" w:rsidP="002F2C38">
      <w:pPr>
        <w:widowControl w:val="0"/>
        <w:autoSpaceDE w:val="0"/>
        <w:autoSpaceDN w:val="0"/>
        <w:adjustRightInd w:val="0"/>
        <w:spacing w:after="0" w:line="240" w:lineRule="auto"/>
        <w:rPr>
          <w:rFonts w:eastAsia="Times New Roman"/>
          <w:sz w:val="22"/>
          <w:szCs w:val="22"/>
          <w:lang w:eastAsia="en-AU"/>
        </w:rPr>
      </w:pPr>
    </w:p>
    <w:p w14:paraId="5D790424" w14:textId="77777777" w:rsidR="002F2C38" w:rsidRPr="00E9726E" w:rsidRDefault="002F2C38" w:rsidP="002F2C38">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Under items 14 and 15 in Schedule 1 to the Principal Determination, and items 5 and 10 in Schedule 2 to the Principal Determination, a number of</w:t>
      </w:r>
      <w:r w:rsidRPr="00E9726E">
        <w:rPr>
          <w:rFonts w:eastAsia="Times New Roman"/>
          <w:sz w:val="22"/>
          <w:szCs w:val="22"/>
          <w:lang w:eastAsia="en-AU"/>
        </w:rPr>
        <w:t xml:space="preserve"> secondary sunscreen products are excluded goods</w:t>
      </w:r>
      <w:r>
        <w:rPr>
          <w:rFonts w:eastAsia="Times New Roman"/>
          <w:sz w:val="22"/>
          <w:szCs w:val="22"/>
          <w:lang w:eastAsia="en-AU"/>
        </w:rPr>
        <w:t xml:space="preserve">. </w:t>
      </w:r>
      <w:r w:rsidRPr="00E9726E">
        <w:rPr>
          <w:rFonts w:eastAsia="Times New Roman"/>
          <w:sz w:val="22"/>
          <w:szCs w:val="22"/>
          <w:lang w:eastAsia="en-AU"/>
        </w:rPr>
        <w:t>Secondary sunscreens are products that are represented as having a primary function other than sun protection</w:t>
      </w:r>
      <w:r>
        <w:rPr>
          <w:rFonts w:eastAsia="Times New Roman"/>
          <w:sz w:val="22"/>
          <w:szCs w:val="22"/>
          <w:lang w:eastAsia="en-AU"/>
        </w:rPr>
        <w:t xml:space="preserve">, </w:t>
      </w:r>
      <w:r w:rsidRPr="00E9726E">
        <w:rPr>
          <w:rFonts w:eastAsia="Times New Roman"/>
          <w:sz w:val="22"/>
          <w:szCs w:val="22"/>
          <w:lang w:eastAsia="en-AU"/>
        </w:rPr>
        <w:t xml:space="preserve">that also provide some protection of the skin from </w:t>
      </w:r>
      <w:r>
        <w:rPr>
          <w:rFonts w:eastAsia="Times New Roman"/>
          <w:sz w:val="22"/>
          <w:szCs w:val="22"/>
          <w:lang w:eastAsia="en-AU"/>
        </w:rPr>
        <w:t>ultraviolet radiation (</w:t>
      </w:r>
      <w:r w:rsidRPr="00E9726E">
        <w:rPr>
          <w:rFonts w:eastAsia="Times New Roman"/>
          <w:sz w:val="22"/>
          <w:szCs w:val="22"/>
          <w:lang w:eastAsia="en-AU"/>
        </w:rPr>
        <w:t>UV</w:t>
      </w:r>
      <w:r>
        <w:rPr>
          <w:rFonts w:eastAsia="Times New Roman"/>
          <w:sz w:val="22"/>
          <w:szCs w:val="22"/>
          <w:lang w:eastAsia="en-AU"/>
        </w:rPr>
        <w:t>)</w:t>
      </w:r>
      <w:r w:rsidRPr="00E9726E">
        <w:rPr>
          <w:rFonts w:eastAsia="Times New Roman"/>
          <w:sz w:val="22"/>
          <w:szCs w:val="22"/>
          <w:lang w:eastAsia="en-AU"/>
        </w:rPr>
        <w:t xml:space="preserve"> radiation.</w:t>
      </w:r>
      <w:r>
        <w:rPr>
          <w:rFonts w:eastAsia="Times New Roman"/>
          <w:sz w:val="22"/>
          <w:szCs w:val="22"/>
          <w:lang w:eastAsia="en-AU"/>
        </w:rPr>
        <w:t xml:space="preserve"> The secondary sunscreens that are excluded goods</w:t>
      </w:r>
      <w:r w:rsidRPr="00E9726E">
        <w:rPr>
          <w:rFonts w:eastAsia="Times New Roman"/>
          <w:sz w:val="22"/>
          <w:szCs w:val="22"/>
          <w:lang w:eastAsia="en-AU"/>
        </w:rPr>
        <w:t xml:space="preserve"> include:</w:t>
      </w:r>
    </w:p>
    <w:p w14:paraId="06A0BA90" w14:textId="77777777" w:rsidR="002F2C38" w:rsidRPr="00E9726E" w:rsidRDefault="002F2C38" w:rsidP="002F2C38">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w:t>
      </w:r>
      <w:r w:rsidRPr="00E9726E">
        <w:rPr>
          <w:rFonts w:eastAsia="Times New Roman"/>
          <w:sz w:val="22"/>
          <w:szCs w:val="22"/>
          <w:lang w:eastAsia="en-AU"/>
        </w:rPr>
        <w:t xml:space="preserve">roducts applied to the lips that contain sunscreen; </w:t>
      </w:r>
    </w:p>
    <w:p w14:paraId="5F21E5DA" w14:textId="77777777" w:rsidR="002F2C38" w:rsidRPr="00E9726E" w:rsidRDefault="002F2C38" w:rsidP="002F2C38">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tinted bases and foundations that contain sunscreen; </w:t>
      </w:r>
    </w:p>
    <w:p w14:paraId="327BB73C" w14:textId="77777777" w:rsidR="002F2C38" w:rsidRPr="00E9726E" w:rsidRDefault="002F2C38" w:rsidP="002F2C38">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moisturisers that contain sunscreen with SPF of up to 15 in a pack size no larger than 300</w:t>
      </w:r>
      <w:r>
        <w:rPr>
          <w:rFonts w:eastAsia="Times New Roman"/>
          <w:sz w:val="22"/>
          <w:szCs w:val="22"/>
          <w:lang w:eastAsia="en-AU"/>
        </w:rPr>
        <w:t xml:space="preserve"> </w:t>
      </w:r>
      <w:r w:rsidRPr="00E9726E">
        <w:rPr>
          <w:rFonts w:eastAsia="Times New Roman"/>
          <w:sz w:val="22"/>
          <w:szCs w:val="22"/>
          <w:lang w:eastAsia="en-AU"/>
        </w:rPr>
        <w:t>mL or 300</w:t>
      </w:r>
      <w:r>
        <w:rPr>
          <w:rFonts w:eastAsia="Times New Roman"/>
          <w:sz w:val="22"/>
          <w:szCs w:val="22"/>
          <w:lang w:eastAsia="en-AU"/>
        </w:rPr>
        <w:t xml:space="preserve"> </w:t>
      </w:r>
      <w:r w:rsidRPr="00E9726E">
        <w:rPr>
          <w:rFonts w:eastAsia="Times New Roman"/>
          <w:sz w:val="22"/>
          <w:szCs w:val="22"/>
          <w:lang w:eastAsia="en-AU"/>
        </w:rPr>
        <w:t>g</w:t>
      </w:r>
      <w:r>
        <w:rPr>
          <w:rFonts w:eastAsia="Times New Roman"/>
          <w:sz w:val="22"/>
          <w:szCs w:val="22"/>
          <w:lang w:eastAsia="en-AU"/>
        </w:rPr>
        <w:t>,</w:t>
      </w:r>
      <w:r w:rsidRPr="00E9726E">
        <w:rPr>
          <w:rFonts w:eastAsia="Times New Roman"/>
          <w:sz w:val="22"/>
          <w:szCs w:val="22"/>
          <w:lang w:eastAsia="en-AU"/>
        </w:rPr>
        <w:t xml:space="preserve"> that do not make any therapeutic claims other than reducing premature ageing from sun exposure; </w:t>
      </w:r>
      <w:r>
        <w:rPr>
          <w:rFonts w:eastAsia="Times New Roman"/>
          <w:sz w:val="22"/>
          <w:szCs w:val="22"/>
          <w:lang w:eastAsia="en-AU"/>
        </w:rPr>
        <w:t>and</w:t>
      </w:r>
    </w:p>
    <w:p w14:paraId="4F3146DF" w14:textId="77777777" w:rsidR="002F2C38" w:rsidRPr="00E9726E" w:rsidRDefault="002F2C38" w:rsidP="002F2C38">
      <w:pPr>
        <w:pStyle w:val="ListParagraph"/>
        <w:widowControl w:val="0"/>
        <w:numPr>
          <w:ilvl w:val="0"/>
          <w:numId w:val="19"/>
        </w:num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sunbathing products (e.g. products for tanning without sun</w:t>
      </w:r>
      <w:r>
        <w:rPr>
          <w:rFonts w:eastAsia="Times New Roman"/>
          <w:sz w:val="22"/>
          <w:szCs w:val="22"/>
          <w:lang w:eastAsia="en-AU"/>
        </w:rPr>
        <w:t>,</w:t>
      </w:r>
      <w:r w:rsidRPr="00E9726E">
        <w:rPr>
          <w:rFonts w:eastAsia="Times New Roman"/>
          <w:sz w:val="22"/>
          <w:szCs w:val="22"/>
          <w:lang w:eastAsia="en-AU"/>
        </w:rPr>
        <w:t xml:space="preserve"> and after-sun skin care products) with an SPF of between 4 and 15 in a pack size no larger than </w:t>
      </w:r>
      <w:proofErr w:type="spellStart"/>
      <w:r w:rsidRPr="00E9726E">
        <w:rPr>
          <w:rFonts w:eastAsia="Times New Roman"/>
          <w:sz w:val="22"/>
          <w:szCs w:val="22"/>
          <w:lang w:eastAsia="en-AU"/>
        </w:rPr>
        <w:t>300mL</w:t>
      </w:r>
      <w:proofErr w:type="spellEnd"/>
      <w:r w:rsidRPr="00E9726E">
        <w:rPr>
          <w:rFonts w:eastAsia="Times New Roman"/>
          <w:sz w:val="22"/>
          <w:szCs w:val="22"/>
          <w:lang w:eastAsia="en-AU"/>
        </w:rPr>
        <w:t xml:space="preserve"> or </w:t>
      </w:r>
      <w:proofErr w:type="spellStart"/>
      <w:r w:rsidRPr="00E9726E">
        <w:rPr>
          <w:rFonts w:eastAsia="Times New Roman"/>
          <w:sz w:val="22"/>
          <w:szCs w:val="22"/>
          <w:lang w:eastAsia="en-AU"/>
        </w:rPr>
        <w:t>300g</w:t>
      </w:r>
      <w:proofErr w:type="spellEnd"/>
      <w:r>
        <w:rPr>
          <w:rFonts w:eastAsia="Times New Roman"/>
          <w:sz w:val="22"/>
          <w:szCs w:val="22"/>
          <w:lang w:eastAsia="en-AU"/>
        </w:rPr>
        <w:t>,</w:t>
      </w:r>
      <w:r w:rsidRPr="00E9726E">
        <w:rPr>
          <w:rFonts w:eastAsia="Times New Roman"/>
          <w:sz w:val="22"/>
          <w:szCs w:val="22"/>
          <w:lang w:eastAsia="en-AU"/>
        </w:rPr>
        <w:t xml:space="preserve"> that do not make any therapeutic claims other than those relating to premature ageing from sun exposure.</w:t>
      </w:r>
    </w:p>
    <w:p w14:paraId="3078BD31" w14:textId="77777777" w:rsidR="002F2C38" w:rsidRPr="004A16BD" w:rsidRDefault="002F2C38" w:rsidP="002F2C38">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These goods are exempt </w:t>
      </w:r>
      <w:r w:rsidRPr="00E9726E">
        <w:rPr>
          <w:rFonts w:eastAsia="Times New Roman"/>
          <w:sz w:val="22"/>
          <w:szCs w:val="22"/>
          <w:lang w:eastAsia="en-AU"/>
        </w:rPr>
        <w:t>provid</w:t>
      </w:r>
      <w:r>
        <w:rPr>
          <w:rFonts w:eastAsia="Times New Roman"/>
          <w:sz w:val="22"/>
          <w:szCs w:val="22"/>
          <w:lang w:eastAsia="en-AU"/>
        </w:rPr>
        <w:t>ed</w:t>
      </w:r>
      <w:r w:rsidRPr="00E9726E">
        <w:rPr>
          <w:rFonts w:eastAsia="Times New Roman"/>
          <w:sz w:val="22"/>
          <w:szCs w:val="22"/>
          <w:lang w:eastAsia="en-AU"/>
        </w:rPr>
        <w:t xml:space="preserve"> they do not contain ingredients in Schedule 2, 3, 4 or 8 </w:t>
      </w:r>
      <w:r>
        <w:rPr>
          <w:rFonts w:eastAsia="Times New Roman"/>
          <w:sz w:val="22"/>
          <w:szCs w:val="22"/>
          <w:lang w:eastAsia="en-AU"/>
        </w:rPr>
        <w:t>to</w:t>
      </w:r>
      <w:r w:rsidRPr="00E9726E">
        <w:rPr>
          <w:rFonts w:eastAsia="Times New Roman"/>
          <w:sz w:val="22"/>
          <w:szCs w:val="22"/>
          <w:lang w:eastAsia="en-AU"/>
        </w:rPr>
        <w:t xml:space="preserve"> the Poisons Standard and </w:t>
      </w:r>
      <w:r>
        <w:rPr>
          <w:rFonts w:eastAsia="Times New Roman"/>
          <w:sz w:val="22"/>
          <w:szCs w:val="22"/>
          <w:lang w:eastAsia="en-AU"/>
        </w:rPr>
        <w:t xml:space="preserve">they </w:t>
      </w:r>
      <w:r w:rsidRPr="00E9726E">
        <w:rPr>
          <w:rFonts w:eastAsia="Times New Roman"/>
          <w:sz w:val="22"/>
          <w:szCs w:val="22"/>
          <w:lang w:eastAsia="en-AU"/>
        </w:rPr>
        <w:t xml:space="preserve">meet </w:t>
      </w:r>
      <w:r>
        <w:rPr>
          <w:rFonts w:eastAsia="Times New Roman"/>
          <w:sz w:val="22"/>
          <w:szCs w:val="22"/>
          <w:lang w:eastAsia="en-AU"/>
        </w:rPr>
        <w:t>relevant</w:t>
      </w:r>
      <w:r w:rsidRPr="00E9726E">
        <w:rPr>
          <w:rFonts w:eastAsia="Times New Roman"/>
          <w:sz w:val="22"/>
          <w:szCs w:val="22"/>
          <w:lang w:eastAsia="en-AU"/>
        </w:rPr>
        <w:t xml:space="preserve"> sunscreen standards</w:t>
      </w:r>
      <w:r>
        <w:rPr>
          <w:rFonts w:eastAsia="Times New Roman"/>
          <w:sz w:val="22"/>
          <w:szCs w:val="22"/>
          <w:lang w:eastAsia="en-AU"/>
        </w:rPr>
        <w:t xml:space="preserve">. </w:t>
      </w:r>
    </w:p>
    <w:p w14:paraId="22FED506" w14:textId="77777777" w:rsidR="002F2C38" w:rsidRPr="00E9726E" w:rsidRDefault="002F2C38" w:rsidP="002F2C38">
      <w:pPr>
        <w:widowControl w:val="0"/>
        <w:autoSpaceDE w:val="0"/>
        <w:autoSpaceDN w:val="0"/>
        <w:adjustRightInd w:val="0"/>
        <w:spacing w:after="0" w:line="240" w:lineRule="auto"/>
        <w:rPr>
          <w:rFonts w:eastAsia="Times New Roman"/>
          <w:sz w:val="22"/>
          <w:szCs w:val="22"/>
          <w:lang w:eastAsia="en-AU"/>
        </w:rPr>
      </w:pPr>
    </w:p>
    <w:p w14:paraId="253F00F4" w14:textId="77777777" w:rsidR="002F2C38" w:rsidRDefault="002F2C38" w:rsidP="002F2C38">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The</w:t>
      </w:r>
      <w:r>
        <w:rPr>
          <w:rFonts w:eastAsia="Times New Roman"/>
          <w:sz w:val="22"/>
          <w:szCs w:val="22"/>
          <w:lang w:eastAsia="en-AU"/>
        </w:rPr>
        <w:t xml:space="preserve"> </w:t>
      </w:r>
      <w:r>
        <w:rPr>
          <w:rFonts w:eastAsia="Times New Roman"/>
          <w:i/>
          <w:iCs/>
          <w:sz w:val="22"/>
          <w:szCs w:val="22"/>
          <w:lang w:eastAsia="en-AU"/>
        </w:rPr>
        <w:t>Therapeutic Goods (Excluded Goods) Amendment (Sunscreen) Determination 2024</w:t>
      </w:r>
      <w:r>
        <w:rPr>
          <w:rFonts w:eastAsia="Times New Roman"/>
          <w:sz w:val="22"/>
          <w:szCs w:val="22"/>
          <w:lang w:eastAsia="en-AU"/>
        </w:rPr>
        <w:t>, which commences on 1 July 2024,</w:t>
      </w:r>
      <w:r>
        <w:rPr>
          <w:rFonts w:eastAsia="Times New Roman"/>
          <w:i/>
          <w:iCs/>
          <w:sz w:val="22"/>
          <w:szCs w:val="22"/>
          <w:lang w:eastAsia="en-AU"/>
        </w:rPr>
        <w:t xml:space="preserve"> </w:t>
      </w:r>
      <w:r>
        <w:rPr>
          <w:rFonts w:eastAsia="Times New Roman"/>
          <w:sz w:val="22"/>
          <w:szCs w:val="22"/>
          <w:lang w:eastAsia="en-AU"/>
        </w:rPr>
        <w:t>amends items 14 and 15 in Schedule 1 to the Principal Determination, and items 5 and 10 in Schedule 2 to the Principal Determination,</w:t>
      </w:r>
      <w:r w:rsidRPr="00E9726E" w:rsidDel="00EE2423">
        <w:rPr>
          <w:rFonts w:eastAsia="Times New Roman"/>
          <w:sz w:val="22"/>
          <w:szCs w:val="22"/>
          <w:lang w:eastAsia="en-AU"/>
        </w:rPr>
        <w:t xml:space="preserve"> </w:t>
      </w:r>
      <w:r w:rsidRPr="00E9726E">
        <w:rPr>
          <w:rFonts w:eastAsia="Times New Roman"/>
          <w:sz w:val="22"/>
          <w:szCs w:val="22"/>
          <w:lang w:eastAsia="en-AU"/>
        </w:rPr>
        <w:t xml:space="preserve">to remove reference to the 1998 </w:t>
      </w:r>
      <w:r w:rsidRPr="00E9726E">
        <w:rPr>
          <w:rFonts w:eastAsia="Times New Roman"/>
          <w:sz w:val="22"/>
          <w:szCs w:val="22"/>
          <w:lang w:eastAsia="en-AU"/>
        </w:rPr>
        <w:lastRenderedPageBreak/>
        <w:t xml:space="preserve">Sunscreen Standard and the 2012 Sunscreen Standard, and to </w:t>
      </w:r>
      <w:r>
        <w:rPr>
          <w:rFonts w:eastAsia="Times New Roman"/>
          <w:sz w:val="22"/>
          <w:szCs w:val="22"/>
          <w:lang w:eastAsia="en-AU"/>
        </w:rPr>
        <w:t>require</w:t>
      </w:r>
      <w:r w:rsidRPr="00E9726E">
        <w:rPr>
          <w:rFonts w:eastAsia="Times New Roman"/>
          <w:sz w:val="22"/>
          <w:szCs w:val="22"/>
          <w:lang w:eastAsia="en-AU"/>
        </w:rPr>
        <w:t xml:space="preserve"> compliance with the 2021 Sunscreen Standard for specified sunscreen preparations that are excluded goods.</w:t>
      </w:r>
    </w:p>
    <w:p w14:paraId="7D1445D6" w14:textId="77777777" w:rsidR="002F2C38" w:rsidRDefault="002F2C38" w:rsidP="002F2C38">
      <w:pPr>
        <w:autoSpaceDE w:val="0"/>
        <w:autoSpaceDN w:val="0"/>
        <w:adjustRightInd w:val="0"/>
        <w:spacing w:after="0" w:line="240" w:lineRule="auto"/>
        <w:rPr>
          <w:rFonts w:eastAsia="Times New Roman"/>
          <w:sz w:val="22"/>
          <w:szCs w:val="22"/>
          <w:lang w:eastAsia="en-AU"/>
        </w:rPr>
      </w:pPr>
    </w:p>
    <w:p w14:paraId="5217F64F" w14:textId="77777777" w:rsidR="0011256D" w:rsidRPr="00B95BEE" w:rsidRDefault="0011256D" w:rsidP="0011256D">
      <w:p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The</w:t>
      </w:r>
      <w:r>
        <w:rPr>
          <w:rFonts w:eastAsia="Times New Roman"/>
          <w:bCs/>
          <w:sz w:val="22"/>
          <w:szCs w:val="22"/>
          <w:lang w:eastAsia="en-AU"/>
        </w:rPr>
        <w:t xml:space="preserve">se amendments also included a </w:t>
      </w:r>
      <w:r w:rsidRPr="00E9726E">
        <w:rPr>
          <w:rFonts w:eastAsia="Times New Roman"/>
          <w:bCs/>
          <w:sz w:val="22"/>
          <w:szCs w:val="22"/>
          <w:lang w:eastAsia="en-AU"/>
        </w:rPr>
        <w:t>5</w:t>
      </w:r>
      <w:r>
        <w:rPr>
          <w:rFonts w:eastAsia="Times New Roman"/>
          <w:bCs/>
          <w:sz w:val="22"/>
          <w:szCs w:val="22"/>
          <w:lang w:eastAsia="en-AU"/>
        </w:rPr>
        <w:t>-</w:t>
      </w:r>
      <w:r w:rsidRPr="00E9726E">
        <w:rPr>
          <w:rFonts w:eastAsia="Times New Roman"/>
          <w:bCs/>
          <w:sz w:val="22"/>
          <w:szCs w:val="22"/>
          <w:lang w:eastAsia="en-AU"/>
        </w:rPr>
        <w:t>year transitional arrangement</w:t>
      </w:r>
      <w:r>
        <w:rPr>
          <w:rFonts w:eastAsia="Times New Roman"/>
          <w:bCs/>
          <w:sz w:val="22"/>
          <w:szCs w:val="22"/>
          <w:lang w:eastAsia="en-AU"/>
        </w:rPr>
        <w:t xml:space="preserve"> for goods that were excluded goods immediately prior to these amendments. These goods can comply with either the 2021 Sunscreen Standard, or the 2012 Sunscreen Standard until 1 July 2029</w:t>
      </w:r>
      <w:r w:rsidRPr="00E9726E">
        <w:rPr>
          <w:rFonts w:eastAsia="Times New Roman"/>
          <w:bCs/>
          <w:sz w:val="22"/>
          <w:szCs w:val="22"/>
          <w:lang w:eastAsia="en-AU"/>
        </w:rPr>
        <w:t xml:space="preserve">. </w:t>
      </w:r>
      <w:r>
        <w:rPr>
          <w:rFonts w:eastAsia="Times New Roman"/>
          <w:bCs/>
          <w:sz w:val="22"/>
          <w:szCs w:val="22"/>
          <w:lang w:eastAsia="en-AU"/>
        </w:rPr>
        <w:t xml:space="preserve">Subsection 7(2) was introduced by the </w:t>
      </w:r>
      <w:r>
        <w:rPr>
          <w:rFonts w:eastAsia="Times New Roman"/>
          <w:i/>
          <w:iCs/>
          <w:sz w:val="22"/>
          <w:szCs w:val="22"/>
          <w:lang w:eastAsia="en-AU"/>
        </w:rPr>
        <w:t>Therapeutic Goods (Excluded Goods) Amendment (Sunscreen) Determination 2024</w:t>
      </w:r>
      <w:r>
        <w:rPr>
          <w:rFonts w:eastAsia="Times New Roman"/>
          <w:sz w:val="22"/>
          <w:szCs w:val="22"/>
          <w:lang w:eastAsia="en-AU"/>
        </w:rPr>
        <w:t xml:space="preserve">, and provides that secondary sunscreen products that </w:t>
      </w:r>
      <w:r>
        <w:rPr>
          <w:rFonts w:eastAsia="Times New Roman"/>
          <w:bCs/>
          <w:sz w:val="22"/>
          <w:szCs w:val="22"/>
          <w:lang w:eastAsia="en-AU"/>
        </w:rPr>
        <w:t xml:space="preserve">were excluded goods prior to these amendments and meet the requirements of the 2012 Sunscreen Standard </w:t>
      </w:r>
      <w:r w:rsidRPr="00E9726E">
        <w:rPr>
          <w:rFonts w:eastAsia="Times New Roman"/>
          <w:bCs/>
          <w:sz w:val="22"/>
          <w:szCs w:val="22"/>
          <w:lang w:eastAsia="en-AU"/>
        </w:rPr>
        <w:t>continue to be excluded goods until 1</w:t>
      </w:r>
      <w:r>
        <w:rPr>
          <w:rFonts w:eastAsia="Times New Roman"/>
          <w:bCs/>
          <w:sz w:val="22"/>
          <w:szCs w:val="22"/>
          <w:lang w:eastAsia="en-AU"/>
        </w:rPr>
        <w:t> </w:t>
      </w:r>
      <w:r w:rsidRPr="00E9726E">
        <w:rPr>
          <w:rFonts w:eastAsia="Times New Roman"/>
          <w:bCs/>
          <w:sz w:val="22"/>
          <w:szCs w:val="22"/>
          <w:lang w:eastAsia="en-AU"/>
        </w:rPr>
        <w:t>July</w:t>
      </w:r>
      <w:r>
        <w:rPr>
          <w:rFonts w:eastAsia="Times New Roman"/>
          <w:bCs/>
          <w:sz w:val="22"/>
          <w:szCs w:val="22"/>
          <w:lang w:eastAsia="en-AU"/>
        </w:rPr>
        <w:t> </w:t>
      </w:r>
      <w:r w:rsidRPr="00E9726E">
        <w:rPr>
          <w:rFonts w:eastAsia="Times New Roman"/>
          <w:bCs/>
          <w:sz w:val="22"/>
          <w:szCs w:val="22"/>
          <w:lang w:eastAsia="en-AU"/>
        </w:rPr>
        <w:t>2029</w:t>
      </w:r>
      <w:r>
        <w:rPr>
          <w:rFonts w:eastAsia="Times New Roman"/>
          <w:bCs/>
          <w:sz w:val="22"/>
          <w:szCs w:val="22"/>
          <w:lang w:eastAsia="en-AU"/>
        </w:rPr>
        <w:t>.</w:t>
      </w:r>
    </w:p>
    <w:p w14:paraId="51BDB1FD" w14:textId="77777777" w:rsidR="002F2C38" w:rsidRPr="00E9726E" w:rsidRDefault="002F2C38" w:rsidP="002F2C38">
      <w:pPr>
        <w:autoSpaceDE w:val="0"/>
        <w:autoSpaceDN w:val="0"/>
        <w:adjustRightInd w:val="0"/>
        <w:spacing w:after="0" w:line="240" w:lineRule="auto"/>
        <w:rPr>
          <w:rFonts w:eastAsia="Times New Roman"/>
          <w:bCs/>
          <w:sz w:val="22"/>
          <w:szCs w:val="22"/>
          <w:lang w:eastAsia="en-AU"/>
        </w:rPr>
      </w:pPr>
    </w:p>
    <w:p w14:paraId="756214B8" w14:textId="77777777" w:rsidR="002F2C38" w:rsidRPr="002F2C38" w:rsidRDefault="002F2C38" w:rsidP="002F2C38">
      <w:pPr>
        <w:keepNext/>
        <w:autoSpaceDE w:val="0"/>
        <w:autoSpaceDN w:val="0"/>
        <w:adjustRightInd w:val="0"/>
        <w:spacing w:after="0" w:line="240" w:lineRule="auto"/>
        <w:rPr>
          <w:rFonts w:eastAsia="Times New Roman"/>
          <w:b/>
          <w:i/>
          <w:iCs/>
          <w:sz w:val="22"/>
          <w:szCs w:val="22"/>
          <w:lang w:eastAsia="en-AU"/>
        </w:rPr>
      </w:pPr>
      <w:r w:rsidRPr="002F2C38">
        <w:rPr>
          <w:rFonts w:eastAsia="Times New Roman"/>
          <w:b/>
          <w:i/>
          <w:iCs/>
          <w:sz w:val="22"/>
          <w:szCs w:val="22"/>
          <w:lang w:eastAsia="en-AU"/>
        </w:rPr>
        <w:t>Purpose</w:t>
      </w:r>
    </w:p>
    <w:p w14:paraId="4EC1C091" w14:textId="77777777" w:rsidR="002F2C38" w:rsidRPr="00E9726E" w:rsidRDefault="002F2C38" w:rsidP="002F2C38">
      <w:pPr>
        <w:keepNext/>
        <w:autoSpaceDE w:val="0"/>
        <w:autoSpaceDN w:val="0"/>
        <w:adjustRightInd w:val="0"/>
        <w:spacing w:after="0" w:line="240" w:lineRule="auto"/>
        <w:rPr>
          <w:rFonts w:eastAsia="Times New Roman"/>
          <w:sz w:val="22"/>
          <w:szCs w:val="22"/>
          <w:lang w:eastAsia="en-AU"/>
        </w:rPr>
      </w:pPr>
    </w:p>
    <w:p w14:paraId="7A055FE7" w14:textId="77777777" w:rsidR="002F2C38" w:rsidRDefault="002F2C38" w:rsidP="002F2C38">
      <w:pPr>
        <w:autoSpaceDE w:val="0"/>
        <w:autoSpaceDN w:val="0"/>
        <w:adjustRightInd w:val="0"/>
        <w:spacing w:after="0" w:line="240" w:lineRule="auto"/>
        <w:rPr>
          <w:rFonts w:eastAsia="Times New Roman"/>
          <w:sz w:val="22"/>
          <w:szCs w:val="22"/>
          <w:lang w:eastAsia="en-AU"/>
        </w:rPr>
      </w:pPr>
      <w:r>
        <w:rPr>
          <w:rFonts w:eastAsia="Times New Roman"/>
          <w:bCs/>
          <w:sz w:val="22"/>
          <w:szCs w:val="22"/>
          <w:lang w:eastAsia="en-AU"/>
        </w:rPr>
        <w:t xml:space="preserve">Subsection 7(2), as introduced by the </w:t>
      </w:r>
      <w:r>
        <w:rPr>
          <w:rFonts w:eastAsia="Times New Roman"/>
          <w:i/>
          <w:iCs/>
          <w:sz w:val="22"/>
          <w:szCs w:val="22"/>
          <w:lang w:eastAsia="en-AU"/>
        </w:rPr>
        <w:t xml:space="preserve">Therapeutic Goods (Excluded Goods) Amendment (Sunscreen) Determination </w:t>
      </w:r>
      <w:r w:rsidRPr="00667781">
        <w:rPr>
          <w:rFonts w:eastAsia="Times New Roman"/>
          <w:i/>
          <w:iCs/>
          <w:sz w:val="22"/>
          <w:szCs w:val="22"/>
          <w:lang w:eastAsia="en-AU"/>
        </w:rPr>
        <w:t>2024</w:t>
      </w:r>
      <w:r>
        <w:rPr>
          <w:rFonts w:eastAsia="Times New Roman"/>
          <w:sz w:val="22"/>
          <w:szCs w:val="22"/>
          <w:lang w:eastAsia="en-AU"/>
        </w:rPr>
        <w:t xml:space="preserve">, contains an incorrect reference to item 9 of the table in Schedule 2 to the Principal Determination. This provision should instead refer to item 10 of the table in Schedule 2 to the Principal Determination as the </w:t>
      </w:r>
      <w:r>
        <w:rPr>
          <w:rFonts w:eastAsia="Times New Roman"/>
          <w:i/>
          <w:iCs/>
          <w:sz w:val="22"/>
          <w:szCs w:val="22"/>
          <w:lang w:eastAsia="en-AU"/>
        </w:rPr>
        <w:t xml:space="preserve">Therapeutic Goods (Excluded Goods) Amendment (Sunscreen) Determination </w:t>
      </w:r>
      <w:r w:rsidRPr="00667781">
        <w:rPr>
          <w:rFonts w:eastAsia="Times New Roman"/>
          <w:i/>
          <w:iCs/>
          <w:sz w:val="22"/>
          <w:szCs w:val="22"/>
          <w:lang w:eastAsia="en-AU"/>
        </w:rPr>
        <w:t>2024</w:t>
      </w:r>
      <w:r>
        <w:rPr>
          <w:rFonts w:eastAsia="Times New Roman"/>
          <w:sz w:val="22"/>
          <w:szCs w:val="22"/>
          <w:lang w:eastAsia="en-AU"/>
        </w:rPr>
        <w:t xml:space="preserve"> replaces item 10 of Schedule 2, not item 9.</w:t>
      </w:r>
    </w:p>
    <w:p w14:paraId="3B3D09F8" w14:textId="77777777" w:rsidR="002F2C38" w:rsidRDefault="002F2C38" w:rsidP="002F2C38">
      <w:pPr>
        <w:autoSpaceDE w:val="0"/>
        <w:autoSpaceDN w:val="0"/>
        <w:adjustRightInd w:val="0"/>
        <w:spacing w:after="0" w:line="240" w:lineRule="auto"/>
        <w:rPr>
          <w:rFonts w:eastAsia="Times New Roman"/>
          <w:sz w:val="22"/>
          <w:szCs w:val="22"/>
          <w:lang w:eastAsia="en-AU"/>
        </w:rPr>
      </w:pPr>
    </w:p>
    <w:p w14:paraId="2FB43C0C" w14:textId="77777777" w:rsidR="002F2C38" w:rsidRDefault="002F2C38" w:rsidP="002F2C38">
      <w:pPr>
        <w:autoSpaceDE w:val="0"/>
        <w:autoSpaceDN w:val="0"/>
        <w:adjustRightInd w:val="0"/>
        <w:spacing w:after="0" w:line="240" w:lineRule="auto"/>
        <w:rPr>
          <w:rFonts w:eastAsia="Times New Roman"/>
          <w:sz w:val="22"/>
          <w:szCs w:val="22"/>
          <w:lang w:eastAsia="en-AU"/>
        </w:rPr>
      </w:pPr>
      <w:r w:rsidRPr="00667781">
        <w:rPr>
          <w:rFonts w:eastAsia="Times New Roman"/>
          <w:sz w:val="22"/>
          <w:szCs w:val="22"/>
          <w:lang w:eastAsia="en-AU"/>
        </w:rPr>
        <w:t>The</w:t>
      </w:r>
      <w:r w:rsidRPr="00E9726E">
        <w:rPr>
          <w:rFonts w:eastAsia="Times New Roman"/>
          <w:sz w:val="22"/>
          <w:szCs w:val="22"/>
          <w:lang w:eastAsia="en-AU"/>
        </w:rPr>
        <w:t xml:space="preserve"> Amendment Determination amends </w:t>
      </w:r>
      <w:r>
        <w:rPr>
          <w:rFonts w:eastAsia="Times New Roman"/>
          <w:sz w:val="22"/>
          <w:szCs w:val="22"/>
          <w:lang w:eastAsia="en-AU"/>
        </w:rPr>
        <w:t>subsection 7(2) of the Principal Determination to correct this error and replace the reference to item 9 with a reference to item 10 of the table in Schedule 2 to the Principal Determination.</w:t>
      </w:r>
    </w:p>
    <w:p w14:paraId="307060BE" w14:textId="77777777" w:rsidR="002F2C38" w:rsidRDefault="002F2C38" w:rsidP="002F2C38">
      <w:pPr>
        <w:autoSpaceDE w:val="0"/>
        <w:autoSpaceDN w:val="0"/>
        <w:adjustRightInd w:val="0"/>
        <w:spacing w:after="0" w:line="240" w:lineRule="auto"/>
        <w:rPr>
          <w:rFonts w:eastAsia="Times New Roman"/>
          <w:sz w:val="22"/>
          <w:szCs w:val="22"/>
          <w:lang w:eastAsia="en-AU"/>
        </w:rPr>
      </w:pPr>
    </w:p>
    <w:p w14:paraId="623C1E55" w14:textId="77777777" w:rsidR="002F2C38" w:rsidRPr="00E9726E" w:rsidRDefault="002F2C38" w:rsidP="002F2C38">
      <w:pPr>
        <w:autoSpaceDE w:val="0"/>
        <w:autoSpaceDN w:val="0"/>
        <w:adjustRightInd w:val="0"/>
        <w:spacing w:after="0" w:line="240" w:lineRule="auto"/>
        <w:rPr>
          <w:rFonts w:eastAsia="Times New Roman"/>
          <w:bCs/>
          <w:sz w:val="22"/>
          <w:szCs w:val="22"/>
          <w:lang w:eastAsia="en-AU"/>
        </w:rPr>
      </w:pPr>
      <w:r>
        <w:rPr>
          <w:rFonts w:eastAsia="Times New Roman"/>
          <w:sz w:val="22"/>
          <w:szCs w:val="22"/>
          <w:lang w:eastAsia="en-AU"/>
        </w:rPr>
        <w:t xml:space="preserve">The Amendment Determination commences immediately after the commencement of the </w:t>
      </w:r>
      <w:r>
        <w:rPr>
          <w:rFonts w:eastAsia="Times New Roman"/>
          <w:i/>
          <w:iCs/>
          <w:sz w:val="22"/>
          <w:szCs w:val="22"/>
          <w:lang w:eastAsia="en-AU"/>
        </w:rPr>
        <w:t xml:space="preserve">Therapeutic Goods (Excluded Goods) Amendment (Sunscreen) Determination </w:t>
      </w:r>
      <w:r w:rsidRPr="00B95BEE">
        <w:rPr>
          <w:rFonts w:eastAsia="Times New Roman"/>
          <w:i/>
          <w:iCs/>
          <w:sz w:val="22"/>
          <w:szCs w:val="22"/>
          <w:lang w:eastAsia="en-AU"/>
        </w:rPr>
        <w:t>2024</w:t>
      </w:r>
      <w:r>
        <w:rPr>
          <w:rFonts w:eastAsia="Times New Roman"/>
          <w:sz w:val="22"/>
          <w:szCs w:val="22"/>
          <w:lang w:eastAsia="en-AU"/>
        </w:rPr>
        <w:t xml:space="preserve"> to affect an immediate correction to subsection 7(2).</w:t>
      </w:r>
    </w:p>
    <w:p w14:paraId="094CBFD4" w14:textId="77777777" w:rsidR="00CF4D5D" w:rsidRPr="00E9726E" w:rsidRDefault="00CF4D5D" w:rsidP="000B31F9">
      <w:pPr>
        <w:spacing w:after="0" w:line="240" w:lineRule="auto"/>
        <w:rPr>
          <w:rFonts w:eastAsia="Times New Roman"/>
          <w:bCs/>
          <w:sz w:val="22"/>
          <w:szCs w:val="22"/>
          <w:lang w:eastAsia="en-AU"/>
        </w:rPr>
      </w:pPr>
    </w:p>
    <w:p w14:paraId="788FD88D" w14:textId="77777777" w:rsidR="00E744B0" w:rsidRPr="00E9726E" w:rsidRDefault="00E744B0" w:rsidP="0072456A">
      <w:pPr>
        <w:keepNext/>
        <w:spacing w:after="0" w:line="240" w:lineRule="auto"/>
        <w:rPr>
          <w:rFonts w:eastAsia="Times New Roman"/>
          <w:b/>
          <w:sz w:val="22"/>
          <w:szCs w:val="22"/>
          <w:lang w:eastAsia="en-AU"/>
        </w:rPr>
      </w:pPr>
      <w:r w:rsidRPr="00E9726E">
        <w:rPr>
          <w:rFonts w:eastAsia="Times New Roman"/>
          <w:b/>
          <w:sz w:val="22"/>
          <w:szCs w:val="22"/>
          <w:lang w:eastAsia="en-AU"/>
        </w:rPr>
        <w:t>Human rights implications</w:t>
      </w:r>
    </w:p>
    <w:p w14:paraId="4173A14B" w14:textId="77777777" w:rsidR="00E744B0" w:rsidRPr="00E9726E" w:rsidRDefault="00E744B0" w:rsidP="0072456A">
      <w:pPr>
        <w:keepNext/>
        <w:spacing w:after="0" w:line="240" w:lineRule="auto"/>
        <w:rPr>
          <w:rFonts w:eastAsia="Times New Roman"/>
          <w:sz w:val="22"/>
          <w:szCs w:val="22"/>
          <w:lang w:eastAsia="en-AU"/>
        </w:rPr>
      </w:pPr>
    </w:p>
    <w:p w14:paraId="56F18AAF" w14:textId="46150848" w:rsidR="00E744B0" w:rsidRDefault="004A5FC0" w:rsidP="004A5FC0">
      <w:pPr>
        <w:spacing w:after="0" w:line="240" w:lineRule="auto"/>
        <w:rPr>
          <w:rFonts w:eastAsia="Times New Roman"/>
          <w:sz w:val="22"/>
          <w:szCs w:val="22"/>
          <w:lang w:eastAsia="en-AU"/>
        </w:rPr>
      </w:pPr>
      <w:r>
        <w:rPr>
          <w:rFonts w:eastAsia="Times New Roman"/>
          <w:sz w:val="22"/>
          <w:szCs w:val="22"/>
          <w:lang w:eastAsia="en-AU"/>
        </w:rPr>
        <w:t>As the Amendment Determination simply corrects an erroneous reference in subsection 7(2) of the Principal Determination, the</w:t>
      </w:r>
      <w:r w:rsidR="00E744B0" w:rsidRPr="00E9726E">
        <w:rPr>
          <w:rFonts w:eastAsia="Times New Roman"/>
          <w:sz w:val="22"/>
          <w:szCs w:val="22"/>
          <w:lang w:eastAsia="en-AU"/>
        </w:rPr>
        <w:t xml:space="preserve"> </w:t>
      </w:r>
      <w:r w:rsidR="002D0A2B" w:rsidRPr="00E9726E">
        <w:rPr>
          <w:rFonts w:eastAsia="Times New Roman"/>
          <w:sz w:val="22"/>
          <w:szCs w:val="22"/>
          <w:lang w:eastAsia="en-AU"/>
        </w:rPr>
        <w:t xml:space="preserve">Amendment </w:t>
      </w:r>
      <w:r w:rsidR="00BA2EE9" w:rsidRPr="00E9726E">
        <w:rPr>
          <w:rFonts w:eastAsia="Times New Roman"/>
          <w:sz w:val="22"/>
          <w:szCs w:val="22"/>
          <w:lang w:eastAsia="en-AU"/>
        </w:rPr>
        <w:t>Determination</w:t>
      </w:r>
      <w:r w:rsidR="00E744B0" w:rsidRPr="00E9726E">
        <w:rPr>
          <w:rFonts w:eastAsia="Times New Roman"/>
          <w:sz w:val="22"/>
          <w:szCs w:val="22"/>
          <w:lang w:eastAsia="en-AU"/>
        </w:rPr>
        <w:t xml:space="preserve"> </w:t>
      </w:r>
      <w:r w:rsidR="00B95BEE">
        <w:rPr>
          <w:rFonts w:eastAsia="Times New Roman"/>
          <w:sz w:val="22"/>
          <w:szCs w:val="22"/>
          <w:lang w:eastAsia="en-AU"/>
        </w:rPr>
        <w:t xml:space="preserve">does not engage any </w:t>
      </w:r>
      <w:r>
        <w:rPr>
          <w:rFonts w:eastAsia="Times New Roman"/>
          <w:sz w:val="22"/>
          <w:szCs w:val="22"/>
          <w:lang w:eastAsia="en-AU"/>
        </w:rPr>
        <w:t xml:space="preserve">applicable rights or freedoms. </w:t>
      </w:r>
    </w:p>
    <w:p w14:paraId="797AD1E9" w14:textId="77777777" w:rsidR="004A5FC0" w:rsidRPr="00E9726E" w:rsidRDefault="004A5FC0" w:rsidP="004A5FC0">
      <w:pPr>
        <w:spacing w:after="0" w:line="240" w:lineRule="auto"/>
        <w:rPr>
          <w:rFonts w:eastAsia="Times New Roman"/>
          <w:bCs/>
          <w:sz w:val="22"/>
          <w:szCs w:val="22"/>
          <w:lang w:eastAsia="en-AU"/>
        </w:rPr>
      </w:pPr>
    </w:p>
    <w:p w14:paraId="65A01B90" w14:textId="07154B2C" w:rsidR="001E51F5" w:rsidRPr="00E9726E" w:rsidRDefault="001E51F5" w:rsidP="000B31F9">
      <w:pPr>
        <w:keepNext/>
        <w:spacing w:after="0" w:line="240" w:lineRule="auto"/>
        <w:rPr>
          <w:rFonts w:eastAsia="Times New Roman"/>
          <w:b/>
          <w:sz w:val="22"/>
          <w:szCs w:val="22"/>
          <w:lang w:eastAsia="en-AU"/>
        </w:rPr>
      </w:pPr>
      <w:r w:rsidRPr="00E9726E">
        <w:rPr>
          <w:rFonts w:eastAsia="Times New Roman"/>
          <w:b/>
          <w:sz w:val="22"/>
          <w:szCs w:val="22"/>
          <w:lang w:eastAsia="en-AU"/>
        </w:rPr>
        <w:t>Conclusion</w:t>
      </w:r>
    </w:p>
    <w:p w14:paraId="53909F32" w14:textId="77777777" w:rsidR="00E744B0" w:rsidRPr="00E9726E" w:rsidRDefault="00E744B0" w:rsidP="000B31F9">
      <w:pPr>
        <w:keepNext/>
        <w:spacing w:after="0" w:line="240" w:lineRule="auto"/>
        <w:rPr>
          <w:rFonts w:eastAsia="Times New Roman"/>
          <w:sz w:val="22"/>
          <w:szCs w:val="22"/>
          <w:lang w:eastAsia="en-AU"/>
        </w:rPr>
      </w:pPr>
    </w:p>
    <w:p w14:paraId="488DF4C4" w14:textId="65E24E66" w:rsidR="00EC29B8" w:rsidRPr="00E9726E" w:rsidRDefault="001E51F5" w:rsidP="000B31F9">
      <w:pPr>
        <w:keepNext/>
        <w:spacing w:after="0" w:line="240" w:lineRule="auto"/>
        <w:rPr>
          <w:rFonts w:eastAsia="Times New Roman"/>
          <w:b/>
          <w:bCs/>
          <w:sz w:val="22"/>
          <w:szCs w:val="22"/>
          <w:lang w:eastAsia="en-AU"/>
        </w:rPr>
      </w:pPr>
      <w:r w:rsidRPr="00E9726E">
        <w:rPr>
          <w:rFonts w:eastAsia="Times New Roman"/>
          <w:sz w:val="22"/>
          <w:szCs w:val="22"/>
          <w:lang w:eastAsia="en-AU"/>
        </w:rPr>
        <w:t>Th</w:t>
      </w:r>
      <w:r w:rsidR="00280B08" w:rsidRPr="00E9726E">
        <w:rPr>
          <w:rFonts w:eastAsia="Times New Roman"/>
          <w:sz w:val="22"/>
          <w:szCs w:val="22"/>
          <w:lang w:eastAsia="en-AU"/>
        </w:rPr>
        <w:t>e</w:t>
      </w:r>
      <w:r w:rsidRPr="00E9726E">
        <w:rPr>
          <w:rFonts w:eastAsia="Times New Roman"/>
          <w:sz w:val="22"/>
          <w:szCs w:val="22"/>
          <w:lang w:eastAsia="en-AU"/>
        </w:rPr>
        <w:t xml:space="preserve"> </w:t>
      </w:r>
      <w:r w:rsidR="00E744B0" w:rsidRPr="00E9726E">
        <w:rPr>
          <w:rFonts w:eastAsia="Times New Roman"/>
          <w:sz w:val="22"/>
          <w:szCs w:val="22"/>
          <w:lang w:eastAsia="en-AU"/>
        </w:rPr>
        <w:t xml:space="preserve">Amendment </w:t>
      </w:r>
      <w:r w:rsidR="00BA2EE9" w:rsidRPr="00E9726E">
        <w:rPr>
          <w:rFonts w:eastAsia="Times New Roman"/>
          <w:sz w:val="22"/>
          <w:szCs w:val="22"/>
          <w:lang w:eastAsia="en-AU"/>
        </w:rPr>
        <w:t xml:space="preserve">Determination </w:t>
      </w:r>
      <w:r w:rsidRPr="00E9726E">
        <w:rPr>
          <w:rFonts w:eastAsia="Times New Roman"/>
          <w:sz w:val="22"/>
          <w:szCs w:val="22"/>
          <w:lang w:eastAsia="en-AU"/>
        </w:rPr>
        <w:t xml:space="preserve">is compatible with human rights because it </w:t>
      </w:r>
      <w:r w:rsidR="004A5FC0">
        <w:rPr>
          <w:rFonts w:eastAsia="Times New Roman"/>
          <w:sz w:val="22"/>
          <w:szCs w:val="22"/>
          <w:lang w:eastAsia="en-AU"/>
        </w:rPr>
        <w:t>does not raise any human rights issues.</w:t>
      </w:r>
    </w:p>
    <w:sectPr w:rsidR="00EC29B8" w:rsidRPr="00E9726E"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A112" w14:textId="77777777" w:rsidR="00D60D48" w:rsidRDefault="00D60D48">
      <w:pPr>
        <w:spacing w:after="0" w:line="240" w:lineRule="auto"/>
      </w:pPr>
      <w:r>
        <w:separator/>
      </w:r>
    </w:p>
  </w:endnote>
  <w:endnote w:type="continuationSeparator" w:id="0">
    <w:p w14:paraId="2BB53653" w14:textId="77777777" w:rsidR="00D60D48" w:rsidRDefault="00D6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B5C0" w14:textId="77777777" w:rsidR="00D60D48" w:rsidRDefault="00D60D48">
      <w:pPr>
        <w:spacing w:after="0" w:line="240" w:lineRule="auto"/>
      </w:pPr>
      <w:r>
        <w:separator/>
      </w:r>
    </w:p>
  </w:footnote>
  <w:footnote w:type="continuationSeparator" w:id="0">
    <w:p w14:paraId="57F0B605" w14:textId="77777777" w:rsidR="00D60D48" w:rsidRDefault="00D6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6008F"/>
    <w:multiLevelType w:val="hybridMultilevel"/>
    <w:tmpl w:val="1CBA6BF0"/>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056E8"/>
    <w:multiLevelType w:val="hybridMultilevel"/>
    <w:tmpl w:val="ABA8D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E100C"/>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D7DA7"/>
    <w:multiLevelType w:val="hybridMultilevel"/>
    <w:tmpl w:val="10C24886"/>
    <w:lvl w:ilvl="0" w:tplc="996C35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A4AA1"/>
    <w:multiLevelType w:val="hybridMultilevel"/>
    <w:tmpl w:val="6DB40AD6"/>
    <w:lvl w:ilvl="0" w:tplc="F95CF9BC">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63BC3"/>
    <w:multiLevelType w:val="hybridMultilevel"/>
    <w:tmpl w:val="AFFC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90700"/>
    <w:multiLevelType w:val="hybridMultilevel"/>
    <w:tmpl w:val="72466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054EC"/>
    <w:multiLevelType w:val="hybridMultilevel"/>
    <w:tmpl w:val="2C92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EF0DF2"/>
    <w:multiLevelType w:val="hybridMultilevel"/>
    <w:tmpl w:val="40A8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B74D0F"/>
    <w:multiLevelType w:val="hybridMultilevel"/>
    <w:tmpl w:val="01D8F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20"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2420AB"/>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1287243">
    <w:abstractNumId w:val="20"/>
  </w:num>
  <w:num w:numId="2" w16cid:durableId="1384329846">
    <w:abstractNumId w:val="7"/>
  </w:num>
  <w:num w:numId="3" w16cid:durableId="1370913671">
    <w:abstractNumId w:val="18"/>
  </w:num>
  <w:num w:numId="4" w16cid:durableId="1182477246">
    <w:abstractNumId w:val="17"/>
  </w:num>
  <w:num w:numId="5" w16cid:durableId="1298997752">
    <w:abstractNumId w:val="22"/>
  </w:num>
  <w:num w:numId="6" w16cid:durableId="788936879">
    <w:abstractNumId w:val="23"/>
  </w:num>
  <w:num w:numId="7" w16cid:durableId="1595820935">
    <w:abstractNumId w:val="8"/>
  </w:num>
  <w:num w:numId="8" w16cid:durableId="1832598272">
    <w:abstractNumId w:val="6"/>
  </w:num>
  <w:num w:numId="9" w16cid:durableId="867790743">
    <w:abstractNumId w:val="19"/>
  </w:num>
  <w:num w:numId="10" w16cid:durableId="1463571993">
    <w:abstractNumId w:val="10"/>
  </w:num>
  <w:num w:numId="11" w16cid:durableId="1847939877">
    <w:abstractNumId w:val="0"/>
  </w:num>
  <w:num w:numId="12" w16cid:durableId="2138065251">
    <w:abstractNumId w:val="4"/>
  </w:num>
  <w:num w:numId="13" w16cid:durableId="1705515838">
    <w:abstractNumId w:val="13"/>
  </w:num>
  <w:num w:numId="14" w16cid:durableId="1979988770">
    <w:abstractNumId w:val="12"/>
  </w:num>
  <w:num w:numId="15" w16cid:durableId="1893157128">
    <w:abstractNumId w:val="2"/>
  </w:num>
  <w:num w:numId="16" w16cid:durableId="1845899309">
    <w:abstractNumId w:val="9"/>
  </w:num>
  <w:num w:numId="17" w16cid:durableId="626929508">
    <w:abstractNumId w:val="16"/>
  </w:num>
  <w:num w:numId="18" w16cid:durableId="231543370">
    <w:abstractNumId w:val="11"/>
  </w:num>
  <w:num w:numId="19" w16cid:durableId="553933768">
    <w:abstractNumId w:val="5"/>
  </w:num>
  <w:num w:numId="20" w16cid:durableId="300773799">
    <w:abstractNumId w:val="14"/>
  </w:num>
  <w:num w:numId="21" w16cid:durableId="1524901943">
    <w:abstractNumId w:val="1"/>
  </w:num>
  <w:num w:numId="22" w16cid:durableId="1904756862">
    <w:abstractNumId w:val="21"/>
  </w:num>
  <w:num w:numId="23" w16cid:durableId="1402481344">
    <w:abstractNumId w:val="3"/>
  </w:num>
  <w:num w:numId="24" w16cid:durableId="1714765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411"/>
    <w:rsid w:val="0000423B"/>
    <w:rsid w:val="000063F9"/>
    <w:rsid w:val="00011664"/>
    <w:rsid w:val="00020BB0"/>
    <w:rsid w:val="00020DD6"/>
    <w:rsid w:val="00020EB1"/>
    <w:rsid w:val="0002431C"/>
    <w:rsid w:val="000257D0"/>
    <w:rsid w:val="00027463"/>
    <w:rsid w:val="00032E35"/>
    <w:rsid w:val="0003431C"/>
    <w:rsid w:val="00050390"/>
    <w:rsid w:val="00050B02"/>
    <w:rsid w:val="00056D63"/>
    <w:rsid w:val="0005743D"/>
    <w:rsid w:val="000622CE"/>
    <w:rsid w:val="000722DC"/>
    <w:rsid w:val="00080EC3"/>
    <w:rsid w:val="00085A4F"/>
    <w:rsid w:val="0009127A"/>
    <w:rsid w:val="000931F3"/>
    <w:rsid w:val="00093426"/>
    <w:rsid w:val="000A2B56"/>
    <w:rsid w:val="000A6D16"/>
    <w:rsid w:val="000B31F9"/>
    <w:rsid w:val="000C7237"/>
    <w:rsid w:val="000C7A6F"/>
    <w:rsid w:val="000D53DB"/>
    <w:rsid w:val="000E2F6C"/>
    <w:rsid w:val="000F0D2A"/>
    <w:rsid w:val="000F17F7"/>
    <w:rsid w:val="000F3FB2"/>
    <w:rsid w:val="000F4182"/>
    <w:rsid w:val="000F7B6D"/>
    <w:rsid w:val="000F7D58"/>
    <w:rsid w:val="00102733"/>
    <w:rsid w:val="00112086"/>
    <w:rsid w:val="0011256D"/>
    <w:rsid w:val="00114AC9"/>
    <w:rsid w:val="0011565A"/>
    <w:rsid w:val="00120D81"/>
    <w:rsid w:val="001314F9"/>
    <w:rsid w:val="0013189C"/>
    <w:rsid w:val="00133D92"/>
    <w:rsid w:val="00144306"/>
    <w:rsid w:val="001530BF"/>
    <w:rsid w:val="0015368D"/>
    <w:rsid w:val="00165932"/>
    <w:rsid w:val="00165C2C"/>
    <w:rsid w:val="00175F98"/>
    <w:rsid w:val="0019320B"/>
    <w:rsid w:val="0019728B"/>
    <w:rsid w:val="001A4FC4"/>
    <w:rsid w:val="001A7EA5"/>
    <w:rsid w:val="001C24DC"/>
    <w:rsid w:val="001C5975"/>
    <w:rsid w:val="001D54EB"/>
    <w:rsid w:val="001D7D3D"/>
    <w:rsid w:val="001E130F"/>
    <w:rsid w:val="001E4877"/>
    <w:rsid w:val="001E51F5"/>
    <w:rsid w:val="001E6A2B"/>
    <w:rsid w:val="002032B3"/>
    <w:rsid w:val="0020413F"/>
    <w:rsid w:val="0020619D"/>
    <w:rsid w:val="002071D2"/>
    <w:rsid w:val="0021726B"/>
    <w:rsid w:val="002254D0"/>
    <w:rsid w:val="00225970"/>
    <w:rsid w:val="00230649"/>
    <w:rsid w:val="00232242"/>
    <w:rsid w:val="0023634F"/>
    <w:rsid w:val="00240B55"/>
    <w:rsid w:val="00241CAB"/>
    <w:rsid w:val="00242B74"/>
    <w:rsid w:val="00243199"/>
    <w:rsid w:val="00243641"/>
    <w:rsid w:val="002442FB"/>
    <w:rsid w:val="00246EDA"/>
    <w:rsid w:val="0024775A"/>
    <w:rsid w:val="0025561F"/>
    <w:rsid w:val="00256D94"/>
    <w:rsid w:val="002646DB"/>
    <w:rsid w:val="002715D3"/>
    <w:rsid w:val="00272FBA"/>
    <w:rsid w:val="00274E3F"/>
    <w:rsid w:val="00276A32"/>
    <w:rsid w:val="00280050"/>
    <w:rsid w:val="00280B08"/>
    <w:rsid w:val="00284B64"/>
    <w:rsid w:val="002A255E"/>
    <w:rsid w:val="002B1D91"/>
    <w:rsid w:val="002B3442"/>
    <w:rsid w:val="002B650B"/>
    <w:rsid w:val="002B66B7"/>
    <w:rsid w:val="002C1ED5"/>
    <w:rsid w:val="002D0A2B"/>
    <w:rsid w:val="002D0B48"/>
    <w:rsid w:val="002D71E2"/>
    <w:rsid w:val="002D777A"/>
    <w:rsid w:val="002E08F4"/>
    <w:rsid w:val="002E1F0C"/>
    <w:rsid w:val="002E31BF"/>
    <w:rsid w:val="002E71B1"/>
    <w:rsid w:val="002F2C38"/>
    <w:rsid w:val="002F4604"/>
    <w:rsid w:val="00310965"/>
    <w:rsid w:val="0031361F"/>
    <w:rsid w:val="0031610E"/>
    <w:rsid w:val="00321921"/>
    <w:rsid w:val="00324960"/>
    <w:rsid w:val="00326D58"/>
    <w:rsid w:val="0033172F"/>
    <w:rsid w:val="00333F79"/>
    <w:rsid w:val="00340454"/>
    <w:rsid w:val="00342B6B"/>
    <w:rsid w:val="00352AD7"/>
    <w:rsid w:val="0035413B"/>
    <w:rsid w:val="00355D1E"/>
    <w:rsid w:val="0036022E"/>
    <w:rsid w:val="003635E6"/>
    <w:rsid w:val="0036457F"/>
    <w:rsid w:val="00364C69"/>
    <w:rsid w:val="00371DC3"/>
    <w:rsid w:val="00374344"/>
    <w:rsid w:val="00375F1F"/>
    <w:rsid w:val="00385C20"/>
    <w:rsid w:val="00390636"/>
    <w:rsid w:val="0039238C"/>
    <w:rsid w:val="0039728D"/>
    <w:rsid w:val="003973AB"/>
    <w:rsid w:val="00397BD5"/>
    <w:rsid w:val="003B117C"/>
    <w:rsid w:val="003B386A"/>
    <w:rsid w:val="003B5E8C"/>
    <w:rsid w:val="003B753E"/>
    <w:rsid w:val="003C0D65"/>
    <w:rsid w:val="003C1833"/>
    <w:rsid w:val="003C36B4"/>
    <w:rsid w:val="003C5AC6"/>
    <w:rsid w:val="003C64B4"/>
    <w:rsid w:val="003C7E03"/>
    <w:rsid w:val="003D07BD"/>
    <w:rsid w:val="003D58C6"/>
    <w:rsid w:val="003D7CF8"/>
    <w:rsid w:val="003E5DDE"/>
    <w:rsid w:val="003F16D2"/>
    <w:rsid w:val="00414C13"/>
    <w:rsid w:val="00417368"/>
    <w:rsid w:val="00417565"/>
    <w:rsid w:val="00420ACC"/>
    <w:rsid w:val="00425B11"/>
    <w:rsid w:val="00433AB8"/>
    <w:rsid w:val="0043454D"/>
    <w:rsid w:val="004376CB"/>
    <w:rsid w:val="0044225A"/>
    <w:rsid w:val="004477DD"/>
    <w:rsid w:val="004521BA"/>
    <w:rsid w:val="00452C85"/>
    <w:rsid w:val="00454166"/>
    <w:rsid w:val="00456485"/>
    <w:rsid w:val="00464FC6"/>
    <w:rsid w:val="00465712"/>
    <w:rsid w:val="00466D79"/>
    <w:rsid w:val="00481AA9"/>
    <w:rsid w:val="00482417"/>
    <w:rsid w:val="00484117"/>
    <w:rsid w:val="00485580"/>
    <w:rsid w:val="00487728"/>
    <w:rsid w:val="00494DA3"/>
    <w:rsid w:val="00497811"/>
    <w:rsid w:val="00497BCB"/>
    <w:rsid w:val="004A16BD"/>
    <w:rsid w:val="004A5FC0"/>
    <w:rsid w:val="004A67CB"/>
    <w:rsid w:val="004C445B"/>
    <w:rsid w:val="004D3359"/>
    <w:rsid w:val="004D3A2B"/>
    <w:rsid w:val="004D7384"/>
    <w:rsid w:val="004E5A4A"/>
    <w:rsid w:val="00505E4C"/>
    <w:rsid w:val="0051143F"/>
    <w:rsid w:val="00512B80"/>
    <w:rsid w:val="00514D55"/>
    <w:rsid w:val="005209CC"/>
    <w:rsid w:val="00520EF8"/>
    <w:rsid w:val="00523B93"/>
    <w:rsid w:val="00527948"/>
    <w:rsid w:val="00527B2C"/>
    <w:rsid w:val="00531F1C"/>
    <w:rsid w:val="00532E5D"/>
    <w:rsid w:val="00532FD3"/>
    <w:rsid w:val="00533A07"/>
    <w:rsid w:val="00540BA1"/>
    <w:rsid w:val="0054490E"/>
    <w:rsid w:val="00545D74"/>
    <w:rsid w:val="00550BB2"/>
    <w:rsid w:val="00563890"/>
    <w:rsid w:val="00563F78"/>
    <w:rsid w:val="00567579"/>
    <w:rsid w:val="0057264C"/>
    <w:rsid w:val="005750E1"/>
    <w:rsid w:val="005755BA"/>
    <w:rsid w:val="005769BE"/>
    <w:rsid w:val="00583143"/>
    <w:rsid w:val="00583A90"/>
    <w:rsid w:val="00585D8F"/>
    <w:rsid w:val="00590E0C"/>
    <w:rsid w:val="00591901"/>
    <w:rsid w:val="00594701"/>
    <w:rsid w:val="005A18C1"/>
    <w:rsid w:val="005A1D07"/>
    <w:rsid w:val="005A24B8"/>
    <w:rsid w:val="005A5220"/>
    <w:rsid w:val="005B5FF4"/>
    <w:rsid w:val="005C01B8"/>
    <w:rsid w:val="005C4474"/>
    <w:rsid w:val="005C494A"/>
    <w:rsid w:val="005C4A76"/>
    <w:rsid w:val="005C6E1B"/>
    <w:rsid w:val="005C773C"/>
    <w:rsid w:val="005D43FE"/>
    <w:rsid w:val="005D7EB7"/>
    <w:rsid w:val="005E30B5"/>
    <w:rsid w:val="005E3873"/>
    <w:rsid w:val="005E3D9E"/>
    <w:rsid w:val="005E44EB"/>
    <w:rsid w:val="005F0A7A"/>
    <w:rsid w:val="005F6CEF"/>
    <w:rsid w:val="006051C2"/>
    <w:rsid w:val="00611DA2"/>
    <w:rsid w:val="00616790"/>
    <w:rsid w:val="00617A83"/>
    <w:rsid w:val="006307A0"/>
    <w:rsid w:val="00635E5E"/>
    <w:rsid w:val="00636976"/>
    <w:rsid w:val="00645085"/>
    <w:rsid w:val="00650DE1"/>
    <w:rsid w:val="006563CB"/>
    <w:rsid w:val="00667781"/>
    <w:rsid w:val="00673A02"/>
    <w:rsid w:val="006752A4"/>
    <w:rsid w:val="00677B20"/>
    <w:rsid w:val="00684F36"/>
    <w:rsid w:val="0068536E"/>
    <w:rsid w:val="00685658"/>
    <w:rsid w:val="006A1A6B"/>
    <w:rsid w:val="006A361A"/>
    <w:rsid w:val="006A5F5B"/>
    <w:rsid w:val="006B5292"/>
    <w:rsid w:val="006C33DD"/>
    <w:rsid w:val="006D15F4"/>
    <w:rsid w:val="006D4792"/>
    <w:rsid w:val="006D61CE"/>
    <w:rsid w:val="006E4EE3"/>
    <w:rsid w:val="006F1B06"/>
    <w:rsid w:val="006F2D91"/>
    <w:rsid w:val="006F3C0C"/>
    <w:rsid w:val="006F4398"/>
    <w:rsid w:val="006F7973"/>
    <w:rsid w:val="00703A47"/>
    <w:rsid w:val="00705773"/>
    <w:rsid w:val="007159F7"/>
    <w:rsid w:val="0071771A"/>
    <w:rsid w:val="00723DE6"/>
    <w:rsid w:val="0072456A"/>
    <w:rsid w:val="0073451E"/>
    <w:rsid w:val="00741D76"/>
    <w:rsid w:val="007436F9"/>
    <w:rsid w:val="00747C04"/>
    <w:rsid w:val="007528CB"/>
    <w:rsid w:val="00757BCB"/>
    <w:rsid w:val="007610BE"/>
    <w:rsid w:val="00765538"/>
    <w:rsid w:val="0077123B"/>
    <w:rsid w:val="00771DB4"/>
    <w:rsid w:val="007860A7"/>
    <w:rsid w:val="0079541E"/>
    <w:rsid w:val="007954AB"/>
    <w:rsid w:val="007A066F"/>
    <w:rsid w:val="007B1C63"/>
    <w:rsid w:val="007B389A"/>
    <w:rsid w:val="007B449A"/>
    <w:rsid w:val="007B53F8"/>
    <w:rsid w:val="007B7963"/>
    <w:rsid w:val="007C65B6"/>
    <w:rsid w:val="007D3AC7"/>
    <w:rsid w:val="007E4678"/>
    <w:rsid w:val="007F539D"/>
    <w:rsid w:val="008056CA"/>
    <w:rsid w:val="0081149F"/>
    <w:rsid w:val="00811CB3"/>
    <w:rsid w:val="008121EF"/>
    <w:rsid w:val="008140C5"/>
    <w:rsid w:val="008240A6"/>
    <w:rsid w:val="00825235"/>
    <w:rsid w:val="0083080B"/>
    <w:rsid w:val="00833D78"/>
    <w:rsid w:val="00834A60"/>
    <w:rsid w:val="00836203"/>
    <w:rsid w:val="008366D7"/>
    <w:rsid w:val="00837EB9"/>
    <w:rsid w:val="00840C23"/>
    <w:rsid w:val="00844D10"/>
    <w:rsid w:val="008540BD"/>
    <w:rsid w:val="00867200"/>
    <w:rsid w:val="00870D80"/>
    <w:rsid w:val="008737FE"/>
    <w:rsid w:val="00876C93"/>
    <w:rsid w:val="008771CC"/>
    <w:rsid w:val="00886DC8"/>
    <w:rsid w:val="008925C6"/>
    <w:rsid w:val="008A648E"/>
    <w:rsid w:val="008B20AA"/>
    <w:rsid w:val="008C079F"/>
    <w:rsid w:val="008C4674"/>
    <w:rsid w:val="008D12B1"/>
    <w:rsid w:val="008D1E44"/>
    <w:rsid w:val="008D1E81"/>
    <w:rsid w:val="008D2C8A"/>
    <w:rsid w:val="008E5F19"/>
    <w:rsid w:val="008F6024"/>
    <w:rsid w:val="0090068C"/>
    <w:rsid w:val="0090181E"/>
    <w:rsid w:val="00911F9A"/>
    <w:rsid w:val="0091560A"/>
    <w:rsid w:val="00921CDB"/>
    <w:rsid w:val="00925310"/>
    <w:rsid w:val="00927CB9"/>
    <w:rsid w:val="00931441"/>
    <w:rsid w:val="00931B34"/>
    <w:rsid w:val="00931ED9"/>
    <w:rsid w:val="0093285E"/>
    <w:rsid w:val="009374C4"/>
    <w:rsid w:val="00937852"/>
    <w:rsid w:val="00941E85"/>
    <w:rsid w:val="0094306A"/>
    <w:rsid w:val="009459B8"/>
    <w:rsid w:val="009461F9"/>
    <w:rsid w:val="00947430"/>
    <w:rsid w:val="00953A3E"/>
    <w:rsid w:val="00955D48"/>
    <w:rsid w:val="0096011C"/>
    <w:rsid w:val="00965771"/>
    <w:rsid w:val="00974028"/>
    <w:rsid w:val="00974BA7"/>
    <w:rsid w:val="00980360"/>
    <w:rsid w:val="00981002"/>
    <w:rsid w:val="00982745"/>
    <w:rsid w:val="009917EC"/>
    <w:rsid w:val="00994090"/>
    <w:rsid w:val="009947EF"/>
    <w:rsid w:val="00995C3D"/>
    <w:rsid w:val="00996764"/>
    <w:rsid w:val="009A489D"/>
    <w:rsid w:val="009A4948"/>
    <w:rsid w:val="009A4C16"/>
    <w:rsid w:val="009B028F"/>
    <w:rsid w:val="009B3821"/>
    <w:rsid w:val="009C5D5F"/>
    <w:rsid w:val="009C70C2"/>
    <w:rsid w:val="009C70F9"/>
    <w:rsid w:val="009D336F"/>
    <w:rsid w:val="009D5EF8"/>
    <w:rsid w:val="009D67CF"/>
    <w:rsid w:val="009E0859"/>
    <w:rsid w:val="009E113A"/>
    <w:rsid w:val="009F4578"/>
    <w:rsid w:val="009F5874"/>
    <w:rsid w:val="00A0756E"/>
    <w:rsid w:val="00A077A5"/>
    <w:rsid w:val="00A10ED3"/>
    <w:rsid w:val="00A120E1"/>
    <w:rsid w:val="00A210B8"/>
    <w:rsid w:val="00A245ED"/>
    <w:rsid w:val="00A24DED"/>
    <w:rsid w:val="00A25093"/>
    <w:rsid w:val="00A41163"/>
    <w:rsid w:val="00A44402"/>
    <w:rsid w:val="00A4469B"/>
    <w:rsid w:val="00A47DEF"/>
    <w:rsid w:val="00A54375"/>
    <w:rsid w:val="00A57D63"/>
    <w:rsid w:val="00A6475A"/>
    <w:rsid w:val="00A65627"/>
    <w:rsid w:val="00A71E00"/>
    <w:rsid w:val="00A75FD5"/>
    <w:rsid w:val="00A774CA"/>
    <w:rsid w:val="00A93745"/>
    <w:rsid w:val="00A95E0E"/>
    <w:rsid w:val="00A95FD5"/>
    <w:rsid w:val="00A96074"/>
    <w:rsid w:val="00A9742C"/>
    <w:rsid w:val="00AA0C9E"/>
    <w:rsid w:val="00AA18F9"/>
    <w:rsid w:val="00AA19A8"/>
    <w:rsid w:val="00AA44A1"/>
    <w:rsid w:val="00AA7D89"/>
    <w:rsid w:val="00AB0218"/>
    <w:rsid w:val="00AB29FD"/>
    <w:rsid w:val="00AB4485"/>
    <w:rsid w:val="00AC076F"/>
    <w:rsid w:val="00AC1D82"/>
    <w:rsid w:val="00AC3530"/>
    <w:rsid w:val="00AC3637"/>
    <w:rsid w:val="00AC5365"/>
    <w:rsid w:val="00AC6839"/>
    <w:rsid w:val="00AC7602"/>
    <w:rsid w:val="00AD2DFD"/>
    <w:rsid w:val="00AD7255"/>
    <w:rsid w:val="00AE733C"/>
    <w:rsid w:val="00AF4905"/>
    <w:rsid w:val="00AF66D2"/>
    <w:rsid w:val="00B06A3A"/>
    <w:rsid w:val="00B1493E"/>
    <w:rsid w:val="00B23780"/>
    <w:rsid w:val="00B256BB"/>
    <w:rsid w:val="00B262E4"/>
    <w:rsid w:val="00B27626"/>
    <w:rsid w:val="00B308C4"/>
    <w:rsid w:val="00B3118D"/>
    <w:rsid w:val="00B3418B"/>
    <w:rsid w:val="00B341AE"/>
    <w:rsid w:val="00B41065"/>
    <w:rsid w:val="00B5474B"/>
    <w:rsid w:val="00B5698C"/>
    <w:rsid w:val="00B6399A"/>
    <w:rsid w:val="00B71F60"/>
    <w:rsid w:val="00B7656E"/>
    <w:rsid w:val="00B7711B"/>
    <w:rsid w:val="00B77FB4"/>
    <w:rsid w:val="00B8620C"/>
    <w:rsid w:val="00B9281E"/>
    <w:rsid w:val="00B93391"/>
    <w:rsid w:val="00B95BEE"/>
    <w:rsid w:val="00B962F4"/>
    <w:rsid w:val="00BA1774"/>
    <w:rsid w:val="00BA2EE9"/>
    <w:rsid w:val="00BB0FEF"/>
    <w:rsid w:val="00BB1171"/>
    <w:rsid w:val="00BB2758"/>
    <w:rsid w:val="00BB4C8D"/>
    <w:rsid w:val="00BC4736"/>
    <w:rsid w:val="00BC6B4B"/>
    <w:rsid w:val="00BD0EC1"/>
    <w:rsid w:val="00BD3108"/>
    <w:rsid w:val="00BD5520"/>
    <w:rsid w:val="00BD71B2"/>
    <w:rsid w:val="00BE1CEE"/>
    <w:rsid w:val="00BF5FA2"/>
    <w:rsid w:val="00BF604E"/>
    <w:rsid w:val="00BF6162"/>
    <w:rsid w:val="00BF7606"/>
    <w:rsid w:val="00C004B2"/>
    <w:rsid w:val="00C03EAE"/>
    <w:rsid w:val="00C06495"/>
    <w:rsid w:val="00C070E7"/>
    <w:rsid w:val="00C07687"/>
    <w:rsid w:val="00C23326"/>
    <w:rsid w:val="00C246F9"/>
    <w:rsid w:val="00C24838"/>
    <w:rsid w:val="00C24CBA"/>
    <w:rsid w:val="00C30D81"/>
    <w:rsid w:val="00C35BD9"/>
    <w:rsid w:val="00C40982"/>
    <w:rsid w:val="00C421C0"/>
    <w:rsid w:val="00C45580"/>
    <w:rsid w:val="00C455A7"/>
    <w:rsid w:val="00C47049"/>
    <w:rsid w:val="00C53E08"/>
    <w:rsid w:val="00C55033"/>
    <w:rsid w:val="00C5584D"/>
    <w:rsid w:val="00C57631"/>
    <w:rsid w:val="00C6119E"/>
    <w:rsid w:val="00C622DD"/>
    <w:rsid w:val="00C629A9"/>
    <w:rsid w:val="00C630D5"/>
    <w:rsid w:val="00C6651D"/>
    <w:rsid w:val="00C72299"/>
    <w:rsid w:val="00C72E13"/>
    <w:rsid w:val="00C75C51"/>
    <w:rsid w:val="00C7772D"/>
    <w:rsid w:val="00C800AC"/>
    <w:rsid w:val="00C909E6"/>
    <w:rsid w:val="00C97C4F"/>
    <w:rsid w:val="00CB09DA"/>
    <w:rsid w:val="00CB50B1"/>
    <w:rsid w:val="00CC2A82"/>
    <w:rsid w:val="00CC44D1"/>
    <w:rsid w:val="00CC56CB"/>
    <w:rsid w:val="00CC7C84"/>
    <w:rsid w:val="00CD1B43"/>
    <w:rsid w:val="00CD214D"/>
    <w:rsid w:val="00CD6B35"/>
    <w:rsid w:val="00CE03A6"/>
    <w:rsid w:val="00CE497B"/>
    <w:rsid w:val="00CF0434"/>
    <w:rsid w:val="00CF0B2C"/>
    <w:rsid w:val="00CF11D4"/>
    <w:rsid w:val="00CF27A1"/>
    <w:rsid w:val="00CF4D5D"/>
    <w:rsid w:val="00CF50F4"/>
    <w:rsid w:val="00CF54EC"/>
    <w:rsid w:val="00CF6A06"/>
    <w:rsid w:val="00CF73AD"/>
    <w:rsid w:val="00D00A89"/>
    <w:rsid w:val="00D022BE"/>
    <w:rsid w:val="00D026A9"/>
    <w:rsid w:val="00D21835"/>
    <w:rsid w:val="00D24A91"/>
    <w:rsid w:val="00D2737D"/>
    <w:rsid w:val="00D305E4"/>
    <w:rsid w:val="00D409F3"/>
    <w:rsid w:val="00D40D96"/>
    <w:rsid w:val="00D41EEC"/>
    <w:rsid w:val="00D42450"/>
    <w:rsid w:val="00D438C2"/>
    <w:rsid w:val="00D43DC4"/>
    <w:rsid w:val="00D52E0B"/>
    <w:rsid w:val="00D55750"/>
    <w:rsid w:val="00D55AFD"/>
    <w:rsid w:val="00D60D48"/>
    <w:rsid w:val="00D61C2D"/>
    <w:rsid w:val="00D675EA"/>
    <w:rsid w:val="00D708C2"/>
    <w:rsid w:val="00D7253D"/>
    <w:rsid w:val="00D75879"/>
    <w:rsid w:val="00D818D9"/>
    <w:rsid w:val="00D862F6"/>
    <w:rsid w:val="00D923C9"/>
    <w:rsid w:val="00DA449C"/>
    <w:rsid w:val="00DB6C1D"/>
    <w:rsid w:val="00DC0323"/>
    <w:rsid w:val="00DC061B"/>
    <w:rsid w:val="00DC10A4"/>
    <w:rsid w:val="00DC4722"/>
    <w:rsid w:val="00DC577F"/>
    <w:rsid w:val="00DC5A0D"/>
    <w:rsid w:val="00DC62EB"/>
    <w:rsid w:val="00DD4F53"/>
    <w:rsid w:val="00DD5785"/>
    <w:rsid w:val="00DD65E0"/>
    <w:rsid w:val="00DD71DA"/>
    <w:rsid w:val="00DE1408"/>
    <w:rsid w:val="00DE485E"/>
    <w:rsid w:val="00DF100A"/>
    <w:rsid w:val="00DF691F"/>
    <w:rsid w:val="00E04487"/>
    <w:rsid w:val="00E04ABC"/>
    <w:rsid w:val="00E04DE6"/>
    <w:rsid w:val="00E0725D"/>
    <w:rsid w:val="00E14489"/>
    <w:rsid w:val="00E14D05"/>
    <w:rsid w:val="00E17537"/>
    <w:rsid w:val="00E21CA7"/>
    <w:rsid w:val="00E30434"/>
    <w:rsid w:val="00E30743"/>
    <w:rsid w:val="00E30B91"/>
    <w:rsid w:val="00E33BC1"/>
    <w:rsid w:val="00E3451E"/>
    <w:rsid w:val="00E34EBE"/>
    <w:rsid w:val="00E4049A"/>
    <w:rsid w:val="00E4655A"/>
    <w:rsid w:val="00E53F2C"/>
    <w:rsid w:val="00E5662E"/>
    <w:rsid w:val="00E669B7"/>
    <w:rsid w:val="00E67DF5"/>
    <w:rsid w:val="00E744B0"/>
    <w:rsid w:val="00E77EED"/>
    <w:rsid w:val="00E8231A"/>
    <w:rsid w:val="00E832E4"/>
    <w:rsid w:val="00E94939"/>
    <w:rsid w:val="00E94CE5"/>
    <w:rsid w:val="00E965B3"/>
    <w:rsid w:val="00E9726E"/>
    <w:rsid w:val="00EA05D7"/>
    <w:rsid w:val="00EA5FD6"/>
    <w:rsid w:val="00EB0B5C"/>
    <w:rsid w:val="00EB3677"/>
    <w:rsid w:val="00EB3FA6"/>
    <w:rsid w:val="00EB6E25"/>
    <w:rsid w:val="00EB7D89"/>
    <w:rsid w:val="00EC06BB"/>
    <w:rsid w:val="00EC0FCD"/>
    <w:rsid w:val="00EC2217"/>
    <w:rsid w:val="00EC29B8"/>
    <w:rsid w:val="00EC5B0A"/>
    <w:rsid w:val="00EC764B"/>
    <w:rsid w:val="00EE08CB"/>
    <w:rsid w:val="00EE11D1"/>
    <w:rsid w:val="00EE2423"/>
    <w:rsid w:val="00EE326F"/>
    <w:rsid w:val="00EE5C56"/>
    <w:rsid w:val="00EF6D34"/>
    <w:rsid w:val="00F01C81"/>
    <w:rsid w:val="00F022FB"/>
    <w:rsid w:val="00F0458B"/>
    <w:rsid w:val="00F06C42"/>
    <w:rsid w:val="00F14D6C"/>
    <w:rsid w:val="00F166A0"/>
    <w:rsid w:val="00F16E19"/>
    <w:rsid w:val="00F249CF"/>
    <w:rsid w:val="00F2783E"/>
    <w:rsid w:val="00F3162B"/>
    <w:rsid w:val="00F34602"/>
    <w:rsid w:val="00F46F0B"/>
    <w:rsid w:val="00F53529"/>
    <w:rsid w:val="00F562F8"/>
    <w:rsid w:val="00F5674C"/>
    <w:rsid w:val="00F6037B"/>
    <w:rsid w:val="00F61EF1"/>
    <w:rsid w:val="00F70A23"/>
    <w:rsid w:val="00F763FD"/>
    <w:rsid w:val="00F9168E"/>
    <w:rsid w:val="00F92EF0"/>
    <w:rsid w:val="00F94E64"/>
    <w:rsid w:val="00F97B56"/>
    <w:rsid w:val="00FA1B7C"/>
    <w:rsid w:val="00FA6117"/>
    <w:rsid w:val="00FA791D"/>
    <w:rsid w:val="00FA7E63"/>
    <w:rsid w:val="00FB2164"/>
    <w:rsid w:val="00FB3E66"/>
    <w:rsid w:val="00FB5326"/>
    <w:rsid w:val="00FB653D"/>
    <w:rsid w:val="00FC0835"/>
    <w:rsid w:val="00FC139A"/>
    <w:rsid w:val="00FC1A9B"/>
    <w:rsid w:val="00FC4035"/>
    <w:rsid w:val="00FC6A0B"/>
    <w:rsid w:val="00FD162D"/>
    <w:rsid w:val="00FD273B"/>
    <w:rsid w:val="00FE249B"/>
    <w:rsid w:val="00FE5A45"/>
    <w:rsid w:val="00FF0550"/>
    <w:rsid w:val="00FF0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085A4F"/>
    <w:pPr>
      <w:ind w:left="720"/>
      <w:contextualSpacing/>
    </w:pPr>
  </w:style>
  <w:style w:type="character" w:styleId="Hyperlink">
    <w:name w:val="Hyperlink"/>
    <w:basedOn w:val="DefaultParagraphFont"/>
    <w:uiPriority w:val="99"/>
    <w:unhideWhenUsed/>
    <w:rsid w:val="00C07687"/>
    <w:rPr>
      <w:rFonts w:ascii="Arial" w:hAnsi="Arial"/>
      <w:color w:val="0000FF"/>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07687"/>
  </w:style>
  <w:style w:type="character" w:customStyle="1" w:styleId="Hyperlink1">
    <w:name w:val="Hyperlink1"/>
    <w:basedOn w:val="DefaultParagraphFont"/>
    <w:rsid w:val="005C4A76"/>
  </w:style>
  <w:style w:type="character" w:styleId="UnresolvedMention">
    <w:name w:val="Unresolved Mention"/>
    <w:basedOn w:val="DefaultParagraphFont"/>
    <w:uiPriority w:val="99"/>
    <w:semiHidden/>
    <w:unhideWhenUsed/>
    <w:rsid w:val="005C4A76"/>
    <w:rPr>
      <w:color w:val="605E5C"/>
      <w:shd w:val="clear" w:color="auto" w:fill="E1DFDD"/>
    </w:rPr>
  </w:style>
  <w:style w:type="character" w:customStyle="1" w:styleId="Hyperlink2">
    <w:name w:val="Hyperlink2"/>
    <w:basedOn w:val="DefaultParagraphFont"/>
    <w:rsid w:val="0049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4566">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428213">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2194</Words>
  <Characters>12333</Characters>
  <Application>Microsoft Office Word</Application>
  <DocSecurity>0</DocSecurity>
  <Lines>256</Lines>
  <Paragraphs>92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KULAR, Navreen</cp:lastModifiedBy>
  <cp:revision>7</cp:revision>
  <cp:lastPrinted>2024-06-04T03:01:00Z</cp:lastPrinted>
  <dcterms:created xsi:type="dcterms:W3CDTF">2024-06-14T02:08:00Z</dcterms:created>
  <dcterms:modified xsi:type="dcterms:W3CDTF">2024-06-14T04:52:00Z</dcterms:modified>
</cp:coreProperties>
</file>