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77777777" w:rsidR="001F2A16" w:rsidRPr="004B6ECB" w:rsidRDefault="001F2A16" w:rsidP="004B6ECB">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4B6ECB">
        <w:rPr>
          <w:rFonts w:ascii="Arial" w:hAnsi="Arial" w:cs="Arial"/>
          <w:sz w:val="34"/>
          <w:szCs w:val="34"/>
        </w:rPr>
        <w:t>Explanatory Statement</w:t>
      </w:r>
    </w:p>
    <w:p w14:paraId="6B8F7B13" w14:textId="73C3F10B" w:rsidR="009371D0" w:rsidRPr="004B6ECB" w:rsidRDefault="000324FC" w:rsidP="004B6ECB">
      <w:pPr>
        <w:pStyle w:val="Header"/>
        <w:pBdr>
          <w:top w:val="single" w:sz="4" w:space="1" w:color="auto"/>
          <w:bottom w:val="single" w:sz="4" w:space="1" w:color="auto"/>
        </w:pBdr>
        <w:tabs>
          <w:tab w:val="clear" w:pos="4153"/>
          <w:tab w:val="clear" w:pos="8306"/>
        </w:tabs>
        <w:jc w:val="center"/>
        <w:rPr>
          <w:rFonts w:ascii="Arial" w:hAnsi="Arial" w:cs="Arial"/>
          <w:sz w:val="34"/>
          <w:szCs w:val="34"/>
        </w:rPr>
      </w:pPr>
      <w:bookmarkStart w:id="0" w:name="_Hlk96329802"/>
      <w:r w:rsidRPr="004B6ECB">
        <w:rPr>
          <w:rFonts w:ascii="Arial" w:hAnsi="Arial" w:cs="Arial"/>
          <w:sz w:val="34"/>
          <w:szCs w:val="34"/>
        </w:rPr>
        <w:t xml:space="preserve">Income Tax Assessment </w:t>
      </w:r>
      <w:r w:rsidR="001655EC" w:rsidRPr="004B6ECB">
        <w:rPr>
          <w:rFonts w:ascii="Arial" w:hAnsi="Arial" w:cs="Arial"/>
          <w:sz w:val="34"/>
          <w:szCs w:val="34"/>
        </w:rPr>
        <w:t>(</w:t>
      </w:r>
      <w:r w:rsidRPr="004B6ECB">
        <w:rPr>
          <w:rFonts w:ascii="Arial" w:hAnsi="Arial" w:cs="Arial"/>
          <w:sz w:val="34"/>
          <w:szCs w:val="34"/>
        </w:rPr>
        <w:t>Cents per Kilometre Deduction Rate for Car Expenses</w:t>
      </w:r>
      <w:r w:rsidR="001655EC" w:rsidRPr="004B6ECB">
        <w:rPr>
          <w:rFonts w:ascii="Arial" w:hAnsi="Arial" w:cs="Arial"/>
          <w:sz w:val="34"/>
          <w:szCs w:val="34"/>
        </w:rPr>
        <w:t>)</w:t>
      </w:r>
      <w:r w:rsidRPr="004B6ECB">
        <w:rPr>
          <w:rFonts w:ascii="Arial" w:hAnsi="Arial" w:cs="Arial"/>
          <w:sz w:val="34"/>
          <w:szCs w:val="34"/>
        </w:rPr>
        <w:t xml:space="preserve"> Determination 202</w:t>
      </w:r>
      <w:bookmarkEnd w:id="0"/>
      <w:r w:rsidR="00592AB3">
        <w:rPr>
          <w:rFonts w:ascii="Arial" w:hAnsi="Arial" w:cs="Arial"/>
          <w:sz w:val="34"/>
          <w:szCs w:val="34"/>
        </w:rPr>
        <w:t>4</w:t>
      </w:r>
    </w:p>
    <w:p w14:paraId="15AC1B52" w14:textId="5B65CDA8" w:rsidR="0099555F" w:rsidRPr="004B6ECB" w:rsidRDefault="0099555F" w:rsidP="00873997">
      <w:pPr>
        <w:pStyle w:val="Header"/>
        <w:tabs>
          <w:tab w:val="clear" w:pos="4153"/>
          <w:tab w:val="clear" w:pos="8306"/>
        </w:tabs>
        <w:jc w:val="center"/>
        <w:rPr>
          <w:rFonts w:ascii="Arial" w:hAnsi="Arial" w:cs="Arial"/>
          <w:sz w:val="22"/>
          <w:szCs w:val="22"/>
        </w:rPr>
      </w:pPr>
    </w:p>
    <w:p w14:paraId="15AC1B53" w14:textId="77777777" w:rsidR="001F2A16" w:rsidRPr="004B6ECB" w:rsidRDefault="001F2A16" w:rsidP="00873997">
      <w:pPr>
        <w:pStyle w:val="Header"/>
        <w:tabs>
          <w:tab w:val="clear" w:pos="4153"/>
          <w:tab w:val="clear" w:pos="8306"/>
        </w:tabs>
        <w:jc w:val="center"/>
        <w:rPr>
          <w:rFonts w:ascii="Arial" w:hAnsi="Arial" w:cs="Arial"/>
          <w:sz w:val="22"/>
          <w:szCs w:val="22"/>
        </w:rPr>
      </w:pPr>
    </w:p>
    <w:p w14:paraId="15AC1B54" w14:textId="72E1D7FF" w:rsidR="00486653" w:rsidRPr="004B6ECB" w:rsidRDefault="00486653" w:rsidP="004B6ECB">
      <w:pPr>
        <w:pStyle w:val="Heading2"/>
      </w:pPr>
      <w:r w:rsidRPr="004B6ECB">
        <w:t xml:space="preserve">General </w:t>
      </w:r>
      <w:r w:rsidR="00C620E9" w:rsidRPr="004B6ECB">
        <w:t>o</w:t>
      </w:r>
      <w:r w:rsidRPr="004B6ECB">
        <w:t xml:space="preserve">utline of </w:t>
      </w:r>
      <w:r w:rsidR="00C620E9" w:rsidRPr="004B6ECB">
        <w:t>i</w:t>
      </w:r>
      <w:r w:rsidRPr="004B6ECB">
        <w:t>nstrument</w:t>
      </w:r>
    </w:p>
    <w:p w14:paraId="37623DF0" w14:textId="21E2A595" w:rsidR="000324FC" w:rsidRPr="004B6ECB" w:rsidRDefault="000324FC" w:rsidP="004B6ECB">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 xml:space="preserve">This </w:t>
      </w:r>
      <w:r w:rsidR="00F1151F" w:rsidRPr="004B6ECB">
        <w:rPr>
          <w:rFonts w:ascii="Arial" w:hAnsi="Arial" w:cs="Arial"/>
          <w:sz w:val="22"/>
          <w:szCs w:val="22"/>
        </w:rPr>
        <w:t xml:space="preserve">instrument </w:t>
      </w:r>
      <w:r w:rsidRPr="004B6ECB">
        <w:rPr>
          <w:rFonts w:ascii="Arial" w:hAnsi="Arial" w:cs="Arial"/>
          <w:sz w:val="22"/>
          <w:szCs w:val="22"/>
        </w:rPr>
        <w:t xml:space="preserve">is made under subsection 28-25(4) of the </w:t>
      </w:r>
      <w:r w:rsidRPr="004B6ECB">
        <w:rPr>
          <w:rFonts w:ascii="Arial" w:hAnsi="Arial" w:cs="Arial"/>
          <w:i/>
          <w:sz w:val="22"/>
          <w:szCs w:val="22"/>
        </w:rPr>
        <w:t>Income Tax Assessment Act 1997</w:t>
      </w:r>
      <w:r w:rsidR="001655EC" w:rsidRPr="004B6ECB">
        <w:rPr>
          <w:rFonts w:ascii="Arial" w:hAnsi="Arial" w:cs="Arial"/>
          <w:i/>
          <w:sz w:val="22"/>
          <w:szCs w:val="22"/>
        </w:rPr>
        <w:t xml:space="preserve"> </w:t>
      </w:r>
      <w:r w:rsidR="001655EC" w:rsidRPr="004B6ECB">
        <w:rPr>
          <w:rFonts w:ascii="Arial" w:hAnsi="Arial" w:cs="Arial"/>
          <w:iCs/>
          <w:sz w:val="22"/>
          <w:szCs w:val="22"/>
        </w:rPr>
        <w:t>(</w:t>
      </w:r>
      <w:r w:rsidR="004B6ECB">
        <w:rPr>
          <w:rFonts w:ascii="Arial" w:hAnsi="Arial" w:cs="Arial"/>
          <w:iCs/>
          <w:sz w:val="22"/>
          <w:szCs w:val="22"/>
        </w:rPr>
        <w:t xml:space="preserve">the </w:t>
      </w:r>
      <w:r w:rsidR="001655EC" w:rsidRPr="004B6ECB">
        <w:rPr>
          <w:rFonts w:ascii="Arial" w:hAnsi="Arial" w:cs="Arial"/>
          <w:iCs/>
          <w:sz w:val="22"/>
          <w:szCs w:val="22"/>
        </w:rPr>
        <w:t>Act)</w:t>
      </w:r>
      <w:r w:rsidRPr="004B6ECB">
        <w:rPr>
          <w:rFonts w:ascii="Arial" w:hAnsi="Arial" w:cs="Arial"/>
          <w:i/>
          <w:sz w:val="22"/>
          <w:szCs w:val="22"/>
        </w:rPr>
        <w:t>.</w:t>
      </w:r>
    </w:p>
    <w:p w14:paraId="4EEF014B" w14:textId="351ADC04" w:rsidR="000324FC" w:rsidRPr="005F2F73" w:rsidRDefault="000324FC" w:rsidP="005F2F73">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 xml:space="preserve">The </w:t>
      </w:r>
      <w:r w:rsidR="00F1151F" w:rsidRPr="004B6ECB">
        <w:rPr>
          <w:rFonts w:ascii="Arial" w:hAnsi="Arial" w:cs="Arial"/>
          <w:sz w:val="22"/>
          <w:szCs w:val="22"/>
        </w:rPr>
        <w:t xml:space="preserve">instrument </w:t>
      </w:r>
      <w:r w:rsidRPr="004B6ECB">
        <w:rPr>
          <w:rFonts w:ascii="Arial" w:hAnsi="Arial" w:cs="Arial"/>
          <w:sz w:val="22"/>
          <w:szCs w:val="22"/>
        </w:rPr>
        <w:t xml:space="preserve">sets the rate at which </w:t>
      </w:r>
      <w:r w:rsidRPr="00555E6B">
        <w:rPr>
          <w:rFonts w:ascii="Arial" w:hAnsi="Arial" w:cs="Arial"/>
          <w:sz w:val="22"/>
          <w:szCs w:val="22"/>
        </w:rPr>
        <w:t>work-related</w:t>
      </w:r>
      <w:r w:rsidRPr="004B6ECB">
        <w:rPr>
          <w:rFonts w:ascii="Arial" w:hAnsi="Arial" w:cs="Arial"/>
          <w:sz w:val="22"/>
          <w:szCs w:val="22"/>
        </w:rPr>
        <w:t xml:space="preserve"> car expense deductions may be claimed in an income year when using the cents per kilometre method.</w:t>
      </w:r>
      <w:r w:rsidR="005F2F73" w:rsidRPr="005F2F73">
        <w:rPr>
          <w:rFonts w:ascii="Arial" w:hAnsi="Arial" w:cs="Arial"/>
          <w:sz w:val="22"/>
          <w:szCs w:val="22"/>
        </w:rPr>
        <w:t xml:space="preserve"> </w:t>
      </w:r>
      <w:r w:rsidR="005F2F73">
        <w:rPr>
          <w:rFonts w:ascii="Arial" w:hAnsi="Arial" w:cs="Arial"/>
          <w:sz w:val="22"/>
          <w:szCs w:val="22"/>
        </w:rPr>
        <w:t xml:space="preserve">The Commissioner of Taxation has determined the rate to be </w:t>
      </w:r>
      <w:r w:rsidR="00D84FF3" w:rsidRPr="00CB0D46">
        <w:rPr>
          <w:rFonts w:ascii="Arial" w:hAnsi="Arial" w:cs="Arial"/>
          <w:sz w:val="22"/>
          <w:szCs w:val="22"/>
        </w:rPr>
        <w:t>88</w:t>
      </w:r>
      <w:r w:rsidR="000456FA">
        <w:rPr>
          <w:rFonts w:ascii="Arial" w:hAnsi="Arial" w:cs="Arial"/>
          <w:sz w:val="22"/>
          <w:szCs w:val="22"/>
        </w:rPr>
        <w:t xml:space="preserve"> </w:t>
      </w:r>
      <w:r w:rsidR="005F2F73">
        <w:rPr>
          <w:rFonts w:ascii="Arial" w:hAnsi="Arial" w:cs="Arial"/>
          <w:sz w:val="22"/>
          <w:szCs w:val="22"/>
        </w:rPr>
        <w:t>cents per kilometre for the income year commencing 1 July 202</w:t>
      </w:r>
      <w:r w:rsidR="00592AB3">
        <w:rPr>
          <w:rFonts w:ascii="Arial" w:hAnsi="Arial" w:cs="Arial"/>
          <w:sz w:val="22"/>
          <w:szCs w:val="22"/>
        </w:rPr>
        <w:t>4</w:t>
      </w:r>
      <w:r w:rsidR="00E45697">
        <w:rPr>
          <w:rFonts w:ascii="Arial" w:hAnsi="Arial" w:cs="Arial"/>
          <w:sz w:val="22"/>
          <w:szCs w:val="22"/>
        </w:rPr>
        <w:t xml:space="preserve"> (and subsequent income years, until such time as the instrument is repealed or varied)</w:t>
      </w:r>
      <w:r w:rsidR="005F2F73">
        <w:rPr>
          <w:rFonts w:ascii="Arial" w:hAnsi="Arial" w:cs="Arial"/>
          <w:sz w:val="22"/>
          <w:szCs w:val="22"/>
        </w:rPr>
        <w:t>.</w:t>
      </w:r>
    </w:p>
    <w:p w14:paraId="34F526C4" w14:textId="3DC18754" w:rsidR="000324FC" w:rsidRPr="004B6ECB" w:rsidRDefault="000324FC" w:rsidP="004B6ECB">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 xml:space="preserve">The </w:t>
      </w:r>
      <w:r w:rsidR="00F1151F" w:rsidRPr="004B6ECB">
        <w:rPr>
          <w:rFonts w:ascii="Arial" w:hAnsi="Arial" w:cs="Arial"/>
          <w:sz w:val="22"/>
          <w:szCs w:val="22"/>
        </w:rPr>
        <w:t xml:space="preserve">instrument </w:t>
      </w:r>
      <w:r w:rsidRPr="004B6ECB">
        <w:rPr>
          <w:rFonts w:ascii="Arial" w:hAnsi="Arial" w:cs="Arial"/>
          <w:sz w:val="22"/>
          <w:szCs w:val="22"/>
        </w:rPr>
        <w:t xml:space="preserve">is a legislative instrument for the purposes of the </w:t>
      </w:r>
      <w:r w:rsidRPr="004B6ECB">
        <w:rPr>
          <w:rFonts w:ascii="Arial" w:hAnsi="Arial" w:cs="Arial"/>
          <w:i/>
          <w:sz w:val="22"/>
          <w:szCs w:val="22"/>
        </w:rPr>
        <w:t>Legislation Act 2003</w:t>
      </w:r>
      <w:r w:rsidRPr="004B6ECB">
        <w:rPr>
          <w:rFonts w:ascii="Arial" w:hAnsi="Arial" w:cs="Arial"/>
          <w:sz w:val="22"/>
          <w:szCs w:val="22"/>
        </w:rPr>
        <w:t>.</w:t>
      </w:r>
    </w:p>
    <w:p w14:paraId="3BDCF968" w14:textId="77777777" w:rsidR="000324FC" w:rsidRPr="004B6ECB" w:rsidRDefault="000324FC" w:rsidP="004B6ECB">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 xml:space="preserve">Under subsection 33(3) of the </w:t>
      </w:r>
      <w:r w:rsidRPr="004B6ECB">
        <w:rPr>
          <w:rFonts w:ascii="Arial" w:hAnsi="Arial" w:cs="Arial"/>
          <w:i/>
          <w:sz w:val="22"/>
          <w:szCs w:val="22"/>
        </w:rPr>
        <w:t>Acts Interpretation Act 1901</w:t>
      </w:r>
      <w:r w:rsidRPr="004B6ECB">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5AC1B62" w14:textId="77777777" w:rsidR="006302F7" w:rsidRPr="004B6ECB" w:rsidRDefault="006302F7" w:rsidP="004B6ECB">
      <w:pPr>
        <w:spacing w:after="120"/>
        <w:rPr>
          <w:rFonts w:ascii="Arial" w:hAnsi="Arial" w:cs="Arial"/>
          <w:sz w:val="22"/>
        </w:rPr>
      </w:pPr>
    </w:p>
    <w:p w14:paraId="15AC1B63" w14:textId="77777777" w:rsidR="001D02E6" w:rsidRPr="004B6ECB" w:rsidRDefault="001D02E6" w:rsidP="004B6ECB">
      <w:pPr>
        <w:pStyle w:val="Heading2"/>
      </w:pPr>
      <w:r w:rsidRPr="004B6ECB">
        <w:t>Date of effect</w:t>
      </w:r>
    </w:p>
    <w:p w14:paraId="15AC1B65" w14:textId="40731AF1" w:rsidR="00222AFB" w:rsidRPr="004B6ECB" w:rsidRDefault="00222AFB" w:rsidP="004B6ECB">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 xml:space="preserve">This instrument commences on </w:t>
      </w:r>
      <w:r w:rsidR="000324FC" w:rsidRPr="004B6ECB">
        <w:rPr>
          <w:rFonts w:ascii="Arial" w:hAnsi="Arial" w:cs="Arial"/>
          <w:sz w:val="22"/>
          <w:szCs w:val="22"/>
        </w:rPr>
        <w:t>1 July 202</w:t>
      </w:r>
      <w:r w:rsidR="00592AB3">
        <w:rPr>
          <w:rFonts w:ascii="Arial" w:hAnsi="Arial" w:cs="Arial"/>
          <w:sz w:val="22"/>
          <w:szCs w:val="22"/>
        </w:rPr>
        <w:t>4</w:t>
      </w:r>
      <w:r w:rsidR="000324FC" w:rsidRPr="004B6ECB">
        <w:rPr>
          <w:rFonts w:ascii="Arial" w:hAnsi="Arial" w:cs="Arial"/>
          <w:sz w:val="22"/>
          <w:szCs w:val="22"/>
        </w:rPr>
        <w:t>.</w:t>
      </w:r>
    </w:p>
    <w:p w14:paraId="15AC1B6B" w14:textId="77777777" w:rsidR="00486653" w:rsidRPr="004B6ECB" w:rsidRDefault="00486653" w:rsidP="004B6ECB">
      <w:pPr>
        <w:spacing w:after="120"/>
        <w:rPr>
          <w:rFonts w:ascii="Arial" w:hAnsi="Arial" w:cs="Arial"/>
          <w:sz w:val="22"/>
        </w:rPr>
      </w:pPr>
    </w:p>
    <w:p w14:paraId="15AC1B6C" w14:textId="6388FD20" w:rsidR="00486653" w:rsidRPr="004B6ECB" w:rsidRDefault="003B547B" w:rsidP="004B6ECB">
      <w:pPr>
        <w:pStyle w:val="Heading2"/>
      </w:pPr>
      <w:r w:rsidRPr="004B6ECB">
        <w:t>E</w:t>
      </w:r>
      <w:r w:rsidR="00486653" w:rsidRPr="004B6ECB">
        <w:t>ffect of this instrument</w:t>
      </w:r>
    </w:p>
    <w:p w14:paraId="76A4C9D9" w14:textId="67E67FAF" w:rsidR="004B6ECB" w:rsidRDefault="00FF5175" w:rsidP="004B6ECB">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This</w:t>
      </w:r>
      <w:r w:rsidR="000324FC" w:rsidRPr="004B6ECB">
        <w:rPr>
          <w:rFonts w:ascii="Arial" w:hAnsi="Arial" w:cs="Arial"/>
          <w:sz w:val="22"/>
          <w:szCs w:val="22"/>
        </w:rPr>
        <w:t xml:space="preserve"> </w:t>
      </w:r>
      <w:r w:rsidR="00BD3C99" w:rsidRPr="004B6ECB">
        <w:rPr>
          <w:rFonts w:ascii="Arial" w:hAnsi="Arial" w:cs="Arial"/>
          <w:sz w:val="22"/>
          <w:szCs w:val="22"/>
        </w:rPr>
        <w:t xml:space="preserve">instrument </w:t>
      </w:r>
      <w:r w:rsidR="001655EC" w:rsidRPr="004B6ECB">
        <w:rPr>
          <w:rFonts w:ascii="Arial" w:hAnsi="Arial" w:cs="Arial"/>
          <w:sz w:val="22"/>
          <w:szCs w:val="22"/>
        </w:rPr>
        <w:t xml:space="preserve">varies </w:t>
      </w:r>
      <w:r w:rsidRPr="004B6ECB">
        <w:rPr>
          <w:rFonts w:ascii="Arial" w:hAnsi="Arial" w:cs="Arial"/>
          <w:sz w:val="22"/>
          <w:szCs w:val="22"/>
        </w:rPr>
        <w:t xml:space="preserve">the cents per kilometre deduction rate for car expenses to </w:t>
      </w:r>
      <w:r w:rsidR="00D84FF3" w:rsidRPr="00CB0D46">
        <w:rPr>
          <w:rFonts w:ascii="Arial" w:hAnsi="Arial" w:cs="Arial"/>
          <w:sz w:val="22"/>
          <w:szCs w:val="22"/>
        </w:rPr>
        <w:t>88</w:t>
      </w:r>
      <w:r w:rsidR="00CF5465">
        <w:rPr>
          <w:rFonts w:ascii="Arial" w:hAnsi="Arial" w:cs="Arial"/>
          <w:sz w:val="22"/>
          <w:szCs w:val="22"/>
        </w:rPr>
        <w:t xml:space="preserve"> </w:t>
      </w:r>
      <w:r w:rsidRPr="004B6ECB">
        <w:rPr>
          <w:rFonts w:ascii="Arial" w:hAnsi="Arial" w:cs="Arial"/>
          <w:sz w:val="22"/>
          <w:szCs w:val="22"/>
        </w:rPr>
        <w:t>cents per kilometre</w:t>
      </w:r>
      <w:r w:rsidR="002F6C13">
        <w:rPr>
          <w:rFonts w:ascii="Arial" w:hAnsi="Arial" w:cs="Arial"/>
          <w:sz w:val="22"/>
          <w:szCs w:val="22"/>
        </w:rPr>
        <w:t xml:space="preserve"> (the previous rate was </w:t>
      </w:r>
      <w:r w:rsidR="00592AB3">
        <w:rPr>
          <w:rFonts w:ascii="Arial" w:hAnsi="Arial" w:cs="Arial"/>
          <w:sz w:val="22"/>
          <w:szCs w:val="22"/>
        </w:rPr>
        <w:t>85</w:t>
      </w:r>
      <w:r w:rsidR="00815208">
        <w:rPr>
          <w:rFonts w:ascii="Arial" w:hAnsi="Arial" w:cs="Arial"/>
          <w:sz w:val="22"/>
          <w:szCs w:val="22"/>
        </w:rPr>
        <w:t xml:space="preserve"> </w:t>
      </w:r>
      <w:r w:rsidR="002F6C13" w:rsidRPr="004B6ECB">
        <w:rPr>
          <w:rFonts w:ascii="Arial" w:hAnsi="Arial" w:cs="Arial"/>
          <w:sz w:val="22"/>
          <w:szCs w:val="22"/>
        </w:rPr>
        <w:t>cents per kilometre</w:t>
      </w:r>
      <w:r w:rsidR="002F6C13">
        <w:rPr>
          <w:rFonts w:ascii="Arial" w:hAnsi="Arial" w:cs="Arial"/>
          <w:sz w:val="22"/>
          <w:szCs w:val="22"/>
        </w:rPr>
        <w:t>)</w:t>
      </w:r>
      <w:r w:rsidRPr="004B6ECB">
        <w:rPr>
          <w:rFonts w:ascii="Arial" w:hAnsi="Arial" w:cs="Arial"/>
          <w:sz w:val="22"/>
          <w:szCs w:val="22"/>
        </w:rPr>
        <w:t>.</w:t>
      </w:r>
    </w:p>
    <w:p w14:paraId="00BDC83C" w14:textId="77777777" w:rsidR="004B6ECB" w:rsidRDefault="001655EC" w:rsidP="004B6ECB">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This rate will remain applicable until the Commissioner determines that it should be varied.</w:t>
      </w:r>
    </w:p>
    <w:p w14:paraId="11EBDAFF" w14:textId="23C3630D" w:rsidR="004B6ECB" w:rsidRDefault="00FF5175" w:rsidP="004B6ECB">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 xml:space="preserve">This </w:t>
      </w:r>
      <w:r w:rsidR="001655EC" w:rsidRPr="004B6ECB">
        <w:rPr>
          <w:rFonts w:ascii="Arial" w:hAnsi="Arial" w:cs="Arial"/>
          <w:sz w:val="22"/>
          <w:szCs w:val="22"/>
        </w:rPr>
        <w:t>instrument</w:t>
      </w:r>
      <w:r w:rsidRPr="004B6ECB">
        <w:rPr>
          <w:rFonts w:ascii="Arial" w:hAnsi="Arial" w:cs="Arial"/>
          <w:sz w:val="22"/>
          <w:szCs w:val="22"/>
        </w:rPr>
        <w:t xml:space="preserve"> ensure</w:t>
      </w:r>
      <w:r w:rsidR="001655EC" w:rsidRPr="004B6ECB">
        <w:rPr>
          <w:rFonts w:ascii="Arial" w:hAnsi="Arial" w:cs="Arial"/>
          <w:sz w:val="22"/>
          <w:szCs w:val="22"/>
        </w:rPr>
        <w:t>s</w:t>
      </w:r>
      <w:r w:rsidR="00E45697">
        <w:rPr>
          <w:rFonts w:ascii="Arial" w:hAnsi="Arial" w:cs="Arial"/>
          <w:sz w:val="22"/>
          <w:szCs w:val="22"/>
        </w:rPr>
        <w:t xml:space="preserve"> that</w:t>
      </w:r>
      <w:r w:rsidR="000324FC" w:rsidRPr="004B6ECB">
        <w:rPr>
          <w:rFonts w:ascii="Arial" w:hAnsi="Arial" w:cs="Arial"/>
          <w:sz w:val="22"/>
          <w:szCs w:val="22"/>
        </w:rPr>
        <w:t xml:space="preserve"> taxpayers and tax practitioners have certainty about the rate at which </w:t>
      </w:r>
      <w:r w:rsidR="000324FC" w:rsidRPr="00555E6B">
        <w:rPr>
          <w:rFonts w:ascii="Arial" w:hAnsi="Arial" w:cs="Arial"/>
          <w:sz w:val="22"/>
          <w:szCs w:val="22"/>
        </w:rPr>
        <w:t>work-related</w:t>
      </w:r>
      <w:r w:rsidR="000324FC" w:rsidRPr="004B6ECB">
        <w:rPr>
          <w:rFonts w:ascii="Arial" w:hAnsi="Arial" w:cs="Arial"/>
          <w:sz w:val="22"/>
          <w:szCs w:val="22"/>
        </w:rPr>
        <w:t xml:space="preserve"> car expense deductions may be claimed using the cents per kilometre method</w:t>
      </w:r>
      <w:r w:rsidR="001655EC" w:rsidRPr="004B6ECB">
        <w:rPr>
          <w:rFonts w:ascii="Arial" w:hAnsi="Arial" w:cs="Arial"/>
          <w:sz w:val="22"/>
          <w:szCs w:val="22"/>
        </w:rPr>
        <w:t>.</w:t>
      </w:r>
    </w:p>
    <w:p w14:paraId="6E499093" w14:textId="0BB74C04" w:rsidR="00FD0AF2" w:rsidRPr="004B6ECB" w:rsidRDefault="00FD0AF2" w:rsidP="004B6ECB">
      <w:pPr>
        <w:spacing w:after="120"/>
        <w:rPr>
          <w:rFonts w:ascii="Arial" w:hAnsi="Arial" w:cs="Arial"/>
          <w:sz w:val="22"/>
        </w:rPr>
      </w:pPr>
    </w:p>
    <w:p w14:paraId="528AF1A9" w14:textId="3067B547" w:rsidR="00C620E9" w:rsidRPr="004B6ECB" w:rsidRDefault="00640CC2" w:rsidP="004B6ECB">
      <w:pPr>
        <w:pStyle w:val="Heading2"/>
      </w:pPr>
      <w:r w:rsidRPr="004B6ECB">
        <w:t>Compliance cost assessment</w:t>
      </w:r>
    </w:p>
    <w:p w14:paraId="7D755205" w14:textId="674924CA" w:rsidR="003010D5" w:rsidRDefault="009B4C4A" w:rsidP="004B6ECB">
      <w:pPr>
        <w:numPr>
          <w:ilvl w:val="0"/>
          <w:numId w:val="16"/>
        </w:numPr>
        <w:tabs>
          <w:tab w:val="clear" w:pos="360"/>
        </w:tabs>
        <w:spacing w:after="120"/>
        <w:ind w:left="0" w:firstLine="0"/>
        <w:rPr>
          <w:rFonts w:ascii="Arial" w:hAnsi="Arial" w:cs="Arial"/>
          <w:sz w:val="22"/>
          <w:szCs w:val="22"/>
        </w:rPr>
      </w:pPr>
      <w:r w:rsidRPr="00783FF7">
        <w:rPr>
          <w:rFonts w:ascii="Arial" w:hAnsi="Arial" w:cs="Arial"/>
          <w:sz w:val="22"/>
          <w:szCs w:val="22"/>
        </w:rPr>
        <w:t xml:space="preserve">Compliance cost impact: Minor – </w:t>
      </w:r>
      <w:r w:rsidR="00431F81">
        <w:rPr>
          <w:rFonts w:ascii="Arial" w:hAnsi="Arial" w:cs="Arial"/>
          <w:sz w:val="22"/>
          <w:szCs w:val="22"/>
        </w:rPr>
        <w:t>t</w:t>
      </w:r>
      <w:r w:rsidRPr="00783FF7">
        <w:rPr>
          <w:rFonts w:ascii="Arial" w:hAnsi="Arial" w:cs="Arial"/>
          <w:sz w:val="22"/>
          <w:szCs w:val="22"/>
        </w:rPr>
        <w:t xml:space="preserve">here is no or minimal impact as the </w:t>
      </w:r>
      <w:r w:rsidR="00E75193" w:rsidRPr="00783FF7">
        <w:rPr>
          <w:rFonts w:ascii="Arial" w:hAnsi="Arial" w:cs="Arial"/>
          <w:sz w:val="22"/>
          <w:szCs w:val="22"/>
        </w:rPr>
        <w:t>l</w:t>
      </w:r>
      <w:r w:rsidRPr="00783FF7">
        <w:rPr>
          <w:rFonts w:ascii="Arial" w:hAnsi="Arial" w:cs="Arial"/>
          <w:sz w:val="22"/>
          <w:szCs w:val="22"/>
        </w:rPr>
        <w:t xml:space="preserve">egislative </w:t>
      </w:r>
      <w:r w:rsidR="00E75193" w:rsidRPr="00783FF7">
        <w:rPr>
          <w:rFonts w:ascii="Arial" w:hAnsi="Arial" w:cs="Arial"/>
          <w:sz w:val="22"/>
          <w:szCs w:val="22"/>
        </w:rPr>
        <w:t>i</w:t>
      </w:r>
      <w:r w:rsidRPr="00783FF7">
        <w:rPr>
          <w:rFonts w:ascii="Arial" w:hAnsi="Arial" w:cs="Arial"/>
          <w:sz w:val="22"/>
          <w:szCs w:val="22"/>
        </w:rPr>
        <w:t>nstrument is minor and machinery in nature</w:t>
      </w:r>
      <w:r w:rsidR="00F01D0D">
        <w:rPr>
          <w:rFonts w:ascii="Arial" w:hAnsi="Arial" w:cs="Arial"/>
          <w:sz w:val="22"/>
          <w:szCs w:val="22"/>
        </w:rPr>
        <w:t xml:space="preserve"> </w:t>
      </w:r>
      <w:r w:rsidR="00431F81">
        <w:rPr>
          <w:rFonts w:ascii="Arial" w:hAnsi="Arial" w:cs="Arial"/>
          <w:i/>
          <w:iCs/>
          <w:sz w:val="22"/>
          <w:szCs w:val="22"/>
        </w:rPr>
        <w:t>–</w:t>
      </w:r>
      <w:r w:rsidR="00F01D0D" w:rsidRPr="00F01D0D">
        <w:rPr>
          <w:rFonts w:ascii="Arial" w:hAnsi="Arial" w:cs="Arial"/>
          <w:i/>
          <w:iCs/>
          <w:sz w:val="22"/>
          <w:szCs w:val="22"/>
        </w:rPr>
        <w:t xml:space="preserve"> OIA24-07387</w:t>
      </w:r>
      <w:r w:rsidRPr="00783FF7">
        <w:rPr>
          <w:rFonts w:ascii="Arial" w:hAnsi="Arial" w:cs="Arial"/>
          <w:sz w:val="22"/>
          <w:szCs w:val="22"/>
        </w:rPr>
        <w:t>.</w:t>
      </w:r>
    </w:p>
    <w:p w14:paraId="78A7E339" w14:textId="01037A3E" w:rsidR="00FD0AF2" w:rsidRPr="004B6ECB" w:rsidRDefault="00FD0AF2" w:rsidP="004B6ECB">
      <w:pPr>
        <w:spacing w:after="120"/>
        <w:rPr>
          <w:rFonts w:ascii="Arial" w:hAnsi="Arial" w:cs="Arial"/>
          <w:sz w:val="22"/>
        </w:rPr>
      </w:pPr>
    </w:p>
    <w:p w14:paraId="15AC1B73" w14:textId="17AF88D2" w:rsidR="00486653" w:rsidRPr="004B6ECB" w:rsidRDefault="00486653" w:rsidP="004B6ECB">
      <w:pPr>
        <w:pStyle w:val="Heading2"/>
      </w:pPr>
      <w:r w:rsidRPr="004B6ECB">
        <w:t>Background</w:t>
      </w:r>
      <w:r w:rsidR="00193352">
        <w:t xml:space="preserve"> and </w:t>
      </w:r>
      <w:r w:rsidR="003A6A06">
        <w:t>m</w:t>
      </w:r>
      <w:r w:rsidR="00193352">
        <w:t>ethodology</w:t>
      </w:r>
    </w:p>
    <w:p w14:paraId="533B2E16" w14:textId="1F2FF55A" w:rsidR="00FC73A5" w:rsidRPr="004B6ECB" w:rsidRDefault="00FC73A5" w:rsidP="004B6ECB">
      <w:pPr>
        <w:numPr>
          <w:ilvl w:val="0"/>
          <w:numId w:val="16"/>
        </w:numPr>
        <w:tabs>
          <w:tab w:val="clear" w:pos="360"/>
        </w:tabs>
        <w:spacing w:after="120"/>
        <w:ind w:left="0" w:firstLine="0"/>
        <w:rPr>
          <w:rFonts w:ascii="Arial" w:eastAsia="Calibri" w:hAnsi="Arial" w:cs="Arial"/>
          <w:sz w:val="22"/>
          <w:szCs w:val="22"/>
          <w:lang w:eastAsia="en-US"/>
        </w:rPr>
      </w:pPr>
      <w:r w:rsidRPr="004B6ECB">
        <w:rPr>
          <w:rFonts w:ascii="Arial" w:hAnsi="Arial" w:cs="Arial"/>
          <w:sz w:val="22"/>
          <w:szCs w:val="22"/>
        </w:rPr>
        <w:t>This instrument has been developed to ensure that the rate</w:t>
      </w:r>
      <w:r w:rsidR="00E45697">
        <w:rPr>
          <w:rFonts w:ascii="Arial" w:hAnsi="Arial" w:cs="Arial"/>
          <w:sz w:val="22"/>
          <w:szCs w:val="22"/>
        </w:rPr>
        <w:t xml:space="preserve"> for claiming </w:t>
      </w:r>
      <w:r w:rsidR="00707174" w:rsidRPr="00555E6B">
        <w:rPr>
          <w:rFonts w:ascii="Arial" w:hAnsi="Arial" w:cs="Arial"/>
          <w:sz w:val="22"/>
          <w:szCs w:val="22"/>
        </w:rPr>
        <w:t>work-related</w:t>
      </w:r>
      <w:r w:rsidR="00707174" w:rsidRPr="004B6ECB">
        <w:rPr>
          <w:rFonts w:ascii="Arial" w:hAnsi="Arial" w:cs="Arial"/>
          <w:sz w:val="22"/>
          <w:szCs w:val="22"/>
        </w:rPr>
        <w:t xml:space="preserve"> car expense deductions using the cents per kilometre method is updated</w:t>
      </w:r>
      <w:r w:rsidR="00E45697">
        <w:rPr>
          <w:rFonts w:ascii="Arial" w:hAnsi="Arial" w:cs="Arial"/>
          <w:sz w:val="22"/>
          <w:szCs w:val="22"/>
        </w:rPr>
        <w:t xml:space="preserve"> to reflect </w:t>
      </w:r>
      <w:r w:rsidR="00575A3F" w:rsidRPr="00555E6B">
        <w:rPr>
          <w:rFonts w:ascii="Arial" w:hAnsi="Arial" w:cs="Arial"/>
          <w:sz w:val="22"/>
          <w:szCs w:val="22"/>
        </w:rPr>
        <w:t>recent</w:t>
      </w:r>
      <w:r w:rsidR="00575A3F">
        <w:rPr>
          <w:rFonts w:ascii="Arial" w:hAnsi="Arial" w:cs="Arial"/>
          <w:sz w:val="22"/>
          <w:szCs w:val="22"/>
        </w:rPr>
        <w:t xml:space="preserve"> </w:t>
      </w:r>
      <w:r w:rsidR="00E45697">
        <w:rPr>
          <w:rFonts w:ascii="Arial" w:hAnsi="Arial" w:cs="Arial"/>
          <w:sz w:val="22"/>
          <w:szCs w:val="22"/>
        </w:rPr>
        <w:t>average operating costs for cars. The rate has been updated</w:t>
      </w:r>
      <w:r w:rsidR="00707174" w:rsidRPr="004B6ECB">
        <w:rPr>
          <w:rFonts w:ascii="Arial" w:hAnsi="Arial" w:cs="Arial"/>
          <w:sz w:val="22"/>
          <w:szCs w:val="22"/>
        </w:rPr>
        <w:t xml:space="preserve"> </w:t>
      </w:r>
      <w:r w:rsidR="00202A04" w:rsidRPr="004B6ECB">
        <w:rPr>
          <w:rFonts w:ascii="Arial" w:hAnsi="Arial" w:cs="Arial"/>
          <w:sz w:val="22"/>
          <w:szCs w:val="22"/>
        </w:rPr>
        <w:t>in accordance with the annual movement of the Private Motoring Subgroup of the consumer price index (CPI)</w:t>
      </w:r>
      <w:r w:rsidR="00E45697">
        <w:rPr>
          <w:rFonts w:ascii="Arial" w:hAnsi="Arial" w:cs="Arial"/>
          <w:sz w:val="22"/>
          <w:szCs w:val="22"/>
        </w:rPr>
        <w:t>,</w:t>
      </w:r>
      <w:r w:rsidR="00202A04" w:rsidRPr="004B6ECB">
        <w:rPr>
          <w:rFonts w:ascii="Arial" w:hAnsi="Arial" w:cs="Arial"/>
          <w:sz w:val="22"/>
          <w:szCs w:val="22"/>
        </w:rPr>
        <w:t xml:space="preserve"> rounded to the nearest whole cent</w:t>
      </w:r>
      <w:r w:rsidR="00707174" w:rsidRPr="004B6ECB">
        <w:rPr>
          <w:rFonts w:ascii="Arial" w:hAnsi="Arial" w:cs="Arial"/>
          <w:sz w:val="22"/>
          <w:szCs w:val="22"/>
        </w:rPr>
        <w:t xml:space="preserve"> within the year.</w:t>
      </w:r>
    </w:p>
    <w:p w14:paraId="40495ADC" w14:textId="7C155217" w:rsidR="00FD3ABE" w:rsidRPr="004B6ECB" w:rsidRDefault="00FD3ABE" w:rsidP="005F2F73">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lastRenderedPageBreak/>
        <w:t xml:space="preserve">The latest Private Motoring Subgroup of the CPI numbers can be obtained from the </w:t>
      </w:r>
      <w:hyperlink r:id="rId8" w:anchor="data-download" w:history="1">
        <w:r w:rsidRPr="004B6ECB">
          <w:rPr>
            <w:rFonts w:ascii="Arial" w:hAnsi="Arial" w:cs="Arial"/>
            <w:sz w:val="22"/>
            <w:szCs w:val="22"/>
          </w:rPr>
          <w:t>A</w:t>
        </w:r>
        <w:r w:rsidR="00F07A70">
          <w:rPr>
            <w:rFonts w:ascii="Arial" w:hAnsi="Arial" w:cs="Arial"/>
            <w:sz w:val="22"/>
            <w:szCs w:val="22"/>
          </w:rPr>
          <w:t xml:space="preserve">ustralian </w:t>
        </w:r>
        <w:r w:rsidRPr="004B6ECB">
          <w:rPr>
            <w:rFonts w:ascii="Arial" w:hAnsi="Arial" w:cs="Arial"/>
            <w:sz w:val="22"/>
            <w:szCs w:val="22"/>
          </w:rPr>
          <w:t>B</w:t>
        </w:r>
        <w:r w:rsidR="00F07A70">
          <w:rPr>
            <w:rFonts w:ascii="Arial" w:hAnsi="Arial" w:cs="Arial"/>
            <w:sz w:val="22"/>
            <w:szCs w:val="22"/>
          </w:rPr>
          <w:t xml:space="preserve">ureau </w:t>
        </w:r>
        <w:r w:rsidR="00E32998">
          <w:rPr>
            <w:rFonts w:ascii="Arial" w:hAnsi="Arial" w:cs="Arial"/>
            <w:sz w:val="22"/>
            <w:szCs w:val="22"/>
          </w:rPr>
          <w:t xml:space="preserve">of </w:t>
        </w:r>
        <w:r w:rsidRPr="004B6ECB">
          <w:rPr>
            <w:rFonts w:ascii="Arial" w:hAnsi="Arial" w:cs="Arial"/>
            <w:sz w:val="22"/>
            <w:szCs w:val="22"/>
          </w:rPr>
          <w:t>S</w:t>
        </w:r>
        <w:r w:rsidR="00F07A70">
          <w:rPr>
            <w:rFonts w:ascii="Arial" w:hAnsi="Arial" w:cs="Arial"/>
            <w:sz w:val="22"/>
            <w:szCs w:val="22"/>
          </w:rPr>
          <w:t>tatistics</w:t>
        </w:r>
        <w:r w:rsidRPr="004B6ECB">
          <w:rPr>
            <w:rFonts w:ascii="Arial" w:hAnsi="Arial" w:cs="Arial"/>
            <w:sz w:val="22"/>
            <w:szCs w:val="22"/>
          </w:rPr>
          <w:t xml:space="preserve"> website for the latest CPI release</w:t>
        </w:r>
      </w:hyperlink>
      <w:r w:rsidRPr="004B6ECB">
        <w:rPr>
          <w:rFonts w:ascii="Arial" w:hAnsi="Arial" w:cs="Arial"/>
          <w:sz w:val="22"/>
          <w:szCs w:val="22"/>
        </w:rPr>
        <w:t xml:space="preserve">, by </w:t>
      </w:r>
      <w:r w:rsidRPr="00CB0D46">
        <w:rPr>
          <w:rFonts w:ascii="Arial" w:hAnsi="Arial" w:cs="Arial"/>
          <w:sz w:val="22"/>
          <w:szCs w:val="22"/>
        </w:rPr>
        <w:t>downloading Table 7 and looking for the series Index Numbers; Private motoring; Australia (series ID A2326656J).</w:t>
      </w:r>
    </w:p>
    <w:p w14:paraId="1061A807" w14:textId="09675F15" w:rsidR="00F75C22" w:rsidRPr="004B6ECB" w:rsidRDefault="00F75C22" w:rsidP="004B6ECB">
      <w:pPr>
        <w:numPr>
          <w:ilvl w:val="0"/>
          <w:numId w:val="16"/>
        </w:numPr>
        <w:tabs>
          <w:tab w:val="clear" w:pos="360"/>
        </w:tabs>
        <w:spacing w:after="120"/>
        <w:ind w:left="0" w:firstLine="0"/>
        <w:rPr>
          <w:rFonts w:ascii="Arial" w:eastAsia="Calibri" w:hAnsi="Arial" w:cs="Arial"/>
          <w:sz w:val="22"/>
          <w:szCs w:val="22"/>
          <w:lang w:eastAsia="en-US"/>
        </w:rPr>
      </w:pPr>
      <w:r w:rsidRPr="004B6ECB">
        <w:rPr>
          <w:rFonts w:ascii="Arial" w:hAnsi="Arial" w:cs="Arial"/>
          <w:sz w:val="22"/>
          <w:szCs w:val="22"/>
        </w:rPr>
        <w:t>Subsection 28-25(4) of the</w:t>
      </w:r>
      <w:r w:rsidR="00DC6C0F" w:rsidRPr="004B6ECB">
        <w:rPr>
          <w:rFonts w:ascii="Arial" w:hAnsi="Arial" w:cs="Arial"/>
          <w:sz w:val="22"/>
          <w:szCs w:val="22"/>
        </w:rPr>
        <w:t xml:space="preserve"> Act </w:t>
      </w:r>
      <w:r w:rsidRPr="004B6ECB">
        <w:rPr>
          <w:rFonts w:ascii="Arial" w:hAnsi="Arial" w:cs="Arial"/>
          <w:sz w:val="22"/>
          <w:szCs w:val="22"/>
        </w:rPr>
        <w:t>enables the Commissioner to determine rates of cents per kilometre for cars</w:t>
      </w:r>
      <w:r w:rsidR="00327111" w:rsidRPr="004B6ECB">
        <w:rPr>
          <w:rFonts w:ascii="Arial" w:hAnsi="Arial" w:cs="Arial"/>
          <w:sz w:val="22"/>
          <w:szCs w:val="22"/>
        </w:rPr>
        <w:t xml:space="preserve"> (</w:t>
      </w:r>
      <w:r w:rsidR="00DC6C0F" w:rsidRPr="004B6ECB">
        <w:rPr>
          <w:rFonts w:ascii="Arial" w:hAnsi="Arial" w:cs="Arial"/>
          <w:sz w:val="22"/>
          <w:szCs w:val="22"/>
        </w:rPr>
        <w:t xml:space="preserve">as defined in </w:t>
      </w:r>
      <w:r w:rsidR="00975C56" w:rsidRPr="004B6ECB">
        <w:rPr>
          <w:rFonts w:ascii="Arial" w:hAnsi="Arial" w:cs="Arial"/>
          <w:sz w:val="22"/>
          <w:szCs w:val="22"/>
        </w:rPr>
        <w:t>sub</w:t>
      </w:r>
      <w:r w:rsidR="00DC6C0F" w:rsidRPr="004B6ECB">
        <w:rPr>
          <w:rFonts w:ascii="Arial" w:hAnsi="Arial" w:cs="Arial"/>
          <w:sz w:val="22"/>
          <w:szCs w:val="22"/>
        </w:rPr>
        <w:t>section 995</w:t>
      </w:r>
      <w:r w:rsidR="00975C56" w:rsidRPr="004B6ECB">
        <w:rPr>
          <w:rFonts w:ascii="Arial" w:hAnsi="Arial" w:cs="Arial"/>
          <w:sz w:val="22"/>
          <w:szCs w:val="22"/>
        </w:rPr>
        <w:t>-1(1)</w:t>
      </w:r>
      <w:r w:rsidR="00DC6C0F" w:rsidRPr="004B6ECB">
        <w:rPr>
          <w:rFonts w:ascii="Arial" w:hAnsi="Arial" w:cs="Arial"/>
          <w:sz w:val="22"/>
          <w:szCs w:val="22"/>
        </w:rPr>
        <w:t xml:space="preserve"> of the Act</w:t>
      </w:r>
      <w:r w:rsidR="00327111" w:rsidRPr="004B6ECB">
        <w:rPr>
          <w:rFonts w:ascii="Arial" w:hAnsi="Arial" w:cs="Arial"/>
          <w:sz w:val="22"/>
          <w:szCs w:val="22"/>
        </w:rPr>
        <w:t>)</w:t>
      </w:r>
      <w:r w:rsidRPr="004B6ECB">
        <w:rPr>
          <w:rFonts w:ascii="Arial" w:hAnsi="Arial" w:cs="Arial"/>
          <w:sz w:val="22"/>
          <w:szCs w:val="22"/>
        </w:rPr>
        <w:t xml:space="preserve"> for an income year.</w:t>
      </w:r>
    </w:p>
    <w:p w14:paraId="0D77BEF5" w14:textId="0AC152BC" w:rsidR="00F75C22" w:rsidRPr="004B6ECB" w:rsidRDefault="00F75C22" w:rsidP="004B6ECB">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Subsection 28-25(5) of the</w:t>
      </w:r>
      <w:r w:rsidR="00DC6C0F" w:rsidRPr="004B6ECB">
        <w:rPr>
          <w:rFonts w:ascii="Arial" w:hAnsi="Arial" w:cs="Arial"/>
          <w:sz w:val="22"/>
          <w:szCs w:val="22"/>
        </w:rPr>
        <w:t xml:space="preserve"> Act </w:t>
      </w:r>
      <w:r w:rsidRPr="004B6ECB">
        <w:rPr>
          <w:rFonts w:ascii="Arial" w:hAnsi="Arial" w:cs="Arial"/>
          <w:sz w:val="22"/>
          <w:szCs w:val="22"/>
        </w:rPr>
        <w:t xml:space="preserve">requires the Commissioner, when determining the rate, </w:t>
      </w:r>
      <w:r w:rsidR="000E56A6">
        <w:rPr>
          <w:rFonts w:ascii="Arial" w:hAnsi="Arial" w:cs="Arial"/>
          <w:sz w:val="22"/>
          <w:szCs w:val="22"/>
        </w:rPr>
        <w:t xml:space="preserve">to </w:t>
      </w:r>
      <w:r w:rsidRPr="004B6ECB">
        <w:rPr>
          <w:rFonts w:ascii="Arial" w:hAnsi="Arial" w:cs="Arial"/>
          <w:sz w:val="22"/>
          <w:szCs w:val="22"/>
        </w:rPr>
        <w:t>have regard to the average operating costs for the cars to be covered by that rate.</w:t>
      </w:r>
    </w:p>
    <w:p w14:paraId="65287239" w14:textId="71FC1C35" w:rsidR="004B6ECB" w:rsidRDefault="00F75C22" w:rsidP="004B6ECB">
      <w:pPr>
        <w:numPr>
          <w:ilvl w:val="0"/>
          <w:numId w:val="16"/>
        </w:numPr>
        <w:tabs>
          <w:tab w:val="clear" w:pos="360"/>
        </w:tabs>
        <w:spacing w:after="120"/>
        <w:ind w:left="0" w:firstLine="0"/>
        <w:rPr>
          <w:rFonts w:ascii="Arial" w:hAnsi="Arial" w:cs="Arial"/>
          <w:color w:val="000000"/>
          <w:sz w:val="22"/>
          <w:szCs w:val="22"/>
        </w:rPr>
      </w:pPr>
      <w:bookmarkStart w:id="1" w:name="_Hlk102573344"/>
      <w:r w:rsidRPr="004B6ECB">
        <w:rPr>
          <w:rFonts w:ascii="Arial" w:hAnsi="Arial" w:cs="Arial"/>
          <w:sz w:val="22"/>
          <w:szCs w:val="22"/>
        </w:rPr>
        <w:t xml:space="preserve">To </w:t>
      </w:r>
      <w:proofErr w:type="gramStart"/>
      <w:r w:rsidRPr="004B6ECB">
        <w:rPr>
          <w:rFonts w:ascii="Arial" w:hAnsi="Arial" w:cs="Arial"/>
          <w:sz w:val="22"/>
          <w:szCs w:val="22"/>
        </w:rPr>
        <w:t>take into account</w:t>
      </w:r>
      <w:proofErr w:type="gramEnd"/>
      <w:r w:rsidRPr="004B6ECB">
        <w:rPr>
          <w:rFonts w:ascii="Arial" w:hAnsi="Arial" w:cs="Arial"/>
          <w:sz w:val="22"/>
          <w:szCs w:val="22"/>
        </w:rPr>
        <w:t xml:space="preserve"> variation within the year, the average index of the </w:t>
      </w:r>
      <w:r w:rsidR="00A23C33" w:rsidRPr="00555E6B">
        <w:rPr>
          <w:rFonts w:ascii="Arial" w:hAnsi="Arial" w:cs="Arial"/>
          <w:sz w:val="22"/>
          <w:szCs w:val="22"/>
        </w:rPr>
        <w:t>4</w:t>
      </w:r>
      <w:r w:rsidR="00A23C33" w:rsidRPr="004B6ECB">
        <w:rPr>
          <w:rFonts w:ascii="Arial" w:hAnsi="Arial" w:cs="Arial"/>
          <w:sz w:val="22"/>
          <w:szCs w:val="22"/>
        </w:rPr>
        <w:t xml:space="preserve"> </w:t>
      </w:r>
      <w:r w:rsidRPr="004B6ECB">
        <w:rPr>
          <w:rFonts w:ascii="Arial" w:hAnsi="Arial" w:cs="Arial"/>
          <w:sz w:val="22"/>
          <w:szCs w:val="22"/>
        </w:rPr>
        <w:t xml:space="preserve">most </w:t>
      </w:r>
      <w:r w:rsidRPr="00555E6B">
        <w:rPr>
          <w:rFonts w:ascii="Arial" w:hAnsi="Arial" w:cs="Arial"/>
          <w:sz w:val="22"/>
          <w:szCs w:val="22"/>
        </w:rPr>
        <w:t>recent</w:t>
      </w:r>
      <w:r w:rsidRPr="004B6ECB">
        <w:rPr>
          <w:rFonts w:ascii="Arial" w:hAnsi="Arial" w:cs="Arial"/>
          <w:sz w:val="22"/>
          <w:szCs w:val="22"/>
        </w:rPr>
        <w:t xml:space="preserve"> quarters for which data </w:t>
      </w:r>
      <w:r w:rsidRPr="004B6ECB">
        <w:rPr>
          <w:rFonts w:ascii="Arial" w:hAnsi="Arial" w:cs="Arial"/>
          <w:color w:val="000000"/>
          <w:sz w:val="22"/>
          <w:szCs w:val="22"/>
        </w:rPr>
        <w:t>is available is used.</w:t>
      </w:r>
    </w:p>
    <w:p w14:paraId="36D5232A" w14:textId="33A4C5AC" w:rsidR="00F75C22" w:rsidRPr="004B6ECB" w:rsidRDefault="0079471A" w:rsidP="0079471A">
      <w:pPr>
        <w:spacing w:after="120"/>
        <w:jc w:val="center"/>
        <w:rPr>
          <w:rFonts w:ascii="Arial" w:hAnsi="Arial" w:cs="Arial"/>
          <w:sz w:val="22"/>
          <w:szCs w:val="22"/>
        </w:rPr>
      </w:pPr>
      <w:r>
        <w:rPr>
          <w:rFonts w:ascii="Arial" w:hAnsi="Arial" w:cs="Arial"/>
          <w:noProof/>
          <w:sz w:val="22"/>
          <w:szCs w:val="22"/>
        </w:rPr>
        <w:drawing>
          <wp:inline distT="0" distB="0" distL="0" distR="0" wp14:anchorId="5340214A" wp14:editId="3DBDE0BF">
            <wp:extent cx="2596903" cy="365760"/>
            <wp:effectExtent l="0" t="0" r="0" b="0"/>
            <wp:docPr id="1" name="Picture 1" descr="A formula to calculate the average index by adding the indices for the June, September, December and March quarters together and dividing by f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ormula to calculate the average index by adding the indices for the June, September, December and March quarters together and dividing by four."/>
                    <pic:cNvPicPr/>
                  </pic:nvPicPr>
                  <pic:blipFill>
                    <a:blip r:embed="rId9">
                      <a:extLst>
                        <a:ext uri="{28A0092B-C50C-407E-A947-70E740481C1C}">
                          <a14:useLocalDpi xmlns:a14="http://schemas.microsoft.com/office/drawing/2010/main" val="0"/>
                        </a:ext>
                      </a:extLst>
                    </a:blip>
                    <a:stretch>
                      <a:fillRect/>
                    </a:stretch>
                  </pic:blipFill>
                  <pic:spPr>
                    <a:xfrm>
                      <a:off x="0" y="0"/>
                      <a:ext cx="2697888" cy="379983"/>
                    </a:xfrm>
                    <a:prstGeom prst="rect">
                      <a:avLst/>
                    </a:prstGeom>
                  </pic:spPr>
                </pic:pic>
              </a:graphicData>
            </a:graphic>
          </wp:inline>
        </w:drawing>
      </w:r>
    </w:p>
    <w:p w14:paraId="29B2D222" w14:textId="4281F1B5" w:rsidR="00F75C22" w:rsidRPr="004B6ECB" w:rsidRDefault="00F75C22" w:rsidP="004B6ECB">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 xml:space="preserve">The indexation factor is the ratio of the average index of the </w:t>
      </w:r>
      <w:r w:rsidR="00A23C33" w:rsidRPr="00555E6B">
        <w:rPr>
          <w:rFonts w:ascii="Arial" w:hAnsi="Arial" w:cs="Arial"/>
          <w:sz w:val="22"/>
          <w:szCs w:val="22"/>
        </w:rPr>
        <w:t>4</w:t>
      </w:r>
      <w:r w:rsidR="00A23C33" w:rsidRPr="004B6ECB">
        <w:rPr>
          <w:rFonts w:ascii="Arial" w:hAnsi="Arial" w:cs="Arial"/>
          <w:sz w:val="22"/>
          <w:szCs w:val="22"/>
        </w:rPr>
        <w:t xml:space="preserve"> </w:t>
      </w:r>
      <w:r w:rsidRPr="004B6ECB">
        <w:rPr>
          <w:rFonts w:ascii="Arial" w:hAnsi="Arial" w:cs="Arial"/>
          <w:sz w:val="22"/>
          <w:szCs w:val="22"/>
        </w:rPr>
        <w:t xml:space="preserve">most </w:t>
      </w:r>
      <w:r w:rsidRPr="00555E6B">
        <w:rPr>
          <w:rFonts w:ascii="Arial" w:hAnsi="Arial" w:cs="Arial"/>
          <w:sz w:val="22"/>
          <w:szCs w:val="22"/>
        </w:rPr>
        <w:t>recent</w:t>
      </w:r>
      <w:r w:rsidRPr="004B6ECB">
        <w:rPr>
          <w:rFonts w:ascii="Arial" w:hAnsi="Arial" w:cs="Arial"/>
          <w:sz w:val="22"/>
          <w:szCs w:val="22"/>
        </w:rPr>
        <w:t xml:space="preserve"> quarters with that of the previous year.</w:t>
      </w:r>
    </w:p>
    <w:p w14:paraId="4C342DF4" w14:textId="12632ED7" w:rsidR="00F75C22" w:rsidRPr="004B6ECB" w:rsidRDefault="0079471A" w:rsidP="0079471A">
      <w:pPr>
        <w:spacing w:after="120"/>
        <w:jc w:val="center"/>
        <w:rPr>
          <w:rFonts w:ascii="Arial" w:hAnsi="Arial" w:cs="Arial"/>
          <w:sz w:val="22"/>
          <w:szCs w:val="22"/>
        </w:rPr>
      </w:pPr>
      <w:r>
        <w:rPr>
          <w:rFonts w:ascii="Arial" w:hAnsi="Arial" w:cs="Arial"/>
          <w:noProof/>
          <w:sz w:val="22"/>
          <w:szCs w:val="22"/>
        </w:rPr>
        <w:drawing>
          <wp:inline distT="0" distB="0" distL="0" distR="0" wp14:anchorId="0208979F" wp14:editId="33812033">
            <wp:extent cx="2194560" cy="479839"/>
            <wp:effectExtent l="0" t="0" r="0" b="0"/>
            <wp:docPr id="2" name="Picture 2" descr="A formula to calculate the indexation factor by comparing the average index for June 2023 to March 2024 with the average index for June 2022 to March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formula to calculate the indexation factor by comparing the average index for June 2023 to March 2024 with the average index for June 2022 to March 2023."/>
                    <pic:cNvPicPr/>
                  </pic:nvPicPr>
                  <pic:blipFill>
                    <a:blip r:embed="rId10">
                      <a:extLst>
                        <a:ext uri="{28A0092B-C50C-407E-A947-70E740481C1C}">
                          <a14:useLocalDpi xmlns:a14="http://schemas.microsoft.com/office/drawing/2010/main" val="0"/>
                        </a:ext>
                      </a:extLst>
                    </a:blip>
                    <a:stretch>
                      <a:fillRect/>
                    </a:stretch>
                  </pic:blipFill>
                  <pic:spPr>
                    <a:xfrm>
                      <a:off x="0" y="0"/>
                      <a:ext cx="2234421" cy="488555"/>
                    </a:xfrm>
                    <a:prstGeom prst="rect">
                      <a:avLst/>
                    </a:prstGeom>
                  </pic:spPr>
                </pic:pic>
              </a:graphicData>
            </a:graphic>
          </wp:inline>
        </w:drawing>
      </w:r>
    </w:p>
    <w:bookmarkEnd w:id="1"/>
    <w:p w14:paraId="09DE7408" w14:textId="2B19C1CA" w:rsidR="004B6ECB" w:rsidRDefault="00F75C22" w:rsidP="004B6ECB">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 xml:space="preserve">After applying the indexation factor to the </w:t>
      </w:r>
      <w:r w:rsidR="007A1217" w:rsidRPr="004B6ECB">
        <w:rPr>
          <w:rFonts w:ascii="Arial" w:hAnsi="Arial" w:cs="Arial"/>
          <w:sz w:val="22"/>
          <w:szCs w:val="22"/>
        </w:rPr>
        <w:t xml:space="preserve">published </w:t>
      </w:r>
      <w:r w:rsidRPr="004B6ECB">
        <w:rPr>
          <w:rFonts w:ascii="Arial" w:hAnsi="Arial" w:cs="Arial"/>
          <w:sz w:val="22"/>
          <w:szCs w:val="22"/>
        </w:rPr>
        <w:t>rate for the 202</w:t>
      </w:r>
      <w:r w:rsidR="003044C9">
        <w:rPr>
          <w:rFonts w:ascii="Arial" w:hAnsi="Arial" w:cs="Arial"/>
          <w:sz w:val="22"/>
          <w:szCs w:val="22"/>
        </w:rPr>
        <w:t>3</w:t>
      </w:r>
      <w:r w:rsidRPr="004B6ECB">
        <w:rPr>
          <w:rFonts w:ascii="Arial" w:hAnsi="Arial" w:cs="Arial"/>
          <w:sz w:val="22"/>
          <w:szCs w:val="22"/>
        </w:rPr>
        <w:t>–2</w:t>
      </w:r>
      <w:r w:rsidR="003044C9">
        <w:rPr>
          <w:rFonts w:ascii="Arial" w:hAnsi="Arial" w:cs="Arial"/>
          <w:sz w:val="22"/>
          <w:szCs w:val="22"/>
        </w:rPr>
        <w:t>4</w:t>
      </w:r>
      <w:r w:rsidRPr="004B6ECB">
        <w:rPr>
          <w:rFonts w:ascii="Arial" w:hAnsi="Arial" w:cs="Arial"/>
          <w:sz w:val="22"/>
          <w:szCs w:val="22"/>
        </w:rPr>
        <w:t xml:space="preserve"> income year of </w:t>
      </w:r>
      <w:r w:rsidR="003044C9">
        <w:rPr>
          <w:rFonts w:ascii="Arial" w:hAnsi="Arial" w:cs="Arial"/>
          <w:sz w:val="22"/>
          <w:szCs w:val="22"/>
        </w:rPr>
        <w:t>85</w:t>
      </w:r>
      <w:r w:rsidR="004B6ECB">
        <w:rPr>
          <w:rFonts w:ascii="Arial" w:hAnsi="Arial" w:cs="Arial"/>
          <w:sz w:val="22"/>
          <w:szCs w:val="22"/>
        </w:rPr>
        <w:t> </w:t>
      </w:r>
      <w:r w:rsidRPr="004B6ECB">
        <w:rPr>
          <w:rFonts w:ascii="Arial" w:hAnsi="Arial" w:cs="Arial"/>
          <w:sz w:val="22"/>
          <w:szCs w:val="22"/>
        </w:rPr>
        <w:t xml:space="preserve">cents per kilometre, the Commissioner has determined that the rate of </w:t>
      </w:r>
      <w:r w:rsidR="00D84FF3" w:rsidRPr="00CB0D46">
        <w:rPr>
          <w:rFonts w:ascii="Arial" w:hAnsi="Arial" w:cs="Arial"/>
          <w:sz w:val="22"/>
          <w:szCs w:val="22"/>
        </w:rPr>
        <w:t>88</w:t>
      </w:r>
      <w:r w:rsidR="007F76B5" w:rsidRPr="004B6ECB">
        <w:rPr>
          <w:rFonts w:ascii="Arial" w:hAnsi="Arial" w:cs="Arial"/>
          <w:sz w:val="22"/>
          <w:szCs w:val="22"/>
        </w:rPr>
        <w:t> </w:t>
      </w:r>
      <w:r w:rsidRPr="004B6ECB">
        <w:rPr>
          <w:rFonts w:ascii="Arial" w:hAnsi="Arial" w:cs="Arial"/>
          <w:sz w:val="22"/>
          <w:szCs w:val="22"/>
        </w:rPr>
        <w:t>cents per kilometre will apply for the income year commencing from 1 July 202</w:t>
      </w:r>
      <w:r w:rsidR="003044C9">
        <w:rPr>
          <w:rFonts w:ascii="Arial" w:hAnsi="Arial" w:cs="Arial"/>
          <w:sz w:val="22"/>
          <w:szCs w:val="22"/>
        </w:rPr>
        <w:t>4</w:t>
      </w:r>
      <w:r w:rsidR="00E45697">
        <w:rPr>
          <w:rFonts w:ascii="Arial" w:hAnsi="Arial" w:cs="Arial"/>
          <w:sz w:val="22"/>
          <w:szCs w:val="22"/>
        </w:rPr>
        <w:t xml:space="preserve"> (and subsequent income years, until such time as the instrument is repealed or varied)</w:t>
      </w:r>
      <w:r w:rsidRPr="004B6ECB">
        <w:rPr>
          <w:rFonts w:ascii="Arial" w:hAnsi="Arial" w:cs="Arial"/>
          <w:sz w:val="22"/>
          <w:szCs w:val="22"/>
        </w:rPr>
        <w:t>.</w:t>
      </w:r>
    </w:p>
    <w:p w14:paraId="15AC1B76" w14:textId="52B877F3" w:rsidR="00486653" w:rsidRPr="004B6ECB" w:rsidRDefault="00486653" w:rsidP="004B6ECB">
      <w:pPr>
        <w:spacing w:after="120"/>
        <w:rPr>
          <w:rFonts w:ascii="Arial" w:hAnsi="Arial" w:cs="Arial"/>
          <w:sz w:val="22"/>
        </w:rPr>
      </w:pPr>
    </w:p>
    <w:p w14:paraId="15AC1B77" w14:textId="77777777" w:rsidR="00486653" w:rsidRPr="004B6ECB" w:rsidRDefault="00E10B37" w:rsidP="004B6ECB">
      <w:pPr>
        <w:pStyle w:val="Heading2"/>
      </w:pPr>
      <w:r w:rsidRPr="004B6ECB">
        <w:t>Consultation</w:t>
      </w:r>
    </w:p>
    <w:p w14:paraId="0A269F56" w14:textId="08424103" w:rsidR="009B78CF" w:rsidRPr="00FB5D3A" w:rsidRDefault="009B78CF" w:rsidP="009B78CF">
      <w:pPr>
        <w:numPr>
          <w:ilvl w:val="0"/>
          <w:numId w:val="16"/>
        </w:numPr>
        <w:tabs>
          <w:tab w:val="clear" w:pos="360"/>
        </w:tabs>
        <w:spacing w:after="120"/>
        <w:ind w:left="0" w:firstLine="0"/>
        <w:rPr>
          <w:rFonts w:ascii="Arial" w:hAnsi="Arial" w:cs="Arial"/>
          <w:sz w:val="22"/>
          <w:szCs w:val="22"/>
        </w:rPr>
      </w:pPr>
      <w:r w:rsidRPr="00FB5D3A">
        <w:rPr>
          <w:rFonts w:ascii="Arial" w:hAnsi="Arial" w:cs="Arial"/>
          <w:sz w:val="22"/>
          <w:szCs w:val="22"/>
        </w:rPr>
        <w:t>For this instrument, broad public consultation was undertaken for a period of 3 weeks to 22 May 202</w:t>
      </w:r>
      <w:r>
        <w:rPr>
          <w:rFonts w:ascii="Arial" w:hAnsi="Arial" w:cs="Arial"/>
          <w:sz w:val="22"/>
          <w:szCs w:val="22"/>
        </w:rPr>
        <w:t>4.</w:t>
      </w:r>
    </w:p>
    <w:p w14:paraId="06BB53A7" w14:textId="58FB2E18" w:rsidR="009B78CF" w:rsidRPr="00FB5D3A" w:rsidRDefault="009B78CF" w:rsidP="009B78CF">
      <w:pPr>
        <w:numPr>
          <w:ilvl w:val="0"/>
          <w:numId w:val="16"/>
        </w:numPr>
        <w:tabs>
          <w:tab w:val="clear" w:pos="360"/>
        </w:tabs>
        <w:spacing w:after="120"/>
        <w:ind w:left="0" w:firstLine="0"/>
        <w:rPr>
          <w:rFonts w:ascii="Arial" w:hAnsi="Arial" w:cs="Arial"/>
          <w:sz w:val="22"/>
          <w:szCs w:val="22"/>
        </w:rPr>
      </w:pPr>
      <w:r w:rsidRPr="00FB5D3A">
        <w:rPr>
          <w:rFonts w:ascii="Arial" w:hAnsi="Arial" w:cs="Arial"/>
          <w:sz w:val="22"/>
          <w:szCs w:val="22"/>
        </w:rPr>
        <w:t xml:space="preserve">The draft instrument and draft explanatory statement were published to the ATO Legal database. Publication was advertised via the ‘What’s new’ page on that website, and via the ‘Open Consultation’ page on ato.gov.au. Major tax and superannuation publishers and associations monitor these pages and include the details in the daily and weekly alerts and newsletters to their subscribers and members. This ensures advice </w:t>
      </w:r>
      <w:r w:rsidR="002C3504">
        <w:rPr>
          <w:rFonts w:ascii="Arial" w:hAnsi="Arial" w:cs="Arial"/>
          <w:sz w:val="22"/>
          <w:szCs w:val="22"/>
        </w:rPr>
        <w:t xml:space="preserve">about </w:t>
      </w:r>
      <w:r w:rsidRPr="00FB5D3A">
        <w:rPr>
          <w:rFonts w:ascii="Arial" w:hAnsi="Arial" w:cs="Arial"/>
          <w:sz w:val="22"/>
          <w:szCs w:val="22"/>
        </w:rPr>
        <w:t>the draft is disseminated widely across the tax professional community, and that they are in an informed position to provide comments and feedback.</w:t>
      </w:r>
    </w:p>
    <w:p w14:paraId="5B84E3FD" w14:textId="372444BB" w:rsidR="009B78CF" w:rsidRPr="00FB5D3A" w:rsidRDefault="009B78CF" w:rsidP="009B78CF">
      <w:pPr>
        <w:numPr>
          <w:ilvl w:val="0"/>
          <w:numId w:val="16"/>
        </w:numPr>
        <w:tabs>
          <w:tab w:val="clear" w:pos="360"/>
        </w:tabs>
        <w:spacing w:after="120"/>
        <w:ind w:left="0" w:firstLine="0"/>
        <w:rPr>
          <w:rFonts w:ascii="Arial" w:hAnsi="Arial" w:cs="Arial"/>
          <w:sz w:val="22"/>
          <w:szCs w:val="22"/>
        </w:rPr>
      </w:pPr>
      <w:r w:rsidRPr="00FB5D3A">
        <w:rPr>
          <w:rFonts w:ascii="Arial" w:hAnsi="Arial" w:cs="Arial"/>
          <w:sz w:val="22"/>
          <w:szCs w:val="22"/>
        </w:rPr>
        <w:t xml:space="preserve">No comments were received </w:t>
      </w:r>
      <w:proofErr w:type="gramStart"/>
      <w:r w:rsidRPr="00FB5D3A">
        <w:rPr>
          <w:rFonts w:ascii="Arial" w:hAnsi="Arial" w:cs="Arial"/>
          <w:sz w:val="22"/>
          <w:szCs w:val="22"/>
        </w:rPr>
        <w:t>as a result of</w:t>
      </w:r>
      <w:proofErr w:type="gramEnd"/>
      <w:r w:rsidRPr="00FB5D3A">
        <w:rPr>
          <w:rFonts w:ascii="Arial" w:hAnsi="Arial" w:cs="Arial"/>
          <w:sz w:val="22"/>
          <w:szCs w:val="22"/>
        </w:rPr>
        <w:t xml:space="preserve"> consultation. </w:t>
      </w:r>
    </w:p>
    <w:p w14:paraId="02BE7C4E" w14:textId="049D3C19" w:rsidR="00910595" w:rsidRPr="004B6ECB" w:rsidRDefault="00910595" w:rsidP="004B6ECB">
      <w:pPr>
        <w:spacing w:after="120"/>
        <w:rPr>
          <w:rFonts w:ascii="Arial" w:hAnsi="Arial" w:cs="Arial"/>
          <w:sz w:val="22"/>
        </w:rPr>
      </w:pPr>
    </w:p>
    <w:p w14:paraId="540D5FF0" w14:textId="77777777" w:rsidR="00910595" w:rsidRPr="004B6ECB" w:rsidRDefault="00910595" w:rsidP="004B6ECB">
      <w:pPr>
        <w:spacing w:after="120"/>
        <w:rPr>
          <w:rFonts w:ascii="Arial" w:hAnsi="Arial" w:cs="Arial"/>
          <w:sz w:val="22"/>
        </w:rPr>
      </w:pPr>
    </w:p>
    <w:p w14:paraId="20265FB8" w14:textId="77777777" w:rsidR="00910595" w:rsidRPr="004B6ECB" w:rsidRDefault="00910595" w:rsidP="004B6ECB">
      <w:pPr>
        <w:spacing w:after="120"/>
        <w:rPr>
          <w:rFonts w:ascii="Arial" w:hAnsi="Arial" w:cs="Arial"/>
          <w:sz w:val="22"/>
        </w:rPr>
      </w:pPr>
    </w:p>
    <w:p w14:paraId="69FE8C27" w14:textId="77777777" w:rsidR="009371D0" w:rsidRPr="004B6ECB" w:rsidRDefault="007E0A01" w:rsidP="004B6ECB">
      <w:pPr>
        <w:pStyle w:val="Heading3"/>
        <w:spacing w:before="0"/>
        <w:rPr>
          <w:i/>
          <w:sz w:val="20"/>
          <w:szCs w:val="20"/>
        </w:rPr>
      </w:pPr>
      <w:r w:rsidRPr="004B6ECB">
        <w:rPr>
          <w:i/>
          <w:sz w:val="20"/>
          <w:szCs w:val="20"/>
        </w:rPr>
        <w:t>Legislative references</w:t>
      </w:r>
    </w:p>
    <w:p w14:paraId="3199FC78" w14:textId="77777777" w:rsidR="006407B8" w:rsidRPr="004B6ECB" w:rsidRDefault="006407B8" w:rsidP="004B6ECB">
      <w:pPr>
        <w:rPr>
          <w:rFonts w:ascii="Arial" w:hAnsi="Arial" w:cs="Arial"/>
          <w:i/>
          <w:sz w:val="20"/>
        </w:rPr>
      </w:pPr>
      <w:r w:rsidRPr="004B6ECB">
        <w:rPr>
          <w:rFonts w:ascii="Arial" w:hAnsi="Arial" w:cs="Arial"/>
          <w:i/>
          <w:sz w:val="20"/>
        </w:rPr>
        <w:t>Acts Interpretation Act 1901</w:t>
      </w:r>
    </w:p>
    <w:p w14:paraId="7B7765B3" w14:textId="77777777" w:rsidR="006407B8" w:rsidRPr="004B6ECB" w:rsidRDefault="006407B8" w:rsidP="004B6ECB">
      <w:pPr>
        <w:rPr>
          <w:rFonts w:ascii="Arial" w:hAnsi="Arial" w:cs="Arial"/>
          <w:i/>
          <w:sz w:val="20"/>
        </w:rPr>
      </w:pPr>
      <w:r w:rsidRPr="004B6ECB">
        <w:rPr>
          <w:rFonts w:ascii="Arial" w:hAnsi="Arial" w:cs="Arial"/>
          <w:i/>
          <w:sz w:val="20"/>
          <w:szCs w:val="18"/>
        </w:rPr>
        <w:t>Human Rights (</w:t>
      </w:r>
      <w:r w:rsidRPr="00555E6B">
        <w:rPr>
          <w:rFonts w:ascii="Arial" w:hAnsi="Arial" w:cs="Arial"/>
          <w:i/>
          <w:sz w:val="20"/>
          <w:szCs w:val="18"/>
        </w:rPr>
        <w:t>Parliament</w:t>
      </w:r>
      <w:r w:rsidRPr="004B6ECB">
        <w:rPr>
          <w:rFonts w:ascii="Arial" w:hAnsi="Arial" w:cs="Arial"/>
          <w:i/>
          <w:sz w:val="20"/>
          <w:szCs w:val="18"/>
        </w:rPr>
        <w:t>ary Scrutiny) Act 2011</w:t>
      </w:r>
    </w:p>
    <w:p w14:paraId="2E8589A0" w14:textId="77777777" w:rsidR="006407B8" w:rsidRPr="004B6ECB" w:rsidRDefault="006407B8" w:rsidP="004B6ECB">
      <w:pPr>
        <w:rPr>
          <w:rFonts w:ascii="Arial" w:hAnsi="Arial" w:cs="Arial"/>
          <w:i/>
          <w:sz w:val="20"/>
        </w:rPr>
      </w:pPr>
      <w:r w:rsidRPr="004B6ECB">
        <w:rPr>
          <w:rFonts w:ascii="Arial" w:hAnsi="Arial" w:cs="Arial"/>
          <w:i/>
          <w:sz w:val="20"/>
        </w:rPr>
        <w:t>Income Tax Assessment Act 1997</w:t>
      </w:r>
    </w:p>
    <w:p w14:paraId="53FD93DE" w14:textId="77777777" w:rsidR="006407B8" w:rsidRPr="004B6ECB" w:rsidRDefault="006407B8" w:rsidP="004B6ECB">
      <w:pPr>
        <w:rPr>
          <w:rFonts w:ascii="Arial" w:hAnsi="Arial" w:cs="Arial"/>
          <w:i/>
          <w:sz w:val="20"/>
        </w:rPr>
      </w:pPr>
      <w:r w:rsidRPr="004B6ECB">
        <w:rPr>
          <w:rFonts w:ascii="Arial" w:hAnsi="Arial" w:cs="Arial"/>
          <w:i/>
          <w:sz w:val="20"/>
        </w:rPr>
        <w:t>Legislation Act 2003</w:t>
      </w:r>
    </w:p>
    <w:p w14:paraId="15AC1BA5" w14:textId="7AA8952E" w:rsidR="00333567" w:rsidRPr="004B6ECB" w:rsidRDefault="00333567" w:rsidP="004B6ECB">
      <w:pPr>
        <w:spacing w:after="120"/>
        <w:rPr>
          <w:rFonts w:ascii="Arial" w:hAnsi="Arial" w:cs="Arial"/>
          <w:sz w:val="22"/>
          <w:szCs w:val="22"/>
        </w:rPr>
      </w:pPr>
    </w:p>
    <w:p w14:paraId="15AC1BA6" w14:textId="071C8BC4" w:rsidR="00101CD5" w:rsidRPr="004B6ECB" w:rsidRDefault="00101CD5" w:rsidP="004B6ECB">
      <w:pPr>
        <w:spacing w:after="120"/>
        <w:rPr>
          <w:rFonts w:ascii="Arial" w:hAnsi="Arial" w:cs="Arial"/>
          <w:sz w:val="22"/>
          <w:szCs w:val="22"/>
        </w:rPr>
      </w:pPr>
      <w:r w:rsidRPr="004B6ECB">
        <w:rPr>
          <w:rFonts w:ascii="Arial" w:hAnsi="Arial" w:cs="Arial"/>
          <w:sz w:val="22"/>
          <w:szCs w:val="22"/>
        </w:rPr>
        <w:br w:type="page"/>
      </w:r>
    </w:p>
    <w:p w14:paraId="15AC1BAC" w14:textId="5B0E51F7" w:rsidR="00333567" w:rsidRPr="004B6ECB" w:rsidRDefault="00E53399" w:rsidP="004B6ECB">
      <w:pPr>
        <w:pStyle w:val="Heading3"/>
        <w:spacing w:before="0" w:after="120"/>
        <w:jc w:val="center"/>
        <w:rPr>
          <w:sz w:val="24"/>
        </w:rPr>
      </w:pPr>
      <w:r w:rsidRPr="004B6ECB">
        <w:rPr>
          <w:sz w:val="24"/>
        </w:rPr>
        <w:lastRenderedPageBreak/>
        <w:t xml:space="preserve">Statement of compatibility </w:t>
      </w:r>
      <w:r w:rsidR="00C11D03" w:rsidRPr="004B6ECB">
        <w:rPr>
          <w:sz w:val="24"/>
        </w:rPr>
        <w:t xml:space="preserve">with </w:t>
      </w:r>
      <w:r w:rsidR="00675153">
        <w:rPr>
          <w:sz w:val="24"/>
        </w:rPr>
        <w:t>h</w:t>
      </w:r>
      <w:r w:rsidR="00C11D03" w:rsidRPr="004B6ECB">
        <w:rPr>
          <w:sz w:val="24"/>
        </w:rPr>
        <w:t xml:space="preserve">uman </w:t>
      </w:r>
      <w:r w:rsidR="00675153">
        <w:rPr>
          <w:sz w:val="24"/>
        </w:rPr>
        <w:t>r</w:t>
      </w:r>
      <w:r w:rsidR="00C11D03" w:rsidRPr="004B6ECB">
        <w:rPr>
          <w:sz w:val="24"/>
        </w:rPr>
        <w:t>ights</w:t>
      </w:r>
    </w:p>
    <w:p w14:paraId="15AC1BAD" w14:textId="173C6FE4" w:rsidR="00E53399" w:rsidRPr="000E56A6" w:rsidRDefault="004F5EB1" w:rsidP="004B6ECB">
      <w:pPr>
        <w:autoSpaceDE w:val="0"/>
        <w:autoSpaceDN w:val="0"/>
        <w:adjustRightInd w:val="0"/>
        <w:spacing w:after="120"/>
        <w:rPr>
          <w:rFonts w:ascii="Arial" w:hAnsi="Arial" w:cs="Arial"/>
          <w:iCs/>
        </w:rPr>
      </w:pPr>
      <w:r w:rsidRPr="004B6ECB">
        <w:rPr>
          <w:rFonts w:ascii="Arial" w:hAnsi="Arial" w:cs="Arial"/>
          <w:sz w:val="22"/>
        </w:rPr>
        <w:t>P</w:t>
      </w:r>
      <w:r w:rsidR="00E53399" w:rsidRPr="004B6ECB">
        <w:rPr>
          <w:rFonts w:ascii="Arial" w:hAnsi="Arial" w:cs="Arial"/>
          <w:sz w:val="22"/>
        </w:rPr>
        <w:t xml:space="preserve">repared in accordance with Part 3 of the </w:t>
      </w:r>
      <w:r w:rsidR="00E53399" w:rsidRPr="004B6ECB">
        <w:rPr>
          <w:rFonts w:ascii="Arial" w:hAnsi="Arial" w:cs="Arial"/>
          <w:i/>
          <w:sz w:val="22"/>
        </w:rPr>
        <w:t>Human Rights (</w:t>
      </w:r>
      <w:r w:rsidR="00E53399" w:rsidRPr="00555E6B">
        <w:rPr>
          <w:rFonts w:ascii="Arial" w:hAnsi="Arial" w:cs="Arial"/>
          <w:i/>
          <w:sz w:val="22"/>
        </w:rPr>
        <w:t>Parliament</w:t>
      </w:r>
      <w:r w:rsidR="00E53399" w:rsidRPr="004B6ECB">
        <w:rPr>
          <w:rFonts w:ascii="Arial" w:hAnsi="Arial" w:cs="Arial"/>
          <w:i/>
          <w:sz w:val="22"/>
        </w:rPr>
        <w:t>ary Scrutiny) Act 2011</w:t>
      </w:r>
    </w:p>
    <w:p w14:paraId="15AC1BAE" w14:textId="68DA81E7" w:rsidR="00D77015" w:rsidRPr="004B6ECB" w:rsidRDefault="00D77015" w:rsidP="004B6ECB">
      <w:pPr>
        <w:spacing w:after="120"/>
        <w:rPr>
          <w:rFonts w:ascii="Arial" w:hAnsi="Arial" w:cs="Arial"/>
          <w:sz w:val="22"/>
        </w:rPr>
      </w:pPr>
    </w:p>
    <w:p w14:paraId="15AC1BAF" w14:textId="42C5DD8D" w:rsidR="002A26FE" w:rsidRPr="003010D5" w:rsidRDefault="00B44E39" w:rsidP="004B6ECB">
      <w:pPr>
        <w:pStyle w:val="Heading2"/>
        <w:jc w:val="center"/>
      </w:pPr>
      <w:r w:rsidRPr="003010D5">
        <w:t xml:space="preserve">Income Tax Assessment </w:t>
      </w:r>
      <w:r w:rsidR="007D3586" w:rsidRPr="003010D5">
        <w:t>(</w:t>
      </w:r>
      <w:r w:rsidRPr="003010D5">
        <w:t xml:space="preserve">Cents per </w:t>
      </w:r>
      <w:r w:rsidR="000E56A6" w:rsidRPr="003010D5">
        <w:t>K</w:t>
      </w:r>
      <w:r w:rsidRPr="003010D5">
        <w:t>ilometre Deduction Rate for Car Expenses</w:t>
      </w:r>
      <w:r w:rsidR="007D3586" w:rsidRPr="003010D5">
        <w:t>)</w:t>
      </w:r>
      <w:r w:rsidRPr="003010D5">
        <w:t xml:space="preserve"> Determination</w:t>
      </w:r>
      <w:r w:rsidR="003010D5" w:rsidRPr="003010D5">
        <w:t> </w:t>
      </w:r>
      <w:r w:rsidRPr="003010D5">
        <w:t>202</w:t>
      </w:r>
      <w:r w:rsidR="003044C9" w:rsidRPr="003010D5">
        <w:t>4</w:t>
      </w:r>
    </w:p>
    <w:p w14:paraId="54F9AC2D" w14:textId="5E22C284" w:rsidR="009371D0" w:rsidRPr="004B6ECB" w:rsidRDefault="00075B58" w:rsidP="004B6ECB">
      <w:pPr>
        <w:autoSpaceDE w:val="0"/>
        <w:autoSpaceDN w:val="0"/>
        <w:adjustRightInd w:val="0"/>
        <w:spacing w:after="120"/>
        <w:rPr>
          <w:rFonts w:ascii="Arial" w:hAnsi="Arial" w:cs="Arial"/>
          <w:color w:val="000000"/>
          <w:sz w:val="22"/>
        </w:rPr>
      </w:pPr>
      <w:r w:rsidRPr="004B6ECB">
        <w:rPr>
          <w:rFonts w:ascii="Arial" w:hAnsi="Arial" w:cs="Arial"/>
          <w:color w:val="000000"/>
          <w:sz w:val="22"/>
        </w:rPr>
        <w:t xml:space="preserve">This </w:t>
      </w:r>
      <w:r w:rsidR="003B547B" w:rsidRPr="004B6ECB">
        <w:rPr>
          <w:rFonts w:ascii="Arial" w:hAnsi="Arial" w:cs="Arial"/>
          <w:color w:val="000000"/>
          <w:sz w:val="22"/>
        </w:rPr>
        <w:t>l</w:t>
      </w:r>
      <w:r w:rsidRPr="004B6ECB">
        <w:rPr>
          <w:rFonts w:ascii="Arial" w:hAnsi="Arial" w:cs="Arial"/>
          <w:color w:val="000000"/>
          <w:sz w:val="22"/>
        </w:rPr>
        <w:t xml:space="preserve">egislative </w:t>
      </w:r>
      <w:r w:rsidR="003B547B" w:rsidRPr="004B6ECB">
        <w:rPr>
          <w:rFonts w:ascii="Arial" w:hAnsi="Arial" w:cs="Arial"/>
          <w:color w:val="000000"/>
          <w:sz w:val="22"/>
        </w:rPr>
        <w:t>i</w:t>
      </w:r>
      <w:r w:rsidRPr="004B6ECB">
        <w:rPr>
          <w:rFonts w:ascii="Arial" w:hAnsi="Arial" w:cs="Arial"/>
          <w:color w:val="000000"/>
          <w:sz w:val="22"/>
        </w:rPr>
        <w:t xml:space="preserve">nstrument is compatible with the human rights and freedoms recognised or declared in the international instruments listed in section 3 of the </w:t>
      </w:r>
      <w:r w:rsidRPr="004B6ECB">
        <w:rPr>
          <w:rFonts w:ascii="Arial" w:hAnsi="Arial" w:cs="Arial"/>
          <w:i/>
          <w:color w:val="000000"/>
          <w:sz w:val="22"/>
        </w:rPr>
        <w:t>Human Righ</w:t>
      </w:r>
      <w:r w:rsidR="00101CD5" w:rsidRPr="004B6ECB">
        <w:rPr>
          <w:rFonts w:ascii="Arial" w:hAnsi="Arial" w:cs="Arial"/>
          <w:i/>
          <w:color w:val="000000"/>
          <w:sz w:val="22"/>
        </w:rPr>
        <w:t>ts (</w:t>
      </w:r>
      <w:r w:rsidR="00101CD5" w:rsidRPr="00555E6B">
        <w:rPr>
          <w:rFonts w:ascii="Arial" w:hAnsi="Arial" w:cs="Arial"/>
          <w:i/>
          <w:color w:val="000000"/>
          <w:sz w:val="22"/>
        </w:rPr>
        <w:t>Parliament</w:t>
      </w:r>
      <w:r w:rsidR="00101CD5" w:rsidRPr="004B6ECB">
        <w:rPr>
          <w:rFonts w:ascii="Arial" w:hAnsi="Arial" w:cs="Arial"/>
          <w:i/>
          <w:color w:val="000000"/>
          <w:sz w:val="22"/>
        </w:rPr>
        <w:t>ary Scrutiny) Act </w:t>
      </w:r>
      <w:r w:rsidRPr="004B6ECB">
        <w:rPr>
          <w:rFonts w:ascii="Arial" w:hAnsi="Arial" w:cs="Arial"/>
          <w:i/>
          <w:color w:val="000000"/>
          <w:sz w:val="22"/>
        </w:rPr>
        <w:t>2011.</w:t>
      </w:r>
    </w:p>
    <w:p w14:paraId="15AC1BB2" w14:textId="6553A54F" w:rsidR="00075B58" w:rsidRPr="004B6ECB" w:rsidRDefault="00075B58" w:rsidP="004B6ECB">
      <w:pPr>
        <w:spacing w:after="120"/>
        <w:rPr>
          <w:rFonts w:ascii="Arial" w:hAnsi="Arial" w:cs="Arial"/>
          <w:sz w:val="22"/>
        </w:rPr>
      </w:pPr>
    </w:p>
    <w:p w14:paraId="15AC1BB3" w14:textId="2377D27B" w:rsidR="00075B58" w:rsidRPr="004B6ECB" w:rsidRDefault="00075B58" w:rsidP="004B6ECB">
      <w:pPr>
        <w:pStyle w:val="Heading2"/>
      </w:pPr>
      <w:r w:rsidRPr="004B6ECB">
        <w:t xml:space="preserve">Overview of </w:t>
      </w:r>
      <w:r w:rsidR="007E0A01" w:rsidRPr="004B6ECB">
        <w:t xml:space="preserve">the </w:t>
      </w:r>
      <w:r w:rsidR="003B547B" w:rsidRPr="004B6ECB">
        <w:t>l</w:t>
      </w:r>
      <w:r w:rsidRPr="004B6ECB">
        <w:t xml:space="preserve">egislative </w:t>
      </w:r>
      <w:r w:rsidR="003B547B" w:rsidRPr="004B6ECB">
        <w:t>i</w:t>
      </w:r>
      <w:r w:rsidRPr="004B6ECB">
        <w:t>nstrument</w:t>
      </w:r>
    </w:p>
    <w:p w14:paraId="7121E89A" w14:textId="07F4E5B8" w:rsidR="00B44E39" w:rsidRPr="004B6ECB" w:rsidRDefault="00B44E39" w:rsidP="004B6ECB">
      <w:pPr>
        <w:spacing w:after="120"/>
        <w:rPr>
          <w:rFonts w:ascii="Arial" w:hAnsi="Arial" w:cs="Arial"/>
          <w:sz w:val="22"/>
          <w:szCs w:val="22"/>
        </w:rPr>
      </w:pPr>
      <w:r w:rsidRPr="004B6ECB">
        <w:rPr>
          <w:rFonts w:ascii="Arial" w:hAnsi="Arial" w:cs="Arial"/>
          <w:sz w:val="22"/>
          <w:szCs w:val="22"/>
        </w:rPr>
        <w:t xml:space="preserve">This </w:t>
      </w:r>
      <w:r w:rsidR="007D3586" w:rsidRPr="004B6ECB">
        <w:rPr>
          <w:rFonts w:ascii="Arial" w:hAnsi="Arial" w:cs="Arial"/>
          <w:sz w:val="22"/>
          <w:szCs w:val="22"/>
        </w:rPr>
        <w:t>i</w:t>
      </w:r>
      <w:r w:rsidRPr="004B6ECB">
        <w:rPr>
          <w:rFonts w:ascii="Arial" w:hAnsi="Arial" w:cs="Arial"/>
          <w:sz w:val="22"/>
          <w:szCs w:val="22"/>
        </w:rPr>
        <w:t xml:space="preserve">nstrument sets the rate at which </w:t>
      </w:r>
      <w:r w:rsidRPr="00555E6B">
        <w:rPr>
          <w:rFonts w:ascii="Arial" w:hAnsi="Arial" w:cs="Arial"/>
          <w:sz w:val="22"/>
          <w:szCs w:val="22"/>
        </w:rPr>
        <w:t>work-related</w:t>
      </w:r>
      <w:r w:rsidRPr="004B6ECB">
        <w:rPr>
          <w:rFonts w:ascii="Arial" w:hAnsi="Arial" w:cs="Arial"/>
          <w:sz w:val="22"/>
          <w:szCs w:val="22"/>
        </w:rPr>
        <w:t xml:space="preserve"> car expense deductions may be claimed in an income year when using the cents per kilometre method.</w:t>
      </w:r>
    </w:p>
    <w:p w14:paraId="15AC1BB5" w14:textId="77777777" w:rsidR="00075B58" w:rsidRPr="004B6ECB" w:rsidRDefault="00075B58" w:rsidP="004B6ECB">
      <w:pPr>
        <w:spacing w:after="120"/>
        <w:rPr>
          <w:rFonts w:ascii="Arial" w:hAnsi="Arial" w:cs="Arial"/>
          <w:sz w:val="22"/>
        </w:rPr>
      </w:pPr>
    </w:p>
    <w:p w14:paraId="15AC1BB6" w14:textId="77777777" w:rsidR="00075B58" w:rsidRPr="004B6ECB" w:rsidRDefault="00075B58" w:rsidP="004B6ECB">
      <w:pPr>
        <w:pStyle w:val="Heading2"/>
      </w:pPr>
      <w:r w:rsidRPr="004B6ECB">
        <w:t>Human rights implications</w:t>
      </w:r>
    </w:p>
    <w:p w14:paraId="708BFC2B" w14:textId="7746BFB2" w:rsidR="00B44E39" w:rsidRDefault="00075B58" w:rsidP="004B6ECB">
      <w:pPr>
        <w:spacing w:after="120"/>
        <w:rPr>
          <w:rFonts w:ascii="Arial" w:hAnsi="Arial" w:cs="Arial"/>
          <w:sz w:val="22"/>
        </w:rPr>
      </w:pPr>
      <w:r w:rsidRPr="004B6ECB">
        <w:rPr>
          <w:rFonts w:ascii="Arial" w:hAnsi="Arial" w:cs="Arial"/>
          <w:sz w:val="22"/>
        </w:rPr>
        <w:t xml:space="preserve">This </w:t>
      </w:r>
      <w:r w:rsidR="003B547B" w:rsidRPr="004B6ECB">
        <w:rPr>
          <w:rFonts w:ascii="Arial" w:hAnsi="Arial" w:cs="Arial"/>
          <w:sz w:val="22"/>
        </w:rPr>
        <w:t>l</w:t>
      </w:r>
      <w:r w:rsidRPr="004B6ECB">
        <w:rPr>
          <w:rFonts w:ascii="Arial" w:hAnsi="Arial" w:cs="Arial"/>
          <w:sz w:val="22"/>
        </w:rPr>
        <w:t xml:space="preserve">egislative </w:t>
      </w:r>
      <w:r w:rsidR="003B547B" w:rsidRPr="004B6ECB">
        <w:rPr>
          <w:rFonts w:ascii="Arial" w:hAnsi="Arial" w:cs="Arial"/>
          <w:sz w:val="22"/>
        </w:rPr>
        <w:t>i</w:t>
      </w:r>
      <w:r w:rsidRPr="004B6ECB">
        <w:rPr>
          <w:rFonts w:ascii="Arial" w:hAnsi="Arial" w:cs="Arial"/>
          <w:sz w:val="22"/>
        </w:rPr>
        <w:t>nstrument does not engage any of the applicable rights or freedoms</w:t>
      </w:r>
      <w:r w:rsidR="00AF5308" w:rsidRPr="004B6ECB">
        <w:rPr>
          <w:rFonts w:ascii="Arial" w:hAnsi="Arial" w:cs="Arial"/>
          <w:sz w:val="22"/>
        </w:rPr>
        <w:t xml:space="preserve"> </w:t>
      </w:r>
      <w:r w:rsidR="00B44E39" w:rsidRPr="004B6ECB">
        <w:rPr>
          <w:rFonts w:ascii="Arial" w:hAnsi="Arial" w:cs="Arial"/>
          <w:sz w:val="22"/>
        </w:rPr>
        <w:t xml:space="preserve">as it simply sets the rate at which </w:t>
      </w:r>
      <w:r w:rsidR="00B44E39" w:rsidRPr="00555E6B">
        <w:rPr>
          <w:rFonts w:ascii="Arial" w:hAnsi="Arial" w:cs="Arial"/>
          <w:sz w:val="22"/>
        </w:rPr>
        <w:t>work-related</w:t>
      </w:r>
      <w:r w:rsidR="00B44E39" w:rsidRPr="004B6ECB">
        <w:rPr>
          <w:rFonts w:ascii="Arial" w:hAnsi="Arial" w:cs="Arial"/>
          <w:sz w:val="22"/>
        </w:rPr>
        <w:t xml:space="preserve"> car expense deductions may be claimed in an income year when using the cents per kilometre method.</w:t>
      </w:r>
    </w:p>
    <w:p w14:paraId="7034FCAF" w14:textId="77777777" w:rsidR="004B6ECB" w:rsidRPr="004B6ECB" w:rsidRDefault="004B6ECB" w:rsidP="004B6ECB">
      <w:pPr>
        <w:spacing w:after="120"/>
        <w:rPr>
          <w:rFonts w:ascii="Arial" w:hAnsi="Arial" w:cs="Arial"/>
          <w:sz w:val="22"/>
        </w:rPr>
      </w:pPr>
    </w:p>
    <w:p w14:paraId="15AC1BB9" w14:textId="77777777" w:rsidR="00075B58" w:rsidRPr="004B6ECB" w:rsidRDefault="00075B58" w:rsidP="004B6ECB">
      <w:pPr>
        <w:pStyle w:val="Heading2"/>
      </w:pPr>
      <w:r w:rsidRPr="004B6ECB">
        <w:t>Conclusion</w:t>
      </w:r>
    </w:p>
    <w:p w14:paraId="15AC1BBA" w14:textId="73D23D6B" w:rsidR="00075B58" w:rsidRPr="004B6ECB" w:rsidRDefault="00075B58" w:rsidP="004B6ECB">
      <w:pPr>
        <w:spacing w:after="120"/>
        <w:rPr>
          <w:rFonts w:ascii="Arial" w:hAnsi="Arial" w:cs="Arial"/>
          <w:sz w:val="22"/>
          <w:szCs w:val="22"/>
        </w:rPr>
      </w:pPr>
      <w:r w:rsidRPr="004B6ECB">
        <w:rPr>
          <w:rFonts w:ascii="Arial" w:hAnsi="Arial" w:cs="Arial"/>
          <w:sz w:val="22"/>
          <w:szCs w:val="22"/>
        </w:rPr>
        <w:t xml:space="preserve">This </w:t>
      </w:r>
      <w:r w:rsidR="003B547B" w:rsidRPr="004B6ECB">
        <w:rPr>
          <w:rFonts w:ascii="Arial" w:hAnsi="Arial" w:cs="Arial"/>
          <w:sz w:val="22"/>
          <w:szCs w:val="22"/>
        </w:rPr>
        <w:t>l</w:t>
      </w:r>
      <w:r w:rsidRPr="004B6ECB">
        <w:rPr>
          <w:rFonts w:ascii="Arial" w:hAnsi="Arial" w:cs="Arial"/>
          <w:sz w:val="22"/>
          <w:szCs w:val="22"/>
        </w:rPr>
        <w:t xml:space="preserve">egislative </w:t>
      </w:r>
      <w:r w:rsidR="003B547B" w:rsidRPr="004B6ECB">
        <w:rPr>
          <w:rFonts w:ascii="Arial" w:hAnsi="Arial" w:cs="Arial"/>
          <w:sz w:val="22"/>
          <w:szCs w:val="22"/>
        </w:rPr>
        <w:t>i</w:t>
      </w:r>
      <w:r w:rsidRPr="004B6ECB">
        <w:rPr>
          <w:rFonts w:ascii="Arial" w:hAnsi="Arial" w:cs="Arial"/>
          <w:sz w:val="22"/>
          <w:szCs w:val="22"/>
        </w:rPr>
        <w:t>nstrument is compatible with human rights as it does not raise any human rights issues.</w:t>
      </w:r>
    </w:p>
    <w:sectPr w:rsidR="00075B58" w:rsidRPr="004B6ECB" w:rsidSect="00081520">
      <w:headerReference w:type="even" r:id="rId11"/>
      <w:headerReference w:type="default" r:id="rId12"/>
      <w:footerReference w:type="even" r:id="rId13"/>
      <w:footerReference w:type="default" r:id="rId14"/>
      <w:headerReference w:type="first" r:id="rId15"/>
      <w:footerReference w:type="first" r:id="rId16"/>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821E6" w14:textId="77777777" w:rsidR="00C11906" w:rsidRDefault="00C11906">
      <w:r>
        <w:separator/>
      </w:r>
    </w:p>
  </w:endnote>
  <w:endnote w:type="continuationSeparator" w:id="0">
    <w:p w14:paraId="7088B527" w14:textId="77777777" w:rsidR="00C11906" w:rsidRDefault="00C1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8441" w14:textId="77777777" w:rsidR="00B730C8" w:rsidRDefault="00B73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BD0D" w14:textId="77777777" w:rsidR="00B730C8" w:rsidRDefault="00B73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07B" w14:textId="77777777" w:rsidR="00B730C8" w:rsidRDefault="00B73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4C525" w14:textId="77777777" w:rsidR="00C11906" w:rsidRDefault="00C11906">
      <w:r>
        <w:separator/>
      </w:r>
    </w:p>
  </w:footnote>
  <w:footnote w:type="continuationSeparator" w:id="0">
    <w:p w14:paraId="060C3E2C" w14:textId="77777777" w:rsidR="00C11906" w:rsidRDefault="00C11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D054" w14:textId="77777777" w:rsidR="00B730C8" w:rsidRDefault="00B7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1DE716B5"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03EC1DD9"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7E403F57">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8"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9"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2A33E2"/>
    <w:multiLevelType w:val="hybridMultilevel"/>
    <w:tmpl w:val="643E0896"/>
    <w:lvl w:ilvl="0" w:tplc="4A38B6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7"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1"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2"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4"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3FCC3903"/>
    <w:multiLevelType w:val="hybridMultilevel"/>
    <w:tmpl w:val="E01063DC"/>
    <w:lvl w:ilvl="0" w:tplc="AFEEC97A">
      <w:start w:val="1"/>
      <w:numFmt w:val="decimal"/>
      <w:lvlText w:val="%1."/>
      <w:lvlJc w:val="left"/>
      <w:pPr>
        <w:tabs>
          <w:tab w:val="num" w:pos="360"/>
        </w:tabs>
        <w:ind w:left="360" w:hanging="360"/>
      </w:pPr>
      <w:rPr>
        <w:rFonts w:hint="default"/>
        <w:i w:val="0"/>
        <w:iCs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9"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6"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15111958">
    <w:abstractNumId w:val="4"/>
  </w:num>
  <w:num w:numId="2" w16cid:durableId="475607193">
    <w:abstractNumId w:val="17"/>
  </w:num>
  <w:num w:numId="3" w16cid:durableId="887838942">
    <w:abstractNumId w:val="27"/>
  </w:num>
  <w:num w:numId="4" w16cid:durableId="148179237">
    <w:abstractNumId w:val="43"/>
  </w:num>
  <w:num w:numId="5" w16cid:durableId="2043818388">
    <w:abstractNumId w:val="6"/>
  </w:num>
  <w:num w:numId="6" w16cid:durableId="710376425">
    <w:abstractNumId w:val="15"/>
  </w:num>
  <w:num w:numId="7" w16cid:durableId="447506725">
    <w:abstractNumId w:val="38"/>
  </w:num>
  <w:num w:numId="8" w16cid:durableId="401831305">
    <w:abstractNumId w:val="37"/>
  </w:num>
  <w:num w:numId="9" w16cid:durableId="1292902581">
    <w:abstractNumId w:val="29"/>
  </w:num>
  <w:num w:numId="10" w16cid:durableId="2141224377">
    <w:abstractNumId w:val="24"/>
  </w:num>
  <w:num w:numId="11" w16cid:durableId="11691754">
    <w:abstractNumId w:val="44"/>
  </w:num>
  <w:num w:numId="12" w16cid:durableId="1501852825">
    <w:abstractNumId w:val="39"/>
  </w:num>
  <w:num w:numId="13" w16cid:durableId="1403067484">
    <w:abstractNumId w:val="42"/>
  </w:num>
  <w:num w:numId="14" w16cid:durableId="2013412294">
    <w:abstractNumId w:val="41"/>
  </w:num>
  <w:num w:numId="15" w16cid:durableId="23293416">
    <w:abstractNumId w:val="22"/>
  </w:num>
  <w:num w:numId="16" w16cid:durableId="1785072647">
    <w:abstractNumId w:val="26"/>
  </w:num>
  <w:num w:numId="17" w16cid:durableId="1360742141">
    <w:abstractNumId w:val="11"/>
  </w:num>
  <w:num w:numId="18" w16cid:durableId="893852445">
    <w:abstractNumId w:val="18"/>
  </w:num>
  <w:num w:numId="19" w16cid:durableId="378625067">
    <w:abstractNumId w:val="3"/>
  </w:num>
  <w:num w:numId="20" w16cid:durableId="207497915">
    <w:abstractNumId w:val="1"/>
  </w:num>
  <w:num w:numId="21" w16cid:durableId="151022158">
    <w:abstractNumId w:val="14"/>
  </w:num>
  <w:num w:numId="22" w16cid:durableId="1739522443">
    <w:abstractNumId w:val="35"/>
  </w:num>
  <w:num w:numId="23" w16cid:durableId="1852378983">
    <w:abstractNumId w:val="10"/>
  </w:num>
  <w:num w:numId="24" w16cid:durableId="121265439">
    <w:abstractNumId w:val="21"/>
  </w:num>
  <w:num w:numId="25" w16cid:durableId="887759867">
    <w:abstractNumId w:val="33"/>
  </w:num>
  <w:num w:numId="26" w16cid:durableId="44644986">
    <w:abstractNumId w:val="32"/>
  </w:num>
  <w:num w:numId="27" w16cid:durableId="229967743">
    <w:abstractNumId w:val="9"/>
  </w:num>
  <w:num w:numId="28" w16cid:durableId="46075295">
    <w:abstractNumId w:val="36"/>
  </w:num>
  <w:num w:numId="29" w16cid:durableId="1302468264">
    <w:abstractNumId w:val="20"/>
  </w:num>
  <w:num w:numId="30" w16cid:durableId="1599364024">
    <w:abstractNumId w:val="16"/>
  </w:num>
  <w:num w:numId="31" w16cid:durableId="1976910434">
    <w:abstractNumId w:val="7"/>
  </w:num>
  <w:num w:numId="32" w16cid:durableId="2076467443">
    <w:abstractNumId w:val="0"/>
  </w:num>
  <w:num w:numId="33" w16cid:durableId="1175875437">
    <w:abstractNumId w:val="8"/>
  </w:num>
  <w:num w:numId="34" w16cid:durableId="2102333496">
    <w:abstractNumId w:val="28"/>
  </w:num>
  <w:num w:numId="35" w16cid:durableId="95101200">
    <w:abstractNumId w:val="40"/>
  </w:num>
  <w:num w:numId="36" w16cid:durableId="1075661360">
    <w:abstractNumId w:val="19"/>
  </w:num>
  <w:num w:numId="37" w16cid:durableId="1954283781">
    <w:abstractNumId w:val="13"/>
  </w:num>
  <w:num w:numId="38" w16cid:durableId="9454393">
    <w:abstractNumId w:val="23"/>
  </w:num>
  <w:num w:numId="39" w16cid:durableId="689650843">
    <w:abstractNumId w:val="23"/>
  </w:num>
  <w:num w:numId="40" w16cid:durableId="15105656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89280558">
    <w:abstractNumId w:val="25"/>
  </w:num>
  <w:num w:numId="42" w16cid:durableId="599530237">
    <w:abstractNumId w:val="31"/>
  </w:num>
  <w:num w:numId="43" w16cid:durableId="1763337523">
    <w:abstractNumId w:val="2"/>
  </w:num>
  <w:num w:numId="44" w16cid:durableId="304241559">
    <w:abstractNumId w:val="5"/>
  </w:num>
  <w:num w:numId="45" w16cid:durableId="878669612">
    <w:abstractNumId w:val="34"/>
  </w:num>
  <w:num w:numId="46" w16cid:durableId="2003771523">
    <w:abstractNumId w:val="30"/>
  </w:num>
  <w:num w:numId="47" w16cid:durableId="10011994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6A79"/>
    <w:rsid w:val="000117B2"/>
    <w:rsid w:val="0001428D"/>
    <w:rsid w:val="0001796D"/>
    <w:rsid w:val="00017BF0"/>
    <w:rsid w:val="0002568B"/>
    <w:rsid w:val="000324FC"/>
    <w:rsid w:val="00043FA7"/>
    <w:rsid w:val="00044383"/>
    <w:rsid w:val="000456FA"/>
    <w:rsid w:val="000552E8"/>
    <w:rsid w:val="00056585"/>
    <w:rsid w:val="0005674F"/>
    <w:rsid w:val="00056C6A"/>
    <w:rsid w:val="00065C6E"/>
    <w:rsid w:val="000723CF"/>
    <w:rsid w:val="00072E6E"/>
    <w:rsid w:val="00073B87"/>
    <w:rsid w:val="00073F1B"/>
    <w:rsid w:val="00075B58"/>
    <w:rsid w:val="00081520"/>
    <w:rsid w:val="00086068"/>
    <w:rsid w:val="000A29BC"/>
    <w:rsid w:val="000B11DD"/>
    <w:rsid w:val="000B1785"/>
    <w:rsid w:val="000B5FD7"/>
    <w:rsid w:val="000C1517"/>
    <w:rsid w:val="000C390A"/>
    <w:rsid w:val="000C77DD"/>
    <w:rsid w:val="000C7C4F"/>
    <w:rsid w:val="000E295B"/>
    <w:rsid w:val="000E45A0"/>
    <w:rsid w:val="000E56A6"/>
    <w:rsid w:val="00101CD5"/>
    <w:rsid w:val="00107460"/>
    <w:rsid w:val="00112415"/>
    <w:rsid w:val="001229C8"/>
    <w:rsid w:val="001354D3"/>
    <w:rsid w:val="00136010"/>
    <w:rsid w:val="0013678D"/>
    <w:rsid w:val="00140A34"/>
    <w:rsid w:val="0014339B"/>
    <w:rsid w:val="00145A3D"/>
    <w:rsid w:val="00146ED8"/>
    <w:rsid w:val="00161A05"/>
    <w:rsid w:val="001655EC"/>
    <w:rsid w:val="00167202"/>
    <w:rsid w:val="0017748B"/>
    <w:rsid w:val="0018232A"/>
    <w:rsid w:val="001828A4"/>
    <w:rsid w:val="00193352"/>
    <w:rsid w:val="001A3BE2"/>
    <w:rsid w:val="001B4A72"/>
    <w:rsid w:val="001C35E7"/>
    <w:rsid w:val="001C4578"/>
    <w:rsid w:val="001D02E6"/>
    <w:rsid w:val="001F0184"/>
    <w:rsid w:val="001F28A6"/>
    <w:rsid w:val="001F2A16"/>
    <w:rsid w:val="001F6921"/>
    <w:rsid w:val="001F7C3E"/>
    <w:rsid w:val="00201969"/>
    <w:rsid w:val="00202A04"/>
    <w:rsid w:val="0021222C"/>
    <w:rsid w:val="00213FA5"/>
    <w:rsid w:val="0021496E"/>
    <w:rsid w:val="00222AFB"/>
    <w:rsid w:val="0023733A"/>
    <w:rsid w:val="0024044F"/>
    <w:rsid w:val="0024046D"/>
    <w:rsid w:val="00240CFB"/>
    <w:rsid w:val="00245D00"/>
    <w:rsid w:val="00255A7B"/>
    <w:rsid w:val="00257F2D"/>
    <w:rsid w:val="00262F9F"/>
    <w:rsid w:val="00266D2D"/>
    <w:rsid w:val="002725A1"/>
    <w:rsid w:val="0027331F"/>
    <w:rsid w:val="00280CAA"/>
    <w:rsid w:val="002824BA"/>
    <w:rsid w:val="00285E76"/>
    <w:rsid w:val="002949C3"/>
    <w:rsid w:val="002A10A4"/>
    <w:rsid w:val="002A26FE"/>
    <w:rsid w:val="002B1423"/>
    <w:rsid w:val="002C34D4"/>
    <w:rsid w:val="002C3504"/>
    <w:rsid w:val="002F0DAE"/>
    <w:rsid w:val="002F1257"/>
    <w:rsid w:val="002F6C13"/>
    <w:rsid w:val="003010D5"/>
    <w:rsid w:val="003044C9"/>
    <w:rsid w:val="00310C61"/>
    <w:rsid w:val="003171B3"/>
    <w:rsid w:val="0032559D"/>
    <w:rsid w:val="00327111"/>
    <w:rsid w:val="00331616"/>
    <w:rsid w:val="00333567"/>
    <w:rsid w:val="00344575"/>
    <w:rsid w:val="0035113C"/>
    <w:rsid w:val="00354525"/>
    <w:rsid w:val="00374385"/>
    <w:rsid w:val="00380CC4"/>
    <w:rsid w:val="003959A5"/>
    <w:rsid w:val="003A5DF8"/>
    <w:rsid w:val="003A5FBE"/>
    <w:rsid w:val="003A5FDA"/>
    <w:rsid w:val="003A6A06"/>
    <w:rsid w:val="003A7087"/>
    <w:rsid w:val="003B396C"/>
    <w:rsid w:val="003B547B"/>
    <w:rsid w:val="003B5F78"/>
    <w:rsid w:val="003C0686"/>
    <w:rsid w:val="003C2F8B"/>
    <w:rsid w:val="003C3E84"/>
    <w:rsid w:val="003D08CF"/>
    <w:rsid w:val="003D0CBA"/>
    <w:rsid w:val="003D0F6A"/>
    <w:rsid w:val="003D4BA8"/>
    <w:rsid w:val="003E5269"/>
    <w:rsid w:val="003F1963"/>
    <w:rsid w:val="00405394"/>
    <w:rsid w:val="004066E4"/>
    <w:rsid w:val="0040680B"/>
    <w:rsid w:val="00407361"/>
    <w:rsid w:val="00416940"/>
    <w:rsid w:val="00417C55"/>
    <w:rsid w:val="00424A7B"/>
    <w:rsid w:val="00431F81"/>
    <w:rsid w:val="004447C1"/>
    <w:rsid w:val="00446AA8"/>
    <w:rsid w:val="0045590D"/>
    <w:rsid w:val="0046211F"/>
    <w:rsid w:val="0046787B"/>
    <w:rsid w:val="00482DE2"/>
    <w:rsid w:val="00485F8C"/>
    <w:rsid w:val="00486653"/>
    <w:rsid w:val="004908D7"/>
    <w:rsid w:val="00493CA7"/>
    <w:rsid w:val="004A5FDA"/>
    <w:rsid w:val="004B6ECB"/>
    <w:rsid w:val="004D098C"/>
    <w:rsid w:val="004D24A9"/>
    <w:rsid w:val="004D41FE"/>
    <w:rsid w:val="004D6FE1"/>
    <w:rsid w:val="004E5357"/>
    <w:rsid w:val="004F4A07"/>
    <w:rsid w:val="004F5EB1"/>
    <w:rsid w:val="004F6887"/>
    <w:rsid w:val="005030AD"/>
    <w:rsid w:val="0051249C"/>
    <w:rsid w:val="005176E7"/>
    <w:rsid w:val="00520330"/>
    <w:rsid w:val="00524B6B"/>
    <w:rsid w:val="00526403"/>
    <w:rsid w:val="005320CF"/>
    <w:rsid w:val="00534FB5"/>
    <w:rsid w:val="005413EE"/>
    <w:rsid w:val="00555E6B"/>
    <w:rsid w:val="005717A0"/>
    <w:rsid w:val="00575A3F"/>
    <w:rsid w:val="00587443"/>
    <w:rsid w:val="00587C50"/>
    <w:rsid w:val="005917F3"/>
    <w:rsid w:val="00592AB3"/>
    <w:rsid w:val="005B090D"/>
    <w:rsid w:val="005B0ACD"/>
    <w:rsid w:val="005B1C48"/>
    <w:rsid w:val="005B50A2"/>
    <w:rsid w:val="005B7E01"/>
    <w:rsid w:val="005C3408"/>
    <w:rsid w:val="005C35B6"/>
    <w:rsid w:val="005D1EE0"/>
    <w:rsid w:val="005D200E"/>
    <w:rsid w:val="005D611B"/>
    <w:rsid w:val="005F1ACE"/>
    <w:rsid w:val="005F256D"/>
    <w:rsid w:val="005F2F73"/>
    <w:rsid w:val="006014EE"/>
    <w:rsid w:val="0060183A"/>
    <w:rsid w:val="00603110"/>
    <w:rsid w:val="00611C8E"/>
    <w:rsid w:val="006215B8"/>
    <w:rsid w:val="00624954"/>
    <w:rsid w:val="006302F7"/>
    <w:rsid w:val="00631F30"/>
    <w:rsid w:val="006407B8"/>
    <w:rsid w:val="00640CC2"/>
    <w:rsid w:val="00642420"/>
    <w:rsid w:val="00646158"/>
    <w:rsid w:val="006513F4"/>
    <w:rsid w:val="00652113"/>
    <w:rsid w:val="0066622C"/>
    <w:rsid w:val="00666487"/>
    <w:rsid w:val="00673B37"/>
    <w:rsid w:val="00675153"/>
    <w:rsid w:val="00676444"/>
    <w:rsid w:val="006945EA"/>
    <w:rsid w:val="006951F6"/>
    <w:rsid w:val="006A5F84"/>
    <w:rsid w:val="006B5470"/>
    <w:rsid w:val="006D0138"/>
    <w:rsid w:val="006D6F52"/>
    <w:rsid w:val="00701718"/>
    <w:rsid w:val="00702E13"/>
    <w:rsid w:val="00707174"/>
    <w:rsid w:val="00710359"/>
    <w:rsid w:val="00712FFF"/>
    <w:rsid w:val="00722DBF"/>
    <w:rsid w:val="00735157"/>
    <w:rsid w:val="00753FE6"/>
    <w:rsid w:val="0076271C"/>
    <w:rsid w:val="00767CE8"/>
    <w:rsid w:val="00775490"/>
    <w:rsid w:val="00781231"/>
    <w:rsid w:val="00783FF7"/>
    <w:rsid w:val="0078538B"/>
    <w:rsid w:val="00786223"/>
    <w:rsid w:val="00792090"/>
    <w:rsid w:val="00792A93"/>
    <w:rsid w:val="0079471A"/>
    <w:rsid w:val="00795D0C"/>
    <w:rsid w:val="00797F42"/>
    <w:rsid w:val="007A1217"/>
    <w:rsid w:val="007A55BA"/>
    <w:rsid w:val="007B24FE"/>
    <w:rsid w:val="007C1FBD"/>
    <w:rsid w:val="007C54B3"/>
    <w:rsid w:val="007C5C8E"/>
    <w:rsid w:val="007D3586"/>
    <w:rsid w:val="007E0A01"/>
    <w:rsid w:val="007E22F5"/>
    <w:rsid w:val="007F25F3"/>
    <w:rsid w:val="007F4784"/>
    <w:rsid w:val="007F4901"/>
    <w:rsid w:val="007F76B5"/>
    <w:rsid w:val="00802F25"/>
    <w:rsid w:val="00815208"/>
    <w:rsid w:val="00824876"/>
    <w:rsid w:val="00826DEB"/>
    <w:rsid w:val="00832A78"/>
    <w:rsid w:val="00836B02"/>
    <w:rsid w:val="008467D4"/>
    <w:rsid w:val="00847AE8"/>
    <w:rsid w:val="00850FB0"/>
    <w:rsid w:val="0085238E"/>
    <w:rsid w:val="00853428"/>
    <w:rsid w:val="008540EA"/>
    <w:rsid w:val="00866A00"/>
    <w:rsid w:val="008702A6"/>
    <w:rsid w:val="00873997"/>
    <w:rsid w:val="008757CE"/>
    <w:rsid w:val="008810D9"/>
    <w:rsid w:val="0088392C"/>
    <w:rsid w:val="00897C0E"/>
    <w:rsid w:val="00897E31"/>
    <w:rsid w:val="008A046F"/>
    <w:rsid w:val="008A405A"/>
    <w:rsid w:val="008A6A6A"/>
    <w:rsid w:val="008B650A"/>
    <w:rsid w:val="008B787C"/>
    <w:rsid w:val="008C0928"/>
    <w:rsid w:val="008C3898"/>
    <w:rsid w:val="008C4A85"/>
    <w:rsid w:val="008C66CC"/>
    <w:rsid w:val="008D7821"/>
    <w:rsid w:val="008E4915"/>
    <w:rsid w:val="008F180C"/>
    <w:rsid w:val="008F483C"/>
    <w:rsid w:val="008F5BBB"/>
    <w:rsid w:val="00910595"/>
    <w:rsid w:val="00910756"/>
    <w:rsid w:val="00911437"/>
    <w:rsid w:val="00912D61"/>
    <w:rsid w:val="00921C85"/>
    <w:rsid w:val="0092328D"/>
    <w:rsid w:val="009322D7"/>
    <w:rsid w:val="00932BDE"/>
    <w:rsid w:val="009371D0"/>
    <w:rsid w:val="00950199"/>
    <w:rsid w:val="00951E15"/>
    <w:rsid w:val="00967725"/>
    <w:rsid w:val="00971356"/>
    <w:rsid w:val="00975C56"/>
    <w:rsid w:val="0098195F"/>
    <w:rsid w:val="009902F8"/>
    <w:rsid w:val="00993BB8"/>
    <w:rsid w:val="0099555F"/>
    <w:rsid w:val="009A22A1"/>
    <w:rsid w:val="009B3A1B"/>
    <w:rsid w:val="009B4C4A"/>
    <w:rsid w:val="009B6332"/>
    <w:rsid w:val="009B78CF"/>
    <w:rsid w:val="009C0912"/>
    <w:rsid w:val="009C0BEC"/>
    <w:rsid w:val="009C3F59"/>
    <w:rsid w:val="009C7443"/>
    <w:rsid w:val="009D6694"/>
    <w:rsid w:val="009E14EF"/>
    <w:rsid w:val="009E1CAC"/>
    <w:rsid w:val="009E6F12"/>
    <w:rsid w:val="009F0300"/>
    <w:rsid w:val="00A03796"/>
    <w:rsid w:val="00A10CAC"/>
    <w:rsid w:val="00A167A8"/>
    <w:rsid w:val="00A21F0A"/>
    <w:rsid w:val="00A23C33"/>
    <w:rsid w:val="00A26011"/>
    <w:rsid w:val="00A506C2"/>
    <w:rsid w:val="00A52697"/>
    <w:rsid w:val="00A54D92"/>
    <w:rsid w:val="00A62886"/>
    <w:rsid w:val="00A74C38"/>
    <w:rsid w:val="00A77D24"/>
    <w:rsid w:val="00A8572F"/>
    <w:rsid w:val="00A92548"/>
    <w:rsid w:val="00A93E07"/>
    <w:rsid w:val="00A979CF"/>
    <w:rsid w:val="00AA4DF8"/>
    <w:rsid w:val="00AB780C"/>
    <w:rsid w:val="00AC2448"/>
    <w:rsid w:val="00AD0B0B"/>
    <w:rsid w:val="00AD5ADE"/>
    <w:rsid w:val="00AE7138"/>
    <w:rsid w:val="00AF4CAF"/>
    <w:rsid w:val="00AF5308"/>
    <w:rsid w:val="00B117BA"/>
    <w:rsid w:val="00B14BAD"/>
    <w:rsid w:val="00B15F23"/>
    <w:rsid w:val="00B16508"/>
    <w:rsid w:val="00B20D87"/>
    <w:rsid w:val="00B21BCC"/>
    <w:rsid w:val="00B24053"/>
    <w:rsid w:val="00B31550"/>
    <w:rsid w:val="00B44E39"/>
    <w:rsid w:val="00B52B9A"/>
    <w:rsid w:val="00B558FF"/>
    <w:rsid w:val="00B578AC"/>
    <w:rsid w:val="00B62F06"/>
    <w:rsid w:val="00B6433F"/>
    <w:rsid w:val="00B64CF5"/>
    <w:rsid w:val="00B72651"/>
    <w:rsid w:val="00B730C8"/>
    <w:rsid w:val="00B760E4"/>
    <w:rsid w:val="00B767D8"/>
    <w:rsid w:val="00B76C9B"/>
    <w:rsid w:val="00B823A1"/>
    <w:rsid w:val="00B8428B"/>
    <w:rsid w:val="00B87204"/>
    <w:rsid w:val="00B91DAE"/>
    <w:rsid w:val="00B96B73"/>
    <w:rsid w:val="00BA41F5"/>
    <w:rsid w:val="00BB3C9C"/>
    <w:rsid w:val="00BB7983"/>
    <w:rsid w:val="00BD3C99"/>
    <w:rsid w:val="00BE641A"/>
    <w:rsid w:val="00BF4822"/>
    <w:rsid w:val="00C01D22"/>
    <w:rsid w:val="00C104B6"/>
    <w:rsid w:val="00C10808"/>
    <w:rsid w:val="00C10F02"/>
    <w:rsid w:val="00C114F4"/>
    <w:rsid w:val="00C11906"/>
    <w:rsid w:val="00C11D03"/>
    <w:rsid w:val="00C31967"/>
    <w:rsid w:val="00C34C96"/>
    <w:rsid w:val="00C371DE"/>
    <w:rsid w:val="00C409AE"/>
    <w:rsid w:val="00C4143E"/>
    <w:rsid w:val="00C42D50"/>
    <w:rsid w:val="00C51717"/>
    <w:rsid w:val="00C54DF8"/>
    <w:rsid w:val="00C60B49"/>
    <w:rsid w:val="00C620E9"/>
    <w:rsid w:val="00C642CA"/>
    <w:rsid w:val="00C71F18"/>
    <w:rsid w:val="00C7440A"/>
    <w:rsid w:val="00C865ED"/>
    <w:rsid w:val="00C8775A"/>
    <w:rsid w:val="00CA0877"/>
    <w:rsid w:val="00CA1CF8"/>
    <w:rsid w:val="00CA5401"/>
    <w:rsid w:val="00CA5AC0"/>
    <w:rsid w:val="00CA6B59"/>
    <w:rsid w:val="00CB0D46"/>
    <w:rsid w:val="00CB3B6C"/>
    <w:rsid w:val="00CB54FF"/>
    <w:rsid w:val="00CB75F1"/>
    <w:rsid w:val="00CC1833"/>
    <w:rsid w:val="00CC189F"/>
    <w:rsid w:val="00CC3368"/>
    <w:rsid w:val="00CF19C4"/>
    <w:rsid w:val="00CF2B0A"/>
    <w:rsid w:val="00CF5465"/>
    <w:rsid w:val="00D04133"/>
    <w:rsid w:val="00D07182"/>
    <w:rsid w:val="00D13C04"/>
    <w:rsid w:val="00D20A78"/>
    <w:rsid w:val="00D275DC"/>
    <w:rsid w:val="00D278BA"/>
    <w:rsid w:val="00D40454"/>
    <w:rsid w:val="00D4059C"/>
    <w:rsid w:val="00D53D8F"/>
    <w:rsid w:val="00D61C76"/>
    <w:rsid w:val="00D71DA2"/>
    <w:rsid w:val="00D77015"/>
    <w:rsid w:val="00D84FF3"/>
    <w:rsid w:val="00D87303"/>
    <w:rsid w:val="00D8770E"/>
    <w:rsid w:val="00D92B48"/>
    <w:rsid w:val="00DA7AC9"/>
    <w:rsid w:val="00DB1693"/>
    <w:rsid w:val="00DC136E"/>
    <w:rsid w:val="00DC47AE"/>
    <w:rsid w:val="00DC6C0F"/>
    <w:rsid w:val="00DD5B07"/>
    <w:rsid w:val="00DE2A6C"/>
    <w:rsid w:val="00DE6821"/>
    <w:rsid w:val="00DE74FC"/>
    <w:rsid w:val="00DF2022"/>
    <w:rsid w:val="00DF34BE"/>
    <w:rsid w:val="00DF5D59"/>
    <w:rsid w:val="00E0529B"/>
    <w:rsid w:val="00E10B37"/>
    <w:rsid w:val="00E239E4"/>
    <w:rsid w:val="00E23A23"/>
    <w:rsid w:val="00E32998"/>
    <w:rsid w:val="00E36A38"/>
    <w:rsid w:val="00E4360E"/>
    <w:rsid w:val="00E4433C"/>
    <w:rsid w:val="00E45697"/>
    <w:rsid w:val="00E53399"/>
    <w:rsid w:val="00E67F97"/>
    <w:rsid w:val="00E75193"/>
    <w:rsid w:val="00E77995"/>
    <w:rsid w:val="00E84B32"/>
    <w:rsid w:val="00E87099"/>
    <w:rsid w:val="00E900D1"/>
    <w:rsid w:val="00E97DA0"/>
    <w:rsid w:val="00EA28E6"/>
    <w:rsid w:val="00EB4C24"/>
    <w:rsid w:val="00ED72DE"/>
    <w:rsid w:val="00ED7A21"/>
    <w:rsid w:val="00EF5B80"/>
    <w:rsid w:val="00EF78C4"/>
    <w:rsid w:val="00F01D0D"/>
    <w:rsid w:val="00F04CD7"/>
    <w:rsid w:val="00F07A70"/>
    <w:rsid w:val="00F1151F"/>
    <w:rsid w:val="00F23E15"/>
    <w:rsid w:val="00F244A2"/>
    <w:rsid w:val="00F300B7"/>
    <w:rsid w:val="00F35064"/>
    <w:rsid w:val="00F374D8"/>
    <w:rsid w:val="00F44C3E"/>
    <w:rsid w:val="00F51F95"/>
    <w:rsid w:val="00F539FB"/>
    <w:rsid w:val="00F5684D"/>
    <w:rsid w:val="00F57AB6"/>
    <w:rsid w:val="00F6480F"/>
    <w:rsid w:val="00F64868"/>
    <w:rsid w:val="00F70C2E"/>
    <w:rsid w:val="00F75C22"/>
    <w:rsid w:val="00F83377"/>
    <w:rsid w:val="00F84DF2"/>
    <w:rsid w:val="00F86713"/>
    <w:rsid w:val="00F91F5A"/>
    <w:rsid w:val="00F932E0"/>
    <w:rsid w:val="00FB36B8"/>
    <w:rsid w:val="00FB5D3A"/>
    <w:rsid w:val="00FB7701"/>
    <w:rsid w:val="00FC3A9F"/>
    <w:rsid w:val="00FC40F0"/>
    <w:rsid w:val="00FC6D3B"/>
    <w:rsid w:val="00FC73A5"/>
    <w:rsid w:val="00FD0129"/>
    <w:rsid w:val="00FD0AF2"/>
    <w:rsid w:val="00FD3ABE"/>
    <w:rsid w:val="00FE17ED"/>
    <w:rsid w:val="00FE7EB8"/>
    <w:rsid w:val="00FF2348"/>
    <w:rsid w:val="00FF4315"/>
    <w:rsid w:val="00FF47C8"/>
    <w:rsid w:val="00FF5175"/>
    <w:rsid w:val="00FF5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customStyle="1" w:styleId="FootnoteTextChar">
    <w:name w:val="Footnote Text Char"/>
    <w:basedOn w:val="DefaultParagraphFont"/>
    <w:link w:val="FootnoteText"/>
    <w:semiHidden/>
    <w:rsid w:val="00F75C22"/>
  </w:style>
  <w:style w:type="character" w:styleId="UnresolvedMention">
    <w:name w:val="Unresolved Mention"/>
    <w:basedOn w:val="DefaultParagraphFont"/>
    <w:uiPriority w:val="99"/>
    <w:semiHidden/>
    <w:unhideWhenUsed/>
    <w:rsid w:val="006407B8"/>
    <w:rPr>
      <w:color w:val="605E5C"/>
      <w:shd w:val="clear" w:color="auto" w:fill="E1DFDD"/>
    </w:rPr>
  </w:style>
  <w:style w:type="paragraph" w:styleId="Revision">
    <w:name w:val="Revision"/>
    <w:hidden/>
    <w:uiPriority w:val="99"/>
    <w:semiHidden/>
    <w:rsid w:val="00592A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12476">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825731029">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economy/price-indexes-and-inflation/consumer-price-index-australia/latest-relea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4615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5460</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2024-06-17T02:12:00Z</dcterms:created>
  <dcterms:modified xsi:type="dcterms:W3CDTF">2024-06-17T02:12:00Z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