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01FCE73" wp14:editId="4F3FD7D6">
            <wp:extent cx="1503328" cy="1105200"/>
            <wp:effectExtent l="0" t="0" r="1905" b="0"/>
            <wp:docPr id="1" name="Picture 1" descr="Commonwealth Coat of Arms of Australia" title="Federal govern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554826" w:rsidRPr="00E500D4" w:rsidRDefault="00092F6A" w:rsidP="00554826">
      <w:pPr>
        <w:pStyle w:val="ShortT"/>
      </w:pPr>
      <w:r>
        <w:t>Migration Legislation Amendment (Graduate Visas) I</w:t>
      </w:r>
      <w:r w:rsidRPr="00C17F9C">
        <w:t xml:space="preserve">nstrument </w:t>
      </w:r>
      <w:r>
        <w:t>(LIN </w:t>
      </w:r>
      <w:r w:rsidRPr="00D03521">
        <w:t>24/044)</w:t>
      </w:r>
      <w:r>
        <w:t xml:space="preserve"> </w:t>
      </w:r>
      <w:r w:rsidRPr="00D03521">
        <w:t>2024</w:t>
      </w:r>
    </w:p>
    <w:p w:rsidR="00092F6A" w:rsidRPr="00DA182D" w:rsidRDefault="00092F6A" w:rsidP="00092F6A">
      <w:pPr>
        <w:pStyle w:val="SignCoverPageStart"/>
        <w:pBdr>
          <w:top w:val="single" w:sz="4" w:space="0" w:color="auto"/>
        </w:pBdr>
        <w:spacing w:before="240"/>
        <w:ind w:right="91"/>
        <w:rPr>
          <w:szCs w:val="22"/>
        </w:rPr>
      </w:pPr>
      <w:r w:rsidRPr="00317FA0">
        <w:rPr>
          <w:szCs w:val="22"/>
        </w:rPr>
        <w:t xml:space="preserve">I, </w:t>
      </w:r>
      <w:r>
        <w:rPr>
          <w:szCs w:val="22"/>
        </w:rPr>
        <w:t>Clare O’Neil,</w:t>
      </w:r>
      <w:r w:rsidRPr="00317FA0">
        <w:rPr>
          <w:szCs w:val="22"/>
        </w:rPr>
        <w:t xml:space="preserve"> </w:t>
      </w:r>
      <w:r w:rsidRPr="004B0F97">
        <w:rPr>
          <w:szCs w:val="22"/>
        </w:rPr>
        <w:t xml:space="preserve">Minister for </w:t>
      </w:r>
      <w:r>
        <w:rPr>
          <w:szCs w:val="22"/>
        </w:rPr>
        <w:t>Home Affairs</w:t>
      </w:r>
      <w:r w:rsidRPr="00317FA0">
        <w:rPr>
          <w:szCs w:val="22"/>
        </w:rPr>
        <w:t>, make the following instrument.</w:t>
      </w:r>
    </w:p>
    <w:p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="00092F6A">
        <w:rPr>
          <w:szCs w:val="22"/>
        </w:rPr>
        <w:t>12 June 2024</w:t>
      </w:r>
      <w:r w:rsidRPr="00001A63">
        <w:rPr>
          <w:szCs w:val="22"/>
        </w:rPr>
        <w:tab/>
      </w:r>
    </w:p>
    <w:p w:rsidR="00092F6A" w:rsidRDefault="00092F6A" w:rsidP="00092F6A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Clare O’Neil</w:t>
      </w:r>
    </w:p>
    <w:p w:rsidR="00092F6A" w:rsidRPr="000D3FB9" w:rsidRDefault="00092F6A" w:rsidP="00092F6A">
      <w:pPr>
        <w:pStyle w:val="SignCoverPageEnd"/>
        <w:ind w:right="91"/>
        <w:rPr>
          <w:sz w:val="22"/>
        </w:rPr>
      </w:pPr>
      <w:r>
        <w:rPr>
          <w:sz w:val="22"/>
        </w:rPr>
        <w:t>Minister for Home Affairs</w:t>
      </w:r>
    </w:p>
    <w:p w:rsidR="00554826" w:rsidRDefault="00554826" w:rsidP="00554826"/>
    <w:p w:rsidR="00255BAC" w:rsidRDefault="00255BAC" w:rsidP="00554826">
      <w:pPr>
        <w:sectPr w:rsidR="00255BAC" w:rsidSect="00255BA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255BAC" w:rsidRDefault="00255BAC" w:rsidP="00554826"/>
    <w:p w:rsidR="00092F6A" w:rsidRPr="003D18E4" w:rsidRDefault="00092F6A" w:rsidP="00A657D6">
      <w:pPr>
        <w:pStyle w:val="ActHead5"/>
        <w:pageBreakBefore/>
        <w:ind w:left="0" w:firstLine="0"/>
      </w:pPr>
      <w:bookmarkStart w:id="0" w:name="_Toc167720764"/>
      <w:r w:rsidRPr="003D18E4">
        <w:rPr>
          <w:rStyle w:val="CharSectno"/>
        </w:rPr>
        <w:t>1</w:t>
      </w:r>
      <w:r w:rsidRPr="003D18E4">
        <w:t xml:space="preserve">  Name</w:t>
      </w:r>
      <w:bookmarkEnd w:id="0"/>
    </w:p>
    <w:p w:rsidR="00092F6A" w:rsidRPr="008D0AC6" w:rsidRDefault="00092F6A" w:rsidP="00092F6A">
      <w:pPr>
        <w:pStyle w:val="subsection"/>
      </w:pPr>
      <w:r w:rsidRPr="009C2562">
        <w:tab/>
      </w:r>
      <w:r w:rsidRPr="009C2562">
        <w:tab/>
      </w:r>
      <w:r w:rsidRPr="008D0AC6">
        <w:t xml:space="preserve">This instrument is the </w:t>
      </w:r>
      <w:bookmarkStart w:id="1" w:name="BKCheck15B_3"/>
      <w:bookmarkEnd w:id="1"/>
      <w:r w:rsidRPr="00233A5A">
        <w:rPr>
          <w:i/>
        </w:rPr>
        <w:t>Migration L</w:t>
      </w:r>
      <w:r>
        <w:rPr>
          <w:i/>
        </w:rPr>
        <w:t>egislation Amendment (Graduate Visa</w:t>
      </w:r>
      <w:r w:rsidRPr="00233A5A">
        <w:rPr>
          <w:i/>
        </w:rPr>
        <w:t>s) Instrument (LIN 24/044) 2024</w:t>
      </w:r>
      <w:r w:rsidRPr="008D0AC6">
        <w:t>.</w:t>
      </w:r>
    </w:p>
    <w:p w:rsidR="00092F6A" w:rsidRDefault="00092F6A" w:rsidP="00092F6A">
      <w:pPr>
        <w:pStyle w:val="ActHead5"/>
      </w:pPr>
      <w:bookmarkStart w:id="2" w:name="_Toc167720765"/>
      <w:r w:rsidRPr="009C2562">
        <w:rPr>
          <w:rStyle w:val="CharSectno"/>
        </w:rPr>
        <w:t>2</w:t>
      </w:r>
      <w:r w:rsidRPr="009C2562">
        <w:t xml:space="preserve">  Commencement</w:t>
      </w:r>
      <w:bookmarkEnd w:id="2"/>
    </w:p>
    <w:p w:rsidR="00092F6A" w:rsidRPr="00FC2F53" w:rsidRDefault="00092F6A" w:rsidP="00092F6A">
      <w:pPr>
        <w:pStyle w:val="subsection"/>
        <w:rPr>
          <w:b/>
          <w:i/>
        </w:rPr>
      </w:pPr>
      <w:r>
        <w:tab/>
      </w:r>
      <w:r>
        <w:tab/>
      </w:r>
      <w:r w:rsidRPr="00FC2F53">
        <w:t>This instrument commences</w:t>
      </w:r>
      <w:r>
        <w:t xml:space="preserve"> at the same time as the </w:t>
      </w:r>
      <w:r>
        <w:rPr>
          <w:i/>
        </w:rPr>
        <w:t>Migration Amendment (Graduate Visas) Regulations 2024</w:t>
      </w:r>
      <w:r w:rsidRPr="00FC2F53">
        <w:t>.</w:t>
      </w:r>
    </w:p>
    <w:p w:rsidR="00092F6A" w:rsidRPr="009C2562" w:rsidRDefault="00092F6A" w:rsidP="00092F6A">
      <w:pPr>
        <w:pStyle w:val="ActHead5"/>
      </w:pPr>
      <w:bookmarkStart w:id="3" w:name="_Toc167720766"/>
      <w:r w:rsidRPr="009C2562">
        <w:rPr>
          <w:rStyle w:val="CharSectno"/>
        </w:rPr>
        <w:t>3</w:t>
      </w:r>
      <w:r w:rsidRPr="009C2562">
        <w:t xml:space="preserve">  Authority</w:t>
      </w:r>
      <w:bookmarkEnd w:id="3"/>
    </w:p>
    <w:p w:rsidR="00092F6A" w:rsidRPr="00FC2F53" w:rsidRDefault="00092F6A" w:rsidP="00092F6A">
      <w:pPr>
        <w:pStyle w:val="subsection"/>
        <w:rPr>
          <w:b/>
          <w:i/>
          <w:color w:val="000000"/>
        </w:rPr>
      </w:pPr>
      <w:r w:rsidRPr="009C2562">
        <w:tab/>
      </w:r>
      <w:r w:rsidRPr="009C2562">
        <w:tab/>
      </w:r>
      <w:r w:rsidRPr="00FC2F53">
        <w:rPr>
          <w:color w:val="000000"/>
        </w:rPr>
        <w:t>This instrument is made under the following provisions of the </w:t>
      </w:r>
      <w:r w:rsidRPr="00840029">
        <w:rPr>
          <w:i/>
          <w:iCs/>
          <w:color w:val="000000"/>
        </w:rPr>
        <w:t>Migration Regulations 1994</w:t>
      </w:r>
      <w:r w:rsidRPr="00FC2F53">
        <w:rPr>
          <w:color w:val="000000"/>
        </w:rPr>
        <w:t>:</w:t>
      </w:r>
    </w:p>
    <w:p w:rsidR="00092F6A" w:rsidRPr="005253C2" w:rsidRDefault="00092F6A" w:rsidP="00092F6A">
      <w:pPr>
        <w:pStyle w:val="paragraph"/>
      </w:pPr>
      <w:r>
        <w:tab/>
        <w:t>(a)</w:t>
      </w:r>
      <w:r>
        <w:tab/>
      </w:r>
      <w:r w:rsidRPr="005253C2">
        <w:t>subregulation </w:t>
      </w:r>
      <w:r w:rsidRPr="005F0D69">
        <w:t>2.07(5);</w:t>
      </w:r>
    </w:p>
    <w:p w:rsidR="00092F6A" w:rsidRDefault="00092F6A" w:rsidP="00092F6A">
      <w:pPr>
        <w:pStyle w:val="paragraph"/>
      </w:pPr>
      <w:r>
        <w:tab/>
        <w:t>(b)</w:t>
      </w:r>
      <w:r>
        <w:tab/>
        <w:t>paragraph </w:t>
      </w:r>
      <w:r w:rsidRPr="005253C2">
        <w:t>1229</w:t>
      </w:r>
      <w:r>
        <w:t>(2A)(b) of Schedule 1;</w:t>
      </w:r>
    </w:p>
    <w:p w:rsidR="00092F6A" w:rsidRDefault="00092F6A" w:rsidP="00092F6A">
      <w:pPr>
        <w:pStyle w:val="paragraph"/>
      </w:pPr>
      <w:r>
        <w:tab/>
        <w:t>(c)</w:t>
      </w:r>
      <w:r>
        <w:tab/>
        <w:t>clauses 4</w:t>
      </w:r>
      <w:r w:rsidRPr="005F0D69">
        <w:t>76.212</w:t>
      </w:r>
      <w:r>
        <w:t xml:space="preserve">, </w:t>
      </w:r>
      <w:r w:rsidRPr="005F0D69">
        <w:t>476.213</w:t>
      </w:r>
      <w:r>
        <w:t xml:space="preserve"> and 485.212</w:t>
      </w:r>
      <w:r w:rsidRPr="005F0D69">
        <w:t xml:space="preserve"> </w:t>
      </w:r>
      <w:r>
        <w:t>of Schedule 2.</w:t>
      </w:r>
    </w:p>
    <w:p w:rsidR="00092F6A" w:rsidRPr="0068550E" w:rsidRDefault="00092F6A" w:rsidP="00092F6A">
      <w:pPr>
        <w:pStyle w:val="notetext"/>
      </w:pPr>
      <w:r>
        <w:t>Note:</w:t>
      </w:r>
      <w:r>
        <w:tab/>
        <w:t xml:space="preserve">See subsection 33(3) of the </w:t>
      </w:r>
      <w:r>
        <w:rPr>
          <w:i/>
        </w:rPr>
        <w:t>Acts Interpretation Act 1901</w:t>
      </w:r>
      <w:r>
        <w:t xml:space="preserve"> (Power to make instrument includes power to vary or revoke etc. instrument).</w:t>
      </w:r>
    </w:p>
    <w:p w:rsidR="00092F6A" w:rsidRPr="006065DA" w:rsidRDefault="00092F6A" w:rsidP="00092F6A">
      <w:pPr>
        <w:pStyle w:val="ActHead5"/>
      </w:pPr>
      <w:bookmarkStart w:id="4" w:name="_Toc478567690"/>
      <w:bookmarkStart w:id="5" w:name="_Toc167720767"/>
      <w:r w:rsidRPr="006065DA">
        <w:t>4  Schedules</w:t>
      </w:r>
      <w:bookmarkEnd w:id="4"/>
      <w:bookmarkEnd w:id="5"/>
    </w:p>
    <w:p w:rsidR="00A657D6" w:rsidRDefault="00092F6A" w:rsidP="00A657D6">
      <w:pPr>
        <w:pStyle w:val="subsection"/>
      </w:pPr>
      <w:r w:rsidRPr="006065DA">
        <w:tab/>
      </w:r>
      <w:r w:rsidRPr="006065DA">
        <w:tab/>
      </w:r>
      <w:r w:rsidRPr="00FC2F53">
        <w:t>Each instrument that is specified in a Schedule to this instrument is amended or repealed as set out in the applicable items in the Schedule concerned, and any other item in a Schedule to this instrument has effect according to its terms.</w:t>
      </w:r>
      <w:r w:rsidR="00A657D6">
        <w:br/>
      </w:r>
    </w:p>
    <w:p w:rsidR="00A657D6" w:rsidRDefault="00A657D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:rsidR="00092F6A" w:rsidRPr="003D18E4" w:rsidRDefault="00092F6A" w:rsidP="00092F6A">
      <w:pPr>
        <w:pStyle w:val="ActHead6"/>
        <w:rPr>
          <w:rStyle w:val="CharAmSchText"/>
        </w:rPr>
      </w:pPr>
      <w:bookmarkStart w:id="6" w:name="_Toc478567691"/>
      <w:bookmarkStart w:id="7" w:name="_Toc167720768"/>
      <w:r w:rsidRPr="003D18E4">
        <w:rPr>
          <w:rStyle w:val="CharAmSchText"/>
        </w:rPr>
        <w:t>Schedule 1—Amendments</w:t>
      </w:r>
      <w:bookmarkEnd w:id="6"/>
      <w:r w:rsidRPr="003D18E4">
        <w:rPr>
          <w:rStyle w:val="CharAmSchText"/>
        </w:rPr>
        <w:t xml:space="preserve"> of LIN 20/162</w:t>
      </w:r>
      <w:bookmarkEnd w:id="7"/>
    </w:p>
    <w:p w:rsidR="00092F6A" w:rsidRDefault="00092F6A" w:rsidP="00092F6A">
      <w:pPr>
        <w:pStyle w:val="ActHead9"/>
      </w:pPr>
      <w:bookmarkStart w:id="8" w:name="_Toc167720769"/>
      <w:r w:rsidRPr="00B82665">
        <w:t>Migration (Arrangements for Certain Skilled and Temporary Graduate Visa Applications) Instrument (LIN</w:t>
      </w:r>
      <w:r>
        <w:t> </w:t>
      </w:r>
      <w:r w:rsidRPr="00B82665">
        <w:t>20/162) 2020</w:t>
      </w:r>
      <w:bookmarkEnd w:id="8"/>
    </w:p>
    <w:p w:rsidR="00092F6A" w:rsidRPr="00C8174A" w:rsidRDefault="00092F6A" w:rsidP="00092F6A">
      <w:pPr>
        <w:pStyle w:val="ItemHead"/>
      </w:pPr>
      <w:bookmarkStart w:id="9" w:name="_Toc167720770"/>
      <w:r w:rsidRPr="00C8174A">
        <w:t xml:space="preserve">1  Section 7 </w:t>
      </w:r>
      <w:bookmarkEnd w:id="9"/>
    </w:p>
    <w:p w:rsidR="00092F6A" w:rsidRPr="003D18E4" w:rsidRDefault="00092F6A" w:rsidP="00092F6A">
      <w:pPr>
        <w:pStyle w:val="Item"/>
      </w:pPr>
      <w:r w:rsidRPr="003D18E4">
        <w:t>Repeal the section.</w:t>
      </w:r>
    </w:p>
    <w:p w:rsidR="004E1307" w:rsidRDefault="004E1307" w:rsidP="00D6537E">
      <w:pPr>
        <w:pStyle w:val="Item"/>
      </w:pPr>
    </w:p>
    <w:p w:rsidR="00554826" w:rsidRPr="00554826" w:rsidRDefault="00554826" w:rsidP="00554826"/>
    <w:p w:rsidR="00092F6A" w:rsidRDefault="00554826">
      <w:pPr>
        <w:spacing w:line="240" w:lineRule="auto"/>
      </w:pPr>
      <w:r>
        <w:br w:type="page"/>
      </w:r>
    </w:p>
    <w:p w:rsidR="00092F6A" w:rsidRPr="00267C02" w:rsidRDefault="00092F6A" w:rsidP="00092F6A">
      <w:pPr>
        <w:pStyle w:val="ActHead6"/>
        <w:rPr>
          <w:rStyle w:val="CharAmSchText"/>
        </w:rPr>
      </w:pPr>
      <w:bookmarkStart w:id="10" w:name="_Toc167720771"/>
      <w:r w:rsidRPr="00267C02">
        <w:rPr>
          <w:rStyle w:val="CharAmSchText"/>
        </w:rPr>
        <w:t>Schedule 2—Amendments of LIN 24/021</w:t>
      </w:r>
      <w:bookmarkEnd w:id="10"/>
    </w:p>
    <w:p w:rsidR="00092F6A" w:rsidRPr="00267C02" w:rsidRDefault="00092F6A" w:rsidP="00092F6A">
      <w:pPr>
        <w:pStyle w:val="ActHead9"/>
      </w:pPr>
      <w:bookmarkStart w:id="11" w:name="_Toc167720772"/>
      <w:r w:rsidRPr="00267C02">
        <w:t>Migration (English Language Requirements for Subclass 476 (Skilled – Recognised Graduate) and Subclass 485 (Temporary Graduate) Visas) Instrument (LIN 24/021) 2024</w:t>
      </w:r>
      <w:bookmarkEnd w:id="11"/>
    </w:p>
    <w:p w:rsidR="00092F6A" w:rsidRDefault="00092F6A" w:rsidP="00092F6A">
      <w:pPr>
        <w:pStyle w:val="ItemHead"/>
      </w:pPr>
      <w:bookmarkStart w:id="12" w:name="_Toc167720773"/>
      <w:r>
        <w:t>1  Title</w:t>
      </w:r>
    </w:p>
    <w:p w:rsidR="00092F6A" w:rsidRPr="0019794A" w:rsidRDefault="00092F6A" w:rsidP="00092F6A">
      <w:pPr>
        <w:pStyle w:val="Item"/>
        <w:rPr>
          <w:i/>
        </w:rPr>
      </w:pPr>
      <w:r w:rsidRPr="00840029">
        <w:t>Omit “</w:t>
      </w:r>
      <w:r w:rsidRPr="00281463">
        <w:rPr>
          <w:b/>
        </w:rPr>
        <w:t>Subclass 476 (Skilled – Recognised Graduate) and</w:t>
      </w:r>
      <w:r w:rsidRPr="00840029">
        <w:t>”.</w:t>
      </w:r>
    </w:p>
    <w:p w:rsidR="00092F6A" w:rsidRDefault="00092F6A" w:rsidP="00092F6A">
      <w:pPr>
        <w:pStyle w:val="ItemHead"/>
      </w:pPr>
      <w:r>
        <w:t>2  Section 1</w:t>
      </w:r>
      <w:bookmarkEnd w:id="12"/>
    </w:p>
    <w:p w:rsidR="00092F6A" w:rsidRPr="00D3129E" w:rsidRDefault="00092F6A" w:rsidP="00092F6A">
      <w:pPr>
        <w:pStyle w:val="Item"/>
        <w:rPr>
          <w:i/>
          <w:szCs w:val="22"/>
        </w:rPr>
      </w:pPr>
      <w:r w:rsidRPr="009651B3">
        <w:rPr>
          <w:szCs w:val="22"/>
        </w:rPr>
        <w:t>Omit “</w:t>
      </w:r>
      <w:r w:rsidRPr="00D3129E">
        <w:rPr>
          <w:rStyle w:val="ldital"/>
          <w:i/>
          <w:iCs/>
          <w:color w:val="000000"/>
          <w:szCs w:val="22"/>
        </w:rPr>
        <w:t>Subclass </w:t>
      </w:r>
      <w:r w:rsidRPr="00D3129E">
        <w:rPr>
          <w:i/>
          <w:iCs/>
          <w:color w:val="000000"/>
          <w:szCs w:val="22"/>
        </w:rPr>
        <w:t>476 (Skilled – Recognised Graduate) and</w:t>
      </w:r>
      <w:r w:rsidRPr="009651B3">
        <w:rPr>
          <w:i/>
          <w:iCs/>
          <w:color w:val="000000"/>
          <w:szCs w:val="22"/>
        </w:rPr>
        <w:t>”.</w:t>
      </w:r>
    </w:p>
    <w:p w:rsidR="00092F6A" w:rsidRDefault="00092F6A" w:rsidP="00092F6A">
      <w:pPr>
        <w:pStyle w:val="ItemHead"/>
      </w:pPr>
      <w:bookmarkStart w:id="13" w:name="_Toc167720774"/>
      <w:r>
        <w:t>3  Section 3</w:t>
      </w:r>
      <w:bookmarkEnd w:id="13"/>
    </w:p>
    <w:p w:rsidR="00092F6A" w:rsidRPr="009651B3" w:rsidRDefault="00092F6A" w:rsidP="00092F6A">
      <w:pPr>
        <w:pStyle w:val="Item"/>
      </w:pPr>
      <w:r w:rsidRPr="009651B3">
        <w:t>Omit “clauses 476.213 and”, substitute “clause”.</w:t>
      </w:r>
    </w:p>
    <w:p w:rsidR="00092F6A" w:rsidRDefault="00092F6A" w:rsidP="00092F6A">
      <w:pPr>
        <w:pStyle w:val="ItemHead"/>
      </w:pPr>
      <w:bookmarkStart w:id="14" w:name="_Toc167720775"/>
      <w:r>
        <w:t>4  Section 5</w:t>
      </w:r>
      <w:bookmarkEnd w:id="14"/>
    </w:p>
    <w:p w:rsidR="00092F6A" w:rsidRPr="009651B3" w:rsidRDefault="00092F6A" w:rsidP="00092F6A">
      <w:pPr>
        <w:pStyle w:val="Item"/>
      </w:pPr>
      <w:r w:rsidRPr="009651B3">
        <w:rPr>
          <w:szCs w:val="22"/>
        </w:rPr>
        <w:t>Omit “</w:t>
      </w:r>
      <w:r w:rsidRPr="009651B3">
        <w:rPr>
          <w:color w:val="000000"/>
          <w:szCs w:val="22"/>
        </w:rPr>
        <w:t>subparagraphs 476.213(a)(i) and”, substitute “subparagraph”.</w:t>
      </w:r>
    </w:p>
    <w:p w:rsidR="00092F6A" w:rsidRPr="003D18E4" w:rsidRDefault="00092F6A" w:rsidP="00092F6A">
      <w:pPr>
        <w:pStyle w:val="ItemHead"/>
      </w:pPr>
      <w:bookmarkStart w:id="15" w:name="_Toc167720776"/>
      <w:r>
        <w:t>5</w:t>
      </w:r>
      <w:r w:rsidRPr="003D18E4">
        <w:t xml:space="preserve">  Section 6</w:t>
      </w:r>
      <w:bookmarkEnd w:id="15"/>
    </w:p>
    <w:p w:rsidR="00092F6A" w:rsidRPr="009651B3" w:rsidRDefault="00092F6A" w:rsidP="00092F6A">
      <w:pPr>
        <w:pStyle w:val="Item"/>
      </w:pPr>
      <w:r w:rsidRPr="009651B3">
        <w:t>Omit “</w:t>
      </w:r>
      <w:r w:rsidRPr="009651B3">
        <w:rPr>
          <w:color w:val="000000"/>
        </w:rPr>
        <w:t>subparagraphs 476.213(a)(ii) and”, substitute “subparagraph”.</w:t>
      </w:r>
    </w:p>
    <w:p w:rsidR="00092F6A" w:rsidRDefault="00092F6A" w:rsidP="00092F6A">
      <w:pPr>
        <w:pStyle w:val="ItemHead"/>
      </w:pPr>
      <w:bookmarkStart w:id="16" w:name="_Toc167720777"/>
      <w:r>
        <w:t>6  Section 7</w:t>
      </w:r>
      <w:bookmarkEnd w:id="16"/>
    </w:p>
    <w:p w:rsidR="00092F6A" w:rsidRPr="009651B3" w:rsidRDefault="00092F6A" w:rsidP="00092F6A">
      <w:pPr>
        <w:pStyle w:val="Item"/>
        <w:rPr>
          <w:color w:val="000000"/>
        </w:rPr>
      </w:pPr>
      <w:r w:rsidRPr="009651B3">
        <w:t>Omit “</w:t>
      </w:r>
      <w:r w:rsidRPr="009651B3">
        <w:rPr>
          <w:color w:val="000000"/>
        </w:rPr>
        <w:t>subparagraphs 476.213(a)(ii) and”, substitute “subparagraph”.</w:t>
      </w:r>
    </w:p>
    <w:p w:rsidR="00092F6A" w:rsidRDefault="00092F6A" w:rsidP="00092F6A">
      <w:pPr>
        <w:pStyle w:val="ItemHead"/>
      </w:pPr>
      <w:bookmarkStart w:id="17" w:name="_Toc167720778"/>
      <w:r>
        <w:t>7  Section 8</w:t>
      </w:r>
      <w:bookmarkEnd w:id="17"/>
    </w:p>
    <w:p w:rsidR="00092F6A" w:rsidRPr="009651B3" w:rsidRDefault="00092F6A" w:rsidP="00092F6A">
      <w:pPr>
        <w:pStyle w:val="Item"/>
        <w:rPr>
          <w:color w:val="000000"/>
        </w:rPr>
      </w:pPr>
      <w:r w:rsidRPr="009651B3">
        <w:t>Omit “</w:t>
      </w:r>
      <w:r w:rsidRPr="009651B3">
        <w:rPr>
          <w:color w:val="000000"/>
        </w:rPr>
        <w:t>paragraphs 476.213(b) and”, substitute “paragraph”.</w:t>
      </w:r>
    </w:p>
    <w:p w:rsidR="00092F6A" w:rsidRPr="005869BE" w:rsidRDefault="00092F6A" w:rsidP="00092F6A">
      <w:pPr>
        <w:pStyle w:val="ItemHead"/>
      </w:pPr>
      <w:bookmarkStart w:id="18" w:name="_Toc167720779"/>
      <w:r>
        <w:t>8 After section 10</w:t>
      </w:r>
      <w:bookmarkEnd w:id="18"/>
    </w:p>
    <w:p w:rsidR="00092F6A" w:rsidRPr="005869BE" w:rsidRDefault="00092F6A" w:rsidP="00092F6A">
      <w:pPr>
        <w:pStyle w:val="Item"/>
      </w:pPr>
      <w:r>
        <w:t>Insert:</w:t>
      </w:r>
    </w:p>
    <w:p w:rsidR="00092F6A" w:rsidRPr="00957622" w:rsidRDefault="00092F6A" w:rsidP="00092F6A">
      <w:pPr>
        <w:pStyle w:val="ActHead5"/>
      </w:pPr>
      <w:bookmarkStart w:id="19" w:name="_Toc167720780"/>
      <w:r w:rsidRPr="00047A75">
        <w:t xml:space="preserve">11 </w:t>
      </w:r>
      <w:r>
        <w:t xml:space="preserve"> </w:t>
      </w:r>
      <w:r w:rsidRPr="00047A75">
        <w:t>Application</w:t>
      </w:r>
      <w:r w:rsidRPr="00957622">
        <w:t xml:space="preserve"> of amendments made by LIN 24/044</w:t>
      </w:r>
      <w:bookmarkEnd w:id="19"/>
    </w:p>
    <w:p w:rsidR="00092F6A" w:rsidRDefault="00092F6A" w:rsidP="00092F6A">
      <w:pPr>
        <w:pStyle w:val="subsection"/>
      </w:pPr>
      <w:r>
        <w:tab/>
      </w:r>
      <w:r>
        <w:tab/>
      </w:r>
      <w:r w:rsidRPr="003D18E4">
        <w:t xml:space="preserve">The amendments made by the </w:t>
      </w:r>
      <w:r w:rsidRPr="006F0DA0">
        <w:rPr>
          <w:i/>
        </w:rPr>
        <w:t>Migration L</w:t>
      </w:r>
      <w:r>
        <w:rPr>
          <w:i/>
        </w:rPr>
        <w:t>egislation Amendment (Graduate Visas</w:t>
      </w:r>
      <w:r w:rsidRPr="006F0DA0">
        <w:rPr>
          <w:i/>
        </w:rPr>
        <w:t>) Instrument (LIN 24/044) 2024</w:t>
      </w:r>
      <w:r w:rsidRPr="003D18E4">
        <w:t xml:space="preserve"> apply in relation to an application for a Skilled (Provisional) (Class VC) visa made on or after the commencement of that instrument</w:t>
      </w:r>
      <w:r w:rsidR="00A657D6">
        <w:t>.</w:t>
      </w:r>
    </w:p>
    <w:p w:rsidR="00092F6A" w:rsidRDefault="00092F6A">
      <w:pPr>
        <w:spacing w:line="240" w:lineRule="auto"/>
      </w:pPr>
      <w:r>
        <w:br w:type="page"/>
      </w:r>
    </w:p>
    <w:p w:rsidR="00092F6A" w:rsidRPr="00267C02" w:rsidRDefault="00092F6A" w:rsidP="00092F6A">
      <w:pPr>
        <w:pStyle w:val="ActHead6"/>
        <w:rPr>
          <w:rStyle w:val="CharAmSchText"/>
        </w:rPr>
      </w:pPr>
      <w:bookmarkStart w:id="20" w:name="_Toc478567694"/>
      <w:bookmarkStart w:id="21" w:name="_Toc167720781"/>
      <w:r w:rsidRPr="00267C02">
        <w:rPr>
          <w:rStyle w:val="CharAmSchText"/>
        </w:rPr>
        <w:t>Schedule 3—Repeals</w:t>
      </w:r>
      <w:bookmarkEnd w:id="20"/>
      <w:bookmarkEnd w:id="21"/>
    </w:p>
    <w:p w:rsidR="00092F6A" w:rsidRDefault="00092F6A" w:rsidP="00092F6A">
      <w:pPr>
        <w:pStyle w:val="ActHead9"/>
      </w:pPr>
      <w:bookmarkStart w:id="22" w:name="_Toc167720782"/>
      <w:r>
        <w:t xml:space="preserve">Migration (Specified Qualifications Applicable for Extension of Subclass 485 Visa) Instrument </w:t>
      </w:r>
      <w:r>
        <w:rPr>
          <w:noProof/>
        </w:rPr>
        <w:t>(LIN 23/048) 2023</w:t>
      </w:r>
      <w:bookmarkEnd w:id="22"/>
    </w:p>
    <w:p w:rsidR="00092F6A" w:rsidRDefault="00092F6A" w:rsidP="00092F6A">
      <w:pPr>
        <w:pStyle w:val="ItemHead"/>
      </w:pPr>
      <w:bookmarkStart w:id="23" w:name="_Toc167720783"/>
      <w:r w:rsidRPr="00B1728A">
        <w:t>1  Th</w:t>
      </w:r>
      <w:r>
        <w:t>e</w:t>
      </w:r>
      <w:r w:rsidRPr="00B1728A">
        <w:t xml:space="preserve"> </w:t>
      </w:r>
      <w:r>
        <w:t>whole of the instrument</w:t>
      </w:r>
      <w:bookmarkEnd w:id="23"/>
    </w:p>
    <w:p w:rsidR="00092F6A" w:rsidRPr="00C17F9C" w:rsidRDefault="00092F6A" w:rsidP="00092F6A">
      <w:pPr>
        <w:pStyle w:val="Item"/>
      </w:pPr>
      <w:r>
        <w:t>Repeal the instrument.</w:t>
      </w:r>
    </w:p>
    <w:p w:rsidR="00092F6A" w:rsidRDefault="00092F6A" w:rsidP="00092F6A">
      <w:pPr>
        <w:pStyle w:val="ActHead9"/>
      </w:pPr>
      <w:bookmarkStart w:id="24" w:name="_Toc167720784"/>
      <w:r w:rsidRPr="008344A5">
        <w:t>Migration (Institutions and Disciplines for Subclass</w:t>
      </w:r>
      <w:r>
        <w:t> </w:t>
      </w:r>
      <w:r w:rsidRPr="008344A5">
        <w:t>476) (LIN</w:t>
      </w:r>
      <w:r>
        <w:t> </w:t>
      </w:r>
      <w:r w:rsidRPr="008344A5">
        <w:t>24/015) Specification 2024</w:t>
      </w:r>
      <w:bookmarkEnd w:id="24"/>
      <w:r>
        <w:t xml:space="preserve"> </w:t>
      </w:r>
    </w:p>
    <w:p w:rsidR="00092F6A" w:rsidRDefault="00092F6A" w:rsidP="00092F6A">
      <w:pPr>
        <w:pStyle w:val="ItemHead"/>
      </w:pPr>
      <w:bookmarkStart w:id="25" w:name="_Toc167720785"/>
      <w:r>
        <w:t>2</w:t>
      </w:r>
      <w:r w:rsidRPr="00B1728A">
        <w:t xml:space="preserve">  Th</w:t>
      </w:r>
      <w:r>
        <w:t>e</w:t>
      </w:r>
      <w:r w:rsidRPr="00B1728A">
        <w:t xml:space="preserve"> </w:t>
      </w:r>
      <w:r>
        <w:t>whole of the instrument</w:t>
      </w:r>
      <w:bookmarkEnd w:id="25"/>
    </w:p>
    <w:p w:rsidR="00092F6A" w:rsidRDefault="00092F6A" w:rsidP="00092F6A">
      <w:pPr>
        <w:pStyle w:val="Item"/>
      </w:pPr>
      <w:r>
        <w:t>Repeal the instrument.</w:t>
      </w:r>
    </w:p>
    <w:p w:rsidR="00092F6A" w:rsidRPr="00DA182D" w:rsidRDefault="00092F6A" w:rsidP="00092F6A">
      <w:pPr>
        <w:pStyle w:val="BodyPara"/>
        <w:numPr>
          <w:ilvl w:val="0"/>
          <w:numId w:val="0"/>
        </w:numPr>
      </w:pPr>
    </w:p>
    <w:p w:rsidR="00554826" w:rsidRDefault="00554826">
      <w:pPr>
        <w:spacing w:line="240" w:lineRule="auto"/>
      </w:pPr>
      <w:bookmarkStart w:id="26" w:name="_GoBack"/>
      <w:bookmarkEnd w:id="26"/>
    </w:p>
    <w:sectPr w:rsidR="00554826" w:rsidSect="00585623">
      <w:type w:val="continuous"/>
      <w:pgSz w:w="11907" w:h="16839" w:code="9"/>
      <w:pgMar w:top="2234" w:right="1797" w:bottom="1440" w:left="1797" w:header="720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8BF" w:rsidRDefault="007518BF" w:rsidP="00715914">
      <w:pPr>
        <w:spacing w:line="240" w:lineRule="auto"/>
      </w:pPr>
      <w:r>
        <w:separator/>
      </w:r>
    </w:p>
  </w:endnote>
  <w:endnote w:type="continuationSeparator" w:id="0">
    <w:p w:rsidR="007518BF" w:rsidRDefault="007518B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:rsidTr="00A87A58">
      <w:tc>
        <w:tcPr>
          <w:tcW w:w="365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9372C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9372C">
            <w:rPr>
              <w:i/>
              <w:noProof/>
              <w:sz w:val="18"/>
            </w:rPr>
            <w:t>Migration Legislation Amendment (Graduate Visas) Instrument (LIN 24/044)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jc w:val="right"/>
            <w:rPr>
              <w:sz w:val="18"/>
            </w:rPr>
          </w:pPr>
        </w:p>
      </w:tc>
    </w:tr>
  </w:tbl>
  <w:p w:rsidR="008C2EAC" w:rsidRPr="00ED79B6" w:rsidRDefault="008C2EAC" w:rsidP="000A6C6A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:rsidTr="00A87A58">
      <w:tc>
        <w:tcPr>
          <w:tcW w:w="947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9372C">
            <w:rPr>
              <w:i/>
              <w:noProof/>
              <w:sz w:val="18"/>
            </w:rPr>
            <w:t>Migration Legislation Amendment (Graduate Visas) Instrument (LIN 24/044)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9372C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rPr>
              <w:sz w:val="18"/>
            </w:rPr>
          </w:pPr>
        </w:p>
      </w:tc>
    </w:tr>
  </w:tbl>
  <w:p w:rsidR="008C2EAC" w:rsidRPr="00ED79B6" w:rsidRDefault="008C2EAC" w:rsidP="003278F2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72C" w:rsidRDefault="006937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8BF" w:rsidRDefault="007518BF" w:rsidP="00715914">
      <w:pPr>
        <w:spacing w:line="240" w:lineRule="auto"/>
      </w:pPr>
      <w:r>
        <w:separator/>
      </w:r>
    </w:p>
  </w:footnote>
  <w:footnote w:type="continuationSeparator" w:id="0">
    <w:p w:rsidR="007518BF" w:rsidRDefault="007518B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7" w:rsidRDefault="004E1307" w:rsidP="00715914">
    <w:pPr>
      <w:rPr>
        <w:sz w:val="20"/>
      </w:rPr>
    </w:pPr>
  </w:p>
  <w:p w:rsidR="004E1307" w:rsidRDefault="004E1307" w:rsidP="00715914">
    <w:pPr>
      <w:rPr>
        <w:sz w:val="20"/>
      </w:rPr>
    </w:pPr>
  </w:p>
  <w:p w:rsidR="004E1307" w:rsidRPr="007A1328" w:rsidRDefault="004E1307" w:rsidP="00715914">
    <w:pPr>
      <w:rPr>
        <w:sz w:val="20"/>
      </w:rPr>
    </w:pPr>
  </w:p>
  <w:p w:rsidR="004E1307" w:rsidRPr="007A1328" w:rsidRDefault="004E1307" w:rsidP="00715914">
    <w:pPr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72C" w:rsidRDefault="006937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A90B5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2AF7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EC3A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866D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5A46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8E9E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8EF7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565F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D02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1E4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BF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2F6A"/>
    <w:rsid w:val="000978F5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5BAC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60459"/>
    <w:rsid w:val="0038049F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62877"/>
    <w:rsid w:val="00584811"/>
    <w:rsid w:val="00585623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5488B"/>
    <w:rsid w:val="00670EA1"/>
    <w:rsid w:val="00677CC2"/>
    <w:rsid w:val="0068744B"/>
    <w:rsid w:val="006905DE"/>
    <w:rsid w:val="0069207B"/>
    <w:rsid w:val="0069372C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18BF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A2C79"/>
    <w:rsid w:val="009C3413"/>
    <w:rsid w:val="00A0441E"/>
    <w:rsid w:val="00A12128"/>
    <w:rsid w:val="00A22C98"/>
    <w:rsid w:val="00A231E2"/>
    <w:rsid w:val="00A369E3"/>
    <w:rsid w:val="00A57600"/>
    <w:rsid w:val="00A64912"/>
    <w:rsid w:val="00A657D6"/>
    <w:rsid w:val="00A70A74"/>
    <w:rsid w:val="00A753E3"/>
    <w:rsid w:val="00A75FE9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18DD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B690F"/>
    <w:rsid w:val="00DC4F88"/>
    <w:rsid w:val="00DE107C"/>
    <w:rsid w:val="00DF2388"/>
    <w:rsid w:val="00E05704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3CB7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B45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ldital">
    <w:name w:val="ldital"/>
    <w:basedOn w:val="DefaultParagraphFont"/>
    <w:rsid w:val="00092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D2C63-787E-4BE3-A4D1-D13763779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2024-06-24T00:35:00Z</dcterms:created>
  <dcterms:modified xsi:type="dcterms:W3CDTF">2024-06-24T00:35:00Z</dcterms:modified>
</cp:coreProperties>
</file>