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68024F" w:rsidRDefault="00FF6E25" w:rsidP="0068024F">
      <w:pPr>
        <w:pStyle w:val="Title"/>
        <w:spacing w:line="240" w:lineRule="auto"/>
      </w:pPr>
      <w:r w:rsidRPr="0068024F">
        <w:t>EXPLANATORY STATEMENT</w:t>
      </w:r>
    </w:p>
    <w:p w14:paraId="145EC655" w14:textId="783D17B5" w:rsidR="0088497A" w:rsidRPr="0068024F" w:rsidRDefault="0088497A" w:rsidP="0068024F">
      <w:pPr>
        <w:pStyle w:val="Subtitle"/>
        <w:spacing w:line="240" w:lineRule="auto"/>
        <w:rPr>
          <w:rStyle w:val="IntenseEmphasis"/>
          <w:color w:val="auto"/>
          <w:highlight w:val="yellow"/>
        </w:rPr>
      </w:pPr>
      <w:r w:rsidRPr="0068024F">
        <w:rPr>
          <w:rStyle w:val="IntenseEmphasis"/>
          <w:color w:val="auto"/>
        </w:rPr>
        <w:t xml:space="preserve">Issued by the authority of </w:t>
      </w:r>
      <w:r w:rsidR="006156C6" w:rsidRPr="0068024F">
        <w:rPr>
          <w:rStyle w:val="IntenseEmphasis"/>
          <w:color w:val="auto"/>
        </w:rPr>
        <w:t>the Minister for Education</w:t>
      </w:r>
    </w:p>
    <w:p w14:paraId="12EB6806" w14:textId="1D7432D8" w:rsidR="00455C2A" w:rsidRPr="0068024F" w:rsidRDefault="006156C6" w:rsidP="0068024F">
      <w:pPr>
        <w:pStyle w:val="Subtitle"/>
        <w:spacing w:line="240" w:lineRule="auto"/>
      </w:pPr>
      <w:r w:rsidRPr="0068024F">
        <w:t>Higher Education Support Act 2003</w:t>
      </w:r>
    </w:p>
    <w:p w14:paraId="6C026A0C" w14:textId="66B4B9BA" w:rsidR="00503218" w:rsidRPr="0068024F" w:rsidRDefault="006156C6" w:rsidP="0068024F">
      <w:pPr>
        <w:pStyle w:val="Subtitle"/>
        <w:spacing w:line="240" w:lineRule="auto"/>
      </w:pPr>
      <w:r w:rsidRPr="0068024F">
        <w:t>Higher Education Support (Other Grants) Amendment (</w:t>
      </w:r>
      <w:r w:rsidR="00E14FA9" w:rsidRPr="0068024F">
        <w:t>National Priorities Pool</w:t>
      </w:r>
      <w:r w:rsidR="00D87849" w:rsidRPr="0068024F">
        <w:t xml:space="preserve"> Program</w:t>
      </w:r>
      <w:r w:rsidRPr="0068024F">
        <w:t>) Guidelines 202</w:t>
      </w:r>
      <w:r w:rsidR="00D87849" w:rsidRPr="0068024F">
        <w:t>4</w:t>
      </w:r>
    </w:p>
    <w:p w14:paraId="33AB2D38" w14:textId="77777777" w:rsidR="00455C2A" w:rsidRPr="0068024F" w:rsidRDefault="00144950" w:rsidP="0068024F">
      <w:pPr>
        <w:pStyle w:val="Heading1"/>
        <w:spacing w:line="240" w:lineRule="auto"/>
      </w:pPr>
      <w:bookmarkStart w:id="0" w:name="_Toc23942238"/>
      <w:bookmarkStart w:id="1" w:name="_Toc34293358"/>
      <w:r w:rsidRPr="0068024F">
        <w:t>AUTHORITY</w:t>
      </w:r>
    </w:p>
    <w:p w14:paraId="48F295AF" w14:textId="0E14EFF1" w:rsidR="00DB6247" w:rsidRPr="0068024F" w:rsidRDefault="006156C6" w:rsidP="0068024F">
      <w:pPr>
        <w:spacing w:before="120" w:after="120" w:line="240" w:lineRule="auto"/>
        <w:rPr>
          <w:rFonts w:asciiTheme="minorHAnsi" w:hAnsiTheme="minorHAnsi" w:cstheme="minorHAnsi"/>
          <w:szCs w:val="24"/>
        </w:rPr>
      </w:pPr>
      <w:r w:rsidRPr="0068024F">
        <w:rPr>
          <w:rFonts w:asciiTheme="minorHAnsi" w:hAnsiTheme="minorHAnsi" w:cstheme="minorHAnsi"/>
          <w:szCs w:val="24"/>
        </w:rPr>
        <w:t xml:space="preserve">Section 238-10 of the </w:t>
      </w:r>
      <w:r w:rsidRPr="0068024F">
        <w:rPr>
          <w:rFonts w:asciiTheme="minorHAnsi" w:hAnsiTheme="minorHAnsi" w:cstheme="minorHAnsi"/>
          <w:i/>
          <w:iCs/>
          <w:szCs w:val="24"/>
        </w:rPr>
        <w:t xml:space="preserve">Higher Education Support Act 2003 </w:t>
      </w:r>
      <w:r w:rsidRPr="0068024F">
        <w:rPr>
          <w:rFonts w:asciiTheme="minorHAnsi" w:hAnsiTheme="minorHAnsi" w:cstheme="minorHAnsi"/>
          <w:szCs w:val="24"/>
        </w:rPr>
        <w:t xml:space="preserve">(the Act) provides that the Minister may make Other Grants Guidelines to, amongst other things, provide for matters necessary or convenient to be provided </w:t>
      </w:r>
      <w:proofErr w:type="gramStart"/>
      <w:r w:rsidRPr="0068024F">
        <w:rPr>
          <w:rFonts w:asciiTheme="minorHAnsi" w:hAnsiTheme="minorHAnsi" w:cstheme="minorHAnsi"/>
          <w:szCs w:val="24"/>
        </w:rPr>
        <w:t>in order to</w:t>
      </w:r>
      <w:proofErr w:type="gramEnd"/>
      <w:r w:rsidRPr="0068024F">
        <w:rPr>
          <w:rFonts w:asciiTheme="minorHAnsi" w:hAnsiTheme="minorHAnsi" w:cstheme="minorHAnsi"/>
          <w:szCs w:val="24"/>
        </w:rPr>
        <w:t xml:space="preserve"> carry out, or give effect to, Part 2-3 of the Act in relation to grants payable under that Part. </w:t>
      </w:r>
    </w:p>
    <w:p w14:paraId="4F7BADF6" w14:textId="49B908FB" w:rsidR="00DB6247" w:rsidRPr="0068024F" w:rsidRDefault="00DB6247" w:rsidP="0068024F">
      <w:pPr>
        <w:spacing w:before="120" w:after="120" w:line="240" w:lineRule="auto"/>
        <w:rPr>
          <w:rFonts w:asciiTheme="minorHAnsi" w:hAnsiTheme="minorHAnsi" w:cstheme="minorHAnsi"/>
          <w:szCs w:val="24"/>
        </w:rPr>
      </w:pPr>
      <w:r w:rsidRPr="0068024F">
        <w:rPr>
          <w:rFonts w:asciiTheme="minorHAnsi" w:hAnsiTheme="minorHAnsi" w:cstheme="minorHAnsi"/>
          <w:szCs w:val="24"/>
        </w:rPr>
        <w:t>Under subsection 33(3) of the </w:t>
      </w:r>
      <w:r w:rsidRPr="0068024F">
        <w:rPr>
          <w:rFonts w:asciiTheme="minorHAnsi" w:hAnsiTheme="minorHAnsi" w:cstheme="minorHAnsi"/>
          <w:i/>
          <w:iCs/>
          <w:szCs w:val="24"/>
        </w:rPr>
        <w:t>Acts Interpretation Act 1901</w:t>
      </w:r>
      <w:r w:rsidRPr="0068024F">
        <w:rPr>
          <w:rFonts w:asciiTheme="minorHAnsi" w:hAnsiTheme="minorHAnsi" w:cstheme="minorHAnsi"/>
          <w:szCs w:val="24"/>
        </w:rPr>
        <w:t>, where an Act confers a power to make, grant or issue any instrument of a legislative or administrative character (including rules, regulations or by</w:t>
      </w:r>
      <w:r w:rsidRPr="0068024F">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6C6" w:rsidRPr="0068024F">
        <w:rPr>
          <w:rFonts w:asciiTheme="minorHAnsi" w:hAnsiTheme="minorHAnsi" w:cstheme="minorHAnsi"/>
          <w:szCs w:val="24"/>
        </w:rPr>
        <w:t xml:space="preserve"> The amendments to the </w:t>
      </w:r>
      <w:r w:rsidR="006156C6" w:rsidRPr="0068024F">
        <w:rPr>
          <w:rFonts w:asciiTheme="minorHAnsi" w:hAnsiTheme="minorHAnsi" w:cstheme="minorHAnsi"/>
          <w:i/>
          <w:iCs/>
          <w:szCs w:val="24"/>
        </w:rPr>
        <w:t xml:space="preserve">Higher Education Support (Other Grants) Guidelines 2022 </w:t>
      </w:r>
      <w:r w:rsidR="006156C6" w:rsidRPr="0068024F">
        <w:rPr>
          <w:rFonts w:asciiTheme="minorHAnsi" w:hAnsiTheme="minorHAnsi" w:cstheme="minorHAnsi"/>
          <w:szCs w:val="24"/>
        </w:rPr>
        <w:t>(the Principal Instrument) made by the</w:t>
      </w:r>
      <w:r w:rsidR="002B7CC4" w:rsidRPr="0068024F">
        <w:rPr>
          <w:rFonts w:asciiTheme="minorHAnsi" w:hAnsiTheme="minorHAnsi" w:cstheme="minorHAnsi"/>
          <w:szCs w:val="24"/>
        </w:rPr>
        <w:t xml:space="preserve"> </w:t>
      </w:r>
      <w:r w:rsidR="002B7CC4" w:rsidRPr="0068024F">
        <w:rPr>
          <w:rFonts w:asciiTheme="minorHAnsi" w:hAnsiTheme="minorHAnsi" w:cstheme="minorHAnsi"/>
          <w:i/>
          <w:iCs/>
          <w:szCs w:val="24"/>
        </w:rPr>
        <w:t>Higher Education Support (Other Grants) Amendment (</w:t>
      </w:r>
      <w:r w:rsidR="00E14FA9" w:rsidRPr="0068024F">
        <w:rPr>
          <w:rFonts w:asciiTheme="minorHAnsi" w:hAnsiTheme="minorHAnsi" w:cstheme="minorHAnsi"/>
          <w:i/>
          <w:iCs/>
          <w:szCs w:val="24"/>
        </w:rPr>
        <w:t>National Priorities Pool Program</w:t>
      </w:r>
      <w:r w:rsidR="002B7CC4" w:rsidRPr="0068024F">
        <w:rPr>
          <w:rFonts w:asciiTheme="minorHAnsi" w:hAnsiTheme="minorHAnsi" w:cstheme="minorHAnsi"/>
          <w:i/>
          <w:iCs/>
          <w:szCs w:val="24"/>
        </w:rPr>
        <w:t>) Guidelines 202</w:t>
      </w:r>
      <w:r w:rsidR="00D87849" w:rsidRPr="0068024F">
        <w:rPr>
          <w:rFonts w:asciiTheme="minorHAnsi" w:hAnsiTheme="minorHAnsi" w:cstheme="minorHAnsi"/>
          <w:i/>
          <w:iCs/>
          <w:szCs w:val="24"/>
        </w:rPr>
        <w:t>4</w:t>
      </w:r>
      <w:r w:rsidR="002B7CC4" w:rsidRPr="0068024F">
        <w:rPr>
          <w:rFonts w:asciiTheme="minorHAnsi" w:hAnsiTheme="minorHAnsi" w:cstheme="minorHAnsi"/>
          <w:i/>
          <w:iCs/>
          <w:szCs w:val="24"/>
        </w:rPr>
        <w:t xml:space="preserve"> </w:t>
      </w:r>
      <w:r w:rsidR="002B7CC4" w:rsidRPr="0068024F">
        <w:rPr>
          <w:rFonts w:asciiTheme="minorHAnsi" w:hAnsiTheme="minorHAnsi" w:cstheme="minorHAnsi"/>
          <w:szCs w:val="24"/>
        </w:rPr>
        <w:t xml:space="preserve">(the Amendment Instrument) rely on this provision. </w:t>
      </w:r>
    </w:p>
    <w:bookmarkEnd w:id="0"/>
    <w:bookmarkEnd w:id="1"/>
    <w:p w14:paraId="56CDA376" w14:textId="77777777" w:rsidR="00DA552F" w:rsidRPr="0068024F" w:rsidRDefault="00144950" w:rsidP="0068024F">
      <w:pPr>
        <w:pStyle w:val="Heading1"/>
        <w:spacing w:line="240" w:lineRule="auto"/>
      </w:pPr>
      <w:r w:rsidRPr="0068024F">
        <w:t>PURPOSE AND OPERATION</w:t>
      </w:r>
    </w:p>
    <w:p w14:paraId="5F80DD2E" w14:textId="45D9125B" w:rsidR="006C6FD3" w:rsidRPr="0068024F" w:rsidRDefault="002B7CC4" w:rsidP="0068024F">
      <w:pPr>
        <w:spacing w:before="120" w:after="120" w:line="240" w:lineRule="auto"/>
        <w:rPr>
          <w:rFonts w:asciiTheme="minorHAnsi" w:hAnsiTheme="minorHAnsi" w:cstheme="minorHAnsi"/>
          <w:iCs/>
          <w:szCs w:val="24"/>
        </w:rPr>
      </w:pPr>
      <w:r w:rsidRPr="0068024F">
        <w:rPr>
          <w:rFonts w:asciiTheme="minorHAnsi" w:hAnsiTheme="minorHAnsi" w:cstheme="minorHAnsi"/>
          <w:iCs/>
          <w:szCs w:val="24"/>
        </w:rPr>
        <w:t xml:space="preserve">The Amendment Instrument </w:t>
      </w:r>
      <w:r w:rsidR="00DE16DD" w:rsidRPr="0068024F">
        <w:rPr>
          <w:rFonts w:asciiTheme="minorHAnsi" w:hAnsiTheme="minorHAnsi" w:cstheme="minorHAnsi"/>
          <w:iCs/>
          <w:szCs w:val="24"/>
        </w:rPr>
        <w:t xml:space="preserve">amends </w:t>
      </w:r>
      <w:r w:rsidRPr="0068024F">
        <w:rPr>
          <w:rFonts w:asciiTheme="minorHAnsi" w:hAnsiTheme="minorHAnsi" w:cstheme="minorHAnsi"/>
          <w:iCs/>
          <w:szCs w:val="24"/>
        </w:rPr>
        <w:t xml:space="preserve">the Principal Instrument </w:t>
      </w:r>
      <w:r w:rsidR="00E14FA9" w:rsidRPr="0068024F">
        <w:rPr>
          <w:rFonts w:asciiTheme="minorHAnsi" w:hAnsiTheme="minorHAnsi" w:cstheme="minorHAnsi"/>
          <w:iCs/>
          <w:szCs w:val="24"/>
        </w:rPr>
        <w:t xml:space="preserve">to specify the Australian Human Rights Commission </w:t>
      </w:r>
      <w:r w:rsidR="00001414" w:rsidRPr="0068024F">
        <w:rPr>
          <w:rFonts w:asciiTheme="minorHAnsi" w:hAnsiTheme="minorHAnsi" w:cstheme="minorHAnsi"/>
          <w:iCs/>
          <w:szCs w:val="24"/>
        </w:rPr>
        <w:t xml:space="preserve">(AHRC) </w:t>
      </w:r>
      <w:r w:rsidR="00E14FA9" w:rsidRPr="0068024F">
        <w:rPr>
          <w:rFonts w:asciiTheme="minorHAnsi" w:hAnsiTheme="minorHAnsi" w:cstheme="minorHAnsi"/>
          <w:iCs/>
          <w:szCs w:val="24"/>
        </w:rPr>
        <w:t xml:space="preserve">as a body corporate </w:t>
      </w:r>
      <w:r w:rsidR="00055529" w:rsidRPr="0068024F">
        <w:rPr>
          <w:rFonts w:asciiTheme="minorHAnsi" w:hAnsiTheme="minorHAnsi" w:cstheme="minorHAnsi"/>
          <w:iCs/>
          <w:szCs w:val="24"/>
        </w:rPr>
        <w:t xml:space="preserve">that is </w:t>
      </w:r>
      <w:r w:rsidR="00E14FA9" w:rsidRPr="0068024F">
        <w:rPr>
          <w:rFonts w:asciiTheme="minorHAnsi" w:hAnsiTheme="minorHAnsi" w:cstheme="minorHAnsi"/>
          <w:iCs/>
          <w:szCs w:val="24"/>
        </w:rPr>
        <w:t>eligible to receive a grant under the National Priorities Pool Program</w:t>
      </w:r>
      <w:r w:rsidR="00BA6D4A" w:rsidRPr="0068024F">
        <w:rPr>
          <w:rFonts w:asciiTheme="minorHAnsi" w:hAnsiTheme="minorHAnsi" w:cstheme="minorHAnsi"/>
          <w:iCs/>
          <w:szCs w:val="24"/>
        </w:rPr>
        <w:t>.</w:t>
      </w:r>
      <w:r w:rsidR="00D4142D" w:rsidRPr="0068024F">
        <w:rPr>
          <w:rFonts w:asciiTheme="minorHAnsi" w:hAnsiTheme="minorHAnsi" w:cstheme="minorHAnsi"/>
          <w:iCs/>
          <w:szCs w:val="24"/>
        </w:rPr>
        <w:t xml:space="preserve"> </w:t>
      </w:r>
      <w:r w:rsidR="0068024F">
        <w:rPr>
          <w:rFonts w:asciiTheme="minorHAnsi" w:hAnsiTheme="minorHAnsi" w:cstheme="minorHAnsi"/>
          <w:iCs/>
          <w:szCs w:val="24"/>
        </w:rPr>
        <w:br/>
      </w:r>
      <w:r w:rsidR="0068024F">
        <w:rPr>
          <w:rFonts w:asciiTheme="minorHAnsi" w:hAnsiTheme="minorHAnsi" w:cstheme="minorHAnsi"/>
          <w:iCs/>
          <w:szCs w:val="24"/>
        </w:rPr>
        <w:br/>
      </w:r>
      <w:r w:rsidR="00055529" w:rsidRPr="0068024F">
        <w:rPr>
          <w:rFonts w:asciiTheme="minorHAnsi" w:hAnsiTheme="minorHAnsi" w:cstheme="minorHAnsi"/>
          <w:iCs/>
          <w:szCs w:val="24"/>
        </w:rPr>
        <w:t>This will facilitate the AHRC receiving a grant to</w:t>
      </w:r>
      <w:r w:rsidR="006C6FD3" w:rsidRPr="0068024F">
        <w:rPr>
          <w:rFonts w:asciiTheme="minorHAnsi" w:hAnsiTheme="minorHAnsi" w:cstheme="minorHAnsi"/>
          <w:iCs/>
          <w:szCs w:val="24"/>
        </w:rPr>
        <w:t xml:space="preserve"> conduct the </w:t>
      </w:r>
      <w:r w:rsidR="006C6FD3" w:rsidRPr="0068024F">
        <w:rPr>
          <w:rFonts w:asciiTheme="minorHAnsi" w:hAnsiTheme="minorHAnsi" w:cstheme="minorHAnsi"/>
          <w:i/>
          <w:szCs w:val="24"/>
        </w:rPr>
        <w:t>Respect at Uni: Study into antisemitism, Islamophobia, racism, and the experience of First Nations People</w:t>
      </w:r>
      <w:r w:rsidR="006C6FD3" w:rsidRPr="0068024F">
        <w:rPr>
          <w:rFonts w:asciiTheme="minorHAnsi" w:hAnsiTheme="minorHAnsi" w:cstheme="minorHAnsi"/>
          <w:iCs/>
          <w:szCs w:val="24"/>
        </w:rPr>
        <w:t xml:space="preserve"> </w:t>
      </w:r>
      <w:r w:rsidR="00786E24" w:rsidRPr="0068024F">
        <w:rPr>
          <w:rFonts w:asciiTheme="minorHAnsi" w:hAnsiTheme="minorHAnsi" w:cstheme="minorHAnsi"/>
          <w:iCs/>
          <w:szCs w:val="24"/>
        </w:rPr>
        <w:t>study (the Study)</w:t>
      </w:r>
      <w:r w:rsidR="006C6FD3" w:rsidRPr="0068024F">
        <w:rPr>
          <w:rFonts w:asciiTheme="minorHAnsi" w:hAnsiTheme="minorHAnsi" w:cstheme="minorHAnsi"/>
          <w:iCs/>
          <w:szCs w:val="24"/>
        </w:rPr>
        <w:t>. The </w:t>
      </w:r>
      <w:r w:rsidR="00786E24" w:rsidRPr="0068024F">
        <w:rPr>
          <w:rFonts w:asciiTheme="minorHAnsi" w:hAnsiTheme="minorHAnsi" w:cstheme="minorHAnsi"/>
          <w:iCs/>
          <w:szCs w:val="24"/>
        </w:rPr>
        <w:t>S</w:t>
      </w:r>
      <w:r w:rsidR="006C6FD3" w:rsidRPr="0068024F">
        <w:rPr>
          <w:rFonts w:asciiTheme="minorHAnsi" w:hAnsiTheme="minorHAnsi" w:cstheme="minorHAnsi"/>
          <w:iCs/>
          <w:szCs w:val="24"/>
        </w:rPr>
        <w:t>tudy responds to a recommendation</w:t>
      </w:r>
      <w:r w:rsidR="00786E24" w:rsidRPr="0068024F">
        <w:rPr>
          <w:rFonts w:asciiTheme="minorHAnsi" w:hAnsiTheme="minorHAnsi" w:cstheme="minorHAnsi"/>
          <w:iCs/>
          <w:szCs w:val="24"/>
        </w:rPr>
        <w:t xml:space="preserve"> 33</w:t>
      </w:r>
      <w:r w:rsidR="006C6FD3" w:rsidRPr="0068024F">
        <w:rPr>
          <w:rFonts w:asciiTheme="minorHAnsi" w:hAnsiTheme="minorHAnsi" w:cstheme="minorHAnsi"/>
          <w:iCs/>
          <w:szCs w:val="24"/>
        </w:rPr>
        <w:t xml:space="preserve"> of the Australian Universities Accord which identified the need to address a range of systemic barriers experienced by educationally disadvantaged cohorts, to ensure they can participate on the same basis as their peers. </w:t>
      </w:r>
      <w:r w:rsidR="0068024F">
        <w:rPr>
          <w:rFonts w:asciiTheme="minorHAnsi" w:hAnsiTheme="minorHAnsi" w:cstheme="minorHAnsi"/>
          <w:iCs/>
          <w:szCs w:val="24"/>
        </w:rPr>
        <w:br/>
      </w:r>
      <w:r w:rsidR="0068024F">
        <w:rPr>
          <w:rFonts w:asciiTheme="minorHAnsi" w:hAnsiTheme="minorHAnsi" w:cstheme="minorHAnsi"/>
          <w:iCs/>
          <w:szCs w:val="24"/>
        </w:rPr>
        <w:br/>
      </w:r>
      <w:r w:rsidR="006C6FD3" w:rsidRPr="0068024F">
        <w:rPr>
          <w:rFonts w:asciiTheme="minorHAnsi" w:hAnsiTheme="minorHAnsi" w:cstheme="minorHAnsi"/>
          <w:iCs/>
          <w:szCs w:val="24"/>
        </w:rPr>
        <w:t xml:space="preserve">The </w:t>
      </w:r>
      <w:r w:rsidR="00786E24" w:rsidRPr="0068024F">
        <w:rPr>
          <w:rFonts w:asciiTheme="minorHAnsi" w:hAnsiTheme="minorHAnsi" w:cstheme="minorHAnsi"/>
          <w:iCs/>
          <w:szCs w:val="24"/>
        </w:rPr>
        <w:t>S</w:t>
      </w:r>
      <w:r w:rsidR="006C6FD3" w:rsidRPr="0068024F">
        <w:rPr>
          <w:rFonts w:asciiTheme="minorHAnsi" w:hAnsiTheme="minorHAnsi" w:cstheme="minorHAnsi"/>
          <w:iCs/>
          <w:szCs w:val="24"/>
        </w:rPr>
        <w:t>tudy will</w:t>
      </w:r>
      <w:r w:rsidR="00EC1CB3" w:rsidRPr="0068024F">
        <w:rPr>
          <w:rFonts w:asciiTheme="minorHAnsi" w:hAnsiTheme="minorHAnsi" w:cstheme="minorHAnsi"/>
          <w:iCs/>
          <w:szCs w:val="24"/>
        </w:rPr>
        <w:t xml:space="preserve"> achieve the objective of ensuring equality of opportunity in higher education by</w:t>
      </w:r>
      <w:r w:rsidR="006C6FD3" w:rsidRPr="0068024F">
        <w:rPr>
          <w:rFonts w:asciiTheme="minorHAnsi" w:hAnsiTheme="minorHAnsi" w:cstheme="minorHAnsi"/>
          <w:iCs/>
          <w:szCs w:val="24"/>
        </w:rPr>
        <w:t xml:space="preserve"> examin</w:t>
      </w:r>
      <w:r w:rsidR="00EC1CB3" w:rsidRPr="0068024F">
        <w:rPr>
          <w:rFonts w:asciiTheme="minorHAnsi" w:hAnsiTheme="minorHAnsi" w:cstheme="minorHAnsi"/>
          <w:iCs/>
          <w:szCs w:val="24"/>
        </w:rPr>
        <w:t>ing</w:t>
      </w:r>
      <w:r w:rsidR="006C6FD3" w:rsidRPr="0068024F">
        <w:rPr>
          <w:rFonts w:asciiTheme="minorHAnsi" w:hAnsiTheme="minorHAnsi" w:cstheme="minorHAnsi"/>
          <w:iCs/>
          <w:szCs w:val="24"/>
        </w:rPr>
        <w:t xml:space="preserve"> the prevalence and impact of racism in universities and develop</w:t>
      </w:r>
      <w:r w:rsidR="00EC1CB3" w:rsidRPr="0068024F">
        <w:rPr>
          <w:rFonts w:asciiTheme="minorHAnsi" w:hAnsiTheme="minorHAnsi" w:cstheme="minorHAnsi"/>
          <w:iCs/>
          <w:szCs w:val="24"/>
        </w:rPr>
        <w:t>ing</w:t>
      </w:r>
      <w:r w:rsidR="006C6FD3" w:rsidRPr="0068024F">
        <w:rPr>
          <w:rFonts w:asciiTheme="minorHAnsi" w:hAnsiTheme="minorHAnsi" w:cstheme="minorHAnsi"/>
          <w:iCs/>
          <w:szCs w:val="24"/>
        </w:rPr>
        <w:t xml:space="preserve"> recommendations to ensure a safe environment for students and staff. The study will consult with students, stakeholder groups and education providers</w:t>
      </w:r>
      <w:r w:rsidR="00EC1CB3" w:rsidRPr="0068024F">
        <w:rPr>
          <w:rFonts w:asciiTheme="minorHAnsi" w:hAnsiTheme="minorHAnsi" w:cstheme="minorHAnsi"/>
          <w:iCs/>
          <w:szCs w:val="24"/>
        </w:rPr>
        <w:t xml:space="preserve"> in affected equity cohorts</w:t>
      </w:r>
      <w:r w:rsidR="006C6FD3" w:rsidRPr="0068024F">
        <w:rPr>
          <w:rFonts w:asciiTheme="minorHAnsi" w:hAnsiTheme="minorHAnsi" w:cstheme="minorHAnsi"/>
          <w:iCs/>
          <w:szCs w:val="24"/>
        </w:rPr>
        <w:t xml:space="preserve">. The Commissioner will establish a reference group of respected leaders from the Jewish community, Muslim community, First Nations Australians and </w:t>
      </w:r>
      <w:r w:rsidR="00EC1CB3" w:rsidRPr="0068024F">
        <w:rPr>
          <w:rFonts w:asciiTheme="minorHAnsi" w:hAnsiTheme="minorHAnsi" w:cstheme="minorHAnsi"/>
          <w:iCs/>
          <w:szCs w:val="24"/>
        </w:rPr>
        <w:t>culturally and linguistically diverse (</w:t>
      </w:r>
      <w:r w:rsidR="006C6FD3" w:rsidRPr="0068024F">
        <w:rPr>
          <w:rFonts w:asciiTheme="minorHAnsi" w:hAnsiTheme="minorHAnsi" w:cstheme="minorHAnsi"/>
          <w:iCs/>
          <w:szCs w:val="24"/>
        </w:rPr>
        <w:t>CALD</w:t>
      </w:r>
      <w:r w:rsidR="00EC1CB3" w:rsidRPr="0068024F">
        <w:rPr>
          <w:rFonts w:asciiTheme="minorHAnsi" w:hAnsiTheme="minorHAnsi" w:cstheme="minorHAnsi"/>
          <w:iCs/>
          <w:szCs w:val="24"/>
        </w:rPr>
        <w:t>)</w:t>
      </w:r>
      <w:r w:rsidR="006C6FD3" w:rsidRPr="0068024F">
        <w:rPr>
          <w:rFonts w:asciiTheme="minorHAnsi" w:hAnsiTheme="minorHAnsi" w:cstheme="minorHAnsi"/>
          <w:iCs/>
          <w:szCs w:val="24"/>
        </w:rPr>
        <w:t xml:space="preserve"> communities with experience studying, working in, and leading universities. </w:t>
      </w:r>
    </w:p>
    <w:p w14:paraId="162270C0" w14:textId="1A171943" w:rsidR="00055529" w:rsidRPr="0068024F" w:rsidRDefault="00055529" w:rsidP="0068024F">
      <w:pPr>
        <w:spacing w:before="120" w:after="120" w:line="240" w:lineRule="auto"/>
        <w:rPr>
          <w:rFonts w:asciiTheme="minorHAnsi" w:hAnsiTheme="minorHAnsi" w:cstheme="minorHAnsi"/>
          <w:iCs/>
          <w:szCs w:val="24"/>
        </w:rPr>
      </w:pPr>
    </w:p>
    <w:p w14:paraId="626F1531" w14:textId="21BCA2BF" w:rsidR="00350779" w:rsidRPr="0068024F" w:rsidRDefault="00144950" w:rsidP="0068024F">
      <w:pPr>
        <w:pStyle w:val="Heading1"/>
        <w:spacing w:line="240" w:lineRule="auto"/>
      </w:pPr>
      <w:r w:rsidRPr="0068024F">
        <w:lastRenderedPageBreak/>
        <w:t>IMPACT</w:t>
      </w:r>
      <w:r w:rsidR="00C90E38" w:rsidRPr="0068024F">
        <w:t xml:space="preserve"> ANALYSIS</w:t>
      </w:r>
    </w:p>
    <w:p w14:paraId="432A79F1" w14:textId="04537F3F" w:rsidR="00B57098" w:rsidRPr="0068024F" w:rsidRDefault="00B57098" w:rsidP="0068024F">
      <w:pPr>
        <w:spacing w:before="120" w:after="120" w:line="240" w:lineRule="auto"/>
        <w:rPr>
          <w:rFonts w:asciiTheme="minorHAnsi" w:hAnsiTheme="minorHAnsi" w:cstheme="minorHAnsi"/>
          <w:szCs w:val="24"/>
        </w:rPr>
      </w:pPr>
      <w:r w:rsidRPr="0068024F">
        <w:rPr>
          <w:rFonts w:asciiTheme="minorHAnsi" w:hAnsiTheme="minorHAnsi" w:cstheme="minorHAnsi"/>
          <w:szCs w:val="24"/>
        </w:rPr>
        <w:t>The Office of Impact Analysis has advised no Impact Analysis is required as th</w:t>
      </w:r>
      <w:r w:rsidR="00DD7749" w:rsidRPr="0068024F">
        <w:rPr>
          <w:rFonts w:asciiTheme="minorHAnsi" w:hAnsiTheme="minorHAnsi" w:cstheme="minorHAnsi"/>
          <w:szCs w:val="24"/>
        </w:rPr>
        <w:t>e</w:t>
      </w:r>
      <w:r w:rsidRPr="0068024F">
        <w:rPr>
          <w:rFonts w:asciiTheme="minorHAnsi" w:hAnsiTheme="minorHAnsi" w:cstheme="minorHAnsi"/>
          <w:szCs w:val="24"/>
        </w:rPr>
        <w:t xml:space="preserve"> </w:t>
      </w:r>
      <w:r w:rsidR="00DD7749" w:rsidRPr="0068024F">
        <w:rPr>
          <w:rFonts w:asciiTheme="minorHAnsi" w:hAnsiTheme="minorHAnsi" w:cstheme="minorHAnsi"/>
          <w:szCs w:val="24"/>
        </w:rPr>
        <w:t>Amendment I</w:t>
      </w:r>
      <w:r w:rsidRPr="0068024F">
        <w:rPr>
          <w:rFonts w:asciiTheme="minorHAnsi" w:hAnsiTheme="minorHAnsi" w:cstheme="minorHAnsi"/>
          <w:szCs w:val="24"/>
        </w:rPr>
        <w:t>nstrument is unlikely to have more than a minor regulatory impact (</w:t>
      </w:r>
      <w:r w:rsidR="00587B0C" w:rsidRPr="0068024F">
        <w:rPr>
          <w:rFonts w:asciiTheme="minorHAnsi" w:hAnsiTheme="minorHAnsi" w:cstheme="minorHAnsi"/>
          <w:szCs w:val="24"/>
        </w:rPr>
        <w:t>OIA24-07658</w:t>
      </w:r>
      <w:r w:rsidR="00E14FA9" w:rsidRPr="0068024F">
        <w:rPr>
          <w:rFonts w:asciiTheme="minorHAnsi" w:hAnsiTheme="minorHAnsi" w:cstheme="minorHAnsi"/>
          <w:szCs w:val="24"/>
        </w:rPr>
        <w:t>)</w:t>
      </w:r>
      <w:r w:rsidR="00055529" w:rsidRPr="0068024F">
        <w:rPr>
          <w:rFonts w:asciiTheme="minorHAnsi" w:hAnsiTheme="minorHAnsi" w:cstheme="minorHAnsi"/>
          <w:szCs w:val="24"/>
        </w:rPr>
        <w:t>.</w:t>
      </w:r>
    </w:p>
    <w:p w14:paraId="4818CCF0" w14:textId="77777777" w:rsidR="00696CF0" w:rsidRPr="0068024F" w:rsidRDefault="00144950" w:rsidP="0068024F">
      <w:pPr>
        <w:pStyle w:val="Heading1"/>
        <w:spacing w:line="240" w:lineRule="auto"/>
      </w:pPr>
      <w:r w:rsidRPr="0068024F">
        <w:t>COMMENCEMENT</w:t>
      </w:r>
    </w:p>
    <w:p w14:paraId="7A7AF185" w14:textId="3FCB3F75" w:rsidR="00696CF0" w:rsidRPr="0068024F" w:rsidRDefault="003B7464" w:rsidP="0068024F">
      <w:pPr>
        <w:spacing w:before="120" w:after="120" w:line="240" w:lineRule="auto"/>
        <w:rPr>
          <w:rFonts w:asciiTheme="minorHAnsi" w:hAnsiTheme="minorHAnsi" w:cstheme="minorHAnsi"/>
          <w:iCs/>
          <w:szCs w:val="24"/>
        </w:rPr>
      </w:pPr>
      <w:r w:rsidRPr="0068024F">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68024F" w:rsidRDefault="00144950" w:rsidP="0068024F">
      <w:pPr>
        <w:pStyle w:val="Heading1"/>
        <w:spacing w:line="240" w:lineRule="auto"/>
      </w:pPr>
      <w:bookmarkStart w:id="2" w:name="_Toc34293360"/>
      <w:r w:rsidRPr="0068024F">
        <w:t>CONSULTATION</w:t>
      </w:r>
      <w:bookmarkEnd w:id="2"/>
    </w:p>
    <w:p w14:paraId="56B45E85" w14:textId="3B1F2587" w:rsidR="00F53F5F" w:rsidRPr="0068024F" w:rsidRDefault="00985547" w:rsidP="0068024F">
      <w:pPr>
        <w:spacing w:before="120" w:after="120" w:line="240" w:lineRule="auto"/>
        <w:rPr>
          <w:rFonts w:asciiTheme="minorHAnsi" w:hAnsiTheme="minorHAnsi" w:cstheme="minorHAnsi"/>
          <w:iCs/>
          <w:szCs w:val="24"/>
        </w:rPr>
      </w:pPr>
      <w:r w:rsidRPr="0068024F">
        <w:rPr>
          <w:rFonts w:asciiTheme="minorHAnsi" w:hAnsiTheme="minorHAnsi" w:cstheme="minorHAnsi"/>
          <w:iCs/>
          <w:szCs w:val="24"/>
        </w:rPr>
        <w:t xml:space="preserve">The Australian University Accord Panel </w:t>
      </w:r>
      <w:r w:rsidR="00786E24" w:rsidRPr="0068024F">
        <w:rPr>
          <w:rFonts w:asciiTheme="minorHAnsi" w:hAnsiTheme="minorHAnsi" w:cstheme="minorHAnsi"/>
          <w:iCs/>
          <w:szCs w:val="24"/>
        </w:rPr>
        <w:t xml:space="preserve">(Accord Panel) </w:t>
      </w:r>
      <w:r w:rsidRPr="0068024F">
        <w:rPr>
          <w:rFonts w:asciiTheme="minorHAnsi" w:hAnsiTheme="minorHAnsi" w:cstheme="minorHAnsi"/>
          <w:iCs/>
          <w:szCs w:val="24"/>
        </w:rPr>
        <w:t xml:space="preserve">conducted a </w:t>
      </w:r>
      <w:proofErr w:type="spellStart"/>
      <w:r w:rsidRPr="0068024F">
        <w:rPr>
          <w:rFonts w:asciiTheme="minorHAnsi" w:hAnsiTheme="minorHAnsi" w:cstheme="minorHAnsi"/>
          <w:iCs/>
          <w:szCs w:val="24"/>
        </w:rPr>
        <w:t>year long</w:t>
      </w:r>
      <w:proofErr w:type="spellEnd"/>
      <w:r w:rsidRPr="0068024F">
        <w:rPr>
          <w:rFonts w:asciiTheme="minorHAnsi" w:hAnsiTheme="minorHAnsi" w:cstheme="minorHAnsi"/>
          <w:iCs/>
          <w:szCs w:val="24"/>
        </w:rPr>
        <w:t xml:space="preserve"> </w:t>
      </w:r>
      <w:r w:rsidR="00786E24" w:rsidRPr="0068024F">
        <w:rPr>
          <w:rFonts w:asciiTheme="minorHAnsi" w:hAnsiTheme="minorHAnsi" w:cstheme="minorHAnsi"/>
          <w:iCs/>
          <w:szCs w:val="24"/>
        </w:rPr>
        <w:t xml:space="preserve">review of the Australian higher education system. The Accord Final Report, released on 25 February 2024, made 47 recommendations to strengthen the future of Australian higher education system, and improve outcomes for students, </w:t>
      </w:r>
      <w:proofErr w:type="gramStart"/>
      <w:r w:rsidR="00786E24" w:rsidRPr="0068024F">
        <w:rPr>
          <w:rFonts w:asciiTheme="minorHAnsi" w:hAnsiTheme="minorHAnsi" w:cstheme="minorHAnsi"/>
          <w:iCs/>
          <w:szCs w:val="24"/>
        </w:rPr>
        <w:t>staff</w:t>
      </w:r>
      <w:proofErr w:type="gramEnd"/>
      <w:r w:rsidR="00786E24" w:rsidRPr="0068024F">
        <w:rPr>
          <w:rFonts w:asciiTheme="minorHAnsi" w:hAnsiTheme="minorHAnsi" w:cstheme="minorHAnsi"/>
          <w:iCs/>
          <w:szCs w:val="24"/>
        </w:rPr>
        <w:t xml:space="preserve"> and communities. </w:t>
      </w:r>
      <w:r w:rsidRPr="0068024F">
        <w:rPr>
          <w:rFonts w:asciiTheme="minorHAnsi" w:hAnsiTheme="minorHAnsi" w:cstheme="minorHAnsi"/>
          <w:iCs/>
          <w:szCs w:val="24"/>
        </w:rPr>
        <w:t>This</w:t>
      </w:r>
      <w:r w:rsidR="00786E24" w:rsidRPr="0068024F">
        <w:rPr>
          <w:rFonts w:asciiTheme="minorHAnsi" w:hAnsiTheme="minorHAnsi" w:cstheme="minorHAnsi"/>
          <w:iCs/>
          <w:szCs w:val="24"/>
        </w:rPr>
        <w:t xml:space="preserve"> Accord Panel consulted extensively with students, staff, institutions, community groups and subject matter experts and governments. This </w:t>
      </w:r>
      <w:r w:rsidRPr="0068024F">
        <w:rPr>
          <w:rFonts w:asciiTheme="minorHAnsi" w:hAnsiTheme="minorHAnsi" w:cstheme="minorHAnsi"/>
          <w:iCs/>
          <w:szCs w:val="24"/>
        </w:rPr>
        <w:t>included specific consultation with under-represented and educationally disadvantaged students and staff, as well as higher education leaders and equity practitioners.</w:t>
      </w:r>
      <w:r w:rsidR="0068024F">
        <w:rPr>
          <w:rFonts w:asciiTheme="minorHAnsi" w:hAnsiTheme="minorHAnsi" w:cstheme="minorHAnsi"/>
          <w:iCs/>
          <w:szCs w:val="24"/>
        </w:rPr>
        <w:br/>
      </w:r>
      <w:r w:rsidR="0068024F">
        <w:rPr>
          <w:rFonts w:asciiTheme="minorHAnsi" w:hAnsiTheme="minorHAnsi" w:cstheme="minorHAnsi"/>
          <w:iCs/>
          <w:szCs w:val="24"/>
        </w:rPr>
        <w:br/>
      </w:r>
      <w:r w:rsidRPr="0068024F">
        <w:rPr>
          <w:rFonts w:asciiTheme="minorHAnsi" w:hAnsiTheme="minorHAnsi" w:cstheme="minorHAnsi"/>
          <w:iCs/>
          <w:szCs w:val="24"/>
        </w:rPr>
        <w:t xml:space="preserve">Two specialised targeted projects were undertaken to support </w:t>
      </w:r>
      <w:r w:rsidR="00786E24" w:rsidRPr="0068024F">
        <w:rPr>
          <w:rFonts w:asciiTheme="minorHAnsi" w:hAnsiTheme="minorHAnsi" w:cstheme="minorHAnsi"/>
          <w:iCs/>
          <w:szCs w:val="24"/>
        </w:rPr>
        <w:t xml:space="preserve">work to examine systemic barriers to the full participation and success of students from underrepresented backgrounds. This included the </w:t>
      </w:r>
      <w:r w:rsidRPr="0068024F">
        <w:rPr>
          <w:rFonts w:asciiTheme="minorHAnsi" w:hAnsiTheme="minorHAnsi" w:cstheme="minorHAnsi"/>
          <w:i/>
          <w:szCs w:val="24"/>
        </w:rPr>
        <w:t xml:space="preserve">Targeted Review of Student Equity in Higher Education Programs </w:t>
      </w:r>
      <w:r w:rsidRPr="0068024F">
        <w:rPr>
          <w:rFonts w:asciiTheme="minorHAnsi" w:hAnsiTheme="minorHAnsi" w:cstheme="minorHAnsi"/>
          <w:iCs/>
          <w:szCs w:val="24"/>
        </w:rPr>
        <w:t xml:space="preserve">and </w:t>
      </w:r>
      <w:r w:rsidRPr="0068024F">
        <w:rPr>
          <w:rFonts w:asciiTheme="minorHAnsi" w:hAnsiTheme="minorHAnsi" w:cstheme="minorHAnsi"/>
          <w:i/>
          <w:szCs w:val="24"/>
        </w:rPr>
        <w:t>System Level Policy Levers Centring the Voices of Harder to Reach Under-Represented and Disadvantaged Cohorts</w:t>
      </w:r>
      <w:r w:rsidRPr="0068024F">
        <w:rPr>
          <w:rFonts w:asciiTheme="minorHAnsi" w:hAnsiTheme="minorHAnsi" w:cstheme="minorHAnsi"/>
          <w:iCs/>
          <w:szCs w:val="24"/>
        </w:rPr>
        <w:t xml:space="preserve">. The final reports from these projects </w:t>
      </w:r>
      <w:r w:rsidR="00EC1CB3" w:rsidRPr="0068024F">
        <w:rPr>
          <w:rFonts w:asciiTheme="minorHAnsi" w:hAnsiTheme="minorHAnsi" w:cstheme="minorHAnsi"/>
          <w:iCs/>
          <w:szCs w:val="24"/>
        </w:rPr>
        <w:t xml:space="preserve">informed this grant to the AHRC to undertake the Study and </w:t>
      </w:r>
      <w:r w:rsidRPr="0068024F">
        <w:rPr>
          <w:rFonts w:asciiTheme="minorHAnsi" w:hAnsiTheme="minorHAnsi" w:cstheme="minorHAnsi"/>
          <w:iCs/>
          <w:szCs w:val="24"/>
        </w:rPr>
        <w:t>are publicly available on the Department of Education website.</w:t>
      </w:r>
      <w:r w:rsidR="0068024F">
        <w:rPr>
          <w:rFonts w:asciiTheme="minorHAnsi" w:hAnsiTheme="minorHAnsi" w:cstheme="minorHAnsi"/>
          <w:iCs/>
          <w:szCs w:val="24"/>
        </w:rPr>
        <w:br/>
      </w:r>
      <w:r w:rsidR="0068024F">
        <w:rPr>
          <w:rFonts w:asciiTheme="minorHAnsi" w:hAnsiTheme="minorHAnsi" w:cstheme="minorHAnsi"/>
          <w:iCs/>
          <w:szCs w:val="24"/>
        </w:rPr>
        <w:br/>
      </w:r>
      <w:r w:rsidR="00786E24" w:rsidRPr="0068024F">
        <w:rPr>
          <w:rFonts w:asciiTheme="minorHAnsi" w:hAnsiTheme="minorHAnsi" w:cstheme="minorHAnsi"/>
          <w:iCs/>
          <w:szCs w:val="24"/>
        </w:rPr>
        <w:t xml:space="preserve">Australian Government agencies, including the Attorney General’s Department, Department of Home Affairs, National Indigenous Australians Agency and the </w:t>
      </w:r>
      <w:r w:rsidR="00EC1CB3" w:rsidRPr="0068024F">
        <w:rPr>
          <w:rFonts w:asciiTheme="minorHAnsi" w:hAnsiTheme="minorHAnsi" w:cstheme="minorHAnsi"/>
          <w:iCs/>
          <w:szCs w:val="24"/>
        </w:rPr>
        <w:t xml:space="preserve">AHRC </w:t>
      </w:r>
      <w:r w:rsidR="00F53F5F" w:rsidRPr="0068024F">
        <w:rPr>
          <w:rFonts w:asciiTheme="minorHAnsi" w:hAnsiTheme="minorHAnsi" w:cstheme="minorHAnsi"/>
          <w:iCs/>
          <w:szCs w:val="24"/>
        </w:rPr>
        <w:t>has also been consulted</w:t>
      </w:r>
      <w:r w:rsidR="00786E24" w:rsidRPr="0068024F">
        <w:rPr>
          <w:rFonts w:asciiTheme="minorHAnsi" w:hAnsiTheme="minorHAnsi" w:cstheme="minorHAnsi"/>
          <w:iCs/>
          <w:szCs w:val="24"/>
        </w:rPr>
        <w:t xml:space="preserve"> on the design of the Study</w:t>
      </w:r>
      <w:r w:rsidR="00F53F5F" w:rsidRPr="0068024F">
        <w:rPr>
          <w:rFonts w:asciiTheme="minorHAnsi" w:hAnsiTheme="minorHAnsi" w:cstheme="minorHAnsi"/>
          <w:iCs/>
          <w:szCs w:val="24"/>
        </w:rPr>
        <w:t>.</w:t>
      </w:r>
    </w:p>
    <w:p w14:paraId="074D52EC" w14:textId="3551EEEC" w:rsidR="00985547" w:rsidRPr="0068024F" w:rsidRDefault="00985547" w:rsidP="0068024F">
      <w:pPr>
        <w:spacing w:before="120" w:after="120" w:line="240" w:lineRule="auto"/>
        <w:rPr>
          <w:rFonts w:asciiTheme="minorHAnsi" w:hAnsiTheme="minorHAnsi" w:cstheme="minorHAnsi"/>
          <w:iCs/>
          <w:szCs w:val="24"/>
        </w:rPr>
      </w:pPr>
    </w:p>
    <w:p w14:paraId="3A6EE0A5" w14:textId="77777777" w:rsidR="00DA552F" w:rsidRPr="0068024F" w:rsidRDefault="00DA552F" w:rsidP="0068024F">
      <w:pPr>
        <w:spacing w:before="120" w:after="120" w:line="240" w:lineRule="auto"/>
        <w:rPr>
          <w:rFonts w:asciiTheme="minorHAnsi" w:hAnsiTheme="minorHAnsi" w:cstheme="minorHAnsi"/>
          <w:szCs w:val="24"/>
        </w:rPr>
      </w:pPr>
      <w:r w:rsidRPr="0068024F">
        <w:rPr>
          <w:rFonts w:asciiTheme="minorHAnsi" w:hAnsiTheme="minorHAnsi" w:cstheme="minorHAnsi"/>
          <w:szCs w:val="24"/>
        </w:rPr>
        <w:br w:type="page"/>
      </w:r>
    </w:p>
    <w:p w14:paraId="2023D52E" w14:textId="77777777" w:rsidR="00DA552F" w:rsidRPr="0068024F" w:rsidRDefault="00DA552F" w:rsidP="0068024F">
      <w:pPr>
        <w:pStyle w:val="Title"/>
        <w:spacing w:line="240" w:lineRule="auto"/>
      </w:pPr>
      <w:bookmarkStart w:id="3" w:name="_Toc23942241"/>
      <w:bookmarkStart w:id="4" w:name="_Toc34293362"/>
      <w:r w:rsidRPr="0068024F">
        <w:rPr>
          <w:u w:val="none"/>
        </w:rPr>
        <w:lastRenderedPageBreak/>
        <w:t>STATEMENT OF COMPATIBILITY WITH HUMAN RIGHTS</w:t>
      </w:r>
      <w:bookmarkEnd w:id="3"/>
      <w:bookmarkEnd w:id="4"/>
    </w:p>
    <w:p w14:paraId="19B61A02" w14:textId="77777777" w:rsidR="00DA552F" w:rsidRPr="0068024F" w:rsidRDefault="00DA552F" w:rsidP="0068024F">
      <w:pPr>
        <w:spacing w:before="120" w:after="120" w:line="240" w:lineRule="auto"/>
        <w:jc w:val="center"/>
        <w:rPr>
          <w:rFonts w:asciiTheme="minorHAnsi" w:hAnsiTheme="minorHAnsi" w:cstheme="minorHAnsi"/>
          <w:szCs w:val="24"/>
        </w:rPr>
      </w:pPr>
      <w:r w:rsidRPr="0068024F">
        <w:rPr>
          <w:rFonts w:asciiTheme="minorHAnsi" w:hAnsiTheme="minorHAnsi" w:cstheme="minorHAnsi"/>
          <w:i/>
          <w:szCs w:val="24"/>
        </w:rPr>
        <w:t xml:space="preserve">Prepared in accordance with Part 3 of the Human Rights (Parliamentary </w:t>
      </w:r>
      <w:r w:rsidR="003440C7" w:rsidRPr="0068024F">
        <w:rPr>
          <w:rFonts w:asciiTheme="minorHAnsi" w:hAnsiTheme="minorHAnsi" w:cstheme="minorHAnsi"/>
          <w:i/>
          <w:szCs w:val="24"/>
        </w:rPr>
        <w:t>Scrutiny) Act 2011</w:t>
      </w:r>
    </w:p>
    <w:p w14:paraId="7A107F76" w14:textId="2B695EFE" w:rsidR="00DA552F" w:rsidRPr="0068024F" w:rsidRDefault="002B411E" w:rsidP="0068024F">
      <w:pPr>
        <w:pStyle w:val="Subtitle"/>
        <w:spacing w:line="240" w:lineRule="auto"/>
        <w:rPr>
          <w:bCs/>
          <w:iCs/>
          <w:u w:val="single"/>
        </w:rPr>
      </w:pPr>
      <w:r w:rsidRPr="0068024F">
        <w:rPr>
          <w:b w:val="0"/>
          <w:bCs/>
          <w:i w:val="0"/>
          <w:iCs/>
          <w:u w:val="single"/>
        </w:rPr>
        <w:t>Higher Education Support (Other Grants) Amendment (</w:t>
      </w:r>
      <w:r w:rsidR="00055529" w:rsidRPr="0068024F">
        <w:rPr>
          <w:b w:val="0"/>
          <w:bCs/>
          <w:i w:val="0"/>
          <w:iCs/>
          <w:u w:val="single"/>
        </w:rPr>
        <w:t>National Priorities Pool Program</w:t>
      </w:r>
      <w:r w:rsidRPr="0068024F">
        <w:rPr>
          <w:b w:val="0"/>
          <w:bCs/>
          <w:i w:val="0"/>
          <w:iCs/>
          <w:u w:val="single"/>
        </w:rPr>
        <w:t>) Guidelines 202</w:t>
      </w:r>
      <w:r w:rsidR="00BA6D4A" w:rsidRPr="0068024F">
        <w:rPr>
          <w:b w:val="0"/>
          <w:bCs/>
          <w:i w:val="0"/>
          <w:iCs/>
          <w:u w:val="single"/>
        </w:rPr>
        <w:t>4</w:t>
      </w:r>
    </w:p>
    <w:p w14:paraId="65F6CFAB" w14:textId="684DE356" w:rsidR="00DA552F" w:rsidRPr="0068024F" w:rsidRDefault="00F9205E" w:rsidP="0068024F">
      <w:pPr>
        <w:spacing w:before="120" w:after="120" w:line="240" w:lineRule="auto"/>
        <w:rPr>
          <w:rFonts w:asciiTheme="minorHAnsi" w:hAnsiTheme="minorHAnsi" w:cstheme="minorHAnsi"/>
          <w:szCs w:val="24"/>
        </w:rPr>
      </w:pPr>
      <w:r w:rsidRPr="0068024F">
        <w:rPr>
          <w:rFonts w:asciiTheme="minorHAnsi" w:hAnsiTheme="minorHAnsi" w:cstheme="minorHAnsi"/>
          <w:szCs w:val="24"/>
        </w:rPr>
        <w:t xml:space="preserve">The </w:t>
      </w:r>
      <w:r w:rsidR="002B411E" w:rsidRPr="0068024F">
        <w:rPr>
          <w:rFonts w:asciiTheme="minorHAnsi" w:hAnsiTheme="minorHAnsi" w:cstheme="minorHAnsi"/>
          <w:i/>
          <w:iCs/>
          <w:szCs w:val="24"/>
        </w:rPr>
        <w:t xml:space="preserve">Higher Education Support (Other Grants) Amendment </w:t>
      </w:r>
      <w:r w:rsidR="00BA6D4A" w:rsidRPr="0068024F">
        <w:rPr>
          <w:rFonts w:asciiTheme="minorHAnsi" w:hAnsiTheme="minorHAnsi" w:cstheme="minorHAnsi"/>
          <w:i/>
          <w:iCs/>
          <w:szCs w:val="24"/>
        </w:rPr>
        <w:t>(</w:t>
      </w:r>
      <w:r w:rsidR="00FE692B" w:rsidRPr="0068024F">
        <w:rPr>
          <w:rFonts w:asciiTheme="minorHAnsi" w:hAnsiTheme="minorHAnsi" w:cstheme="minorHAnsi"/>
          <w:i/>
          <w:iCs/>
          <w:szCs w:val="24"/>
        </w:rPr>
        <w:t>National Priorities Pool Program</w:t>
      </w:r>
      <w:r w:rsidR="002B411E" w:rsidRPr="0068024F">
        <w:rPr>
          <w:rFonts w:asciiTheme="minorHAnsi" w:hAnsiTheme="minorHAnsi" w:cstheme="minorHAnsi"/>
          <w:i/>
          <w:iCs/>
          <w:szCs w:val="24"/>
        </w:rPr>
        <w:t>) Guidelines 202</w:t>
      </w:r>
      <w:r w:rsidR="00BA6D4A" w:rsidRPr="0068024F">
        <w:rPr>
          <w:rFonts w:asciiTheme="minorHAnsi" w:hAnsiTheme="minorHAnsi" w:cstheme="minorHAnsi"/>
          <w:i/>
          <w:iCs/>
          <w:szCs w:val="24"/>
        </w:rPr>
        <w:t>4</w:t>
      </w:r>
      <w:r w:rsidR="001E52EB" w:rsidRPr="0068024F">
        <w:rPr>
          <w:rFonts w:asciiTheme="minorHAnsi" w:hAnsiTheme="minorHAnsi" w:cstheme="minorHAnsi"/>
          <w:szCs w:val="24"/>
        </w:rPr>
        <w:t xml:space="preserve"> (the </w:t>
      </w:r>
      <w:r w:rsidR="002B411E" w:rsidRPr="0068024F">
        <w:rPr>
          <w:rFonts w:asciiTheme="minorHAnsi" w:hAnsiTheme="minorHAnsi" w:cstheme="minorHAnsi"/>
          <w:szCs w:val="24"/>
        </w:rPr>
        <w:t xml:space="preserve">Amendment </w:t>
      </w:r>
      <w:r w:rsidR="00FF6E25" w:rsidRPr="0068024F">
        <w:rPr>
          <w:rFonts w:asciiTheme="minorHAnsi" w:hAnsiTheme="minorHAnsi" w:cstheme="minorHAnsi"/>
          <w:szCs w:val="24"/>
        </w:rPr>
        <w:t>Instrument</w:t>
      </w:r>
      <w:r w:rsidR="001E52EB" w:rsidRPr="0068024F">
        <w:rPr>
          <w:rFonts w:asciiTheme="minorHAnsi" w:hAnsiTheme="minorHAnsi" w:cstheme="minorHAnsi"/>
          <w:szCs w:val="24"/>
        </w:rPr>
        <w:t xml:space="preserve">) </w:t>
      </w:r>
      <w:r w:rsidR="002B5C28" w:rsidRPr="0068024F">
        <w:rPr>
          <w:rFonts w:asciiTheme="minorHAnsi" w:hAnsiTheme="minorHAnsi" w:cstheme="minorHAnsi"/>
          <w:szCs w:val="24"/>
        </w:rPr>
        <w:t xml:space="preserve">is </w:t>
      </w:r>
      <w:r w:rsidRPr="0068024F">
        <w:rPr>
          <w:rFonts w:asciiTheme="minorHAnsi" w:hAnsiTheme="minorHAnsi" w:cstheme="minorHAnsi"/>
          <w:szCs w:val="24"/>
        </w:rPr>
        <w:t xml:space="preserve">compatible with the human rights and freedoms recognised or declared in the international instruments listed in section 3 of the </w:t>
      </w:r>
      <w:r w:rsidRPr="0068024F">
        <w:rPr>
          <w:rFonts w:asciiTheme="minorHAnsi" w:hAnsiTheme="minorHAnsi" w:cstheme="minorHAnsi"/>
          <w:i/>
          <w:szCs w:val="24"/>
        </w:rPr>
        <w:t>Human Rights (Parliamentary Scrutiny) Act 2011</w:t>
      </w:r>
      <w:r w:rsidRPr="0068024F">
        <w:rPr>
          <w:rFonts w:asciiTheme="minorHAnsi" w:hAnsiTheme="minorHAnsi" w:cstheme="minorHAnsi"/>
          <w:szCs w:val="24"/>
        </w:rPr>
        <w:t>.</w:t>
      </w:r>
    </w:p>
    <w:p w14:paraId="4889D26D" w14:textId="28589A1B" w:rsidR="00F9205E" w:rsidRPr="0068024F" w:rsidRDefault="00F9205E" w:rsidP="0068024F">
      <w:pPr>
        <w:pStyle w:val="Heading2"/>
        <w:spacing w:line="240" w:lineRule="auto"/>
      </w:pPr>
      <w:r w:rsidRPr="0068024F">
        <w:t xml:space="preserve">Overview of the </w:t>
      </w:r>
      <w:r w:rsidR="002C40FB" w:rsidRPr="0068024F">
        <w:t>Legislative Instrument</w:t>
      </w:r>
    </w:p>
    <w:p w14:paraId="1EB1D1C0" w14:textId="046DFF2F" w:rsidR="00610AE3" w:rsidRPr="0068024F" w:rsidRDefault="00610AE3" w:rsidP="0068024F">
      <w:pPr>
        <w:spacing w:before="120" w:after="120" w:line="240" w:lineRule="auto"/>
        <w:rPr>
          <w:rFonts w:asciiTheme="minorHAnsi" w:hAnsiTheme="minorHAnsi" w:cstheme="minorHAnsi"/>
          <w:iCs/>
          <w:szCs w:val="24"/>
        </w:rPr>
      </w:pPr>
      <w:r w:rsidRPr="0068024F">
        <w:rPr>
          <w:rFonts w:asciiTheme="minorHAnsi" w:hAnsiTheme="minorHAnsi" w:cstheme="minorHAnsi"/>
          <w:iCs/>
          <w:szCs w:val="24"/>
        </w:rPr>
        <w:t xml:space="preserve">The Amendment Instrument amends the </w:t>
      </w:r>
      <w:r w:rsidRPr="0068024F">
        <w:rPr>
          <w:rFonts w:asciiTheme="minorHAnsi" w:hAnsiTheme="minorHAnsi" w:cstheme="minorHAnsi"/>
          <w:i/>
          <w:iCs/>
          <w:szCs w:val="24"/>
        </w:rPr>
        <w:t xml:space="preserve">Higher Education Support (Other Grants) Guidelines 2022 </w:t>
      </w:r>
      <w:r w:rsidRPr="0068024F">
        <w:rPr>
          <w:rFonts w:asciiTheme="minorHAnsi" w:hAnsiTheme="minorHAnsi" w:cstheme="minorHAnsi"/>
          <w:szCs w:val="24"/>
        </w:rPr>
        <w:t xml:space="preserve">(the </w:t>
      </w:r>
      <w:r w:rsidRPr="0068024F">
        <w:rPr>
          <w:rFonts w:asciiTheme="minorHAnsi" w:hAnsiTheme="minorHAnsi" w:cstheme="minorHAnsi"/>
          <w:iCs/>
          <w:szCs w:val="24"/>
        </w:rPr>
        <w:t xml:space="preserve">Principal Instrument) to specify the </w:t>
      </w:r>
      <w:r w:rsidR="00FE692B" w:rsidRPr="0068024F">
        <w:rPr>
          <w:rFonts w:asciiTheme="minorHAnsi" w:hAnsiTheme="minorHAnsi" w:cstheme="minorHAnsi"/>
          <w:iCs/>
          <w:szCs w:val="24"/>
        </w:rPr>
        <w:t xml:space="preserve">Australian Human Rights Commission </w:t>
      </w:r>
      <w:r w:rsidR="009D3ED7" w:rsidRPr="0068024F">
        <w:rPr>
          <w:rFonts w:asciiTheme="minorHAnsi" w:hAnsiTheme="minorHAnsi" w:cstheme="minorHAnsi"/>
          <w:iCs/>
          <w:szCs w:val="24"/>
        </w:rPr>
        <w:t xml:space="preserve">(AHRC) </w:t>
      </w:r>
      <w:r w:rsidR="00FE692B" w:rsidRPr="0068024F">
        <w:rPr>
          <w:rFonts w:asciiTheme="minorHAnsi" w:hAnsiTheme="minorHAnsi" w:cstheme="minorHAnsi"/>
          <w:iCs/>
          <w:szCs w:val="24"/>
        </w:rPr>
        <w:t xml:space="preserve">as a body corporate </w:t>
      </w:r>
      <w:r w:rsidR="00055529" w:rsidRPr="0068024F">
        <w:rPr>
          <w:rFonts w:asciiTheme="minorHAnsi" w:hAnsiTheme="minorHAnsi" w:cstheme="minorHAnsi"/>
          <w:iCs/>
          <w:szCs w:val="24"/>
        </w:rPr>
        <w:t>that is</w:t>
      </w:r>
      <w:r w:rsidR="00FE692B" w:rsidRPr="0068024F">
        <w:rPr>
          <w:rFonts w:asciiTheme="minorHAnsi" w:hAnsiTheme="minorHAnsi" w:cstheme="minorHAnsi"/>
          <w:iCs/>
          <w:szCs w:val="24"/>
        </w:rPr>
        <w:t xml:space="preserve"> eligible to receive a grant under the </w:t>
      </w:r>
      <w:r w:rsidR="009D3ED7" w:rsidRPr="0068024F">
        <w:rPr>
          <w:rFonts w:asciiTheme="minorHAnsi" w:hAnsiTheme="minorHAnsi" w:cstheme="minorHAnsi"/>
          <w:iCs/>
          <w:szCs w:val="24"/>
        </w:rPr>
        <w:t xml:space="preserve">National Priorities Pool Program. </w:t>
      </w:r>
    </w:p>
    <w:p w14:paraId="3571549F" w14:textId="3B893399" w:rsidR="00EC1CB3" w:rsidRPr="0068024F" w:rsidRDefault="009D3ED7" w:rsidP="0068024F">
      <w:pPr>
        <w:spacing w:before="120" w:after="120" w:line="240" w:lineRule="auto"/>
        <w:rPr>
          <w:rFonts w:asciiTheme="minorHAnsi" w:hAnsiTheme="minorHAnsi" w:cstheme="minorHAnsi"/>
          <w:iCs/>
          <w:szCs w:val="24"/>
        </w:rPr>
      </w:pPr>
      <w:r w:rsidRPr="0068024F">
        <w:rPr>
          <w:rFonts w:asciiTheme="minorHAnsi" w:hAnsiTheme="minorHAnsi" w:cstheme="minorHAnsi"/>
          <w:iCs/>
          <w:szCs w:val="24"/>
        </w:rPr>
        <w:t>This will facilitate the AHRC receiving a grant to</w:t>
      </w:r>
      <w:r w:rsidR="009D3DA9" w:rsidRPr="0068024F">
        <w:rPr>
          <w:rFonts w:asciiTheme="minorHAnsi" w:hAnsiTheme="minorHAnsi" w:cstheme="minorHAnsi"/>
          <w:iCs/>
          <w:szCs w:val="24"/>
        </w:rPr>
        <w:t xml:space="preserve"> conduct the </w:t>
      </w:r>
      <w:r w:rsidR="009D3DA9" w:rsidRPr="0068024F">
        <w:rPr>
          <w:rFonts w:asciiTheme="minorHAnsi" w:hAnsiTheme="minorHAnsi" w:cstheme="minorHAnsi"/>
          <w:i/>
          <w:szCs w:val="24"/>
        </w:rPr>
        <w:t xml:space="preserve">Respect at Uni: Study into antisemitism, Islamophobia, racism, and the experience of First Nations People </w:t>
      </w:r>
      <w:r w:rsidR="00786E24" w:rsidRPr="0068024F">
        <w:rPr>
          <w:rFonts w:asciiTheme="minorHAnsi" w:hAnsiTheme="minorHAnsi" w:cstheme="minorHAnsi"/>
          <w:i/>
          <w:szCs w:val="24"/>
        </w:rPr>
        <w:t>study</w:t>
      </w:r>
      <w:r w:rsidR="00786E24" w:rsidRPr="0068024F">
        <w:rPr>
          <w:rFonts w:asciiTheme="minorHAnsi" w:hAnsiTheme="minorHAnsi" w:cstheme="minorHAnsi"/>
          <w:iCs/>
          <w:szCs w:val="24"/>
        </w:rPr>
        <w:t xml:space="preserve"> (the Study)</w:t>
      </w:r>
      <w:r w:rsidR="009D3DA9" w:rsidRPr="0068024F">
        <w:rPr>
          <w:rFonts w:asciiTheme="minorHAnsi" w:hAnsiTheme="minorHAnsi" w:cstheme="minorHAnsi"/>
          <w:iCs/>
          <w:szCs w:val="24"/>
        </w:rPr>
        <w:t xml:space="preserve">. </w:t>
      </w:r>
      <w:r w:rsidR="00EC1CB3" w:rsidRPr="0068024F">
        <w:rPr>
          <w:rFonts w:asciiTheme="minorHAnsi" w:hAnsiTheme="minorHAnsi" w:cstheme="minorHAnsi"/>
          <w:iCs/>
          <w:szCs w:val="24"/>
        </w:rPr>
        <w:t xml:space="preserve">The Study responds to a recommendation 33 of the Australian Universities Accord which identified the need to address a range of systemic barriers experienced by educationally disadvantaged cohorts, to ensure they can participate on the same basis as their peers. </w:t>
      </w:r>
    </w:p>
    <w:p w14:paraId="3C740F36" w14:textId="076C8D2B" w:rsidR="009F40B6" w:rsidRPr="0068024F" w:rsidRDefault="00EC1CB3" w:rsidP="0068024F">
      <w:pPr>
        <w:pStyle w:val="NormalWeb"/>
        <w:shd w:val="clear" w:color="auto" w:fill="FFFFFF"/>
        <w:spacing w:before="0" w:beforeAutospacing="0"/>
        <w:rPr>
          <w:rFonts w:asciiTheme="minorHAnsi" w:hAnsiTheme="minorHAnsi" w:cstheme="minorHAnsi"/>
        </w:rPr>
      </w:pPr>
      <w:r w:rsidRPr="0068024F">
        <w:rPr>
          <w:rFonts w:asciiTheme="minorHAnsi" w:hAnsiTheme="minorHAnsi" w:cstheme="minorHAnsi"/>
          <w:iCs/>
        </w:rPr>
        <w:t xml:space="preserve">The Study will achieve the objective of ensuring equality of opportunity in higher education by examining the prevalence and impact of racism in universities and developing recommendations to ensure a safe environment for students and staff. The study will consult with students, stakeholder groups and education providers in affected equity cohorts. The </w:t>
      </w:r>
      <w:r w:rsidR="0068024F">
        <w:rPr>
          <w:rFonts w:asciiTheme="minorHAnsi" w:hAnsiTheme="minorHAnsi" w:cstheme="minorHAnsi"/>
          <w:iCs/>
        </w:rPr>
        <w:t xml:space="preserve">Race Discrimination </w:t>
      </w:r>
      <w:r w:rsidRPr="0068024F">
        <w:rPr>
          <w:rFonts w:asciiTheme="minorHAnsi" w:hAnsiTheme="minorHAnsi" w:cstheme="minorHAnsi"/>
          <w:iCs/>
        </w:rPr>
        <w:t>Commissioner will establish a reference group of respected leaders from the Jewish community, Muslim community, First Nations Australians and culturally and linguistically diverse (CALD) communities with experience studying, working in, and leading universities. </w:t>
      </w:r>
    </w:p>
    <w:p w14:paraId="57CC71C9" w14:textId="77777777" w:rsidR="00F9205E" w:rsidRPr="0068024F" w:rsidRDefault="00F9205E" w:rsidP="0068024F">
      <w:pPr>
        <w:pStyle w:val="Heading2"/>
        <w:spacing w:line="240" w:lineRule="auto"/>
      </w:pPr>
      <w:r w:rsidRPr="0068024F">
        <w:t>Human rights implications</w:t>
      </w:r>
    </w:p>
    <w:p w14:paraId="7EB0E968" w14:textId="05F6522D" w:rsidR="00C97E14" w:rsidRPr="0068024F" w:rsidRDefault="00610AE3" w:rsidP="0068024F">
      <w:pPr>
        <w:spacing w:before="120" w:after="120" w:line="240" w:lineRule="auto"/>
        <w:rPr>
          <w:rFonts w:asciiTheme="minorHAnsi" w:hAnsiTheme="minorHAnsi" w:cstheme="minorHAnsi"/>
          <w:szCs w:val="24"/>
        </w:rPr>
      </w:pPr>
      <w:r w:rsidRPr="0068024F">
        <w:rPr>
          <w:rFonts w:asciiTheme="minorHAnsi" w:hAnsiTheme="minorHAnsi" w:cstheme="minorHAnsi"/>
          <w:szCs w:val="24"/>
        </w:rPr>
        <w:t xml:space="preserve">The Amendment Instrument engages the right to education in Article 13 of the International Covenant on Economic, Social and Cultural Rights (ICESCR). </w:t>
      </w:r>
    </w:p>
    <w:p w14:paraId="299B9698" w14:textId="1C55A936" w:rsidR="00610AE3" w:rsidRPr="0068024F" w:rsidRDefault="00610AE3" w:rsidP="0068024F">
      <w:pPr>
        <w:spacing w:before="120" w:after="120" w:line="240" w:lineRule="auto"/>
        <w:rPr>
          <w:rFonts w:asciiTheme="minorHAnsi" w:hAnsiTheme="minorHAnsi" w:cstheme="minorHAnsi"/>
          <w:szCs w:val="24"/>
        </w:rPr>
      </w:pPr>
      <w:r w:rsidRPr="0068024F">
        <w:rPr>
          <w:rFonts w:asciiTheme="minorHAnsi" w:hAnsiTheme="minorHAnsi" w:cstheme="minorHAnsi"/>
          <w:szCs w:val="24"/>
          <w:u w:val="single"/>
        </w:rPr>
        <w:t>Right to education</w:t>
      </w:r>
    </w:p>
    <w:p w14:paraId="1E4ABD6D" w14:textId="0DD26D15" w:rsidR="00610AE3" w:rsidRPr="0068024F" w:rsidRDefault="00FE6C08" w:rsidP="0068024F">
      <w:pPr>
        <w:spacing w:before="120" w:after="120" w:line="240" w:lineRule="auto"/>
        <w:rPr>
          <w:rFonts w:asciiTheme="minorHAnsi" w:hAnsiTheme="minorHAnsi" w:cstheme="minorHAnsi"/>
          <w:color w:val="000000"/>
          <w:szCs w:val="24"/>
        </w:rPr>
      </w:pPr>
      <w:r w:rsidRPr="0068024F">
        <w:rPr>
          <w:rFonts w:asciiTheme="minorHAnsi" w:hAnsiTheme="minorHAnsi" w:cstheme="minorHAnsi"/>
          <w:szCs w:val="24"/>
        </w:rPr>
        <w:t xml:space="preserve">Article 13(2) of the ICESCR provides that ‘higher education shall be made equally accessible to all, on the basis of capacity, by every appropriate means, </w:t>
      </w:r>
      <w:r w:rsidRPr="0068024F">
        <w:rPr>
          <w:rFonts w:asciiTheme="minorHAnsi" w:hAnsiTheme="minorHAnsi" w:cstheme="minorHAnsi"/>
          <w:color w:val="000000"/>
          <w:szCs w:val="24"/>
        </w:rPr>
        <w:t>and in particular by the progressive introduction of free education’.</w:t>
      </w:r>
    </w:p>
    <w:p w14:paraId="33AE050E" w14:textId="36AC0BC0" w:rsidR="00FE6C08" w:rsidRPr="0068024F" w:rsidRDefault="00FE6C08" w:rsidP="0068024F">
      <w:pPr>
        <w:spacing w:before="120" w:after="120" w:line="240" w:lineRule="auto"/>
        <w:rPr>
          <w:rFonts w:asciiTheme="minorHAnsi" w:hAnsiTheme="minorHAnsi" w:cstheme="minorHAnsi"/>
          <w:color w:val="000000"/>
          <w:szCs w:val="24"/>
        </w:rPr>
      </w:pPr>
      <w:r w:rsidRPr="0068024F">
        <w:rPr>
          <w:rFonts w:asciiTheme="minorHAnsi" w:hAnsiTheme="minorHAnsi" w:cstheme="minorHAnsi"/>
          <w:color w:val="000000"/>
          <w:szCs w:val="24"/>
        </w:rPr>
        <w:t xml:space="preserve">The Amendment Instrument amends the Principal Instrument to specify </w:t>
      </w:r>
      <w:r w:rsidR="00FE692B" w:rsidRPr="0068024F">
        <w:rPr>
          <w:rFonts w:asciiTheme="minorHAnsi" w:hAnsiTheme="minorHAnsi" w:cstheme="minorHAnsi"/>
          <w:color w:val="000000"/>
          <w:szCs w:val="24"/>
        </w:rPr>
        <w:t xml:space="preserve">the </w:t>
      </w:r>
      <w:r w:rsidR="00BA5D21" w:rsidRPr="0068024F">
        <w:rPr>
          <w:rFonts w:asciiTheme="minorHAnsi" w:hAnsiTheme="minorHAnsi" w:cstheme="minorHAnsi"/>
          <w:color w:val="000000"/>
          <w:szCs w:val="24"/>
        </w:rPr>
        <w:t xml:space="preserve">AHRC as a body corporate </w:t>
      </w:r>
      <w:r w:rsidR="00CE38AD" w:rsidRPr="0068024F">
        <w:rPr>
          <w:rFonts w:asciiTheme="minorHAnsi" w:hAnsiTheme="minorHAnsi" w:cstheme="minorHAnsi"/>
          <w:color w:val="000000"/>
          <w:szCs w:val="24"/>
        </w:rPr>
        <w:t>that is</w:t>
      </w:r>
      <w:r w:rsidR="00BA5D21" w:rsidRPr="0068024F">
        <w:rPr>
          <w:rFonts w:asciiTheme="minorHAnsi" w:hAnsiTheme="minorHAnsi" w:cstheme="minorHAnsi"/>
          <w:color w:val="000000"/>
          <w:szCs w:val="24"/>
        </w:rPr>
        <w:t xml:space="preserve"> eligible to receive a grant under the National Priorities Pool Program. This engages the right to education by </w:t>
      </w:r>
      <w:r w:rsidR="00EC1CB3" w:rsidRPr="0068024F">
        <w:rPr>
          <w:rFonts w:asciiTheme="minorHAnsi" w:hAnsiTheme="minorHAnsi" w:cstheme="minorHAnsi"/>
          <w:color w:val="000000"/>
          <w:szCs w:val="24"/>
        </w:rPr>
        <w:t xml:space="preserve">facilitating the AHRC to conduct the study with the aim of </w:t>
      </w:r>
      <w:r w:rsidR="00973D67" w:rsidRPr="0068024F">
        <w:rPr>
          <w:rFonts w:asciiTheme="minorHAnsi" w:hAnsiTheme="minorHAnsi" w:cstheme="minorHAnsi"/>
          <w:color w:val="000000"/>
          <w:szCs w:val="24"/>
        </w:rPr>
        <w:t>ensuring all Australians no matter their background, have equality and equity of opportunity in higher education</w:t>
      </w:r>
      <w:r w:rsidR="006C6FD3" w:rsidRPr="0068024F">
        <w:rPr>
          <w:rFonts w:asciiTheme="minorHAnsi" w:hAnsiTheme="minorHAnsi" w:cstheme="minorHAnsi"/>
          <w:color w:val="000000"/>
          <w:szCs w:val="24"/>
        </w:rPr>
        <w:t>, including the ability to access and participate on the same basis as their peers.</w:t>
      </w:r>
      <w:r w:rsidR="00BA5D21" w:rsidRPr="0068024F">
        <w:rPr>
          <w:rFonts w:asciiTheme="minorHAnsi" w:hAnsiTheme="minorHAnsi" w:cstheme="minorHAnsi"/>
          <w:color w:val="000000"/>
          <w:szCs w:val="24"/>
        </w:rPr>
        <w:t xml:space="preserve"> </w:t>
      </w:r>
    </w:p>
    <w:p w14:paraId="0D664062" w14:textId="77777777" w:rsidR="00DA552F" w:rsidRPr="0068024F" w:rsidRDefault="00F9205E" w:rsidP="0068024F">
      <w:pPr>
        <w:pStyle w:val="Heading2"/>
        <w:spacing w:line="240" w:lineRule="auto"/>
      </w:pPr>
      <w:r w:rsidRPr="0068024F">
        <w:lastRenderedPageBreak/>
        <w:t>Conclusion</w:t>
      </w:r>
    </w:p>
    <w:p w14:paraId="26C0AF71" w14:textId="7BF49181" w:rsidR="00F9205E" w:rsidRPr="0068024F" w:rsidRDefault="00F9205E" w:rsidP="0068024F">
      <w:pPr>
        <w:spacing w:before="120" w:after="120" w:line="240" w:lineRule="auto"/>
        <w:rPr>
          <w:rFonts w:asciiTheme="minorHAnsi" w:hAnsiTheme="minorHAnsi" w:cstheme="minorHAnsi"/>
          <w:szCs w:val="24"/>
        </w:rPr>
      </w:pPr>
      <w:r w:rsidRPr="0068024F">
        <w:rPr>
          <w:rFonts w:asciiTheme="minorHAnsi" w:hAnsiTheme="minorHAnsi" w:cstheme="minorHAnsi"/>
          <w:szCs w:val="24"/>
        </w:rPr>
        <w:t xml:space="preserve">The </w:t>
      </w:r>
      <w:r w:rsidR="00DD7496" w:rsidRPr="0068024F">
        <w:rPr>
          <w:rFonts w:asciiTheme="minorHAnsi" w:hAnsiTheme="minorHAnsi" w:cstheme="minorHAnsi"/>
          <w:szCs w:val="24"/>
        </w:rPr>
        <w:t xml:space="preserve">Instrument </w:t>
      </w:r>
      <w:r w:rsidRPr="0068024F">
        <w:rPr>
          <w:rFonts w:asciiTheme="minorHAnsi" w:hAnsiTheme="minorHAnsi" w:cstheme="minorHAnsi"/>
          <w:szCs w:val="24"/>
        </w:rPr>
        <w:t xml:space="preserve">is compatible with human rights because </w:t>
      </w:r>
      <w:r w:rsidR="0019381E" w:rsidRPr="0068024F">
        <w:rPr>
          <w:rFonts w:asciiTheme="minorHAnsi" w:hAnsiTheme="minorHAnsi" w:cstheme="minorHAnsi"/>
          <w:szCs w:val="24"/>
        </w:rPr>
        <w:t>i</w:t>
      </w:r>
      <w:r w:rsidR="00F7573F" w:rsidRPr="0068024F">
        <w:rPr>
          <w:rFonts w:asciiTheme="minorHAnsi" w:hAnsiTheme="minorHAnsi" w:cstheme="minorHAnsi"/>
          <w:szCs w:val="24"/>
        </w:rPr>
        <w:t xml:space="preserve">t </w:t>
      </w:r>
      <w:r w:rsidR="00FE6C08" w:rsidRPr="0068024F">
        <w:rPr>
          <w:rFonts w:asciiTheme="minorHAnsi" w:hAnsiTheme="minorHAnsi" w:cstheme="minorHAnsi"/>
          <w:szCs w:val="24"/>
        </w:rPr>
        <w:t>supports the right to education.</w:t>
      </w:r>
    </w:p>
    <w:p w14:paraId="49175299" w14:textId="77777777" w:rsidR="00D8103E" w:rsidRPr="0068024F" w:rsidRDefault="00D8103E" w:rsidP="0068024F">
      <w:pPr>
        <w:spacing w:before="120" w:after="120" w:line="240" w:lineRule="auto"/>
        <w:rPr>
          <w:rFonts w:asciiTheme="minorHAnsi" w:hAnsiTheme="minorHAnsi" w:cstheme="minorHAnsi"/>
          <w:b/>
          <w:szCs w:val="24"/>
        </w:rPr>
      </w:pPr>
    </w:p>
    <w:p w14:paraId="1EC89B8A" w14:textId="5B082254" w:rsidR="00DA552F" w:rsidRPr="0068024F" w:rsidRDefault="00D8103E" w:rsidP="0068024F">
      <w:pPr>
        <w:spacing w:before="120" w:after="120" w:line="240" w:lineRule="auto"/>
        <w:jc w:val="center"/>
        <w:rPr>
          <w:rFonts w:asciiTheme="minorHAnsi" w:hAnsiTheme="minorHAnsi" w:cstheme="minorHAnsi"/>
          <w:szCs w:val="24"/>
        </w:rPr>
      </w:pPr>
      <w:r w:rsidRPr="0068024F">
        <w:rPr>
          <w:rFonts w:asciiTheme="minorHAnsi" w:hAnsiTheme="minorHAnsi" w:cstheme="minorHAnsi"/>
          <w:b/>
          <w:szCs w:val="24"/>
        </w:rPr>
        <w:t xml:space="preserve">Minister for </w:t>
      </w:r>
      <w:r w:rsidR="00581A71" w:rsidRPr="0068024F">
        <w:rPr>
          <w:rFonts w:asciiTheme="minorHAnsi" w:hAnsiTheme="minorHAnsi" w:cstheme="minorHAnsi"/>
          <w:b/>
          <w:szCs w:val="24"/>
        </w:rPr>
        <w:t>Education</w:t>
      </w:r>
      <w:r w:rsidR="00E8671C" w:rsidRPr="0068024F">
        <w:rPr>
          <w:rFonts w:asciiTheme="minorHAnsi" w:hAnsiTheme="minorHAnsi" w:cstheme="minorHAnsi"/>
          <w:b/>
          <w:szCs w:val="24"/>
        </w:rPr>
        <w:t xml:space="preserve">, </w:t>
      </w:r>
      <w:r w:rsidR="00581A71" w:rsidRPr="0068024F">
        <w:rPr>
          <w:rFonts w:asciiTheme="minorHAnsi" w:hAnsiTheme="minorHAnsi" w:cstheme="minorHAnsi"/>
          <w:b/>
          <w:szCs w:val="24"/>
        </w:rPr>
        <w:t>the Hon Jason Clare MP</w:t>
      </w:r>
    </w:p>
    <w:p w14:paraId="1103BC73" w14:textId="77777777" w:rsidR="00DA552F" w:rsidRPr="0068024F" w:rsidRDefault="00DA552F" w:rsidP="0068024F">
      <w:pPr>
        <w:spacing w:before="240" w:after="240" w:line="240" w:lineRule="auto"/>
        <w:rPr>
          <w:rFonts w:asciiTheme="minorHAnsi" w:hAnsiTheme="minorHAnsi" w:cstheme="minorHAnsi"/>
          <w:szCs w:val="24"/>
        </w:rPr>
        <w:sectPr w:rsidR="00DA552F" w:rsidRPr="0068024F"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75486CFD" w:rsidR="00DA552F" w:rsidRPr="0068024F" w:rsidRDefault="00581A71" w:rsidP="0068024F">
      <w:pPr>
        <w:pStyle w:val="Title"/>
        <w:spacing w:line="240" w:lineRule="auto"/>
        <w:rPr>
          <w:b w:val="0"/>
        </w:rPr>
      </w:pPr>
      <w:r w:rsidRPr="0068024F">
        <w:rPr>
          <w:u w:val="none"/>
        </w:rPr>
        <w:lastRenderedPageBreak/>
        <w:t>HIGHER EDUCATION SUPPORT (OTHER GRANTS) AMENDMENT (</w:t>
      </w:r>
      <w:r w:rsidR="00BA5D21" w:rsidRPr="0068024F">
        <w:rPr>
          <w:u w:val="none"/>
        </w:rPr>
        <w:t>NATIONAL PRIORITIES POOL PROGRAM</w:t>
      </w:r>
      <w:r w:rsidRPr="0068024F">
        <w:rPr>
          <w:u w:val="none"/>
        </w:rPr>
        <w:t>) GUIDELINES 202</w:t>
      </w:r>
      <w:r w:rsidR="00A92EC0" w:rsidRPr="0068024F">
        <w:rPr>
          <w:u w:val="none"/>
        </w:rPr>
        <w:t>4</w:t>
      </w:r>
    </w:p>
    <w:p w14:paraId="289E50B9" w14:textId="77777777" w:rsidR="00DA552F" w:rsidRPr="0068024F" w:rsidRDefault="00DB6247" w:rsidP="0068024F">
      <w:pPr>
        <w:pStyle w:val="Heading1"/>
        <w:spacing w:line="240" w:lineRule="auto"/>
      </w:pPr>
      <w:r w:rsidRPr="0068024F">
        <w:t>EXPLANATION OF PROVISIONS</w:t>
      </w:r>
    </w:p>
    <w:p w14:paraId="5C8B7FC1" w14:textId="77777777" w:rsidR="00DA552F" w:rsidRPr="0068024F" w:rsidRDefault="00DB6247" w:rsidP="0068024F">
      <w:pPr>
        <w:pStyle w:val="Heading3"/>
        <w:spacing w:before="240" w:line="240" w:lineRule="auto"/>
        <w:rPr>
          <w:b/>
          <w:bCs/>
        </w:rPr>
      </w:pPr>
      <w:r w:rsidRPr="0068024F">
        <w:rPr>
          <w:b/>
          <w:bCs/>
        </w:rPr>
        <w:t>Section</w:t>
      </w:r>
      <w:r w:rsidR="00DA552F" w:rsidRPr="0068024F">
        <w:rPr>
          <w:b/>
          <w:bCs/>
        </w:rPr>
        <w:t xml:space="preserve"> 1: </w:t>
      </w:r>
      <w:r w:rsidR="00E631F9" w:rsidRPr="0068024F">
        <w:rPr>
          <w:b/>
          <w:bCs/>
        </w:rPr>
        <w:t>Name</w:t>
      </w:r>
    </w:p>
    <w:p w14:paraId="6EB0F1F1" w14:textId="7F6B8B88" w:rsidR="00DA552F" w:rsidRPr="0068024F" w:rsidRDefault="00DA552F" w:rsidP="0068024F">
      <w:pPr>
        <w:pStyle w:val="ListParagraph"/>
        <w:numPr>
          <w:ilvl w:val="0"/>
          <w:numId w:val="1"/>
        </w:numPr>
        <w:spacing w:before="360" w:after="120" w:line="240" w:lineRule="auto"/>
        <w:rPr>
          <w:rFonts w:asciiTheme="minorHAnsi" w:hAnsiTheme="minorHAnsi" w:cstheme="minorHAnsi"/>
          <w:szCs w:val="24"/>
        </w:rPr>
      </w:pPr>
      <w:r w:rsidRPr="0068024F">
        <w:rPr>
          <w:rFonts w:asciiTheme="minorHAnsi" w:hAnsiTheme="minorHAnsi" w:cstheme="minorHAnsi"/>
          <w:szCs w:val="24"/>
        </w:rPr>
        <w:t xml:space="preserve">This is a formal provision specifying the </w:t>
      </w:r>
      <w:r w:rsidR="00E631F9" w:rsidRPr="0068024F">
        <w:rPr>
          <w:rFonts w:asciiTheme="minorHAnsi" w:hAnsiTheme="minorHAnsi" w:cstheme="minorHAnsi"/>
          <w:szCs w:val="24"/>
        </w:rPr>
        <w:t>name of the</w:t>
      </w:r>
      <w:r w:rsidR="00603D52" w:rsidRPr="0068024F">
        <w:rPr>
          <w:rFonts w:asciiTheme="minorHAnsi" w:hAnsiTheme="minorHAnsi" w:cstheme="minorHAnsi"/>
          <w:szCs w:val="24"/>
        </w:rPr>
        <w:t xml:space="preserve"> </w:t>
      </w:r>
      <w:r w:rsidR="00603D52" w:rsidRPr="0068024F">
        <w:rPr>
          <w:rFonts w:asciiTheme="minorHAnsi" w:hAnsiTheme="minorHAnsi" w:cstheme="minorHAnsi"/>
          <w:i/>
          <w:iCs/>
          <w:szCs w:val="24"/>
        </w:rPr>
        <w:t>Higher Education Support (Other Grants) Amendment (</w:t>
      </w:r>
      <w:r w:rsidR="00BA5D21" w:rsidRPr="0068024F">
        <w:rPr>
          <w:rFonts w:asciiTheme="minorHAnsi" w:hAnsiTheme="minorHAnsi" w:cstheme="minorHAnsi"/>
          <w:i/>
          <w:iCs/>
          <w:szCs w:val="24"/>
        </w:rPr>
        <w:t>National Priorities Pool Program</w:t>
      </w:r>
      <w:r w:rsidR="00603D52" w:rsidRPr="0068024F">
        <w:rPr>
          <w:rFonts w:asciiTheme="minorHAnsi" w:hAnsiTheme="minorHAnsi" w:cstheme="minorHAnsi"/>
          <w:i/>
          <w:iCs/>
          <w:szCs w:val="24"/>
        </w:rPr>
        <w:t>) Guidelines 202</w:t>
      </w:r>
      <w:r w:rsidR="00A92EC0" w:rsidRPr="0068024F">
        <w:rPr>
          <w:rFonts w:asciiTheme="minorHAnsi" w:hAnsiTheme="minorHAnsi" w:cstheme="minorHAnsi"/>
          <w:i/>
          <w:iCs/>
          <w:szCs w:val="24"/>
        </w:rPr>
        <w:t>4</w:t>
      </w:r>
      <w:r w:rsidR="00603D52" w:rsidRPr="0068024F">
        <w:rPr>
          <w:rFonts w:asciiTheme="minorHAnsi" w:hAnsiTheme="minorHAnsi" w:cstheme="minorHAnsi"/>
          <w:i/>
          <w:iCs/>
          <w:szCs w:val="24"/>
        </w:rPr>
        <w:t xml:space="preserve"> </w:t>
      </w:r>
      <w:r w:rsidR="00603D52" w:rsidRPr="0068024F">
        <w:rPr>
          <w:rFonts w:asciiTheme="minorHAnsi" w:hAnsiTheme="minorHAnsi" w:cstheme="minorHAnsi"/>
          <w:szCs w:val="24"/>
        </w:rPr>
        <w:t>(the Amendment I</w:t>
      </w:r>
      <w:r w:rsidR="00E631F9" w:rsidRPr="0068024F">
        <w:rPr>
          <w:rFonts w:asciiTheme="minorHAnsi" w:hAnsiTheme="minorHAnsi" w:cstheme="minorHAnsi"/>
          <w:szCs w:val="24"/>
        </w:rPr>
        <w:t>nstrument</w:t>
      </w:r>
      <w:r w:rsidR="00603D52" w:rsidRPr="0068024F">
        <w:rPr>
          <w:rFonts w:asciiTheme="minorHAnsi" w:hAnsiTheme="minorHAnsi" w:cstheme="minorHAnsi"/>
          <w:szCs w:val="24"/>
        </w:rPr>
        <w:t>)</w:t>
      </w:r>
      <w:r w:rsidR="00E631F9" w:rsidRPr="0068024F">
        <w:rPr>
          <w:rFonts w:asciiTheme="minorHAnsi" w:hAnsiTheme="minorHAnsi" w:cstheme="minorHAnsi"/>
          <w:szCs w:val="24"/>
        </w:rPr>
        <w:t>.</w:t>
      </w:r>
    </w:p>
    <w:p w14:paraId="153E9ACC" w14:textId="77777777" w:rsidR="00DA552F" w:rsidRPr="0068024F" w:rsidRDefault="00DB6247" w:rsidP="0068024F">
      <w:pPr>
        <w:pStyle w:val="Heading3"/>
        <w:spacing w:before="240" w:line="240" w:lineRule="auto"/>
        <w:rPr>
          <w:b/>
          <w:bCs/>
        </w:rPr>
      </w:pPr>
      <w:r w:rsidRPr="0068024F">
        <w:rPr>
          <w:b/>
          <w:bCs/>
        </w:rPr>
        <w:t>Section</w:t>
      </w:r>
      <w:r w:rsidR="00DA552F" w:rsidRPr="0068024F">
        <w:rPr>
          <w:b/>
          <w:bCs/>
        </w:rPr>
        <w:t xml:space="preserve"> 2: Commencement</w:t>
      </w:r>
    </w:p>
    <w:p w14:paraId="1DC53B7C" w14:textId="7A4D9704" w:rsidR="00E631F9" w:rsidRPr="0068024F" w:rsidRDefault="00581A71" w:rsidP="0068024F">
      <w:pPr>
        <w:pStyle w:val="ListParagraph"/>
        <w:keepNext/>
        <w:numPr>
          <w:ilvl w:val="0"/>
          <w:numId w:val="1"/>
        </w:numPr>
        <w:spacing w:before="360" w:after="120" w:line="240" w:lineRule="auto"/>
        <w:rPr>
          <w:rFonts w:asciiTheme="minorHAnsi" w:hAnsiTheme="minorHAnsi" w:cstheme="minorHAnsi"/>
          <w:iCs/>
          <w:szCs w:val="24"/>
        </w:rPr>
      </w:pPr>
      <w:r w:rsidRPr="0068024F">
        <w:rPr>
          <w:rFonts w:asciiTheme="minorHAnsi" w:hAnsiTheme="minorHAnsi" w:cstheme="minorHAnsi"/>
          <w:iCs/>
          <w:szCs w:val="24"/>
        </w:rPr>
        <w:t xml:space="preserve">This provision provides that the </w:t>
      </w:r>
      <w:r w:rsidR="00603D52" w:rsidRPr="0068024F">
        <w:rPr>
          <w:rFonts w:asciiTheme="minorHAnsi" w:hAnsiTheme="minorHAnsi" w:cstheme="minorHAnsi"/>
          <w:iCs/>
          <w:szCs w:val="24"/>
        </w:rPr>
        <w:t>Amendment Instrument</w:t>
      </w:r>
      <w:r w:rsidRPr="0068024F">
        <w:rPr>
          <w:rFonts w:asciiTheme="minorHAnsi" w:hAnsiTheme="minorHAnsi" w:cstheme="minorHAnsi"/>
          <w:iCs/>
          <w:szCs w:val="24"/>
        </w:rPr>
        <w:t xml:space="preserve"> commences on the day after the Amendment Instrument is registered on the Federal Register of Legislation. </w:t>
      </w:r>
    </w:p>
    <w:p w14:paraId="3287C071" w14:textId="77777777" w:rsidR="00E631F9" w:rsidRPr="0068024F" w:rsidRDefault="00E631F9" w:rsidP="0068024F">
      <w:pPr>
        <w:pStyle w:val="Heading3"/>
        <w:spacing w:before="240" w:line="240" w:lineRule="auto"/>
        <w:rPr>
          <w:b/>
          <w:bCs/>
        </w:rPr>
      </w:pPr>
      <w:r w:rsidRPr="0068024F">
        <w:rPr>
          <w:b/>
          <w:bCs/>
        </w:rPr>
        <w:t>Section 3: Authority</w:t>
      </w:r>
    </w:p>
    <w:p w14:paraId="1CEE71F7" w14:textId="08A0FDA4" w:rsidR="00E631F9" w:rsidRPr="0068024F" w:rsidRDefault="00581A71" w:rsidP="0068024F">
      <w:pPr>
        <w:pStyle w:val="ListParagraph"/>
        <w:keepNext/>
        <w:numPr>
          <w:ilvl w:val="0"/>
          <w:numId w:val="1"/>
        </w:numPr>
        <w:spacing w:before="360" w:after="120" w:line="240" w:lineRule="auto"/>
        <w:rPr>
          <w:rFonts w:asciiTheme="minorHAnsi" w:hAnsiTheme="minorHAnsi" w:cstheme="minorHAnsi"/>
          <w:iCs/>
          <w:szCs w:val="24"/>
        </w:rPr>
      </w:pPr>
      <w:r w:rsidRPr="0068024F">
        <w:rPr>
          <w:rFonts w:asciiTheme="minorHAnsi" w:hAnsiTheme="minorHAnsi" w:cstheme="minorHAnsi"/>
          <w:iCs/>
          <w:szCs w:val="24"/>
        </w:rPr>
        <w:t>This provision provides that the Amendment Instrument is made under section 238</w:t>
      </w:r>
      <w:r w:rsidRPr="0068024F">
        <w:rPr>
          <w:rFonts w:asciiTheme="minorHAnsi" w:hAnsiTheme="minorHAnsi" w:cstheme="minorHAnsi"/>
          <w:iCs/>
          <w:szCs w:val="24"/>
        </w:rPr>
        <w:noBreakHyphen/>
        <w:t xml:space="preserve">10 of the </w:t>
      </w:r>
      <w:r w:rsidRPr="0068024F">
        <w:rPr>
          <w:rFonts w:asciiTheme="minorHAnsi" w:hAnsiTheme="minorHAnsi" w:cstheme="minorHAnsi"/>
          <w:i/>
          <w:szCs w:val="24"/>
        </w:rPr>
        <w:t xml:space="preserve">Higher Education Support Act 2003 </w:t>
      </w:r>
      <w:r w:rsidRPr="0068024F">
        <w:rPr>
          <w:rFonts w:asciiTheme="minorHAnsi" w:hAnsiTheme="minorHAnsi" w:cstheme="minorHAnsi"/>
          <w:iCs/>
          <w:szCs w:val="24"/>
        </w:rPr>
        <w:t xml:space="preserve">(the Act). </w:t>
      </w:r>
    </w:p>
    <w:p w14:paraId="0296CC14" w14:textId="4050D0AE" w:rsidR="00DA552F" w:rsidRPr="0068024F" w:rsidRDefault="00E631F9" w:rsidP="0068024F">
      <w:pPr>
        <w:pStyle w:val="Heading3"/>
        <w:spacing w:before="240" w:line="240" w:lineRule="auto"/>
        <w:rPr>
          <w:b/>
          <w:bCs/>
        </w:rPr>
      </w:pPr>
      <w:r w:rsidRPr="0068024F">
        <w:rPr>
          <w:b/>
          <w:bCs/>
        </w:rPr>
        <w:t xml:space="preserve">Section 4: </w:t>
      </w:r>
      <w:r w:rsidR="00581A71" w:rsidRPr="0068024F">
        <w:rPr>
          <w:b/>
          <w:bCs/>
        </w:rPr>
        <w:t xml:space="preserve">Schedules </w:t>
      </w:r>
    </w:p>
    <w:p w14:paraId="2AB55D93" w14:textId="60C7F995" w:rsidR="00756D99" w:rsidRPr="0068024F" w:rsidRDefault="00581A71" w:rsidP="0068024F">
      <w:pPr>
        <w:pStyle w:val="ListParagraph"/>
        <w:numPr>
          <w:ilvl w:val="0"/>
          <w:numId w:val="1"/>
        </w:numPr>
        <w:spacing w:after="160" w:line="240" w:lineRule="auto"/>
        <w:rPr>
          <w:rFonts w:asciiTheme="minorHAnsi" w:hAnsiTheme="minorHAnsi" w:cstheme="minorHAnsi"/>
          <w:szCs w:val="24"/>
        </w:rPr>
      </w:pPr>
      <w:bookmarkStart w:id="5" w:name="_Toc23942243"/>
      <w:bookmarkEnd w:id="5"/>
      <w:r w:rsidRPr="0068024F">
        <w:rPr>
          <w:rFonts w:asciiTheme="minorHAnsi" w:hAnsiTheme="minorHAnsi" w:cstheme="minorHAnsi"/>
          <w:szCs w:val="24"/>
        </w:rPr>
        <w:t>This is a technical provision that explains that the instrument that is specified in a Schedule to th</w:t>
      </w:r>
      <w:r w:rsidR="000B1B40" w:rsidRPr="0068024F">
        <w:rPr>
          <w:rFonts w:asciiTheme="minorHAnsi" w:hAnsiTheme="minorHAnsi" w:cstheme="minorHAnsi"/>
          <w:szCs w:val="24"/>
        </w:rPr>
        <w:t>e</w:t>
      </w:r>
      <w:r w:rsidRPr="0068024F">
        <w:rPr>
          <w:rFonts w:asciiTheme="minorHAnsi" w:hAnsiTheme="minorHAnsi" w:cstheme="minorHAnsi"/>
          <w:szCs w:val="24"/>
        </w:rPr>
        <w:t xml:space="preserve"> </w:t>
      </w:r>
      <w:r w:rsidR="000B1B40" w:rsidRPr="0068024F">
        <w:rPr>
          <w:rFonts w:asciiTheme="minorHAnsi" w:hAnsiTheme="minorHAnsi" w:cstheme="minorHAnsi"/>
          <w:szCs w:val="24"/>
        </w:rPr>
        <w:t>Amendment I</w:t>
      </w:r>
      <w:r w:rsidRPr="0068024F">
        <w:rPr>
          <w:rFonts w:asciiTheme="minorHAnsi" w:hAnsiTheme="minorHAnsi" w:cstheme="minorHAnsi"/>
          <w:szCs w:val="24"/>
        </w:rPr>
        <w:t>nstrument</w:t>
      </w:r>
      <w:r w:rsidR="00EA1428" w:rsidRPr="0068024F">
        <w:rPr>
          <w:rFonts w:asciiTheme="minorHAnsi" w:hAnsiTheme="minorHAnsi" w:cstheme="minorHAnsi"/>
          <w:szCs w:val="24"/>
        </w:rPr>
        <w:t xml:space="preserve">, being the </w:t>
      </w:r>
      <w:r w:rsidR="00EA1428" w:rsidRPr="0068024F">
        <w:rPr>
          <w:rFonts w:asciiTheme="minorHAnsi" w:hAnsiTheme="minorHAnsi" w:cstheme="minorHAnsi"/>
          <w:i/>
          <w:iCs/>
          <w:szCs w:val="24"/>
        </w:rPr>
        <w:t xml:space="preserve">Higher Education Support (Other Grants) Guidelines 2022 </w:t>
      </w:r>
      <w:r w:rsidR="00EA1428" w:rsidRPr="0068024F">
        <w:rPr>
          <w:rFonts w:asciiTheme="minorHAnsi" w:hAnsiTheme="minorHAnsi" w:cstheme="minorHAnsi"/>
          <w:szCs w:val="24"/>
        </w:rPr>
        <w:t>(the Principal Instrument),</w:t>
      </w:r>
      <w:r w:rsidRPr="0068024F">
        <w:rPr>
          <w:rFonts w:asciiTheme="minorHAnsi" w:hAnsiTheme="minorHAnsi" w:cstheme="minorHAnsi"/>
          <w:szCs w:val="24"/>
        </w:rPr>
        <w:t xml:space="preserve"> is amended or repealed as set out in the applicable items in the Schedule concerned. </w:t>
      </w:r>
    </w:p>
    <w:p w14:paraId="6BA970E5" w14:textId="33740AC0" w:rsidR="00581A71" w:rsidRPr="0068024F" w:rsidRDefault="00581A71" w:rsidP="0068024F">
      <w:pPr>
        <w:spacing w:after="160" w:line="240" w:lineRule="auto"/>
        <w:rPr>
          <w:rFonts w:asciiTheme="minorHAnsi" w:hAnsiTheme="minorHAnsi" w:cstheme="minorHAnsi"/>
          <w:szCs w:val="24"/>
        </w:rPr>
      </w:pPr>
      <w:r w:rsidRPr="0068024F">
        <w:rPr>
          <w:rFonts w:asciiTheme="minorHAnsi" w:hAnsiTheme="minorHAnsi" w:cstheme="minorHAnsi"/>
          <w:b/>
          <w:bCs/>
          <w:szCs w:val="24"/>
          <w:u w:val="single"/>
        </w:rPr>
        <w:t xml:space="preserve">Schedule 1 – Amendments </w:t>
      </w:r>
    </w:p>
    <w:p w14:paraId="05CD46D6" w14:textId="104B0008" w:rsidR="00581A71" w:rsidRPr="0068024F" w:rsidRDefault="00581A71" w:rsidP="0068024F">
      <w:pPr>
        <w:spacing w:after="160" w:line="240" w:lineRule="auto"/>
        <w:rPr>
          <w:rFonts w:asciiTheme="minorHAnsi" w:hAnsiTheme="minorHAnsi" w:cstheme="minorHAnsi"/>
          <w:szCs w:val="24"/>
        </w:rPr>
      </w:pPr>
      <w:r w:rsidRPr="0068024F">
        <w:rPr>
          <w:rFonts w:asciiTheme="minorHAnsi" w:hAnsiTheme="minorHAnsi" w:cstheme="minorHAnsi"/>
          <w:i/>
          <w:iCs/>
          <w:szCs w:val="24"/>
        </w:rPr>
        <w:t xml:space="preserve">Higher Education Support (Other Grants) Guidelines 2022 </w:t>
      </w:r>
    </w:p>
    <w:p w14:paraId="284CF944" w14:textId="2E317C25" w:rsidR="00581A71" w:rsidRPr="0068024F" w:rsidRDefault="00581A71" w:rsidP="0068024F">
      <w:pPr>
        <w:spacing w:after="160" w:line="240" w:lineRule="auto"/>
        <w:rPr>
          <w:rFonts w:asciiTheme="minorHAnsi" w:hAnsiTheme="minorHAnsi" w:cstheme="minorHAnsi"/>
          <w:szCs w:val="24"/>
        </w:rPr>
      </w:pPr>
      <w:r w:rsidRPr="0068024F">
        <w:rPr>
          <w:rFonts w:asciiTheme="minorHAnsi" w:hAnsiTheme="minorHAnsi" w:cstheme="minorHAnsi"/>
          <w:szCs w:val="24"/>
          <w:u w:val="single"/>
        </w:rPr>
        <w:t>Item 1</w:t>
      </w:r>
    </w:p>
    <w:p w14:paraId="3B74679E" w14:textId="23726658" w:rsidR="00581A71" w:rsidRPr="0068024F" w:rsidRDefault="00186D4B" w:rsidP="0068024F">
      <w:pPr>
        <w:pStyle w:val="ListParagraph"/>
        <w:numPr>
          <w:ilvl w:val="0"/>
          <w:numId w:val="1"/>
        </w:numPr>
        <w:spacing w:after="160" w:line="240" w:lineRule="auto"/>
        <w:rPr>
          <w:rFonts w:asciiTheme="minorHAnsi" w:hAnsiTheme="minorHAnsi" w:cstheme="minorHAnsi"/>
          <w:szCs w:val="24"/>
        </w:rPr>
      </w:pPr>
      <w:r w:rsidRPr="0068024F">
        <w:rPr>
          <w:rFonts w:asciiTheme="minorHAnsi" w:hAnsiTheme="minorHAnsi" w:cstheme="minorHAnsi"/>
          <w:szCs w:val="24"/>
        </w:rPr>
        <w:t xml:space="preserve">Item 1 </w:t>
      </w:r>
      <w:r w:rsidR="00BA5D21" w:rsidRPr="0068024F">
        <w:rPr>
          <w:rFonts w:asciiTheme="minorHAnsi" w:hAnsiTheme="minorHAnsi" w:cstheme="minorHAnsi"/>
          <w:szCs w:val="24"/>
        </w:rPr>
        <w:t>amend</w:t>
      </w:r>
      <w:r w:rsidR="00A92EC0" w:rsidRPr="0068024F">
        <w:rPr>
          <w:rFonts w:asciiTheme="minorHAnsi" w:hAnsiTheme="minorHAnsi" w:cstheme="minorHAnsi"/>
          <w:szCs w:val="24"/>
        </w:rPr>
        <w:t xml:space="preserve">s subsection </w:t>
      </w:r>
      <w:r w:rsidR="00BA5D21" w:rsidRPr="0068024F">
        <w:rPr>
          <w:rFonts w:asciiTheme="minorHAnsi" w:hAnsiTheme="minorHAnsi" w:cstheme="minorHAnsi"/>
          <w:szCs w:val="24"/>
        </w:rPr>
        <w:t>14(2</w:t>
      </w:r>
      <w:r w:rsidR="00A92EC0" w:rsidRPr="0068024F">
        <w:rPr>
          <w:rFonts w:asciiTheme="minorHAnsi" w:hAnsiTheme="minorHAnsi" w:cstheme="minorHAnsi"/>
          <w:szCs w:val="24"/>
        </w:rPr>
        <w:t xml:space="preserve">) </w:t>
      </w:r>
      <w:r w:rsidR="00BA5D21" w:rsidRPr="0068024F">
        <w:rPr>
          <w:rFonts w:asciiTheme="minorHAnsi" w:hAnsiTheme="minorHAnsi" w:cstheme="minorHAnsi"/>
          <w:szCs w:val="24"/>
        </w:rPr>
        <w:t xml:space="preserve">to </w:t>
      </w:r>
      <w:r w:rsidR="005B55FD" w:rsidRPr="0068024F">
        <w:rPr>
          <w:rFonts w:asciiTheme="minorHAnsi" w:hAnsiTheme="minorHAnsi" w:cstheme="minorHAnsi"/>
          <w:szCs w:val="24"/>
        </w:rPr>
        <w:t>provide</w:t>
      </w:r>
      <w:r w:rsidR="00BA5D21" w:rsidRPr="0068024F">
        <w:rPr>
          <w:rFonts w:asciiTheme="minorHAnsi" w:hAnsiTheme="minorHAnsi" w:cstheme="minorHAnsi"/>
          <w:szCs w:val="24"/>
        </w:rPr>
        <w:t xml:space="preserve"> that it is an objective of the National Priorities Pool Program to provide grants to higher education providers and specified bodies corporate</w:t>
      </w:r>
      <w:r w:rsidR="00DE5209" w:rsidRPr="0068024F">
        <w:rPr>
          <w:rFonts w:asciiTheme="minorHAnsi" w:hAnsiTheme="minorHAnsi" w:cstheme="minorHAnsi"/>
          <w:szCs w:val="24"/>
        </w:rPr>
        <w:t>. This is to facilitate a grant being provided to the Australian Human Rights Commission</w:t>
      </w:r>
      <w:r w:rsidR="005B55FD" w:rsidRPr="0068024F">
        <w:rPr>
          <w:rFonts w:asciiTheme="minorHAnsi" w:hAnsiTheme="minorHAnsi" w:cstheme="minorHAnsi"/>
          <w:szCs w:val="24"/>
        </w:rPr>
        <w:t xml:space="preserve"> (AHRC) under the program</w:t>
      </w:r>
      <w:r w:rsidR="00DE5209" w:rsidRPr="0068024F">
        <w:rPr>
          <w:rFonts w:asciiTheme="minorHAnsi" w:hAnsiTheme="minorHAnsi" w:cstheme="minorHAnsi"/>
          <w:szCs w:val="24"/>
        </w:rPr>
        <w:t xml:space="preserve">. </w:t>
      </w:r>
      <w:r w:rsidR="00A92EC0" w:rsidRPr="0068024F">
        <w:rPr>
          <w:rFonts w:asciiTheme="minorHAnsi" w:hAnsiTheme="minorHAnsi" w:cstheme="minorHAnsi"/>
          <w:szCs w:val="24"/>
        </w:rPr>
        <w:t xml:space="preserve"> </w:t>
      </w:r>
    </w:p>
    <w:p w14:paraId="314704E6" w14:textId="71832E71" w:rsidR="001C12F1" w:rsidRPr="0068024F" w:rsidRDefault="001C12F1" w:rsidP="0068024F">
      <w:pPr>
        <w:spacing w:after="160" w:line="240" w:lineRule="auto"/>
        <w:rPr>
          <w:rFonts w:asciiTheme="minorHAnsi" w:hAnsiTheme="minorHAnsi" w:cstheme="minorHAnsi"/>
          <w:szCs w:val="24"/>
          <w:u w:val="single"/>
        </w:rPr>
      </w:pPr>
      <w:r w:rsidRPr="0068024F">
        <w:rPr>
          <w:rFonts w:asciiTheme="minorHAnsi" w:hAnsiTheme="minorHAnsi" w:cstheme="minorHAnsi"/>
          <w:szCs w:val="24"/>
          <w:u w:val="single"/>
        </w:rPr>
        <w:t>Items 2 and 3</w:t>
      </w:r>
    </w:p>
    <w:p w14:paraId="12228553" w14:textId="1824ACEA" w:rsidR="001C12F1" w:rsidRPr="0068024F" w:rsidRDefault="001C12F1" w:rsidP="0068024F">
      <w:pPr>
        <w:pStyle w:val="ListParagraph"/>
        <w:numPr>
          <w:ilvl w:val="0"/>
          <w:numId w:val="1"/>
        </w:numPr>
        <w:spacing w:after="160" w:line="240" w:lineRule="auto"/>
        <w:rPr>
          <w:rFonts w:asciiTheme="minorHAnsi" w:hAnsiTheme="minorHAnsi" w:cstheme="minorHAnsi"/>
          <w:szCs w:val="24"/>
          <w:u w:val="single"/>
        </w:rPr>
      </w:pPr>
      <w:r w:rsidRPr="0068024F">
        <w:rPr>
          <w:rFonts w:asciiTheme="minorHAnsi" w:hAnsiTheme="minorHAnsi" w:cstheme="minorHAnsi"/>
          <w:szCs w:val="24"/>
        </w:rPr>
        <w:t xml:space="preserve">Items 2 and 3 make minor technical changes to </w:t>
      </w:r>
      <w:r w:rsidR="000446EF" w:rsidRPr="0068024F">
        <w:rPr>
          <w:rFonts w:asciiTheme="minorHAnsi" w:hAnsiTheme="minorHAnsi" w:cstheme="minorHAnsi"/>
          <w:szCs w:val="24"/>
        </w:rPr>
        <w:t xml:space="preserve">paragraphs 14(2)(b) and (c) to facilitate the change being made in item 4 to insert new paragraph </w:t>
      </w:r>
      <w:r w:rsidR="00180EF7" w:rsidRPr="0068024F">
        <w:rPr>
          <w:rFonts w:asciiTheme="minorHAnsi" w:hAnsiTheme="minorHAnsi" w:cstheme="minorHAnsi"/>
          <w:szCs w:val="24"/>
        </w:rPr>
        <w:t xml:space="preserve">14(2)(d). </w:t>
      </w:r>
    </w:p>
    <w:p w14:paraId="42269299" w14:textId="31851AFF" w:rsidR="00AE3A8E" w:rsidRPr="0068024F" w:rsidRDefault="00AE3A8E" w:rsidP="0068024F">
      <w:pPr>
        <w:spacing w:after="160" w:line="240" w:lineRule="auto"/>
        <w:rPr>
          <w:rFonts w:asciiTheme="minorHAnsi" w:hAnsiTheme="minorHAnsi" w:cstheme="minorHAnsi"/>
          <w:szCs w:val="24"/>
          <w:u w:val="single"/>
        </w:rPr>
      </w:pPr>
      <w:r w:rsidRPr="0068024F">
        <w:rPr>
          <w:rFonts w:asciiTheme="minorHAnsi" w:hAnsiTheme="minorHAnsi" w:cstheme="minorHAnsi"/>
          <w:szCs w:val="24"/>
          <w:u w:val="single"/>
        </w:rPr>
        <w:t xml:space="preserve">Item </w:t>
      </w:r>
      <w:r w:rsidR="001C12F1" w:rsidRPr="0068024F">
        <w:rPr>
          <w:rFonts w:asciiTheme="minorHAnsi" w:hAnsiTheme="minorHAnsi" w:cstheme="minorHAnsi"/>
          <w:szCs w:val="24"/>
          <w:u w:val="single"/>
        </w:rPr>
        <w:t>4</w:t>
      </w:r>
    </w:p>
    <w:p w14:paraId="57A5E3F9" w14:textId="5A69882B" w:rsidR="00A92EC0" w:rsidRPr="0068024F" w:rsidRDefault="00A92EC0" w:rsidP="0068024F">
      <w:pPr>
        <w:pStyle w:val="ListParagraph"/>
        <w:numPr>
          <w:ilvl w:val="0"/>
          <w:numId w:val="1"/>
        </w:numPr>
        <w:spacing w:after="160" w:line="240" w:lineRule="auto"/>
        <w:rPr>
          <w:rFonts w:asciiTheme="minorHAnsi" w:hAnsiTheme="minorHAnsi" w:cstheme="minorHAnsi"/>
          <w:szCs w:val="24"/>
        </w:rPr>
      </w:pPr>
      <w:r w:rsidRPr="0068024F">
        <w:rPr>
          <w:rFonts w:asciiTheme="minorHAnsi" w:hAnsiTheme="minorHAnsi" w:cstheme="minorHAnsi"/>
          <w:szCs w:val="24"/>
        </w:rPr>
        <w:t xml:space="preserve">Item </w:t>
      </w:r>
      <w:r w:rsidR="00F06808" w:rsidRPr="0068024F">
        <w:rPr>
          <w:rFonts w:asciiTheme="minorHAnsi" w:hAnsiTheme="minorHAnsi" w:cstheme="minorHAnsi"/>
          <w:szCs w:val="24"/>
        </w:rPr>
        <w:t>4</w:t>
      </w:r>
      <w:r w:rsidRPr="0068024F">
        <w:rPr>
          <w:rFonts w:asciiTheme="minorHAnsi" w:hAnsiTheme="minorHAnsi" w:cstheme="minorHAnsi"/>
          <w:szCs w:val="24"/>
        </w:rPr>
        <w:t xml:space="preserve"> </w:t>
      </w:r>
      <w:r w:rsidR="00DE5209" w:rsidRPr="0068024F">
        <w:rPr>
          <w:rFonts w:asciiTheme="minorHAnsi" w:hAnsiTheme="minorHAnsi" w:cstheme="minorHAnsi"/>
          <w:szCs w:val="24"/>
        </w:rPr>
        <w:t xml:space="preserve">inserts a new paragraph 14(2)(d). This new paragraph </w:t>
      </w:r>
      <w:r w:rsidR="00C66220" w:rsidRPr="0068024F">
        <w:rPr>
          <w:rFonts w:asciiTheme="minorHAnsi" w:hAnsiTheme="minorHAnsi" w:cstheme="minorHAnsi"/>
          <w:szCs w:val="24"/>
        </w:rPr>
        <w:t xml:space="preserve">sets out that it is an objective of the National Priorities Pool Program to provide grants that </w:t>
      </w:r>
      <w:r w:rsidR="00DD0C78" w:rsidRPr="0068024F">
        <w:rPr>
          <w:rFonts w:asciiTheme="minorHAnsi" w:hAnsiTheme="minorHAnsi" w:cstheme="minorHAnsi"/>
          <w:szCs w:val="24"/>
        </w:rPr>
        <w:t>are designed to address barriers to education including through embedding inclusive education, universal design for teaching and learning and improved cultural safety</w:t>
      </w:r>
      <w:r w:rsidRPr="0068024F">
        <w:rPr>
          <w:rFonts w:asciiTheme="minorHAnsi" w:hAnsiTheme="minorHAnsi" w:cstheme="minorHAnsi"/>
          <w:szCs w:val="24"/>
        </w:rPr>
        <w:t>.</w:t>
      </w:r>
      <w:r w:rsidR="00DD0C78" w:rsidRPr="0068024F">
        <w:rPr>
          <w:rFonts w:asciiTheme="minorHAnsi" w:hAnsiTheme="minorHAnsi" w:cstheme="minorHAnsi"/>
          <w:szCs w:val="24"/>
        </w:rPr>
        <w:t xml:space="preserve"> </w:t>
      </w:r>
      <w:r w:rsidRPr="0068024F">
        <w:rPr>
          <w:rFonts w:asciiTheme="minorHAnsi" w:hAnsiTheme="minorHAnsi" w:cstheme="minorHAnsi"/>
          <w:szCs w:val="24"/>
        </w:rPr>
        <w:t xml:space="preserve"> </w:t>
      </w:r>
    </w:p>
    <w:p w14:paraId="2CE9EBAB" w14:textId="1D080D5B" w:rsidR="00DD0C78" w:rsidRPr="0068024F" w:rsidRDefault="00DD0C78" w:rsidP="0068024F">
      <w:pPr>
        <w:pStyle w:val="ListParagraph"/>
        <w:numPr>
          <w:ilvl w:val="0"/>
          <w:numId w:val="1"/>
        </w:numPr>
        <w:spacing w:after="160" w:line="240" w:lineRule="auto"/>
        <w:rPr>
          <w:rFonts w:asciiTheme="minorHAnsi" w:hAnsiTheme="minorHAnsi" w:cstheme="minorHAnsi"/>
          <w:szCs w:val="24"/>
        </w:rPr>
      </w:pPr>
      <w:r w:rsidRPr="0068024F">
        <w:rPr>
          <w:rFonts w:asciiTheme="minorHAnsi" w:hAnsiTheme="minorHAnsi" w:cstheme="minorHAnsi"/>
          <w:szCs w:val="24"/>
        </w:rPr>
        <w:t>This will</w:t>
      </w:r>
      <w:r w:rsidR="00A92EC0" w:rsidRPr="0068024F">
        <w:rPr>
          <w:rFonts w:asciiTheme="minorHAnsi" w:hAnsiTheme="minorHAnsi" w:cstheme="minorHAnsi"/>
          <w:szCs w:val="24"/>
        </w:rPr>
        <w:t xml:space="preserve"> </w:t>
      </w:r>
      <w:r w:rsidRPr="0068024F">
        <w:rPr>
          <w:rFonts w:asciiTheme="minorHAnsi" w:hAnsiTheme="minorHAnsi" w:cstheme="minorHAnsi"/>
          <w:szCs w:val="24"/>
        </w:rPr>
        <w:t xml:space="preserve">ensure that grants may be provided </w:t>
      </w:r>
      <w:r w:rsidR="00532AAE" w:rsidRPr="0068024F">
        <w:rPr>
          <w:rFonts w:asciiTheme="minorHAnsi" w:hAnsiTheme="minorHAnsi" w:cstheme="minorHAnsi"/>
          <w:szCs w:val="24"/>
        </w:rPr>
        <w:t xml:space="preserve">under the program </w:t>
      </w:r>
      <w:r w:rsidRPr="0068024F">
        <w:rPr>
          <w:rFonts w:asciiTheme="minorHAnsi" w:hAnsiTheme="minorHAnsi" w:cstheme="minorHAnsi"/>
          <w:szCs w:val="24"/>
        </w:rPr>
        <w:t xml:space="preserve">with the objective of ensuring that people from educationally disadvantaged cohorts, including but not </w:t>
      </w:r>
      <w:r w:rsidRPr="0068024F">
        <w:rPr>
          <w:rFonts w:asciiTheme="minorHAnsi" w:hAnsiTheme="minorHAnsi" w:cstheme="minorHAnsi"/>
          <w:szCs w:val="24"/>
        </w:rPr>
        <w:lastRenderedPageBreak/>
        <w:t>limited to, persons from a low socioeconomic background, persons from regional areas and remote areas, Indigenous persons, and persons with disability can access and participate in education on the same basis as students not from those cohorts.</w:t>
      </w:r>
    </w:p>
    <w:p w14:paraId="423AA60D" w14:textId="1D99CA2A" w:rsidR="00AE3A8E" w:rsidRPr="0068024F" w:rsidRDefault="00AE3A8E" w:rsidP="0068024F">
      <w:pPr>
        <w:spacing w:after="160" w:line="240" w:lineRule="auto"/>
        <w:rPr>
          <w:rFonts w:asciiTheme="minorHAnsi" w:hAnsiTheme="minorHAnsi" w:cstheme="minorHAnsi"/>
          <w:szCs w:val="24"/>
        </w:rPr>
      </w:pPr>
      <w:r w:rsidRPr="0068024F">
        <w:rPr>
          <w:rFonts w:asciiTheme="minorHAnsi" w:hAnsiTheme="minorHAnsi" w:cstheme="minorHAnsi"/>
          <w:szCs w:val="24"/>
          <w:u w:val="single"/>
        </w:rPr>
        <w:t xml:space="preserve">Item </w:t>
      </w:r>
      <w:r w:rsidR="002A5ED9" w:rsidRPr="0068024F">
        <w:rPr>
          <w:rFonts w:asciiTheme="minorHAnsi" w:hAnsiTheme="minorHAnsi" w:cstheme="minorHAnsi"/>
          <w:szCs w:val="24"/>
          <w:u w:val="single"/>
        </w:rPr>
        <w:t>5</w:t>
      </w:r>
    </w:p>
    <w:p w14:paraId="6F769445" w14:textId="57F6DA58" w:rsidR="00A92EC0" w:rsidRPr="0068024F" w:rsidRDefault="00A92EC0" w:rsidP="0068024F">
      <w:pPr>
        <w:pStyle w:val="ListParagraph"/>
        <w:numPr>
          <w:ilvl w:val="0"/>
          <w:numId w:val="1"/>
        </w:numPr>
        <w:spacing w:after="160" w:line="240" w:lineRule="auto"/>
        <w:rPr>
          <w:rFonts w:asciiTheme="minorHAnsi" w:hAnsiTheme="minorHAnsi" w:cstheme="minorHAnsi"/>
          <w:szCs w:val="24"/>
        </w:rPr>
      </w:pPr>
      <w:r w:rsidRPr="0068024F">
        <w:rPr>
          <w:rFonts w:asciiTheme="minorHAnsi" w:hAnsiTheme="minorHAnsi" w:cstheme="minorHAnsi"/>
          <w:szCs w:val="24"/>
        </w:rPr>
        <w:t xml:space="preserve">Item </w:t>
      </w:r>
      <w:r w:rsidR="002A5ED9" w:rsidRPr="0068024F">
        <w:rPr>
          <w:rFonts w:asciiTheme="minorHAnsi" w:hAnsiTheme="minorHAnsi" w:cstheme="minorHAnsi"/>
          <w:szCs w:val="24"/>
        </w:rPr>
        <w:t>5</w:t>
      </w:r>
      <w:r w:rsidRPr="0068024F">
        <w:rPr>
          <w:rFonts w:asciiTheme="minorHAnsi" w:hAnsiTheme="minorHAnsi" w:cstheme="minorHAnsi"/>
          <w:szCs w:val="24"/>
        </w:rPr>
        <w:t xml:space="preserve"> </w:t>
      </w:r>
      <w:r w:rsidR="00FE4425" w:rsidRPr="0068024F">
        <w:rPr>
          <w:rFonts w:asciiTheme="minorHAnsi" w:hAnsiTheme="minorHAnsi" w:cstheme="minorHAnsi"/>
          <w:szCs w:val="24"/>
        </w:rPr>
        <w:t xml:space="preserve">repeals the existing section 15, which provides that there are no specified bodies corporate for the purposes of the National Priorities Pool Program, and replaces it with a new item 15, which specifies that </w:t>
      </w:r>
      <w:r w:rsidR="002A5ED9" w:rsidRPr="0068024F">
        <w:rPr>
          <w:rFonts w:asciiTheme="minorHAnsi" w:hAnsiTheme="minorHAnsi" w:cstheme="minorHAnsi"/>
          <w:szCs w:val="24"/>
        </w:rPr>
        <w:t>the AHRC</w:t>
      </w:r>
      <w:r w:rsidR="00FE4425" w:rsidRPr="0068024F">
        <w:rPr>
          <w:rFonts w:asciiTheme="minorHAnsi" w:hAnsiTheme="minorHAnsi" w:cstheme="minorHAnsi"/>
          <w:szCs w:val="24"/>
        </w:rPr>
        <w:t xml:space="preserve"> </w:t>
      </w:r>
      <w:r w:rsidR="002A5ED9" w:rsidRPr="0068024F">
        <w:rPr>
          <w:rFonts w:asciiTheme="minorHAnsi" w:hAnsiTheme="minorHAnsi" w:cstheme="minorHAnsi"/>
          <w:szCs w:val="24"/>
        </w:rPr>
        <w:t>i</w:t>
      </w:r>
      <w:r w:rsidR="00FE4425" w:rsidRPr="0068024F">
        <w:rPr>
          <w:rFonts w:asciiTheme="minorHAnsi" w:hAnsiTheme="minorHAnsi" w:cstheme="minorHAnsi"/>
          <w:szCs w:val="24"/>
        </w:rPr>
        <w:t>s a body corporate eligible to receive grants under the National Priorities Pool Program</w:t>
      </w:r>
      <w:r w:rsidRPr="0068024F">
        <w:rPr>
          <w:rFonts w:asciiTheme="minorHAnsi" w:hAnsiTheme="minorHAnsi" w:cstheme="minorHAnsi"/>
          <w:szCs w:val="24"/>
        </w:rPr>
        <w:t xml:space="preserve">. </w:t>
      </w:r>
      <w:r w:rsidR="00F77240" w:rsidRPr="0068024F">
        <w:rPr>
          <w:rFonts w:asciiTheme="minorHAnsi" w:hAnsiTheme="minorHAnsi" w:cstheme="minorHAnsi"/>
          <w:szCs w:val="24"/>
        </w:rPr>
        <w:t>The note under this section confirms that Table A providers are already eligible</w:t>
      </w:r>
      <w:r w:rsidR="00273935" w:rsidRPr="0068024F">
        <w:rPr>
          <w:rFonts w:asciiTheme="minorHAnsi" w:hAnsiTheme="minorHAnsi" w:cstheme="minorHAnsi"/>
          <w:szCs w:val="24"/>
        </w:rPr>
        <w:t>,</w:t>
      </w:r>
      <w:r w:rsidR="000A57A2" w:rsidRPr="0068024F">
        <w:rPr>
          <w:rFonts w:asciiTheme="minorHAnsi" w:hAnsiTheme="minorHAnsi" w:cstheme="minorHAnsi"/>
          <w:szCs w:val="24"/>
        </w:rPr>
        <w:t xml:space="preserve"> under section 41-10 of the Act,</w:t>
      </w:r>
      <w:r w:rsidR="00F77240" w:rsidRPr="0068024F">
        <w:rPr>
          <w:rFonts w:asciiTheme="minorHAnsi" w:hAnsiTheme="minorHAnsi" w:cstheme="minorHAnsi"/>
          <w:szCs w:val="24"/>
        </w:rPr>
        <w:t xml:space="preserve"> to receive a grant under the program</w:t>
      </w:r>
      <w:r w:rsidR="000A57A2" w:rsidRPr="0068024F">
        <w:rPr>
          <w:rFonts w:asciiTheme="minorHAnsi" w:hAnsiTheme="minorHAnsi" w:cstheme="minorHAnsi"/>
          <w:szCs w:val="24"/>
        </w:rPr>
        <w:t>.</w:t>
      </w:r>
    </w:p>
    <w:sectPr w:rsidR="00A92EC0" w:rsidRPr="006802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95C1" w14:textId="77777777" w:rsidR="000E6A73" w:rsidRDefault="000E6A73" w:rsidP="00783FAB">
      <w:pPr>
        <w:spacing w:after="0" w:line="240" w:lineRule="auto"/>
      </w:pPr>
      <w:r>
        <w:separator/>
      </w:r>
    </w:p>
  </w:endnote>
  <w:endnote w:type="continuationSeparator" w:id="0">
    <w:p w14:paraId="1DA51292" w14:textId="77777777" w:rsidR="000E6A73" w:rsidRDefault="000E6A73" w:rsidP="00783FAB">
      <w:pPr>
        <w:spacing w:after="0" w:line="240" w:lineRule="auto"/>
      </w:pPr>
      <w:r>
        <w:continuationSeparator/>
      </w:r>
    </w:p>
  </w:endnote>
  <w:endnote w:type="continuationNotice" w:id="1">
    <w:p w14:paraId="2D2B6D01" w14:textId="77777777" w:rsidR="000E6A73" w:rsidRDefault="000E6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D0C3" w14:textId="77777777" w:rsidR="000E6A73" w:rsidRDefault="000E6A73" w:rsidP="00783FAB">
      <w:pPr>
        <w:spacing w:after="0" w:line="240" w:lineRule="auto"/>
      </w:pPr>
      <w:r>
        <w:separator/>
      </w:r>
    </w:p>
  </w:footnote>
  <w:footnote w:type="continuationSeparator" w:id="0">
    <w:p w14:paraId="1E9F37FE" w14:textId="77777777" w:rsidR="000E6A73" w:rsidRDefault="000E6A73" w:rsidP="00783FAB">
      <w:pPr>
        <w:spacing w:after="0" w:line="240" w:lineRule="auto"/>
      </w:pPr>
      <w:r>
        <w:continuationSeparator/>
      </w:r>
    </w:p>
  </w:footnote>
  <w:footnote w:type="continuationNotice" w:id="1">
    <w:p w14:paraId="252F5D2A" w14:textId="77777777" w:rsidR="000E6A73" w:rsidRDefault="000E6A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26C1"/>
    <w:multiLevelType w:val="multilevel"/>
    <w:tmpl w:val="C61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1"/>
  </w:num>
  <w:num w:numId="2" w16cid:durableId="1372879744">
    <w:abstractNumId w:val="4"/>
  </w:num>
  <w:num w:numId="3" w16cid:durableId="116682397">
    <w:abstractNumId w:val="2"/>
  </w:num>
  <w:num w:numId="4" w16cid:durableId="1758986503">
    <w:abstractNumId w:val="3"/>
  </w:num>
  <w:num w:numId="5" w16cid:durableId="15172332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1414"/>
    <w:rsid w:val="00003184"/>
    <w:rsid w:val="000036EB"/>
    <w:rsid w:val="0000395C"/>
    <w:rsid w:val="00011E4D"/>
    <w:rsid w:val="000138CF"/>
    <w:rsid w:val="000140D5"/>
    <w:rsid w:val="000146FA"/>
    <w:rsid w:val="0001554B"/>
    <w:rsid w:val="00016AFF"/>
    <w:rsid w:val="00017F54"/>
    <w:rsid w:val="00030249"/>
    <w:rsid w:val="000305EA"/>
    <w:rsid w:val="00031E3C"/>
    <w:rsid w:val="00032CB3"/>
    <w:rsid w:val="00036FAE"/>
    <w:rsid w:val="00044508"/>
    <w:rsid w:val="000446EF"/>
    <w:rsid w:val="00047561"/>
    <w:rsid w:val="00047668"/>
    <w:rsid w:val="00047A2A"/>
    <w:rsid w:val="0005020B"/>
    <w:rsid w:val="00055529"/>
    <w:rsid w:val="00057815"/>
    <w:rsid w:val="00057A1E"/>
    <w:rsid w:val="000614A1"/>
    <w:rsid w:val="000615A3"/>
    <w:rsid w:val="00062794"/>
    <w:rsid w:val="000634F6"/>
    <w:rsid w:val="0006484E"/>
    <w:rsid w:val="000668B0"/>
    <w:rsid w:val="00076E76"/>
    <w:rsid w:val="00083F41"/>
    <w:rsid w:val="000846B7"/>
    <w:rsid w:val="000A2A28"/>
    <w:rsid w:val="000A2D3A"/>
    <w:rsid w:val="000A3124"/>
    <w:rsid w:val="000A3351"/>
    <w:rsid w:val="000A35D6"/>
    <w:rsid w:val="000A57A2"/>
    <w:rsid w:val="000B1B40"/>
    <w:rsid w:val="000B1BE1"/>
    <w:rsid w:val="000B3914"/>
    <w:rsid w:val="000B4558"/>
    <w:rsid w:val="000B6430"/>
    <w:rsid w:val="000C224C"/>
    <w:rsid w:val="000C310A"/>
    <w:rsid w:val="000C34FD"/>
    <w:rsid w:val="000C4D6B"/>
    <w:rsid w:val="000C5211"/>
    <w:rsid w:val="000D1472"/>
    <w:rsid w:val="000D5E6D"/>
    <w:rsid w:val="000E3516"/>
    <w:rsid w:val="000E57DB"/>
    <w:rsid w:val="000E6A73"/>
    <w:rsid w:val="000E6FD6"/>
    <w:rsid w:val="000E77C9"/>
    <w:rsid w:val="000F1811"/>
    <w:rsid w:val="000F7401"/>
    <w:rsid w:val="000F7A8C"/>
    <w:rsid w:val="00103015"/>
    <w:rsid w:val="00103253"/>
    <w:rsid w:val="001042BA"/>
    <w:rsid w:val="00105198"/>
    <w:rsid w:val="00111226"/>
    <w:rsid w:val="00120A34"/>
    <w:rsid w:val="00121E65"/>
    <w:rsid w:val="00124260"/>
    <w:rsid w:val="00125A8E"/>
    <w:rsid w:val="00127CD8"/>
    <w:rsid w:val="001301AD"/>
    <w:rsid w:val="001334D9"/>
    <w:rsid w:val="001346AC"/>
    <w:rsid w:val="001377D9"/>
    <w:rsid w:val="00137ACD"/>
    <w:rsid w:val="00140DAD"/>
    <w:rsid w:val="00140E3D"/>
    <w:rsid w:val="001421FE"/>
    <w:rsid w:val="00142B2D"/>
    <w:rsid w:val="001437EA"/>
    <w:rsid w:val="00144950"/>
    <w:rsid w:val="00145BE1"/>
    <w:rsid w:val="0015276C"/>
    <w:rsid w:val="00152947"/>
    <w:rsid w:val="00154C9F"/>
    <w:rsid w:val="0015508C"/>
    <w:rsid w:val="00160153"/>
    <w:rsid w:val="00161A1F"/>
    <w:rsid w:val="0017006A"/>
    <w:rsid w:val="00173A64"/>
    <w:rsid w:val="00173E0C"/>
    <w:rsid w:val="00180EF7"/>
    <w:rsid w:val="00185491"/>
    <w:rsid w:val="00186D4B"/>
    <w:rsid w:val="0019381E"/>
    <w:rsid w:val="00195030"/>
    <w:rsid w:val="00197C3F"/>
    <w:rsid w:val="001A2FE9"/>
    <w:rsid w:val="001A4389"/>
    <w:rsid w:val="001B3C7A"/>
    <w:rsid w:val="001B5F2A"/>
    <w:rsid w:val="001C12F1"/>
    <w:rsid w:val="001C48B7"/>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8CE"/>
    <w:rsid w:val="00205DBD"/>
    <w:rsid w:val="00207297"/>
    <w:rsid w:val="00211CAC"/>
    <w:rsid w:val="0021337D"/>
    <w:rsid w:val="0021390C"/>
    <w:rsid w:val="00216A1C"/>
    <w:rsid w:val="00220A36"/>
    <w:rsid w:val="00223F82"/>
    <w:rsid w:val="00224C52"/>
    <w:rsid w:val="00232304"/>
    <w:rsid w:val="002378EE"/>
    <w:rsid w:val="002445E3"/>
    <w:rsid w:val="00247EBF"/>
    <w:rsid w:val="002526AA"/>
    <w:rsid w:val="00261499"/>
    <w:rsid w:val="002672A4"/>
    <w:rsid w:val="00273935"/>
    <w:rsid w:val="002747E8"/>
    <w:rsid w:val="00274EEA"/>
    <w:rsid w:val="002759C4"/>
    <w:rsid w:val="0027686D"/>
    <w:rsid w:val="002808A9"/>
    <w:rsid w:val="00282056"/>
    <w:rsid w:val="00284C9D"/>
    <w:rsid w:val="00284D7C"/>
    <w:rsid w:val="00292863"/>
    <w:rsid w:val="00294430"/>
    <w:rsid w:val="00296CA7"/>
    <w:rsid w:val="00296FAF"/>
    <w:rsid w:val="00297CEB"/>
    <w:rsid w:val="00297EAB"/>
    <w:rsid w:val="002A15F1"/>
    <w:rsid w:val="002A4961"/>
    <w:rsid w:val="002A5ED9"/>
    <w:rsid w:val="002B313C"/>
    <w:rsid w:val="002B411E"/>
    <w:rsid w:val="002B5C28"/>
    <w:rsid w:val="002B7CC4"/>
    <w:rsid w:val="002C08CD"/>
    <w:rsid w:val="002C1F84"/>
    <w:rsid w:val="002C2DA0"/>
    <w:rsid w:val="002C40FB"/>
    <w:rsid w:val="002C69B1"/>
    <w:rsid w:val="002D1504"/>
    <w:rsid w:val="002D4EA4"/>
    <w:rsid w:val="002D564A"/>
    <w:rsid w:val="002E12E6"/>
    <w:rsid w:val="002F0FD2"/>
    <w:rsid w:val="002F76C6"/>
    <w:rsid w:val="0030256D"/>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2D85"/>
    <w:rsid w:val="00375010"/>
    <w:rsid w:val="00376DE9"/>
    <w:rsid w:val="0037728A"/>
    <w:rsid w:val="00377427"/>
    <w:rsid w:val="00383ABF"/>
    <w:rsid w:val="00384B05"/>
    <w:rsid w:val="00386B68"/>
    <w:rsid w:val="00386E17"/>
    <w:rsid w:val="0038758C"/>
    <w:rsid w:val="003913F1"/>
    <w:rsid w:val="003926BB"/>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B7464"/>
    <w:rsid w:val="003C0D20"/>
    <w:rsid w:val="003C16A9"/>
    <w:rsid w:val="003C202D"/>
    <w:rsid w:val="003D47C4"/>
    <w:rsid w:val="003D7CE2"/>
    <w:rsid w:val="003E4413"/>
    <w:rsid w:val="003E4724"/>
    <w:rsid w:val="003E5B26"/>
    <w:rsid w:val="003F09F7"/>
    <w:rsid w:val="003F1AA1"/>
    <w:rsid w:val="003F24BC"/>
    <w:rsid w:val="003F4385"/>
    <w:rsid w:val="003F6CD5"/>
    <w:rsid w:val="003F79EA"/>
    <w:rsid w:val="00401B80"/>
    <w:rsid w:val="00402CC7"/>
    <w:rsid w:val="00402D70"/>
    <w:rsid w:val="00403CE4"/>
    <w:rsid w:val="00404952"/>
    <w:rsid w:val="004075A3"/>
    <w:rsid w:val="00410A3F"/>
    <w:rsid w:val="0041144F"/>
    <w:rsid w:val="004143B1"/>
    <w:rsid w:val="00415A55"/>
    <w:rsid w:val="004228EE"/>
    <w:rsid w:val="004236A9"/>
    <w:rsid w:val="00425A1E"/>
    <w:rsid w:val="00425FCB"/>
    <w:rsid w:val="00430F1B"/>
    <w:rsid w:val="004327E1"/>
    <w:rsid w:val="00434240"/>
    <w:rsid w:val="00434641"/>
    <w:rsid w:val="00434CDD"/>
    <w:rsid w:val="00434EE3"/>
    <w:rsid w:val="004355D0"/>
    <w:rsid w:val="004355E8"/>
    <w:rsid w:val="00436435"/>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B3D95"/>
    <w:rsid w:val="004C35AB"/>
    <w:rsid w:val="004D07B0"/>
    <w:rsid w:val="004D5695"/>
    <w:rsid w:val="004D665B"/>
    <w:rsid w:val="004D7B86"/>
    <w:rsid w:val="004E3131"/>
    <w:rsid w:val="004E7193"/>
    <w:rsid w:val="004F53E6"/>
    <w:rsid w:val="004F54FF"/>
    <w:rsid w:val="00503218"/>
    <w:rsid w:val="00505873"/>
    <w:rsid w:val="00506F28"/>
    <w:rsid w:val="005146EC"/>
    <w:rsid w:val="00515BBE"/>
    <w:rsid w:val="005169CB"/>
    <w:rsid w:val="00517337"/>
    <w:rsid w:val="005173FC"/>
    <w:rsid w:val="00520AD1"/>
    <w:rsid w:val="00524226"/>
    <w:rsid w:val="0052516E"/>
    <w:rsid w:val="00527330"/>
    <w:rsid w:val="00532AAE"/>
    <w:rsid w:val="00533613"/>
    <w:rsid w:val="00536596"/>
    <w:rsid w:val="005366FF"/>
    <w:rsid w:val="00537A32"/>
    <w:rsid w:val="0054602B"/>
    <w:rsid w:val="00546375"/>
    <w:rsid w:val="005620CA"/>
    <w:rsid w:val="00567CDB"/>
    <w:rsid w:val="00572401"/>
    <w:rsid w:val="005729BE"/>
    <w:rsid w:val="005732E6"/>
    <w:rsid w:val="00576596"/>
    <w:rsid w:val="00577C30"/>
    <w:rsid w:val="005812FF"/>
    <w:rsid w:val="005819C8"/>
    <w:rsid w:val="00581A71"/>
    <w:rsid w:val="0058422E"/>
    <w:rsid w:val="00584B84"/>
    <w:rsid w:val="00587B0C"/>
    <w:rsid w:val="005905A0"/>
    <w:rsid w:val="005910FD"/>
    <w:rsid w:val="00591EC0"/>
    <w:rsid w:val="005929E5"/>
    <w:rsid w:val="00597535"/>
    <w:rsid w:val="005A54B4"/>
    <w:rsid w:val="005A7050"/>
    <w:rsid w:val="005B3CBC"/>
    <w:rsid w:val="005B510A"/>
    <w:rsid w:val="005B55FD"/>
    <w:rsid w:val="005C0740"/>
    <w:rsid w:val="005C108B"/>
    <w:rsid w:val="005C18D0"/>
    <w:rsid w:val="005E2026"/>
    <w:rsid w:val="005E3513"/>
    <w:rsid w:val="005E75E1"/>
    <w:rsid w:val="005F4914"/>
    <w:rsid w:val="005F5DF6"/>
    <w:rsid w:val="005F5FA1"/>
    <w:rsid w:val="005F7D42"/>
    <w:rsid w:val="0060088C"/>
    <w:rsid w:val="006032E0"/>
    <w:rsid w:val="00603D52"/>
    <w:rsid w:val="00604F05"/>
    <w:rsid w:val="00610AE3"/>
    <w:rsid w:val="00611D31"/>
    <w:rsid w:val="006156C6"/>
    <w:rsid w:val="006160C4"/>
    <w:rsid w:val="006202A1"/>
    <w:rsid w:val="0062319E"/>
    <w:rsid w:val="00625432"/>
    <w:rsid w:val="00626E42"/>
    <w:rsid w:val="00627EDA"/>
    <w:rsid w:val="00636200"/>
    <w:rsid w:val="00643DDA"/>
    <w:rsid w:val="00645DC7"/>
    <w:rsid w:val="0064724F"/>
    <w:rsid w:val="006507CB"/>
    <w:rsid w:val="00651D68"/>
    <w:rsid w:val="00652D30"/>
    <w:rsid w:val="00656314"/>
    <w:rsid w:val="00661BE8"/>
    <w:rsid w:val="00667B6F"/>
    <w:rsid w:val="00667F82"/>
    <w:rsid w:val="006700AA"/>
    <w:rsid w:val="00671007"/>
    <w:rsid w:val="00677A0D"/>
    <w:rsid w:val="0068024F"/>
    <w:rsid w:val="00683087"/>
    <w:rsid w:val="00685653"/>
    <w:rsid w:val="006930D1"/>
    <w:rsid w:val="006931AD"/>
    <w:rsid w:val="006940BB"/>
    <w:rsid w:val="00696CF0"/>
    <w:rsid w:val="00697001"/>
    <w:rsid w:val="006A1788"/>
    <w:rsid w:val="006A666D"/>
    <w:rsid w:val="006B2427"/>
    <w:rsid w:val="006B2D99"/>
    <w:rsid w:val="006B457E"/>
    <w:rsid w:val="006B6E38"/>
    <w:rsid w:val="006C1CE3"/>
    <w:rsid w:val="006C6FD3"/>
    <w:rsid w:val="006D3958"/>
    <w:rsid w:val="006D58E2"/>
    <w:rsid w:val="006D7B6B"/>
    <w:rsid w:val="006E3838"/>
    <w:rsid w:val="006E3C40"/>
    <w:rsid w:val="006E7699"/>
    <w:rsid w:val="006F09BD"/>
    <w:rsid w:val="006F27AC"/>
    <w:rsid w:val="006F3E5C"/>
    <w:rsid w:val="006F627D"/>
    <w:rsid w:val="0070009D"/>
    <w:rsid w:val="00701544"/>
    <w:rsid w:val="00701CB8"/>
    <w:rsid w:val="00701E47"/>
    <w:rsid w:val="00706A99"/>
    <w:rsid w:val="00707E57"/>
    <w:rsid w:val="00707F49"/>
    <w:rsid w:val="007103B5"/>
    <w:rsid w:val="00717D94"/>
    <w:rsid w:val="007213BB"/>
    <w:rsid w:val="0072758F"/>
    <w:rsid w:val="007314EF"/>
    <w:rsid w:val="00731A1C"/>
    <w:rsid w:val="0073763E"/>
    <w:rsid w:val="007427F1"/>
    <w:rsid w:val="007452A0"/>
    <w:rsid w:val="00745376"/>
    <w:rsid w:val="00745FCA"/>
    <w:rsid w:val="00747943"/>
    <w:rsid w:val="00751139"/>
    <w:rsid w:val="00752BD5"/>
    <w:rsid w:val="00753090"/>
    <w:rsid w:val="0075573F"/>
    <w:rsid w:val="00756861"/>
    <w:rsid w:val="00756D99"/>
    <w:rsid w:val="00756F20"/>
    <w:rsid w:val="00760772"/>
    <w:rsid w:val="00760DDE"/>
    <w:rsid w:val="007620AE"/>
    <w:rsid w:val="00763679"/>
    <w:rsid w:val="00772715"/>
    <w:rsid w:val="00774144"/>
    <w:rsid w:val="0077536C"/>
    <w:rsid w:val="00782538"/>
    <w:rsid w:val="007828DD"/>
    <w:rsid w:val="00783FAB"/>
    <w:rsid w:val="00785B13"/>
    <w:rsid w:val="00786E24"/>
    <w:rsid w:val="00791AAC"/>
    <w:rsid w:val="007947A1"/>
    <w:rsid w:val="00795969"/>
    <w:rsid w:val="007A0558"/>
    <w:rsid w:val="007A6AF0"/>
    <w:rsid w:val="007B44CD"/>
    <w:rsid w:val="007B4836"/>
    <w:rsid w:val="007C3355"/>
    <w:rsid w:val="007C4AB1"/>
    <w:rsid w:val="007C5020"/>
    <w:rsid w:val="007D12B2"/>
    <w:rsid w:val="007D1F16"/>
    <w:rsid w:val="007D4E08"/>
    <w:rsid w:val="007E00A8"/>
    <w:rsid w:val="007E16D6"/>
    <w:rsid w:val="007E2197"/>
    <w:rsid w:val="007E3446"/>
    <w:rsid w:val="007E3447"/>
    <w:rsid w:val="007E36E5"/>
    <w:rsid w:val="007E6EC6"/>
    <w:rsid w:val="007F51C0"/>
    <w:rsid w:val="007F563E"/>
    <w:rsid w:val="00803447"/>
    <w:rsid w:val="008035CF"/>
    <w:rsid w:val="0080510C"/>
    <w:rsid w:val="0080584E"/>
    <w:rsid w:val="00805FEB"/>
    <w:rsid w:val="00811E34"/>
    <w:rsid w:val="00812C37"/>
    <w:rsid w:val="008134D5"/>
    <w:rsid w:val="00813A38"/>
    <w:rsid w:val="00823B66"/>
    <w:rsid w:val="00824A98"/>
    <w:rsid w:val="008310AA"/>
    <w:rsid w:val="00834114"/>
    <w:rsid w:val="00836B85"/>
    <w:rsid w:val="00843812"/>
    <w:rsid w:val="00844D23"/>
    <w:rsid w:val="0084584D"/>
    <w:rsid w:val="008517D8"/>
    <w:rsid w:val="00855239"/>
    <w:rsid w:val="00856BC4"/>
    <w:rsid w:val="008576C8"/>
    <w:rsid w:val="0086669D"/>
    <w:rsid w:val="00867101"/>
    <w:rsid w:val="008755D8"/>
    <w:rsid w:val="0088497A"/>
    <w:rsid w:val="00892714"/>
    <w:rsid w:val="00897AFA"/>
    <w:rsid w:val="008A1C12"/>
    <w:rsid w:val="008A1F97"/>
    <w:rsid w:val="008A4C6D"/>
    <w:rsid w:val="008A6224"/>
    <w:rsid w:val="008B478B"/>
    <w:rsid w:val="008B61B7"/>
    <w:rsid w:val="008C38BA"/>
    <w:rsid w:val="008C48EF"/>
    <w:rsid w:val="008C497B"/>
    <w:rsid w:val="008C5CE9"/>
    <w:rsid w:val="008C76FD"/>
    <w:rsid w:val="008D72EA"/>
    <w:rsid w:val="008D7625"/>
    <w:rsid w:val="008E30D6"/>
    <w:rsid w:val="008E30D9"/>
    <w:rsid w:val="008E54BF"/>
    <w:rsid w:val="008E68D3"/>
    <w:rsid w:val="008E79DF"/>
    <w:rsid w:val="008F002D"/>
    <w:rsid w:val="008F43E8"/>
    <w:rsid w:val="00902A26"/>
    <w:rsid w:val="00903257"/>
    <w:rsid w:val="009048A2"/>
    <w:rsid w:val="00905C61"/>
    <w:rsid w:val="00907D61"/>
    <w:rsid w:val="00910064"/>
    <w:rsid w:val="009114DC"/>
    <w:rsid w:val="00911D92"/>
    <w:rsid w:val="009121D3"/>
    <w:rsid w:val="00915A94"/>
    <w:rsid w:val="009176F5"/>
    <w:rsid w:val="00931ED7"/>
    <w:rsid w:val="00933AD6"/>
    <w:rsid w:val="00935960"/>
    <w:rsid w:val="009421AA"/>
    <w:rsid w:val="0094476A"/>
    <w:rsid w:val="0094774B"/>
    <w:rsid w:val="00951019"/>
    <w:rsid w:val="00954698"/>
    <w:rsid w:val="00970AAB"/>
    <w:rsid w:val="00973D67"/>
    <w:rsid w:val="00974504"/>
    <w:rsid w:val="009750D5"/>
    <w:rsid w:val="00975A4A"/>
    <w:rsid w:val="00976413"/>
    <w:rsid w:val="009767B4"/>
    <w:rsid w:val="00977D37"/>
    <w:rsid w:val="009807AE"/>
    <w:rsid w:val="00985547"/>
    <w:rsid w:val="00990334"/>
    <w:rsid w:val="00991158"/>
    <w:rsid w:val="0099199E"/>
    <w:rsid w:val="0099258B"/>
    <w:rsid w:val="00995C44"/>
    <w:rsid w:val="009A04A5"/>
    <w:rsid w:val="009A359E"/>
    <w:rsid w:val="009A35A0"/>
    <w:rsid w:val="009A717F"/>
    <w:rsid w:val="009A7CFA"/>
    <w:rsid w:val="009B0C51"/>
    <w:rsid w:val="009B2183"/>
    <w:rsid w:val="009B29AC"/>
    <w:rsid w:val="009B4B7F"/>
    <w:rsid w:val="009C0911"/>
    <w:rsid w:val="009C0B21"/>
    <w:rsid w:val="009C0F35"/>
    <w:rsid w:val="009C10C1"/>
    <w:rsid w:val="009C4F55"/>
    <w:rsid w:val="009C5E5D"/>
    <w:rsid w:val="009D0999"/>
    <w:rsid w:val="009D23FB"/>
    <w:rsid w:val="009D3DA9"/>
    <w:rsid w:val="009D3ED7"/>
    <w:rsid w:val="009D7562"/>
    <w:rsid w:val="009E0803"/>
    <w:rsid w:val="009E0A3A"/>
    <w:rsid w:val="009E7C1C"/>
    <w:rsid w:val="009F13BF"/>
    <w:rsid w:val="009F1D34"/>
    <w:rsid w:val="009F40B6"/>
    <w:rsid w:val="009F4C47"/>
    <w:rsid w:val="009F528F"/>
    <w:rsid w:val="009F6AC9"/>
    <w:rsid w:val="00A105DA"/>
    <w:rsid w:val="00A11CE8"/>
    <w:rsid w:val="00A146DF"/>
    <w:rsid w:val="00A20031"/>
    <w:rsid w:val="00A202D5"/>
    <w:rsid w:val="00A23CDC"/>
    <w:rsid w:val="00A23F8D"/>
    <w:rsid w:val="00A24596"/>
    <w:rsid w:val="00A24B24"/>
    <w:rsid w:val="00A25E6C"/>
    <w:rsid w:val="00A40E3D"/>
    <w:rsid w:val="00A40EA6"/>
    <w:rsid w:val="00A43C61"/>
    <w:rsid w:val="00A46B61"/>
    <w:rsid w:val="00A47C4E"/>
    <w:rsid w:val="00A52753"/>
    <w:rsid w:val="00A550E8"/>
    <w:rsid w:val="00A556D1"/>
    <w:rsid w:val="00A56E8B"/>
    <w:rsid w:val="00A64F04"/>
    <w:rsid w:val="00A71133"/>
    <w:rsid w:val="00A7209C"/>
    <w:rsid w:val="00A761C7"/>
    <w:rsid w:val="00A768B4"/>
    <w:rsid w:val="00A77D42"/>
    <w:rsid w:val="00A82E17"/>
    <w:rsid w:val="00A8391C"/>
    <w:rsid w:val="00A85075"/>
    <w:rsid w:val="00A871B2"/>
    <w:rsid w:val="00A90245"/>
    <w:rsid w:val="00A92D2D"/>
    <w:rsid w:val="00A92EC0"/>
    <w:rsid w:val="00A93F1F"/>
    <w:rsid w:val="00AA12F7"/>
    <w:rsid w:val="00AA3173"/>
    <w:rsid w:val="00AA3A3E"/>
    <w:rsid w:val="00AA3F84"/>
    <w:rsid w:val="00AB19B6"/>
    <w:rsid w:val="00AB1D41"/>
    <w:rsid w:val="00AB1D5C"/>
    <w:rsid w:val="00AC6ABA"/>
    <w:rsid w:val="00AD1C80"/>
    <w:rsid w:val="00AD2E24"/>
    <w:rsid w:val="00AD5627"/>
    <w:rsid w:val="00AD65C9"/>
    <w:rsid w:val="00AD6639"/>
    <w:rsid w:val="00AE3A8E"/>
    <w:rsid w:val="00AE4909"/>
    <w:rsid w:val="00AE4A25"/>
    <w:rsid w:val="00AE5CCB"/>
    <w:rsid w:val="00AE7179"/>
    <w:rsid w:val="00AF58D0"/>
    <w:rsid w:val="00AF6215"/>
    <w:rsid w:val="00AF6F6E"/>
    <w:rsid w:val="00B00A18"/>
    <w:rsid w:val="00B0725F"/>
    <w:rsid w:val="00B11323"/>
    <w:rsid w:val="00B13A2F"/>
    <w:rsid w:val="00B145D2"/>
    <w:rsid w:val="00B178D3"/>
    <w:rsid w:val="00B20F86"/>
    <w:rsid w:val="00B22F73"/>
    <w:rsid w:val="00B30E95"/>
    <w:rsid w:val="00B339F8"/>
    <w:rsid w:val="00B4065C"/>
    <w:rsid w:val="00B43512"/>
    <w:rsid w:val="00B52CD8"/>
    <w:rsid w:val="00B55520"/>
    <w:rsid w:val="00B57098"/>
    <w:rsid w:val="00B604EB"/>
    <w:rsid w:val="00B6108C"/>
    <w:rsid w:val="00B67F7B"/>
    <w:rsid w:val="00B739E2"/>
    <w:rsid w:val="00B8151D"/>
    <w:rsid w:val="00B819AA"/>
    <w:rsid w:val="00B91A2D"/>
    <w:rsid w:val="00B926BF"/>
    <w:rsid w:val="00BA1A52"/>
    <w:rsid w:val="00BA30BD"/>
    <w:rsid w:val="00BA54AA"/>
    <w:rsid w:val="00BA5D21"/>
    <w:rsid w:val="00BA6D4A"/>
    <w:rsid w:val="00BA7A46"/>
    <w:rsid w:val="00BB2109"/>
    <w:rsid w:val="00BB2C6B"/>
    <w:rsid w:val="00BB38D4"/>
    <w:rsid w:val="00BB4D85"/>
    <w:rsid w:val="00BB61E4"/>
    <w:rsid w:val="00BB631E"/>
    <w:rsid w:val="00BB71A8"/>
    <w:rsid w:val="00BC4BD5"/>
    <w:rsid w:val="00BC50A3"/>
    <w:rsid w:val="00BD0D73"/>
    <w:rsid w:val="00BD2ED2"/>
    <w:rsid w:val="00BD41D4"/>
    <w:rsid w:val="00BD465A"/>
    <w:rsid w:val="00BD47A9"/>
    <w:rsid w:val="00BD5316"/>
    <w:rsid w:val="00BD5A86"/>
    <w:rsid w:val="00BD6AC2"/>
    <w:rsid w:val="00BD7CDC"/>
    <w:rsid w:val="00BE214C"/>
    <w:rsid w:val="00BE3046"/>
    <w:rsid w:val="00BE68F9"/>
    <w:rsid w:val="00BF2A9B"/>
    <w:rsid w:val="00BF3425"/>
    <w:rsid w:val="00BF3DAE"/>
    <w:rsid w:val="00C02595"/>
    <w:rsid w:val="00C12197"/>
    <w:rsid w:val="00C13110"/>
    <w:rsid w:val="00C1330A"/>
    <w:rsid w:val="00C145EB"/>
    <w:rsid w:val="00C1638A"/>
    <w:rsid w:val="00C2416A"/>
    <w:rsid w:val="00C30704"/>
    <w:rsid w:val="00C30E45"/>
    <w:rsid w:val="00C325A5"/>
    <w:rsid w:val="00C36A15"/>
    <w:rsid w:val="00C3701B"/>
    <w:rsid w:val="00C37043"/>
    <w:rsid w:val="00C4300F"/>
    <w:rsid w:val="00C45661"/>
    <w:rsid w:val="00C5010C"/>
    <w:rsid w:val="00C62BC1"/>
    <w:rsid w:val="00C64879"/>
    <w:rsid w:val="00C66220"/>
    <w:rsid w:val="00C66953"/>
    <w:rsid w:val="00C712E2"/>
    <w:rsid w:val="00C72E9B"/>
    <w:rsid w:val="00C73133"/>
    <w:rsid w:val="00C731FA"/>
    <w:rsid w:val="00C7617C"/>
    <w:rsid w:val="00C818AB"/>
    <w:rsid w:val="00C82C91"/>
    <w:rsid w:val="00C846A2"/>
    <w:rsid w:val="00C90E38"/>
    <w:rsid w:val="00C90EFC"/>
    <w:rsid w:val="00C90FC4"/>
    <w:rsid w:val="00C954B7"/>
    <w:rsid w:val="00C9591A"/>
    <w:rsid w:val="00C97E14"/>
    <w:rsid w:val="00CA1549"/>
    <w:rsid w:val="00CA249F"/>
    <w:rsid w:val="00CA46AC"/>
    <w:rsid w:val="00CA4F71"/>
    <w:rsid w:val="00CB24D6"/>
    <w:rsid w:val="00CB337B"/>
    <w:rsid w:val="00CB45D5"/>
    <w:rsid w:val="00CB7A83"/>
    <w:rsid w:val="00CC3AE0"/>
    <w:rsid w:val="00CC3C0B"/>
    <w:rsid w:val="00CC3CD3"/>
    <w:rsid w:val="00CC4C6D"/>
    <w:rsid w:val="00CD20F8"/>
    <w:rsid w:val="00CD3705"/>
    <w:rsid w:val="00CD6E72"/>
    <w:rsid w:val="00CE38AD"/>
    <w:rsid w:val="00CE3EA5"/>
    <w:rsid w:val="00CF1C96"/>
    <w:rsid w:val="00CF5A8C"/>
    <w:rsid w:val="00CF64D1"/>
    <w:rsid w:val="00D010D3"/>
    <w:rsid w:val="00D05A8C"/>
    <w:rsid w:val="00D119DD"/>
    <w:rsid w:val="00D14A9D"/>
    <w:rsid w:val="00D1589C"/>
    <w:rsid w:val="00D17A67"/>
    <w:rsid w:val="00D17FC6"/>
    <w:rsid w:val="00D217D1"/>
    <w:rsid w:val="00D2517F"/>
    <w:rsid w:val="00D33281"/>
    <w:rsid w:val="00D336F7"/>
    <w:rsid w:val="00D3758C"/>
    <w:rsid w:val="00D4142D"/>
    <w:rsid w:val="00D46134"/>
    <w:rsid w:val="00D468A9"/>
    <w:rsid w:val="00D502B7"/>
    <w:rsid w:val="00D50946"/>
    <w:rsid w:val="00D5387E"/>
    <w:rsid w:val="00D56A3B"/>
    <w:rsid w:val="00D61A73"/>
    <w:rsid w:val="00D63270"/>
    <w:rsid w:val="00D63CDD"/>
    <w:rsid w:val="00D6472B"/>
    <w:rsid w:val="00D65EDC"/>
    <w:rsid w:val="00D66B65"/>
    <w:rsid w:val="00D70EAE"/>
    <w:rsid w:val="00D73415"/>
    <w:rsid w:val="00D74B9B"/>
    <w:rsid w:val="00D773CB"/>
    <w:rsid w:val="00D8103E"/>
    <w:rsid w:val="00D818BA"/>
    <w:rsid w:val="00D842A2"/>
    <w:rsid w:val="00D84946"/>
    <w:rsid w:val="00D87849"/>
    <w:rsid w:val="00D902D3"/>
    <w:rsid w:val="00D90C2E"/>
    <w:rsid w:val="00D9109A"/>
    <w:rsid w:val="00D93741"/>
    <w:rsid w:val="00D97F55"/>
    <w:rsid w:val="00DA1AC0"/>
    <w:rsid w:val="00DA552F"/>
    <w:rsid w:val="00DB1C9E"/>
    <w:rsid w:val="00DB2434"/>
    <w:rsid w:val="00DB461B"/>
    <w:rsid w:val="00DB4D35"/>
    <w:rsid w:val="00DB6247"/>
    <w:rsid w:val="00DB6E9C"/>
    <w:rsid w:val="00DC1795"/>
    <w:rsid w:val="00DC3E8C"/>
    <w:rsid w:val="00DC4A82"/>
    <w:rsid w:val="00DC4B5E"/>
    <w:rsid w:val="00DD0C78"/>
    <w:rsid w:val="00DD1234"/>
    <w:rsid w:val="00DD408F"/>
    <w:rsid w:val="00DD5F43"/>
    <w:rsid w:val="00DD651A"/>
    <w:rsid w:val="00DD7496"/>
    <w:rsid w:val="00DD7749"/>
    <w:rsid w:val="00DD7B03"/>
    <w:rsid w:val="00DE02BB"/>
    <w:rsid w:val="00DE1334"/>
    <w:rsid w:val="00DE16DD"/>
    <w:rsid w:val="00DE41A4"/>
    <w:rsid w:val="00DE5209"/>
    <w:rsid w:val="00DE5F92"/>
    <w:rsid w:val="00DE715E"/>
    <w:rsid w:val="00DE7C37"/>
    <w:rsid w:val="00DF13F3"/>
    <w:rsid w:val="00DF220F"/>
    <w:rsid w:val="00DF3683"/>
    <w:rsid w:val="00DF46B2"/>
    <w:rsid w:val="00DF61B7"/>
    <w:rsid w:val="00DF7D06"/>
    <w:rsid w:val="00E01C32"/>
    <w:rsid w:val="00E01F85"/>
    <w:rsid w:val="00E1257E"/>
    <w:rsid w:val="00E14FA9"/>
    <w:rsid w:val="00E24E50"/>
    <w:rsid w:val="00E251EE"/>
    <w:rsid w:val="00E302D5"/>
    <w:rsid w:val="00E33927"/>
    <w:rsid w:val="00E33FED"/>
    <w:rsid w:val="00E43542"/>
    <w:rsid w:val="00E5541C"/>
    <w:rsid w:val="00E55D04"/>
    <w:rsid w:val="00E60A2A"/>
    <w:rsid w:val="00E62C51"/>
    <w:rsid w:val="00E631F9"/>
    <w:rsid w:val="00E662FD"/>
    <w:rsid w:val="00E721CE"/>
    <w:rsid w:val="00E72FD0"/>
    <w:rsid w:val="00E757D0"/>
    <w:rsid w:val="00E767BE"/>
    <w:rsid w:val="00E81357"/>
    <w:rsid w:val="00E83BBC"/>
    <w:rsid w:val="00E8671C"/>
    <w:rsid w:val="00E90298"/>
    <w:rsid w:val="00E916A2"/>
    <w:rsid w:val="00E91930"/>
    <w:rsid w:val="00E97BC9"/>
    <w:rsid w:val="00EA1428"/>
    <w:rsid w:val="00EA6D4F"/>
    <w:rsid w:val="00EA716A"/>
    <w:rsid w:val="00EA7EA8"/>
    <w:rsid w:val="00EB3CAE"/>
    <w:rsid w:val="00EC0A15"/>
    <w:rsid w:val="00EC1CB3"/>
    <w:rsid w:val="00EE0DF5"/>
    <w:rsid w:val="00EE412B"/>
    <w:rsid w:val="00EF4ACB"/>
    <w:rsid w:val="00EF68C3"/>
    <w:rsid w:val="00F00674"/>
    <w:rsid w:val="00F034F1"/>
    <w:rsid w:val="00F03635"/>
    <w:rsid w:val="00F0455E"/>
    <w:rsid w:val="00F0609A"/>
    <w:rsid w:val="00F06562"/>
    <w:rsid w:val="00F06808"/>
    <w:rsid w:val="00F1230D"/>
    <w:rsid w:val="00F14BCE"/>
    <w:rsid w:val="00F16322"/>
    <w:rsid w:val="00F16C61"/>
    <w:rsid w:val="00F21042"/>
    <w:rsid w:val="00F21FAC"/>
    <w:rsid w:val="00F229BF"/>
    <w:rsid w:val="00F3264E"/>
    <w:rsid w:val="00F36014"/>
    <w:rsid w:val="00F36E18"/>
    <w:rsid w:val="00F37BC2"/>
    <w:rsid w:val="00F43DAD"/>
    <w:rsid w:val="00F45857"/>
    <w:rsid w:val="00F459C0"/>
    <w:rsid w:val="00F513EB"/>
    <w:rsid w:val="00F5236B"/>
    <w:rsid w:val="00F5252A"/>
    <w:rsid w:val="00F53F5F"/>
    <w:rsid w:val="00F54266"/>
    <w:rsid w:val="00F552D2"/>
    <w:rsid w:val="00F5679F"/>
    <w:rsid w:val="00F60D6A"/>
    <w:rsid w:val="00F60F15"/>
    <w:rsid w:val="00F62708"/>
    <w:rsid w:val="00F645F6"/>
    <w:rsid w:val="00F6460E"/>
    <w:rsid w:val="00F64CB4"/>
    <w:rsid w:val="00F65889"/>
    <w:rsid w:val="00F72398"/>
    <w:rsid w:val="00F748E4"/>
    <w:rsid w:val="00F74CC9"/>
    <w:rsid w:val="00F7573F"/>
    <w:rsid w:val="00F77106"/>
    <w:rsid w:val="00F77240"/>
    <w:rsid w:val="00F810D8"/>
    <w:rsid w:val="00F82439"/>
    <w:rsid w:val="00F8338A"/>
    <w:rsid w:val="00F85B48"/>
    <w:rsid w:val="00F861AE"/>
    <w:rsid w:val="00F86E01"/>
    <w:rsid w:val="00F871D7"/>
    <w:rsid w:val="00F87FB6"/>
    <w:rsid w:val="00F90098"/>
    <w:rsid w:val="00F9205E"/>
    <w:rsid w:val="00F92FA5"/>
    <w:rsid w:val="00F935BD"/>
    <w:rsid w:val="00F96889"/>
    <w:rsid w:val="00F97BF3"/>
    <w:rsid w:val="00FA6309"/>
    <w:rsid w:val="00FA6319"/>
    <w:rsid w:val="00FB14CA"/>
    <w:rsid w:val="00FB46DD"/>
    <w:rsid w:val="00FB656A"/>
    <w:rsid w:val="00FB7019"/>
    <w:rsid w:val="00FC522B"/>
    <w:rsid w:val="00FD0A30"/>
    <w:rsid w:val="00FD1A80"/>
    <w:rsid w:val="00FE2F0A"/>
    <w:rsid w:val="00FE4425"/>
    <w:rsid w:val="00FE692B"/>
    <w:rsid w:val="00FE6C08"/>
    <w:rsid w:val="00FF20BA"/>
    <w:rsid w:val="00FF2A10"/>
    <w:rsid w:val="00FF3968"/>
    <w:rsid w:val="00FF557B"/>
    <w:rsid w:val="00FF57B7"/>
    <w:rsid w:val="00FF6E25"/>
    <w:rsid w:val="0E4C9BB9"/>
    <w:rsid w:val="4A4B3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paragraph">
    <w:name w:val="paragraph"/>
    <w:basedOn w:val="Normal"/>
    <w:rsid w:val="00CA249F"/>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CA249F"/>
  </w:style>
  <w:style w:type="character" w:customStyle="1" w:styleId="eop">
    <w:name w:val="eop"/>
    <w:basedOn w:val="DefaultParagraphFont"/>
    <w:rsid w:val="00CA249F"/>
  </w:style>
  <w:style w:type="paragraph" w:styleId="NormalWeb">
    <w:name w:val="Normal (Web)"/>
    <w:basedOn w:val="Normal"/>
    <w:uiPriority w:val="99"/>
    <w:unhideWhenUsed/>
    <w:rsid w:val="009D3DA9"/>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587B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48">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533157324">
      <w:bodyDiv w:val="1"/>
      <w:marLeft w:val="0"/>
      <w:marRight w:val="0"/>
      <w:marTop w:val="0"/>
      <w:marBottom w:val="0"/>
      <w:divBdr>
        <w:top w:val="none" w:sz="0" w:space="0" w:color="auto"/>
        <w:left w:val="none" w:sz="0" w:space="0" w:color="auto"/>
        <w:bottom w:val="none" w:sz="0" w:space="0" w:color="auto"/>
        <w:right w:val="none" w:sz="0" w:space="0" w:color="auto"/>
      </w:divBdr>
      <w:divsChild>
        <w:div w:id="1767656924">
          <w:marLeft w:val="0"/>
          <w:marRight w:val="0"/>
          <w:marTop w:val="0"/>
          <w:marBottom w:val="0"/>
          <w:divBdr>
            <w:top w:val="none" w:sz="0" w:space="0" w:color="auto"/>
            <w:left w:val="none" w:sz="0" w:space="0" w:color="auto"/>
            <w:bottom w:val="none" w:sz="0" w:space="0" w:color="auto"/>
            <w:right w:val="none" w:sz="0" w:space="0" w:color="auto"/>
          </w:divBdr>
        </w:div>
        <w:div w:id="1963883963">
          <w:marLeft w:val="0"/>
          <w:marRight w:val="0"/>
          <w:marTop w:val="0"/>
          <w:marBottom w:val="0"/>
          <w:divBdr>
            <w:top w:val="none" w:sz="0" w:space="0" w:color="auto"/>
            <w:left w:val="none" w:sz="0" w:space="0" w:color="auto"/>
            <w:bottom w:val="none" w:sz="0" w:space="0" w:color="auto"/>
            <w:right w:val="none" w:sz="0" w:space="0" w:color="auto"/>
          </w:divBdr>
        </w:div>
        <w:div w:id="625233793">
          <w:marLeft w:val="0"/>
          <w:marRight w:val="0"/>
          <w:marTop w:val="0"/>
          <w:marBottom w:val="0"/>
          <w:divBdr>
            <w:top w:val="none" w:sz="0" w:space="0" w:color="auto"/>
            <w:left w:val="none" w:sz="0" w:space="0" w:color="auto"/>
            <w:bottom w:val="none" w:sz="0" w:space="0" w:color="auto"/>
            <w:right w:val="none" w:sz="0" w:space="0" w:color="auto"/>
          </w:divBdr>
        </w:div>
      </w:divsChild>
    </w:div>
    <w:div w:id="560093511">
      <w:bodyDiv w:val="1"/>
      <w:marLeft w:val="0"/>
      <w:marRight w:val="0"/>
      <w:marTop w:val="0"/>
      <w:marBottom w:val="0"/>
      <w:divBdr>
        <w:top w:val="none" w:sz="0" w:space="0" w:color="auto"/>
        <w:left w:val="none" w:sz="0" w:space="0" w:color="auto"/>
        <w:bottom w:val="none" w:sz="0" w:space="0" w:color="auto"/>
        <w:right w:val="none" w:sz="0" w:space="0" w:color="auto"/>
      </w:divBdr>
    </w:div>
    <w:div w:id="19644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4b592ee1a4de1aa0e29d02f4ef885d07">
  <xsd:schema xmlns:xsd="http://www.w3.org/2001/XMLSchema" xmlns:xs="http://www.w3.org/2001/XMLSchema" xmlns:p="http://schemas.microsoft.com/office/2006/metadata/properties" xmlns:ns2="FED5D976-3ABA-4446-8293-AA831025BA3A" targetNamespace="http://schemas.microsoft.com/office/2006/metadata/properties" ma:root="true" ma:fieldsID="505b3e0c9ba8b2ba519a5a2737a602ab"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42F65C8C-C826-42E3-A54D-B0667EC0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FED5D976-3ABA-4446-8293-AA831025BA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8509</Characters>
  <Application>Microsoft Office Word</Application>
  <DocSecurity>4</DocSecurity>
  <Lines>327</Lines>
  <Paragraphs>244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ZHU,Stephanie</cp:lastModifiedBy>
  <cp:revision>2</cp:revision>
  <cp:lastPrinted>2019-11-17T23:12:00Z</cp:lastPrinted>
  <dcterms:created xsi:type="dcterms:W3CDTF">2024-06-20T00:44:00Z</dcterms:created>
  <dcterms:modified xsi:type="dcterms:W3CDTF">2024-06-20T00:44:00Z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0x010100266966F133664895A6EE3632470D45F5005B0FBA7961F9BD41AD810912DF2169D6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