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CF884" w14:textId="19F28BD5" w:rsidR="00CE7F0A" w:rsidRPr="00BC0449" w:rsidRDefault="00CE7F0A" w:rsidP="458BDDDD">
      <w:pPr>
        <w:keepNext/>
        <w:spacing w:line="240" w:lineRule="auto"/>
        <w:ind w:right="91"/>
        <w:jc w:val="center"/>
        <w:outlineLvl w:val="5"/>
        <w:rPr>
          <w:rFonts w:cs="Times New Roman"/>
          <w:b/>
          <w:bCs/>
          <w:u w:val="single"/>
        </w:rPr>
      </w:pPr>
      <w:r w:rsidRPr="458BDDDD">
        <w:rPr>
          <w:rFonts w:cs="Times New Roman"/>
          <w:b/>
          <w:bCs/>
          <w:u w:val="single"/>
        </w:rPr>
        <w:t xml:space="preserve">EXPLANATORY </w:t>
      </w:r>
      <w:r w:rsidR="16DDB6EA" w:rsidRPr="458BDDDD">
        <w:rPr>
          <w:rFonts w:cs="Times New Roman"/>
          <w:b/>
          <w:bCs/>
          <w:u w:val="single"/>
        </w:rPr>
        <w:t>STATEMENT</w:t>
      </w:r>
    </w:p>
    <w:p w14:paraId="3A4ED19A" w14:textId="28286065" w:rsidR="00CE7F0A" w:rsidRPr="00BC0449" w:rsidRDefault="00D46009" w:rsidP="31232CD0">
      <w:pPr>
        <w:spacing w:before="240" w:line="276" w:lineRule="auto"/>
        <w:jc w:val="center"/>
        <w:rPr>
          <w:rFonts w:eastAsia="Times New Roman" w:cs="Times New Roman"/>
          <w:u w:val="single"/>
          <w:lang w:eastAsia="en-AU"/>
        </w:rPr>
      </w:pPr>
      <w:r w:rsidRPr="458BDDDD">
        <w:rPr>
          <w:rFonts w:eastAsia="Times New Roman" w:cs="Times New Roman"/>
          <w:u w:val="single"/>
          <w:lang w:eastAsia="en-AU"/>
        </w:rPr>
        <w:t>Issued by the authority</w:t>
      </w:r>
      <w:r w:rsidR="00CE7F0A" w:rsidRPr="458BDDDD">
        <w:rPr>
          <w:rFonts w:eastAsia="Times New Roman" w:cs="Times New Roman"/>
          <w:u w:val="single"/>
          <w:lang w:eastAsia="en-AU"/>
        </w:rPr>
        <w:t xml:space="preserve"> of </w:t>
      </w:r>
      <w:r w:rsidRPr="458BDDDD">
        <w:rPr>
          <w:rFonts w:eastAsia="Times New Roman" w:cs="Times New Roman"/>
          <w:u w:val="single"/>
          <w:lang w:eastAsia="en-AU"/>
        </w:rPr>
        <w:t>the</w:t>
      </w:r>
      <w:r w:rsidR="00CE7F0A" w:rsidRPr="458BDDDD">
        <w:rPr>
          <w:rFonts w:eastAsia="Times New Roman" w:cs="Times New Roman"/>
          <w:u w:val="single"/>
          <w:lang w:eastAsia="en-AU"/>
        </w:rPr>
        <w:t xml:space="preserve"> Minister for Resources</w:t>
      </w:r>
    </w:p>
    <w:p w14:paraId="7DD802A3" w14:textId="10788626" w:rsidR="074CFA0E" w:rsidRDefault="074CFA0E" w:rsidP="458BDDDD">
      <w:pPr>
        <w:spacing w:before="240" w:line="276" w:lineRule="auto"/>
        <w:jc w:val="center"/>
        <w:rPr>
          <w:i/>
          <w:iCs/>
        </w:rPr>
      </w:pPr>
      <w:r w:rsidRPr="458BDDDD">
        <w:rPr>
          <w:i/>
          <w:iCs/>
        </w:rPr>
        <w:t>Offshore Petroleum and Greenhouse Gas Storage (Regulatory Levies) Act 2003</w:t>
      </w:r>
    </w:p>
    <w:p w14:paraId="49BEAB64" w14:textId="6576E861" w:rsidR="00CE7F0A" w:rsidRPr="00D7316C" w:rsidRDefault="00A53DB5" w:rsidP="458BDDDD">
      <w:pPr>
        <w:spacing w:before="240" w:line="276" w:lineRule="auto"/>
        <w:jc w:val="center"/>
        <w:rPr>
          <w:i/>
          <w:iCs/>
        </w:rPr>
      </w:pPr>
      <w:r w:rsidRPr="458BDDDD">
        <w:rPr>
          <w:i/>
          <w:iCs/>
        </w:rPr>
        <w:t>Offshore Petroleum and Greenhouse Gas Storage (Regulatory Levies) Amendment Regulations 2024</w:t>
      </w:r>
    </w:p>
    <w:p w14:paraId="55B52EFD" w14:textId="583A6C51" w:rsidR="00A53DB5" w:rsidRPr="00BC0449" w:rsidRDefault="00A53DB5" w:rsidP="458BDDDD">
      <w:pPr>
        <w:spacing w:line="240" w:lineRule="auto"/>
        <w:ind w:left="1134" w:right="91"/>
        <w:rPr>
          <w:rFonts w:eastAsia="Times New Roman" w:cs="Times New Roman"/>
          <w:i/>
          <w:iCs/>
          <w:lang w:eastAsia="en-AU"/>
        </w:rPr>
      </w:pPr>
    </w:p>
    <w:p w14:paraId="2CE18F0E" w14:textId="73971859" w:rsidR="4D54672A" w:rsidRDefault="4D54672A" w:rsidP="458BDDDD">
      <w:pPr>
        <w:spacing w:line="240" w:lineRule="auto"/>
        <w:ind w:right="91"/>
        <w:rPr>
          <w:b/>
          <w:bCs/>
          <w:u w:val="single"/>
        </w:rPr>
      </w:pPr>
      <w:r w:rsidRPr="458BDDDD">
        <w:rPr>
          <w:b/>
          <w:bCs/>
          <w:u w:val="single"/>
        </w:rPr>
        <w:t>Purpose and Operation</w:t>
      </w:r>
    </w:p>
    <w:p w14:paraId="2A42FB29" w14:textId="5B0107C6" w:rsidR="31232CD0" w:rsidRDefault="31232CD0" w:rsidP="31232CD0">
      <w:pPr>
        <w:spacing w:line="240" w:lineRule="auto"/>
        <w:ind w:right="91"/>
        <w:rPr>
          <w:b/>
          <w:bCs/>
          <w:u w:val="single"/>
        </w:rPr>
      </w:pPr>
    </w:p>
    <w:p w14:paraId="13B481AA" w14:textId="423B06CE" w:rsidR="00CE7F0A" w:rsidRDefault="1B77AB99" w:rsidP="00D7316C">
      <w:pPr>
        <w:spacing w:line="240" w:lineRule="auto"/>
        <w:ind w:right="91"/>
        <w:rPr>
          <w:rFonts w:cs="Times New Roman"/>
        </w:rPr>
      </w:pPr>
      <w:r>
        <w:t xml:space="preserve">The </w:t>
      </w:r>
      <w:r w:rsidRPr="458BDDDD">
        <w:rPr>
          <w:i/>
          <w:iCs/>
        </w:rPr>
        <w:t>Offshore Petroleum and Greenhouse Gas Storage (Regulatory Levies) Act 2003</w:t>
      </w:r>
      <w:r>
        <w:t xml:space="preserve"> (the</w:t>
      </w:r>
      <w:r w:rsidR="16DDB6EA" w:rsidRPr="458BDDDD">
        <w:rPr>
          <w:rFonts w:eastAsia="Times New Roman" w:cs="Times New Roman"/>
          <w:lang w:eastAsia="en-AU"/>
        </w:rPr>
        <w:t xml:space="preserve"> </w:t>
      </w:r>
      <w:r>
        <w:t xml:space="preserve">Levies Act) provides for the imposition of levies including the safety case levy, annual well levy, well activity levy and environment plan levy in relation to offshore petroleum and greenhouse gas facilities or titles. The levies are paid into </w:t>
      </w:r>
      <w:r w:rsidR="00C066F8" w:rsidRPr="458BDDDD">
        <w:rPr>
          <w:rFonts w:eastAsia="Times New Roman" w:cs="Times New Roman"/>
          <w:color w:val="000000" w:themeColor="text1"/>
        </w:rPr>
        <w:t>C</w:t>
      </w:r>
      <w:r w:rsidRPr="458BDDDD">
        <w:rPr>
          <w:rFonts w:eastAsia="Times New Roman" w:cs="Times New Roman"/>
          <w:color w:val="000000" w:themeColor="text1"/>
        </w:rPr>
        <w:t xml:space="preserve">onsolidated </w:t>
      </w:r>
      <w:r w:rsidR="00C066F8" w:rsidRPr="458BDDDD">
        <w:rPr>
          <w:rFonts w:eastAsia="Times New Roman" w:cs="Times New Roman"/>
          <w:color w:val="000000" w:themeColor="text1"/>
        </w:rPr>
        <w:t>R</w:t>
      </w:r>
      <w:r w:rsidRPr="458BDDDD">
        <w:rPr>
          <w:rFonts w:eastAsia="Times New Roman" w:cs="Times New Roman"/>
          <w:color w:val="000000" w:themeColor="text1"/>
        </w:rPr>
        <w:t>evenue</w:t>
      </w:r>
      <w:r>
        <w:t xml:space="preserve"> and then paid by the Commonwealth to the National Offshore Petroleum Safety and Environmental Management Authority (NOPSEMA), in accordance with section 682 of the </w:t>
      </w:r>
      <w:r w:rsidRPr="458BDDDD">
        <w:rPr>
          <w:i/>
          <w:iCs/>
        </w:rPr>
        <w:t>Offshore Petroleum and Greenhouse Gas Storage Act 2006</w:t>
      </w:r>
      <w:r>
        <w:t xml:space="preserve"> (OPGGS Act), </w:t>
      </w:r>
      <w:r w:rsidR="00965AA7">
        <w:t>to</w:t>
      </w:r>
      <w:r>
        <w:t xml:space="preserve"> fund NOPSEMA’s operations on a cost-recovery basis.</w:t>
      </w:r>
      <w:r w:rsidRPr="458BDDDD">
        <w:rPr>
          <w:rFonts w:eastAsia="Times New Roman" w:cs="Times New Roman"/>
        </w:rPr>
        <w:t xml:space="preserve"> </w:t>
      </w:r>
    </w:p>
    <w:p w14:paraId="3269D8D8" w14:textId="77777777" w:rsidR="00244FCB" w:rsidRDefault="00244FCB" w:rsidP="458BDDDD">
      <w:pPr>
        <w:spacing w:line="240" w:lineRule="auto"/>
        <w:ind w:right="91"/>
        <w:rPr>
          <w:rFonts w:eastAsia="Times New Roman" w:cs="Times New Roman"/>
          <w:lang w:eastAsia="en-AU"/>
        </w:rPr>
      </w:pPr>
    </w:p>
    <w:p w14:paraId="61E7A77E" w14:textId="21B0A2F9" w:rsidR="001F26D0" w:rsidRPr="00D7316C" w:rsidRDefault="42EE9990" w:rsidP="458BDDDD">
      <w:pPr>
        <w:rPr>
          <w:rFonts w:eastAsia="Times New Roman" w:cs="Times New Roman"/>
          <w:lang w:eastAsia="en-AU"/>
        </w:rPr>
      </w:pPr>
      <w:r>
        <w:t>NOPSEMA has functions and powers conferred on it by or under the OPGGS Act. The OPGGS Act provides that NOPSEMA is the regulator of occupational health and safety, structural integrity and environmental management for petroleum and greenhouse gas storage exploration and development activities in Australia’s offshore areas starting three nautical miles from the baseline of the territorial sea (as well as designated coastal waters where regulatory functions have been conferred).</w:t>
      </w:r>
      <w:r w:rsidR="00AE0B81" w:rsidRPr="458BDDDD">
        <w:rPr>
          <w:rFonts w:eastAsia="Times New Roman" w:cs="Times New Roman"/>
          <w:lang w:eastAsia="en-AU"/>
        </w:rPr>
        <w:t xml:space="preserve"> </w:t>
      </w:r>
    </w:p>
    <w:p w14:paraId="5D00ACCB" w14:textId="77777777" w:rsidR="00244FCB" w:rsidRDefault="00244FCB" w:rsidP="458BDDDD">
      <w:pPr>
        <w:spacing w:line="240" w:lineRule="auto"/>
        <w:ind w:right="91"/>
        <w:rPr>
          <w:rFonts w:eastAsia="Times New Roman" w:cs="Times New Roman"/>
          <w:lang w:eastAsia="en-AU"/>
        </w:rPr>
      </w:pPr>
    </w:p>
    <w:p w14:paraId="0DBFADFC" w14:textId="22B97FFA" w:rsidR="001F26D0" w:rsidRDefault="3AE51B42" w:rsidP="0047499C">
      <w:pPr>
        <w:spacing w:line="240" w:lineRule="auto"/>
        <w:ind w:right="91"/>
        <w:rPr>
          <w:rFonts w:eastAsia="Times New Roman" w:cs="Times New Roman"/>
        </w:rPr>
      </w:pPr>
      <w:r>
        <w:t xml:space="preserve">The </w:t>
      </w:r>
      <w:r w:rsidRPr="458BDDDD">
        <w:rPr>
          <w:i/>
          <w:iCs/>
        </w:rPr>
        <w:t>Offshore Petroleum and Greenhouse Gas Storage (Regulatory Levies) Regulations</w:t>
      </w:r>
      <w:r w:rsidR="00874E4B" w:rsidRPr="458BDDDD">
        <w:rPr>
          <w:i/>
          <w:iCs/>
        </w:rPr>
        <w:t xml:space="preserve"> </w:t>
      </w:r>
      <w:r w:rsidRPr="458BDDDD">
        <w:rPr>
          <w:i/>
          <w:iCs/>
        </w:rPr>
        <w:t>2022</w:t>
      </w:r>
      <w:r w:rsidR="00697341" w:rsidRPr="458BDDDD">
        <w:rPr>
          <w:rFonts w:eastAsia="Times New Roman" w:cs="Times New Roman"/>
          <w:i/>
          <w:iCs/>
          <w:color w:val="000000" w:themeColor="text1"/>
        </w:rPr>
        <w:t xml:space="preserve"> </w:t>
      </w:r>
      <w:r w:rsidR="00697341" w:rsidRPr="458BDDDD">
        <w:rPr>
          <w:rFonts w:eastAsia="Times New Roman" w:cs="Times New Roman"/>
          <w:color w:val="000000" w:themeColor="text1"/>
        </w:rPr>
        <w:t>(the Levies Regulations 2022)</w:t>
      </w:r>
      <w:r>
        <w:t xml:space="preserve"> provide how the amounts of the safety case levy, annual well levy, well activity levy and environment plan levy are worked out.</w:t>
      </w:r>
    </w:p>
    <w:p w14:paraId="7DF1D477" w14:textId="77777777" w:rsidR="00244FCB" w:rsidRDefault="00244FCB" w:rsidP="458BDDDD">
      <w:pPr>
        <w:spacing w:line="240" w:lineRule="auto"/>
        <w:ind w:right="91"/>
        <w:rPr>
          <w:rFonts w:eastAsia="Times New Roman" w:cs="Times New Roman"/>
          <w:lang w:eastAsia="en-AU"/>
        </w:rPr>
      </w:pPr>
    </w:p>
    <w:p w14:paraId="5BB7C2AD" w14:textId="0FAEED28" w:rsidR="001F26D0" w:rsidRPr="00975F54" w:rsidRDefault="27F5D938" w:rsidP="00975F54">
      <w:pPr>
        <w:spacing w:line="240" w:lineRule="auto"/>
        <w:ind w:right="91"/>
      </w:pPr>
      <w:r>
        <w:t>The mechanism for setting levy amounts is through the preparation of a cost recovery implementation statement (CRIS) that meets the requirements of the Australian Government Cost Recovery Policy. NOPSEMA conducts regular reviews of its CRIS to ensure that cost recovery arrangements are adequate and that it can continue to effectively discharge its regulatory functions.</w:t>
      </w:r>
    </w:p>
    <w:p w14:paraId="4170C893" w14:textId="77777777" w:rsidR="00244FCB" w:rsidRDefault="00244FCB" w:rsidP="458BDDDD">
      <w:pPr>
        <w:spacing w:line="240" w:lineRule="auto"/>
        <w:ind w:right="91"/>
        <w:rPr>
          <w:rFonts w:eastAsia="Times New Roman" w:cs="Times New Roman"/>
          <w:lang w:eastAsia="en-AU"/>
        </w:rPr>
      </w:pPr>
    </w:p>
    <w:p w14:paraId="291C03D4" w14:textId="2D59152A" w:rsidR="001F26D0" w:rsidRPr="00975F54" w:rsidRDefault="3D86E941" w:rsidP="458BDDDD">
      <w:pPr>
        <w:spacing w:line="240" w:lineRule="auto"/>
        <w:ind w:right="91"/>
        <w:rPr>
          <w:rFonts w:eastAsia="Times New Roman" w:cs="Times New Roman"/>
          <w:lang w:eastAsia="en-AU"/>
        </w:rPr>
      </w:pPr>
      <w:r>
        <w:t xml:space="preserve">The purpose of the </w:t>
      </w:r>
      <w:r w:rsidRPr="458BDDDD">
        <w:rPr>
          <w:i/>
          <w:iCs/>
        </w:rPr>
        <w:t>Offshore Petroleum and Greenhouse Gas Storage (Regulatory Levies) Amendment Regulations 2024</w:t>
      </w:r>
      <w:r>
        <w:t xml:space="preserve"> (the </w:t>
      </w:r>
      <w:r w:rsidR="3CC85EFB" w:rsidRPr="458BDDDD">
        <w:rPr>
          <w:rFonts w:eastAsia="Times New Roman" w:cs="Times New Roman"/>
          <w:color w:val="000000" w:themeColor="text1"/>
        </w:rPr>
        <w:t>Regulations</w:t>
      </w:r>
      <w:r w:rsidRPr="458BDDDD">
        <w:rPr>
          <w:rFonts w:eastAsia="Times New Roman" w:cs="Times New Roman"/>
          <w:color w:val="000000" w:themeColor="text1"/>
        </w:rPr>
        <w:t xml:space="preserve">) </w:t>
      </w:r>
      <w:r w:rsidR="2C716773" w:rsidRPr="458BDDDD">
        <w:rPr>
          <w:rFonts w:eastAsia="Times New Roman" w:cs="Times New Roman"/>
          <w:color w:val="000000" w:themeColor="text1"/>
        </w:rPr>
        <w:t>is</w:t>
      </w:r>
      <w:r>
        <w:t xml:space="preserve"> to implement the outcomes of NOPSEMA’s CRIS for 2024-2026, which proposed a 13 per cent increase in levy amounts for the safety case levy, annual well levy, well activity levy and environment plan levy. </w:t>
      </w:r>
    </w:p>
    <w:p w14:paraId="283788EE" w14:textId="77777777" w:rsidR="00244FCB" w:rsidRDefault="00244FCB" w:rsidP="458BDDDD">
      <w:pPr>
        <w:spacing w:line="240" w:lineRule="auto"/>
        <w:ind w:right="91"/>
        <w:rPr>
          <w:rFonts w:eastAsia="Times New Roman" w:cs="Times New Roman"/>
          <w:lang w:eastAsia="en-AU"/>
        </w:rPr>
      </w:pPr>
    </w:p>
    <w:p w14:paraId="02C08C36" w14:textId="33749F32" w:rsidR="00B7661E" w:rsidRDefault="16DDB6EA" w:rsidP="16DDB6EA">
      <w:pPr>
        <w:tabs>
          <w:tab w:val="left" w:pos="6521"/>
        </w:tabs>
        <w:spacing w:line="240" w:lineRule="auto"/>
        <w:ind w:right="91"/>
        <w:rPr>
          <w:rFonts w:eastAsia="Times New Roman" w:cs="Times New Roman"/>
          <w:lang w:eastAsia="en-AU"/>
        </w:rPr>
      </w:pPr>
      <w:r w:rsidRPr="458BDDDD">
        <w:rPr>
          <w:rFonts w:eastAsia="Times New Roman" w:cs="Times New Roman"/>
          <w:lang w:eastAsia="en-AU"/>
        </w:rPr>
        <w:t xml:space="preserve">The </w:t>
      </w:r>
      <w:r w:rsidR="002A4567" w:rsidRPr="458BDDDD">
        <w:rPr>
          <w:rFonts w:eastAsia="Times New Roman" w:cs="Times New Roman"/>
          <w:lang w:eastAsia="en-AU"/>
        </w:rPr>
        <w:t>Regulations</w:t>
      </w:r>
      <w:r w:rsidR="00537C79" w:rsidRPr="458BDDDD">
        <w:rPr>
          <w:rFonts w:eastAsia="Times New Roman" w:cs="Times New Roman"/>
          <w:lang w:eastAsia="en-AU"/>
        </w:rPr>
        <w:t xml:space="preserve"> </w:t>
      </w:r>
      <w:r w:rsidRPr="458BDDDD">
        <w:rPr>
          <w:rFonts w:eastAsia="Times New Roman" w:cs="Times New Roman"/>
          <w:lang w:eastAsia="en-AU"/>
        </w:rPr>
        <w:t xml:space="preserve">commence on </w:t>
      </w:r>
      <w:r w:rsidR="00235ABE" w:rsidRPr="458BDDDD">
        <w:rPr>
          <w:rFonts w:eastAsia="Times New Roman" w:cs="Times New Roman"/>
          <w:lang w:eastAsia="en-AU"/>
        </w:rPr>
        <w:t xml:space="preserve">the later of </w:t>
      </w:r>
      <w:r w:rsidR="00EE1149" w:rsidRPr="458BDDDD">
        <w:rPr>
          <w:rFonts w:eastAsia="Times New Roman" w:cs="Times New Roman"/>
          <w:lang w:eastAsia="en-AU"/>
        </w:rPr>
        <w:t>1 July 2024</w:t>
      </w:r>
      <w:r w:rsidR="00235ABE" w:rsidRPr="458BDDDD">
        <w:rPr>
          <w:rFonts w:eastAsia="Times New Roman" w:cs="Times New Roman"/>
          <w:lang w:eastAsia="en-AU"/>
        </w:rPr>
        <w:t xml:space="preserve"> and the day after the </w:t>
      </w:r>
      <w:r w:rsidR="00603CC2" w:rsidRPr="458BDDDD">
        <w:rPr>
          <w:rFonts w:eastAsia="Times New Roman" w:cs="Times New Roman"/>
          <w:lang w:eastAsia="en-AU"/>
        </w:rPr>
        <w:t>Regulations are</w:t>
      </w:r>
      <w:r w:rsidR="00235ABE" w:rsidRPr="458BDDDD">
        <w:rPr>
          <w:rFonts w:eastAsia="Times New Roman" w:cs="Times New Roman"/>
          <w:lang w:eastAsia="en-AU"/>
        </w:rPr>
        <w:t xml:space="preserve"> registered</w:t>
      </w:r>
      <w:r w:rsidR="004B676D" w:rsidRPr="458BDDDD">
        <w:rPr>
          <w:rFonts w:eastAsia="Times New Roman" w:cs="Times New Roman"/>
          <w:lang w:eastAsia="en-AU"/>
        </w:rPr>
        <w:t xml:space="preserve"> on the Federal Register of Legislation</w:t>
      </w:r>
      <w:r w:rsidRPr="458BDDDD">
        <w:rPr>
          <w:rFonts w:eastAsia="Times New Roman" w:cs="Times New Roman"/>
          <w:lang w:eastAsia="en-AU"/>
        </w:rPr>
        <w:t xml:space="preserve">. </w:t>
      </w:r>
    </w:p>
    <w:p w14:paraId="02D56289" w14:textId="5B4AA24E" w:rsidR="3A3AD532" w:rsidRDefault="3A3AD532" w:rsidP="3A3AD532">
      <w:pPr>
        <w:tabs>
          <w:tab w:val="left" w:pos="6521"/>
        </w:tabs>
        <w:spacing w:line="240" w:lineRule="auto"/>
        <w:ind w:right="91"/>
        <w:rPr>
          <w:rFonts w:eastAsia="Times New Roman" w:cs="Times New Roman"/>
          <w:lang w:eastAsia="en-AU"/>
        </w:rPr>
      </w:pPr>
    </w:p>
    <w:p w14:paraId="758CD1B3" w14:textId="5FB90205" w:rsidR="00244FCB" w:rsidRDefault="16DDB6EA" w:rsidP="16DDB6EA">
      <w:pPr>
        <w:tabs>
          <w:tab w:val="left" w:pos="6521"/>
        </w:tabs>
        <w:spacing w:line="240" w:lineRule="auto"/>
        <w:ind w:right="91"/>
        <w:rPr>
          <w:rFonts w:eastAsia="Times New Roman" w:cs="Times New Roman"/>
          <w:lang w:eastAsia="en-AU"/>
        </w:rPr>
      </w:pPr>
      <w:r w:rsidRPr="458BDDDD">
        <w:rPr>
          <w:rFonts w:eastAsia="Times New Roman" w:cs="Times New Roman"/>
          <w:lang w:eastAsia="en-AU"/>
        </w:rPr>
        <w:t xml:space="preserve">Details of the </w:t>
      </w:r>
      <w:r w:rsidR="00603CC2" w:rsidRPr="458BDDDD">
        <w:rPr>
          <w:rFonts w:eastAsia="Times New Roman" w:cs="Times New Roman"/>
          <w:lang w:eastAsia="en-AU"/>
        </w:rPr>
        <w:t>Regulations</w:t>
      </w:r>
      <w:r w:rsidR="5FA90C11" w:rsidRPr="458BDDDD">
        <w:rPr>
          <w:rFonts w:eastAsia="Times New Roman" w:cs="Times New Roman"/>
          <w:lang w:eastAsia="en-AU"/>
        </w:rPr>
        <w:t xml:space="preserve"> are</w:t>
      </w:r>
      <w:r w:rsidRPr="458BDDDD">
        <w:rPr>
          <w:rFonts w:eastAsia="Times New Roman" w:cs="Times New Roman"/>
          <w:lang w:eastAsia="en-AU"/>
        </w:rPr>
        <w:t xml:space="preserve"> set out in </w:t>
      </w:r>
      <w:r w:rsidRPr="458BDDDD">
        <w:rPr>
          <w:rFonts w:eastAsia="Times New Roman" w:cs="Times New Roman"/>
          <w:u w:val="single"/>
          <w:lang w:eastAsia="en-AU"/>
        </w:rPr>
        <w:t>Attachment A</w:t>
      </w:r>
      <w:r w:rsidRPr="458BDDDD">
        <w:rPr>
          <w:rFonts w:eastAsia="Times New Roman" w:cs="Times New Roman"/>
          <w:lang w:eastAsia="en-AU"/>
        </w:rPr>
        <w:t xml:space="preserve">. </w:t>
      </w:r>
    </w:p>
    <w:p w14:paraId="26FB796F" w14:textId="2449A9DA" w:rsidR="0316B481" w:rsidRDefault="0316B481" w:rsidP="0316B481">
      <w:pPr>
        <w:tabs>
          <w:tab w:val="left" w:pos="6521"/>
        </w:tabs>
        <w:spacing w:line="240" w:lineRule="auto"/>
        <w:ind w:right="91"/>
        <w:rPr>
          <w:rFonts w:eastAsia="Times New Roman" w:cs="Times New Roman"/>
          <w:lang w:eastAsia="en-AU"/>
        </w:rPr>
      </w:pPr>
    </w:p>
    <w:p w14:paraId="087DDF53" w14:textId="0B1E15C3" w:rsidR="00847EFF" w:rsidRDefault="00847EFF" w:rsidP="00847EFF">
      <w:pPr>
        <w:keepNext/>
        <w:tabs>
          <w:tab w:val="left" w:pos="6521"/>
        </w:tabs>
        <w:spacing w:line="240" w:lineRule="auto"/>
        <w:ind w:right="91"/>
        <w:rPr>
          <w:rFonts w:eastAsia="Times New Roman" w:cs="Times New Roman"/>
          <w:b/>
          <w:bCs/>
          <w:u w:val="single"/>
          <w:lang w:eastAsia="en-AU"/>
        </w:rPr>
      </w:pPr>
      <w:r w:rsidRPr="458BDDDD">
        <w:rPr>
          <w:rFonts w:eastAsia="Times New Roman" w:cs="Times New Roman"/>
          <w:b/>
          <w:bCs/>
          <w:u w:val="single"/>
          <w:lang w:eastAsia="en-AU"/>
        </w:rPr>
        <w:lastRenderedPageBreak/>
        <w:t>Authority</w:t>
      </w:r>
    </w:p>
    <w:p w14:paraId="2945D0C6" w14:textId="77777777" w:rsidR="00847EFF" w:rsidRDefault="00847EFF" w:rsidP="00847EFF">
      <w:pPr>
        <w:keepNext/>
        <w:tabs>
          <w:tab w:val="left" w:pos="6521"/>
        </w:tabs>
        <w:spacing w:line="240" w:lineRule="auto"/>
        <w:ind w:right="91"/>
        <w:rPr>
          <w:rFonts w:eastAsia="Times New Roman" w:cs="Times New Roman"/>
          <w:b/>
          <w:bCs/>
          <w:u w:val="single"/>
          <w:lang w:eastAsia="en-AU"/>
        </w:rPr>
      </w:pPr>
    </w:p>
    <w:p w14:paraId="70A0A7AA" w14:textId="04F4404E" w:rsidR="00847EFF" w:rsidRPr="00847EFF" w:rsidRDefault="00847EFF" w:rsidP="00847EFF">
      <w:pPr>
        <w:spacing w:line="240" w:lineRule="auto"/>
        <w:ind w:right="91"/>
      </w:pPr>
      <w:r>
        <w:t>Section 11 of the Levies Act provides that the Governor-General may make regulations for the purposes of a number of sections of the Levies Act, including sections 7 and 8 (safety</w:t>
      </w:r>
      <w:r w:rsidRPr="458BDDDD">
        <w:rPr>
          <w:rFonts w:eastAsia="Times New Roman" w:cs="Times New Roman"/>
          <w:lang w:eastAsia="en-AU"/>
        </w:rPr>
        <w:t> </w:t>
      </w:r>
      <w:r>
        <w:t>case levy), 10A and 10B (annual well levy), 10C and 10D (well activity levy), and 10F and 10G (environment plan levy). These sections provide that the amount of the levy imposed by the Levies Act is the amount specified in, or worked out in accordance with, the regulations.</w:t>
      </w:r>
    </w:p>
    <w:p w14:paraId="50C380C9" w14:textId="77777777" w:rsidR="00847EFF" w:rsidRDefault="00847EFF" w:rsidP="16DDB6EA">
      <w:pPr>
        <w:tabs>
          <w:tab w:val="left" w:pos="6521"/>
        </w:tabs>
        <w:spacing w:line="240" w:lineRule="auto"/>
        <w:ind w:right="91"/>
        <w:rPr>
          <w:rFonts w:eastAsia="Times New Roman" w:cs="Times New Roman"/>
          <w:b/>
          <w:bCs/>
          <w:u w:val="single"/>
          <w:lang w:eastAsia="en-AU"/>
        </w:rPr>
      </w:pPr>
    </w:p>
    <w:p w14:paraId="10765369" w14:textId="5FED2F8B" w:rsidR="00831EAA" w:rsidRDefault="16DDB6EA" w:rsidP="16DDB6EA">
      <w:pPr>
        <w:tabs>
          <w:tab w:val="left" w:pos="6521"/>
        </w:tabs>
        <w:spacing w:line="240" w:lineRule="auto"/>
        <w:ind w:right="91"/>
        <w:rPr>
          <w:rFonts w:eastAsia="Times New Roman" w:cs="Times New Roman"/>
          <w:lang w:eastAsia="en-AU"/>
        </w:rPr>
      </w:pPr>
      <w:r w:rsidRPr="458BDDDD">
        <w:rPr>
          <w:rFonts w:eastAsia="Times New Roman" w:cs="Times New Roman"/>
          <w:b/>
          <w:bCs/>
          <w:u w:val="single"/>
          <w:lang w:eastAsia="en-AU"/>
        </w:rPr>
        <w:t>Consultation</w:t>
      </w:r>
    </w:p>
    <w:p w14:paraId="266A9726" w14:textId="77777777" w:rsidR="00831EAA" w:rsidRDefault="00831EAA" w:rsidP="458BDDDD">
      <w:pPr>
        <w:tabs>
          <w:tab w:val="left" w:pos="6521"/>
        </w:tabs>
        <w:spacing w:line="240" w:lineRule="auto"/>
        <w:ind w:right="91"/>
        <w:rPr>
          <w:rFonts w:eastAsia="Times New Roman" w:cs="Times New Roman"/>
          <w:lang w:eastAsia="en-AU"/>
        </w:rPr>
      </w:pPr>
    </w:p>
    <w:p w14:paraId="12E1FADE" w14:textId="645792F3" w:rsidR="00EB7981" w:rsidRPr="004E7D95" w:rsidRDefault="500DA013" w:rsidP="004E7D95">
      <w:pPr>
        <w:spacing w:line="240" w:lineRule="auto"/>
        <w:ind w:right="91"/>
      </w:pPr>
      <w:r>
        <w:t xml:space="preserve">NOPSEMA consulted </w:t>
      </w:r>
      <w:r w:rsidR="41C0F462">
        <w:t xml:space="preserve">all levy-paying regulated entities and the Australian Energy Producers, the peak body for the offshore petroleum and greenhouse gas storage industries, on </w:t>
      </w:r>
      <w:r w:rsidR="2268AA0D">
        <w:t>the CRIS in March</w:t>
      </w:r>
      <w:r w:rsidR="41C0F462">
        <w:t xml:space="preserve"> 2024. </w:t>
      </w:r>
    </w:p>
    <w:p w14:paraId="62354287" w14:textId="2B3EEBBF" w:rsidR="00030377" w:rsidRDefault="00030377" w:rsidP="16DDB6EA">
      <w:pPr>
        <w:spacing w:line="240" w:lineRule="auto"/>
        <w:ind w:right="91"/>
      </w:pPr>
    </w:p>
    <w:p w14:paraId="5B324D4D" w14:textId="0EAD614D" w:rsidR="00EB7981" w:rsidRPr="004E7D95" w:rsidRDefault="7F101955" w:rsidP="4B5E65BB">
      <w:pPr>
        <w:spacing w:line="240" w:lineRule="auto"/>
        <w:ind w:right="91"/>
        <w:rPr>
          <w:rStyle w:val="normaltextrun"/>
        </w:rPr>
      </w:pPr>
      <w:r>
        <w:t>NOPSEMA also consulted the Department of Finance in relation to the CRIS. The CRIS is consistent with the Australian Government Charging Framework.</w:t>
      </w:r>
    </w:p>
    <w:p w14:paraId="0C119621" w14:textId="77777777" w:rsidR="00AE5B64" w:rsidRPr="00E85758" w:rsidRDefault="16DDB6EA" w:rsidP="16DDB6EA">
      <w:pPr>
        <w:spacing w:beforeLines="100" w:before="240" w:afterLines="100" w:after="240" w:line="259" w:lineRule="auto"/>
        <w:rPr>
          <w:rFonts w:cs="Times New Roman"/>
        </w:rPr>
      </w:pPr>
      <w:r w:rsidRPr="458BDDDD">
        <w:rPr>
          <w:rFonts w:cs="Times New Roman"/>
          <w:b/>
          <w:bCs/>
          <w:u w:val="single"/>
        </w:rPr>
        <w:t>Regulatory Impact</w:t>
      </w:r>
    </w:p>
    <w:p w14:paraId="19B92318" w14:textId="1F437313" w:rsidR="00AE5B64" w:rsidRPr="00D20D0F" w:rsidRDefault="16DDB6EA" w:rsidP="16DDB6EA">
      <w:pPr>
        <w:spacing w:beforeLines="100" w:before="240" w:afterLines="100" w:after="240" w:line="259" w:lineRule="auto"/>
        <w:rPr>
          <w:rFonts w:cs="Times New Roman"/>
        </w:rPr>
      </w:pPr>
      <w:r w:rsidRPr="458BDDDD">
        <w:rPr>
          <w:rFonts w:cs="Times New Roman"/>
        </w:rPr>
        <w:t xml:space="preserve">The </w:t>
      </w:r>
      <w:r w:rsidR="00352F8D" w:rsidRPr="458BDDDD">
        <w:rPr>
          <w:rFonts w:cs="Arial"/>
        </w:rPr>
        <w:t>Office of Impact Analysis (OIA)</w:t>
      </w:r>
      <w:r w:rsidR="3A890EBE" w:rsidRPr="458BDDDD">
        <w:rPr>
          <w:rFonts w:cs="Arial"/>
        </w:rPr>
        <w:t xml:space="preserve"> has confirmed that a Regulatory Impact </w:t>
      </w:r>
      <w:r w:rsidR="00D96306" w:rsidRPr="458BDDDD">
        <w:rPr>
          <w:rFonts w:cs="Arial"/>
        </w:rPr>
        <w:t>S</w:t>
      </w:r>
      <w:r w:rsidR="3A890EBE" w:rsidRPr="458BDDDD">
        <w:rPr>
          <w:rFonts w:cs="Arial"/>
        </w:rPr>
        <w:t>tatement is not required for the Regulations</w:t>
      </w:r>
      <w:r w:rsidR="00352F8D" w:rsidRPr="458BDDDD">
        <w:rPr>
          <w:rFonts w:cs="Arial"/>
        </w:rPr>
        <w:t xml:space="preserve"> (OIA reference ID </w:t>
      </w:r>
      <w:r w:rsidR="0094075A" w:rsidRPr="458BDDDD">
        <w:rPr>
          <w:rFonts w:cs="Arial"/>
        </w:rPr>
        <w:t>OIA24-07538</w:t>
      </w:r>
      <w:r w:rsidR="00352F8D" w:rsidRPr="458BDDDD">
        <w:rPr>
          <w:rFonts w:cs="Times New Roman"/>
        </w:rPr>
        <w:t>).</w:t>
      </w:r>
      <w:r w:rsidR="60758BCC" w:rsidRPr="458BDDDD">
        <w:rPr>
          <w:rFonts w:cs="Times New Roman"/>
        </w:rPr>
        <w:t xml:space="preserve"> </w:t>
      </w:r>
    </w:p>
    <w:p w14:paraId="6E83FE8C" w14:textId="77777777" w:rsidR="00AE5B64" w:rsidRPr="00E85758" w:rsidRDefault="16DDB6EA" w:rsidP="16DDB6EA">
      <w:pPr>
        <w:spacing w:beforeLines="100" w:before="240" w:afterLines="100" w:after="240" w:line="259" w:lineRule="auto"/>
        <w:rPr>
          <w:rFonts w:cs="Times New Roman"/>
          <w:b/>
          <w:bCs/>
          <w:u w:val="single"/>
        </w:rPr>
      </w:pPr>
      <w:r w:rsidRPr="458BDDDD">
        <w:rPr>
          <w:rFonts w:cs="Times New Roman"/>
          <w:b/>
          <w:bCs/>
          <w:u w:val="single"/>
        </w:rPr>
        <w:t>Statement of Compatibility with Human Rights</w:t>
      </w:r>
    </w:p>
    <w:p w14:paraId="5408A252" w14:textId="5C307590" w:rsidR="00EB7981" w:rsidRPr="004E7D95" w:rsidRDefault="16DDB6EA">
      <w:pPr>
        <w:spacing w:after="160" w:line="259" w:lineRule="auto"/>
      </w:pPr>
      <w:r w:rsidRPr="458BDDDD">
        <w:rPr>
          <w:rFonts w:eastAsia="Times New Roman" w:cs="Times New Roman"/>
          <w:lang w:eastAsia="en-AU"/>
        </w:rPr>
        <w:t xml:space="preserve">Subsection 9(1) of the </w:t>
      </w:r>
      <w:r w:rsidRPr="458BDDDD">
        <w:rPr>
          <w:rFonts w:eastAsia="Times New Roman" w:cs="Times New Roman"/>
          <w:i/>
          <w:iCs/>
          <w:lang w:eastAsia="en-AU"/>
        </w:rPr>
        <w:t>Human Rights (Parliamentary Scrutiny) Act 2011</w:t>
      </w:r>
      <w:r w:rsidRPr="458BDDDD">
        <w:rPr>
          <w:rFonts w:eastAsia="Times New Roman" w:cs="Times New Roman"/>
          <w:lang w:eastAsia="en-AU"/>
        </w:rPr>
        <w:t xml:space="preserve"> requires the rule-maker </w:t>
      </w:r>
      <w:r w:rsidR="00F34160" w:rsidRPr="458BDDDD">
        <w:rPr>
          <w:rFonts w:eastAsia="Times New Roman" w:cs="Times New Roman"/>
          <w:lang w:eastAsia="en-AU"/>
        </w:rPr>
        <w:t>in relation to</w:t>
      </w:r>
      <w:r w:rsidR="00EB7981" w:rsidRPr="458BDDDD">
        <w:rPr>
          <w:rFonts w:eastAsia="Calibri" w:cs="Times New Roman"/>
        </w:rPr>
        <w:t xml:space="preserve"> a legislative instrument </w:t>
      </w:r>
      <w:r w:rsidRPr="458BDDDD">
        <w:rPr>
          <w:rFonts w:eastAsia="Times New Roman" w:cs="Times New Roman"/>
          <w:lang w:eastAsia="en-AU"/>
        </w:rPr>
        <w:t>to which section 42 (disallowance)</w:t>
      </w:r>
      <w:r w:rsidR="00EB7981" w:rsidRPr="458BDDDD">
        <w:rPr>
          <w:rFonts w:eastAsia="Calibri" w:cs="Times New Roman"/>
        </w:rPr>
        <w:t xml:space="preserve"> of the </w:t>
      </w:r>
      <w:r w:rsidR="00EB7981" w:rsidRPr="458BDDDD">
        <w:rPr>
          <w:rFonts w:eastAsia="Calibri" w:cs="Times New Roman"/>
          <w:i/>
          <w:iCs/>
        </w:rPr>
        <w:t>Legislation Act</w:t>
      </w:r>
      <w:r w:rsidR="001C613F" w:rsidRPr="458BDDDD">
        <w:rPr>
          <w:rFonts w:eastAsia="Times New Roman" w:cs="Times New Roman"/>
          <w:i/>
          <w:iCs/>
          <w:lang w:eastAsia="en-AU"/>
        </w:rPr>
        <w:t> </w:t>
      </w:r>
      <w:r w:rsidRPr="458BDDDD">
        <w:rPr>
          <w:rFonts w:eastAsia="Times New Roman" w:cs="Times New Roman"/>
          <w:i/>
          <w:iCs/>
          <w:lang w:eastAsia="en-AU"/>
        </w:rPr>
        <w:t>2003</w:t>
      </w:r>
      <w:r w:rsidRPr="458BDDDD">
        <w:rPr>
          <w:rFonts w:eastAsia="Times New Roman" w:cs="Times New Roman"/>
          <w:lang w:eastAsia="en-AU"/>
        </w:rPr>
        <w:t xml:space="preserve"> applies to cause a statement of compatibility to be prepared in respect of that legislative instrument. A Statement of Compatibility with Human Rights has been prepared to meet that requirement</w:t>
      </w:r>
      <w:r w:rsidR="6B62F481">
        <w:t xml:space="preserve"> and </w:t>
      </w:r>
      <w:r w:rsidRPr="458BDDDD">
        <w:rPr>
          <w:rFonts w:eastAsia="Times New Roman" w:cs="Times New Roman"/>
          <w:lang w:eastAsia="en-AU"/>
        </w:rPr>
        <w:t xml:space="preserve">is </w:t>
      </w:r>
      <w:r w:rsidR="6B62F481">
        <w:t xml:space="preserve">set out </w:t>
      </w:r>
      <w:r w:rsidRPr="458BDDDD">
        <w:rPr>
          <w:rFonts w:eastAsia="Times New Roman" w:cs="Times New Roman"/>
          <w:lang w:eastAsia="en-AU"/>
        </w:rPr>
        <w:t>at</w:t>
      </w:r>
      <w:r w:rsidR="6B62F481">
        <w:t xml:space="preserve"> </w:t>
      </w:r>
      <w:r w:rsidR="6B62F481" w:rsidRPr="00054416">
        <w:rPr>
          <w:u w:val="single"/>
        </w:rPr>
        <w:t xml:space="preserve">Attachment </w:t>
      </w:r>
      <w:r w:rsidRPr="00054416">
        <w:rPr>
          <w:rFonts w:eastAsia="Times New Roman" w:cs="Times New Roman"/>
          <w:u w:val="single"/>
          <w:lang w:eastAsia="en-AU"/>
        </w:rPr>
        <w:t>B</w:t>
      </w:r>
      <w:r w:rsidRPr="458BDDDD">
        <w:rPr>
          <w:rFonts w:eastAsia="Times New Roman" w:cs="Times New Roman"/>
          <w:lang w:eastAsia="en-AU"/>
        </w:rPr>
        <w:t>.</w:t>
      </w:r>
      <w:r>
        <w:br w:type="page"/>
      </w:r>
    </w:p>
    <w:p w14:paraId="79C280EA" w14:textId="15A82F5A" w:rsidR="00A86A2F" w:rsidRPr="004E7D95" w:rsidRDefault="00A86A2F" w:rsidP="458BDDDD">
      <w:pPr>
        <w:spacing w:before="240" w:after="240"/>
        <w:jc w:val="right"/>
        <w:rPr>
          <w:rFonts w:cs="Times New Roman"/>
          <w:b/>
          <w:bCs/>
          <w:u w:val="single"/>
        </w:rPr>
      </w:pPr>
      <w:r w:rsidRPr="458BDDDD">
        <w:rPr>
          <w:b/>
          <w:bCs/>
          <w:u w:val="single"/>
        </w:rPr>
        <w:lastRenderedPageBreak/>
        <w:t>Attachment</w:t>
      </w:r>
      <w:r w:rsidR="68FC8473" w:rsidRPr="458BDDDD">
        <w:rPr>
          <w:rFonts w:cs="Times New Roman"/>
          <w:b/>
          <w:bCs/>
          <w:u w:val="single"/>
        </w:rPr>
        <w:t xml:space="preserve"> A</w:t>
      </w:r>
    </w:p>
    <w:p w14:paraId="35D88273" w14:textId="1C09BB25" w:rsidR="00A86A2F" w:rsidRPr="002E3D28" w:rsidRDefault="00A86A2F" w:rsidP="458BDDDD">
      <w:pPr>
        <w:spacing w:before="240" w:after="240"/>
        <w:rPr>
          <w:b/>
          <w:bCs/>
        </w:rPr>
      </w:pPr>
      <w:r w:rsidRPr="458BDDDD">
        <w:rPr>
          <w:b/>
          <w:bCs/>
          <w:u w:val="single"/>
        </w:rPr>
        <w:t>Details of the</w:t>
      </w:r>
      <w:r w:rsidR="009242D9" w:rsidRPr="458BDDDD">
        <w:rPr>
          <w:b/>
          <w:bCs/>
          <w:u w:val="single"/>
        </w:rPr>
        <w:t xml:space="preserve"> </w:t>
      </w:r>
      <w:r w:rsidRPr="458BDDDD">
        <w:rPr>
          <w:b/>
          <w:bCs/>
          <w:i/>
          <w:iCs/>
          <w:u w:val="single"/>
        </w:rPr>
        <w:t>Offshore Petroleum and Greenhouse Gas Storage (Regulatory Levies) Amendment Regulations 2024</w:t>
      </w:r>
    </w:p>
    <w:p w14:paraId="4E114FEA" w14:textId="0124F923" w:rsidR="00A86A2F" w:rsidRPr="000F6353" w:rsidRDefault="00A86A2F" w:rsidP="22F7B411">
      <w:pPr>
        <w:spacing w:before="360"/>
        <w:rPr>
          <w:u w:val="single"/>
        </w:rPr>
      </w:pPr>
      <w:r w:rsidRPr="458BDDDD">
        <w:rPr>
          <w:u w:val="single"/>
        </w:rPr>
        <w:t>Section 1 – Name</w:t>
      </w:r>
      <w:r w:rsidR="00616567" w:rsidRPr="458BDDDD">
        <w:rPr>
          <w:u w:val="single"/>
        </w:rPr>
        <w:t xml:space="preserve"> of Regulations</w:t>
      </w:r>
    </w:p>
    <w:p w14:paraId="0933B18F" w14:textId="3F59785E" w:rsidR="00A86A2F" w:rsidRPr="002E3D28" w:rsidRDefault="00A86A2F" w:rsidP="458BDDDD">
      <w:pPr>
        <w:spacing w:before="240"/>
        <w:rPr>
          <w:rStyle w:val="normaltextrun"/>
        </w:rPr>
      </w:pPr>
      <w:r>
        <w:t xml:space="preserve">This section </w:t>
      </w:r>
      <w:r w:rsidR="390959B5" w:rsidRPr="458BDDDD">
        <w:rPr>
          <w:rFonts w:cs="Times New Roman"/>
        </w:rPr>
        <w:t>provides</w:t>
      </w:r>
      <w:r>
        <w:t xml:space="preserve"> that the name of this</w:t>
      </w:r>
      <w:r w:rsidR="5AE28FFB">
        <w:t xml:space="preserve"> </w:t>
      </w:r>
      <w:r>
        <w:t xml:space="preserve">instrument is the </w:t>
      </w:r>
      <w:r w:rsidRPr="458BDDDD">
        <w:rPr>
          <w:i/>
          <w:iCs/>
        </w:rPr>
        <w:t>Offshore Petroleum and Greenhouse Gas Storage (Regulatory Levies) Amendment Regulations 2024</w:t>
      </w:r>
      <w:r w:rsidR="5C5E1F0D">
        <w:t xml:space="preserve"> (th</w:t>
      </w:r>
      <w:r w:rsidR="007415DE">
        <w:t>e </w:t>
      </w:r>
      <w:r w:rsidR="5C5E1F0D">
        <w:t>Regulations)</w:t>
      </w:r>
      <w:r w:rsidR="002E3D28" w:rsidRPr="458BDDDD">
        <w:rPr>
          <w:rStyle w:val="normaltextrun"/>
        </w:rPr>
        <w:t>.</w:t>
      </w:r>
    </w:p>
    <w:p w14:paraId="35A0D58E" w14:textId="117DD295" w:rsidR="00412201" w:rsidRPr="005E7BCD" w:rsidRDefault="00A86A2F" w:rsidP="005E7BCD">
      <w:pPr>
        <w:tabs>
          <w:tab w:val="left" w:pos="5220"/>
        </w:tabs>
        <w:spacing w:before="240"/>
        <w:rPr>
          <w:u w:val="single"/>
        </w:rPr>
      </w:pPr>
      <w:r w:rsidRPr="458BDDDD">
        <w:rPr>
          <w:u w:val="single"/>
        </w:rPr>
        <w:t>Section 2 – Commencement</w:t>
      </w:r>
    </w:p>
    <w:p w14:paraId="36D7BDFB" w14:textId="3BCF2ADE" w:rsidR="00A86A2F" w:rsidRPr="003142A3" w:rsidRDefault="00A86A2F" w:rsidP="458BDDDD">
      <w:pPr>
        <w:spacing w:before="240" w:after="100" w:afterAutospacing="1"/>
      </w:pPr>
      <w:r>
        <w:t xml:space="preserve">This section </w:t>
      </w:r>
      <w:r w:rsidR="00412201">
        <w:t>provides</w:t>
      </w:r>
      <w:r>
        <w:t xml:space="preserve"> for the </w:t>
      </w:r>
      <w:r w:rsidR="002E3D28">
        <w:t xml:space="preserve">Regulations to commence </w:t>
      </w:r>
      <w:r w:rsidR="0051229A">
        <w:t>on the later of 1 July 2024</w:t>
      </w:r>
      <w:r w:rsidR="00547B0A">
        <w:t xml:space="preserve"> and the day after the instrument is registered. </w:t>
      </w:r>
    </w:p>
    <w:p w14:paraId="0DA00F2B" w14:textId="501F4B5B" w:rsidR="00A86A2F" w:rsidRPr="000F6353" w:rsidRDefault="00A86A2F" w:rsidP="732764A4">
      <w:pPr>
        <w:tabs>
          <w:tab w:val="left" w:pos="2610"/>
        </w:tabs>
        <w:spacing w:before="240"/>
        <w:rPr>
          <w:u w:val="single"/>
        </w:rPr>
      </w:pPr>
      <w:r w:rsidRPr="458BDDDD">
        <w:rPr>
          <w:rStyle w:val="normaltextrun"/>
          <w:u w:val="single"/>
        </w:rPr>
        <w:t>Section 3 – Authority</w:t>
      </w:r>
    </w:p>
    <w:p w14:paraId="5072A06A" w14:textId="677BBD5B" w:rsidR="00A86A2F" w:rsidRPr="003142A3" w:rsidRDefault="00A86A2F" w:rsidP="458BDDDD">
      <w:pPr>
        <w:spacing w:before="240"/>
        <w:rPr>
          <w:rFonts w:cs="Times New Roman"/>
        </w:rPr>
      </w:pPr>
      <w:r>
        <w:t xml:space="preserve">This section </w:t>
      </w:r>
      <w:r w:rsidR="16DDB6EA" w:rsidRPr="458BDDDD">
        <w:rPr>
          <w:rFonts w:cs="Times New Roman"/>
        </w:rPr>
        <w:t>provides</w:t>
      </w:r>
      <w:r>
        <w:t xml:space="preserve"> that the </w:t>
      </w:r>
      <w:r w:rsidR="4DC33941" w:rsidRPr="458BDDDD">
        <w:rPr>
          <w:rStyle w:val="normaltextrun"/>
        </w:rPr>
        <w:t>Regulations</w:t>
      </w:r>
      <w:r w:rsidR="6BABE9CA" w:rsidRPr="458BDDDD">
        <w:rPr>
          <w:rStyle w:val="normaltextrun"/>
        </w:rPr>
        <w:t xml:space="preserve"> </w:t>
      </w:r>
      <w:r w:rsidR="49D84975" w:rsidRPr="458BDDDD">
        <w:rPr>
          <w:rStyle w:val="normaltextrun"/>
        </w:rPr>
        <w:t>are</w:t>
      </w:r>
      <w:r>
        <w:t xml:space="preserve"> made under the </w:t>
      </w:r>
      <w:r w:rsidR="16DDB6EA" w:rsidRPr="458BDDDD">
        <w:rPr>
          <w:rFonts w:cs="Times New Roman"/>
          <w:i/>
          <w:iCs/>
        </w:rPr>
        <w:t xml:space="preserve">Offshore Petroleum and Greenhouse Gas Storage (Regulatory </w:t>
      </w:r>
      <w:r w:rsidRPr="458BDDDD">
        <w:rPr>
          <w:i/>
          <w:iCs/>
        </w:rPr>
        <w:t>Levies</w:t>
      </w:r>
      <w:r w:rsidR="16DDB6EA" w:rsidRPr="458BDDDD">
        <w:rPr>
          <w:rFonts w:cs="Times New Roman"/>
          <w:i/>
          <w:iCs/>
        </w:rPr>
        <w:t>)</w:t>
      </w:r>
      <w:r w:rsidRPr="458BDDDD">
        <w:rPr>
          <w:i/>
          <w:iCs/>
        </w:rPr>
        <w:t xml:space="preserve"> Act</w:t>
      </w:r>
      <w:r w:rsidR="16DDB6EA" w:rsidRPr="458BDDDD">
        <w:rPr>
          <w:rFonts w:cs="Times New Roman"/>
          <w:i/>
          <w:iCs/>
        </w:rPr>
        <w:t xml:space="preserve"> 20</w:t>
      </w:r>
      <w:r w:rsidR="00BB4E80" w:rsidRPr="458BDDDD">
        <w:rPr>
          <w:rFonts w:cs="Times New Roman"/>
          <w:i/>
          <w:iCs/>
        </w:rPr>
        <w:t>03</w:t>
      </w:r>
      <w:r w:rsidR="16DDB6EA" w:rsidRPr="458BDDDD">
        <w:rPr>
          <w:rFonts w:cs="Times New Roman"/>
        </w:rPr>
        <w:t xml:space="preserve"> (the Levies Act).</w:t>
      </w:r>
    </w:p>
    <w:p w14:paraId="5880DA66" w14:textId="31FCC087" w:rsidR="00A86A2F" w:rsidRPr="000F6353" w:rsidRDefault="00A86A2F" w:rsidP="732764A4">
      <w:pPr>
        <w:spacing w:before="240"/>
        <w:rPr>
          <w:u w:val="single"/>
        </w:rPr>
      </w:pPr>
      <w:r w:rsidRPr="458BDDDD">
        <w:rPr>
          <w:u w:val="single"/>
        </w:rPr>
        <w:t>Section 4 – Schedules</w:t>
      </w:r>
    </w:p>
    <w:p w14:paraId="6247575D" w14:textId="3EF02F46" w:rsidR="00A86A2F" w:rsidRPr="003142A3" w:rsidRDefault="00A86A2F" w:rsidP="003142A3">
      <w:pPr>
        <w:spacing w:before="240"/>
      </w:pPr>
      <w:r>
        <w:t xml:space="preserve">This section </w:t>
      </w:r>
      <w:r w:rsidR="009F1D87">
        <w:t xml:space="preserve">provides that </w:t>
      </w:r>
      <w:r w:rsidR="00065B59">
        <w:t>each instrument that is specified in a Schedule to this instrument is amended or repealed</w:t>
      </w:r>
      <w:r w:rsidR="00AC3B91">
        <w:t xml:space="preserve"> as set out in the applicable items in the Schedule concerned, and any other item in a Schedule to this instrument has effect</w:t>
      </w:r>
      <w:r>
        <w:t xml:space="preserve"> according to its terms.</w:t>
      </w:r>
    </w:p>
    <w:p w14:paraId="65EF8298" w14:textId="6E5E2686" w:rsidR="00A86A2F" w:rsidRPr="000F6353" w:rsidRDefault="00A86A2F" w:rsidP="3F41045A">
      <w:pPr>
        <w:spacing w:before="240"/>
        <w:rPr>
          <w:u w:val="single"/>
        </w:rPr>
      </w:pPr>
      <w:r w:rsidRPr="458BDDDD">
        <w:rPr>
          <w:u w:val="single"/>
        </w:rPr>
        <w:t>Schedule 1—Amendments</w:t>
      </w:r>
    </w:p>
    <w:p w14:paraId="3071EC11" w14:textId="181E3A22" w:rsidR="00A86A2F" w:rsidRPr="003142A3" w:rsidRDefault="00A86A2F" w:rsidP="458BDDDD">
      <w:pPr>
        <w:spacing w:before="240"/>
        <w:rPr>
          <w:b/>
          <w:bCs/>
        </w:rPr>
      </w:pPr>
      <w:r w:rsidRPr="458BDDDD">
        <w:rPr>
          <w:b/>
          <w:bCs/>
        </w:rPr>
        <w:t>Part 1—Amendments</w:t>
      </w:r>
    </w:p>
    <w:p w14:paraId="1D7A22C4" w14:textId="0B27CBDB" w:rsidR="00A86A2F" w:rsidRPr="002F7217" w:rsidRDefault="00A86A2F" w:rsidP="458BDDDD">
      <w:pPr>
        <w:spacing w:before="240"/>
        <w:rPr>
          <w:i/>
          <w:iCs/>
        </w:rPr>
      </w:pPr>
      <w:r w:rsidRPr="458BDDDD">
        <w:rPr>
          <w:i/>
          <w:iCs/>
        </w:rPr>
        <w:t>Offshore Petroleum and Greenhouse Gas Storage (Regulatory Levies) Regulations 2022</w:t>
      </w:r>
    </w:p>
    <w:p w14:paraId="719483D4" w14:textId="1ECDF799" w:rsidR="00A86A2F" w:rsidRPr="003142A3" w:rsidRDefault="00A86A2F" w:rsidP="458BDDDD">
      <w:pPr>
        <w:spacing w:before="240"/>
        <w:rPr>
          <w:u w:val="single"/>
        </w:rPr>
      </w:pPr>
      <w:bookmarkStart w:id="0" w:name="_Hlk165972140"/>
      <w:r w:rsidRPr="458BDDDD">
        <w:rPr>
          <w:u w:val="single"/>
        </w:rPr>
        <w:t>Item 1 – Paragraph 21(4)(b)</w:t>
      </w:r>
    </w:p>
    <w:bookmarkEnd w:id="0"/>
    <w:p w14:paraId="2E6A27C8" w14:textId="58D32F6D" w:rsidR="00A86A2F" w:rsidRDefault="6BA03AAF" w:rsidP="3F41045A">
      <w:pPr>
        <w:spacing w:before="240"/>
        <w:rPr>
          <w:rFonts w:eastAsia="Times New Roman" w:cs="Times New Roman"/>
          <w:color w:val="000000" w:themeColor="text1"/>
        </w:rPr>
      </w:pPr>
      <w:r>
        <w:t xml:space="preserve">This item </w:t>
      </w:r>
      <w:r w:rsidR="00371937" w:rsidRPr="458BDDDD">
        <w:rPr>
          <w:rFonts w:cs="Times New Roman"/>
        </w:rPr>
        <w:t>provides</w:t>
      </w:r>
      <w:r>
        <w:t xml:space="preserve"> that the </w:t>
      </w:r>
      <w:r w:rsidRPr="458BDDDD">
        <w:rPr>
          <w:b/>
          <w:bCs/>
          <w:i/>
          <w:iCs/>
        </w:rPr>
        <w:t>SMS amount</w:t>
      </w:r>
      <w:r>
        <w:t xml:space="preserve"> in paragraph 21(4)(b) increases from $150,400 to $169,950.</w:t>
      </w:r>
    </w:p>
    <w:p w14:paraId="3984F986" w14:textId="0214656F" w:rsidR="00A86A2F" w:rsidRPr="003142A3" w:rsidRDefault="00A86A2F" w:rsidP="458BDDDD">
      <w:pPr>
        <w:spacing w:before="240"/>
        <w:rPr>
          <w:u w:val="single"/>
        </w:rPr>
      </w:pPr>
      <w:r w:rsidRPr="458BDDDD">
        <w:rPr>
          <w:u w:val="single"/>
        </w:rPr>
        <w:t>Item 2 – Paragraph 21(4)(c)</w:t>
      </w:r>
    </w:p>
    <w:p w14:paraId="3D6569AA" w14:textId="59ECE526" w:rsidR="00A86A2F" w:rsidRPr="003142A3" w:rsidRDefault="3367E3A0" w:rsidP="003142A3">
      <w:pPr>
        <w:spacing w:before="240"/>
      </w:pPr>
      <w:bookmarkStart w:id="1" w:name="_Hlk165978542"/>
      <w:r>
        <w:t xml:space="preserve">This item </w:t>
      </w:r>
      <w:r w:rsidR="00C71DB6" w:rsidRPr="458BDDDD">
        <w:rPr>
          <w:rFonts w:cs="Times New Roman"/>
        </w:rPr>
        <w:t>provides</w:t>
      </w:r>
      <w:r>
        <w:t xml:space="preserve"> that the </w:t>
      </w:r>
      <w:r w:rsidRPr="458BDDDD">
        <w:rPr>
          <w:b/>
          <w:bCs/>
          <w:i/>
          <w:iCs/>
        </w:rPr>
        <w:t>SMS amount</w:t>
      </w:r>
      <w:r>
        <w:t xml:space="preserve"> in paragraph 21(4)(c) increases from $226,300 to $255,700</w:t>
      </w:r>
      <w:bookmarkEnd w:id="1"/>
      <w:r w:rsidR="00A86A2F">
        <w:t>.</w:t>
      </w:r>
    </w:p>
    <w:p w14:paraId="76936C61" w14:textId="19F37FB6" w:rsidR="00A86A2F" w:rsidRPr="003142A3" w:rsidRDefault="00A86A2F" w:rsidP="458BDDDD">
      <w:pPr>
        <w:keepNext/>
        <w:spacing w:before="240"/>
        <w:rPr>
          <w:u w:val="single"/>
        </w:rPr>
      </w:pPr>
      <w:r w:rsidRPr="458BDDDD">
        <w:rPr>
          <w:u w:val="single"/>
        </w:rPr>
        <w:lastRenderedPageBreak/>
        <w:t>Item 3 – Paragraph 21(5)(a)</w:t>
      </w:r>
    </w:p>
    <w:p w14:paraId="10B1CC56" w14:textId="2D772403" w:rsidR="00A86A2F" w:rsidRPr="00E5641E" w:rsidRDefault="04F3FC0D" w:rsidP="007415DE">
      <w:pPr>
        <w:keepNext/>
        <w:spacing w:before="240"/>
      </w:pPr>
      <w:r>
        <w:t xml:space="preserve">This item </w:t>
      </w:r>
      <w:r w:rsidR="008E3B13">
        <w:t>provides</w:t>
      </w:r>
      <w:r>
        <w:t xml:space="preserve"> that the amount in paragraph 21(5)(a) used to calculate the </w:t>
      </w:r>
      <w:r w:rsidRPr="458BDDDD">
        <w:rPr>
          <w:b/>
          <w:bCs/>
          <w:i/>
          <w:iCs/>
        </w:rPr>
        <w:t>facility amount</w:t>
      </w:r>
      <w:r>
        <w:t xml:space="preserve"> increases from $46,600 to $52,650</w:t>
      </w:r>
      <w:r w:rsidR="00A86A2F">
        <w:t>.</w:t>
      </w:r>
    </w:p>
    <w:p w14:paraId="0FF8C5E7" w14:textId="7C0C8A84" w:rsidR="00A86A2F" w:rsidRPr="00940E36" w:rsidRDefault="00A86A2F" w:rsidP="005E7BCD">
      <w:pPr>
        <w:keepNext/>
        <w:spacing w:before="240"/>
        <w:rPr>
          <w:u w:val="single"/>
        </w:rPr>
      </w:pPr>
      <w:r w:rsidRPr="458BDDDD">
        <w:rPr>
          <w:u w:val="single"/>
        </w:rPr>
        <w:t>Item 4 – Paragraph 21A(3)(b)</w:t>
      </w:r>
    </w:p>
    <w:p w14:paraId="55CCED68" w14:textId="082AD99A" w:rsidR="00A86A2F" w:rsidRPr="00940E36" w:rsidRDefault="0E29FC5B" w:rsidP="003142A3">
      <w:pPr>
        <w:spacing w:before="240"/>
      </w:pPr>
      <w:bookmarkStart w:id="2" w:name="_Hlk165978988"/>
      <w:r>
        <w:t xml:space="preserve">This item </w:t>
      </w:r>
      <w:r w:rsidR="0098271E" w:rsidRPr="458BDDDD">
        <w:rPr>
          <w:rFonts w:cs="Times New Roman"/>
        </w:rPr>
        <w:t>provides</w:t>
      </w:r>
      <w:r>
        <w:t xml:space="preserve"> that the </w:t>
      </w:r>
      <w:r w:rsidRPr="458BDDDD">
        <w:rPr>
          <w:b/>
          <w:bCs/>
          <w:i/>
          <w:iCs/>
        </w:rPr>
        <w:t>SMS amount</w:t>
      </w:r>
      <w:r>
        <w:t xml:space="preserve"> in paragraph 21A(3)(b) increases from $74,600 to $84,300</w:t>
      </w:r>
      <w:r w:rsidR="00A86A2F">
        <w:t>.</w:t>
      </w:r>
      <w:bookmarkEnd w:id="2"/>
    </w:p>
    <w:p w14:paraId="31BC9B5B" w14:textId="33116B45" w:rsidR="00A86A2F" w:rsidRPr="00940E36" w:rsidRDefault="00A86A2F" w:rsidP="003142A3">
      <w:pPr>
        <w:spacing w:before="240"/>
        <w:rPr>
          <w:u w:val="single"/>
        </w:rPr>
      </w:pPr>
      <w:r w:rsidRPr="458BDDDD">
        <w:rPr>
          <w:u w:val="single"/>
        </w:rPr>
        <w:t>Item 5 – Subparagraph 21A(4)(a)(iii)</w:t>
      </w:r>
    </w:p>
    <w:p w14:paraId="2BA0AD1B" w14:textId="77E92F2D" w:rsidR="00A86A2F" w:rsidRPr="00940E36" w:rsidRDefault="5E30C7E0" w:rsidP="003142A3">
      <w:pPr>
        <w:spacing w:before="240"/>
      </w:pPr>
      <w:r>
        <w:t xml:space="preserve">This item </w:t>
      </w:r>
      <w:r w:rsidR="0047516F" w:rsidRPr="458BDDDD">
        <w:rPr>
          <w:rFonts w:cs="Times New Roman"/>
        </w:rPr>
        <w:t>provides</w:t>
      </w:r>
      <w:r>
        <w:t xml:space="preserve"> that the amount in subparagraph 21A(4)(a)(iii) used to calculate the </w:t>
      </w:r>
      <w:r w:rsidRPr="458BDDDD">
        <w:rPr>
          <w:b/>
          <w:bCs/>
          <w:i/>
          <w:iCs/>
        </w:rPr>
        <w:t>facility amount</w:t>
      </w:r>
      <w:r>
        <w:t xml:space="preserve"> increases from $18,600 to $21,000</w:t>
      </w:r>
      <w:r w:rsidR="00A86A2F">
        <w:t>.</w:t>
      </w:r>
    </w:p>
    <w:p w14:paraId="4E1D9D61" w14:textId="47C3BC7F" w:rsidR="00A86A2F" w:rsidRPr="00940E36" w:rsidRDefault="00A86A2F" w:rsidP="003142A3">
      <w:pPr>
        <w:spacing w:before="240"/>
        <w:rPr>
          <w:u w:val="single"/>
        </w:rPr>
      </w:pPr>
      <w:r w:rsidRPr="458BDDDD">
        <w:rPr>
          <w:u w:val="single"/>
        </w:rPr>
        <w:t>Item 6 – Paragraph 29(4)(b)</w:t>
      </w:r>
    </w:p>
    <w:p w14:paraId="612B7165" w14:textId="49B64628" w:rsidR="00A86A2F" w:rsidRPr="00940E36" w:rsidRDefault="7D2699C1" w:rsidP="003142A3">
      <w:pPr>
        <w:spacing w:before="240"/>
      </w:pPr>
      <w:r>
        <w:t xml:space="preserve">This item </w:t>
      </w:r>
      <w:r w:rsidR="00521F26" w:rsidRPr="458BDDDD">
        <w:rPr>
          <w:rFonts w:cs="Times New Roman"/>
        </w:rPr>
        <w:t>provides</w:t>
      </w:r>
      <w:r>
        <w:t xml:space="preserve"> that the</w:t>
      </w:r>
      <w:r w:rsidRPr="458BDDDD">
        <w:rPr>
          <w:b/>
          <w:bCs/>
          <w:i/>
          <w:iCs/>
        </w:rPr>
        <w:t xml:space="preserve"> SMS amount</w:t>
      </w:r>
      <w:r>
        <w:t xml:space="preserve"> in paragraph 29(4)(b) increases from $150,400 to $169,950</w:t>
      </w:r>
      <w:r w:rsidR="00A86A2F">
        <w:t>.</w:t>
      </w:r>
    </w:p>
    <w:p w14:paraId="5AAA23C1" w14:textId="797BA97F" w:rsidR="00A86A2F" w:rsidRPr="00940E36" w:rsidRDefault="00A86A2F" w:rsidP="003142A3">
      <w:pPr>
        <w:spacing w:before="240"/>
        <w:rPr>
          <w:u w:val="single"/>
        </w:rPr>
      </w:pPr>
      <w:r w:rsidRPr="458BDDDD">
        <w:rPr>
          <w:u w:val="single"/>
        </w:rPr>
        <w:t>Item 7 – Paragraph 29(4)(c)</w:t>
      </w:r>
    </w:p>
    <w:p w14:paraId="4C2A8AD0" w14:textId="5302527E" w:rsidR="00A86A2F" w:rsidRPr="00940E36" w:rsidRDefault="0A4FFA8F" w:rsidP="003142A3">
      <w:pPr>
        <w:spacing w:before="240"/>
      </w:pPr>
      <w:r>
        <w:t xml:space="preserve">This item </w:t>
      </w:r>
      <w:r w:rsidR="00911322" w:rsidRPr="458BDDDD">
        <w:rPr>
          <w:rFonts w:cs="Times New Roman"/>
        </w:rPr>
        <w:t>provides</w:t>
      </w:r>
      <w:r>
        <w:t xml:space="preserve"> that the </w:t>
      </w:r>
      <w:r w:rsidRPr="458BDDDD">
        <w:rPr>
          <w:b/>
          <w:bCs/>
          <w:i/>
          <w:iCs/>
        </w:rPr>
        <w:t xml:space="preserve">SMS amount </w:t>
      </w:r>
      <w:r>
        <w:t>in paragraph 29(4)(c) increases from $226,300 to $255,700</w:t>
      </w:r>
      <w:r w:rsidR="00A86A2F">
        <w:t>.</w:t>
      </w:r>
    </w:p>
    <w:p w14:paraId="171C3664" w14:textId="1B238C82" w:rsidR="00A86A2F" w:rsidRPr="00940E36" w:rsidRDefault="00A86A2F" w:rsidP="003142A3">
      <w:pPr>
        <w:spacing w:before="240"/>
        <w:rPr>
          <w:u w:val="single"/>
        </w:rPr>
      </w:pPr>
      <w:r w:rsidRPr="458BDDDD">
        <w:rPr>
          <w:u w:val="single"/>
        </w:rPr>
        <w:t>Item 8 – Paragraph 29(5)(a)</w:t>
      </w:r>
    </w:p>
    <w:p w14:paraId="305F523A" w14:textId="3DD21DCF" w:rsidR="00A86A2F" w:rsidRPr="00940E36" w:rsidRDefault="6B68D8C6" w:rsidP="003142A3">
      <w:pPr>
        <w:spacing w:before="240"/>
      </w:pPr>
      <w:r>
        <w:t xml:space="preserve">This item </w:t>
      </w:r>
      <w:r w:rsidR="00054519">
        <w:t>provides</w:t>
      </w:r>
      <w:r>
        <w:t xml:space="preserve"> that the amount in paragraph 29(5)(a) used to calculate the </w:t>
      </w:r>
      <w:r w:rsidRPr="458BDDDD">
        <w:rPr>
          <w:b/>
          <w:bCs/>
          <w:i/>
          <w:iCs/>
        </w:rPr>
        <w:t>facility amount</w:t>
      </w:r>
      <w:r>
        <w:t xml:space="preserve"> increases from $46,600 to $52,650</w:t>
      </w:r>
      <w:r w:rsidR="00A86A2F">
        <w:t>.</w:t>
      </w:r>
    </w:p>
    <w:p w14:paraId="53E241E0" w14:textId="40CE6C16" w:rsidR="00A86A2F" w:rsidRPr="00940E36" w:rsidRDefault="00A86A2F" w:rsidP="003142A3">
      <w:pPr>
        <w:spacing w:before="240"/>
        <w:rPr>
          <w:u w:val="single"/>
        </w:rPr>
      </w:pPr>
      <w:r w:rsidRPr="458BDDDD">
        <w:rPr>
          <w:u w:val="single"/>
        </w:rPr>
        <w:t>Item 9 – Paragraph 29A(3)(b)</w:t>
      </w:r>
    </w:p>
    <w:p w14:paraId="2A06212B" w14:textId="45D3FEBF" w:rsidR="00A86A2F" w:rsidRPr="00940E36" w:rsidRDefault="3A5783E0" w:rsidP="003142A3">
      <w:pPr>
        <w:spacing w:before="240"/>
      </w:pPr>
      <w:r>
        <w:t xml:space="preserve">This item </w:t>
      </w:r>
      <w:r w:rsidR="00691DE9" w:rsidRPr="458BDDDD">
        <w:rPr>
          <w:rFonts w:cs="Times New Roman"/>
        </w:rPr>
        <w:t>provides</w:t>
      </w:r>
      <w:r>
        <w:t xml:space="preserve"> that the </w:t>
      </w:r>
      <w:r w:rsidRPr="458BDDDD">
        <w:rPr>
          <w:b/>
          <w:bCs/>
          <w:i/>
          <w:iCs/>
        </w:rPr>
        <w:t>SMS amount</w:t>
      </w:r>
      <w:r>
        <w:t xml:space="preserve"> in paragraph 29A(3)(b) increases from $74,600 to $84,300</w:t>
      </w:r>
      <w:r w:rsidR="00A86A2F">
        <w:t>.</w:t>
      </w:r>
    </w:p>
    <w:p w14:paraId="48332C96" w14:textId="3015D990" w:rsidR="00A86A2F" w:rsidRPr="00940E36" w:rsidRDefault="00A86A2F" w:rsidP="003142A3">
      <w:pPr>
        <w:spacing w:before="240"/>
        <w:rPr>
          <w:u w:val="single"/>
        </w:rPr>
      </w:pPr>
      <w:r w:rsidRPr="458BDDDD">
        <w:rPr>
          <w:u w:val="single"/>
        </w:rPr>
        <w:t>Item 10 – Subparagraph 29A(4)(a)(iii)</w:t>
      </w:r>
    </w:p>
    <w:p w14:paraId="6E4258A5" w14:textId="193E9D20" w:rsidR="00A86A2F" w:rsidRPr="00E14AC5" w:rsidRDefault="46D75AF7" w:rsidP="003142A3">
      <w:pPr>
        <w:spacing w:before="240"/>
      </w:pPr>
      <w:r>
        <w:t xml:space="preserve">This item </w:t>
      </w:r>
      <w:r w:rsidR="00D8058F" w:rsidRPr="458BDDDD">
        <w:rPr>
          <w:rFonts w:cs="Times New Roman"/>
        </w:rPr>
        <w:t>provides</w:t>
      </w:r>
      <w:r>
        <w:t xml:space="preserve"> that the amount in subparagraph 29A(4)(a)(iii) used to calculate the </w:t>
      </w:r>
      <w:r w:rsidRPr="458BDDDD">
        <w:rPr>
          <w:b/>
          <w:bCs/>
          <w:i/>
          <w:iCs/>
        </w:rPr>
        <w:t>facility amount</w:t>
      </w:r>
      <w:r>
        <w:t xml:space="preserve"> increases from $18,600 to $21,000</w:t>
      </w:r>
      <w:r w:rsidR="00A86A2F">
        <w:t>.</w:t>
      </w:r>
    </w:p>
    <w:p w14:paraId="024FB033" w14:textId="121E8B7A" w:rsidR="00A86A2F" w:rsidRPr="00940E36" w:rsidRDefault="00A86A2F" w:rsidP="003142A3">
      <w:pPr>
        <w:spacing w:before="240"/>
        <w:rPr>
          <w:u w:val="single"/>
        </w:rPr>
      </w:pPr>
      <w:bookmarkStart w:id="3" w:name="_Hlk165982518"/>
      <w:r w:rsidRPr="458BDDDD">
        <w:rPr>
          <w:u w:val="single"/>
        </w:rPr>
        <w:t>Item 11 – Section 49</w:t>
      </w:r>
    </w:p>
    <w:bookmarkEnd w:id="3"/>
    <w:p w14:paraId="46274A8D" w14:textId="04F24D3D" w:rsidR="00A86A2F" w:rsidRPr="00940E36" w:rsidRDefault="664B8EB4" w:rsidP="003142A3">
      <w:pPr>
        <w:spacing w:before="240"/>
      </w:pPr>
      <w:r>
        <w:t xml:space="preserve">This item </w:t>
      </w:r>
      <w:r w:rsidR="002D69D6" w:rsidRPr="458BDDDD">
        <w:rPr>
          <w:rFonts w:cs="Times New Roman"/>
        </w:rPr>
        <w:t>provides</w:t>
      </w:r>
      <w:r>
        <w:t xml:space="preserve"> that the amount of annual well levy for each eligible well in section 49 increases from $5,500 to $6,220</w:t>
      </w:r>
      <w:r w:rsidR="00A86A2F">
        <w:t>.</w:t>
      </w:r>
    </w:p>
    <w:p w14:paraId="6C63DBA3" w14:textId="5E89BD87" w:rsidR="00A86A2F" w:rsidRPr="00940E36" w:rsidRDefault="00A86A2F" w:rsidP="003142A3">
      <w:pPr>
        <w:spacing w:before="240"/>
        <w:rPr>
          <w:u w:val="single"/>
        </w:rPr>
      </w:pPr>
      <w:r w:rsidRPr="458BDDDD">
        <w:rPr>
          <w:u w:val="single"/>
        </w:rPr>
        <w:t>Item 12 – Section 52</w:t>
      </w:r>
    </w:p>
    <w:p w14:paraId="4DEDF9F2" w14:textId="7A2017A6" w:rsidR="00A86A2F" w:rsidRPr="00940E36" w:rsidRDefault="7A732724" w:rsidP="003142A3">
      <w:pPr>
        <w:spacing w:before="240"/>
      </w:pPr>
      <w:r>
        <w:t xml:space="preserve">This item </w:t>
      </w:r>
      <w:r w:rsidR="003E59E7" w:rsidRPr="458BDDDD">
        <w:rPr>
          <w:rFonts w:cs="Times New Roman"/>
        </w:rPr>
        <w:t>provides</w:t>
      </w:r>
      <w:r>
        <w:t xml:space="preserve"> that the amount of annual well levy for each eligible well in section</w:t>
      </w:r>
      <w:r w:rsidR="00450FA0">
        <w:t> </w:t>
      </w:r>
      <w:r>
        <w:t>52 increases from $5,500 to $6,220</w:t>
      </w:r>
      <w:r w:rsidR="00A86A2F">
        <w:t>.</w:t>
      </w:r>
    </w:p>
    <w:p w14:paraId="3D9A8AF6" w14:textId="2F9A4F0A" w:rsidR="00A86A2F" w:rsidRPr="00940E36" w:rsidRDefault="00A86A2F" w:rsidP="007415DE">
      <w:pPr>
        <w:keepNext/>
        <w:spacing w:before="240"/>
        <w:rPr>
          <w:u w:val="single"/>
        </w:rPr>
      </w:pPr>
      <w:r w:rsidRPr="458BDDDD">
        <w:rPr>
          <w:u w:val="single"/>
        </w:rPr>
        <w:lastRenderedPageBreak/>
        <w:t>Item 13 – Section 55</w:t>
      </w:r>
    </w:p>
    <w:p w14:paraId="6CD1D53C" w14:textId="69E51DBA" w:rsidR="00A86A2F" w:rsidRPr="00E14AC5" w:rsidRDefault="6EAB7989" w:rsidP="007415DE">
      <w:pPr>
        <w:keepNext/>
        <w:spacing w:before="240"/>
      </w:pPr>
      <w:bookmarkStart w:id="4" w:name="_Hlk165982924"/>
      <w:r>
        <w:t xml:space="preserve">This item </w:t>
      </w:r>
      <w:r w:rsidR="00C44940" w:rsidRPr="458BDDDD">
        <w:rPr>
          <w:rFonts w:cs="Times New Roman"/>
        </w:rPr>
        <w:t>provides</w:t>
      </w:r>
      <w:r>
        <w:t xml:space="preserve"> that the amount of well activity levy imposed on an application or submission in section 55 increases from $46,600 to $52,650</w:t>
      </w:r>
      <w:bookmarkEnd w:id="4"/>
      <w:r w:rsidR="00A86A2F">
        <w:t>.</w:t>
      </w:r>
    </w:p>
    <w:p w14:paraId="48EE3EC8" w14:textId="33532918" w:rsidR="00A86A2F" w:rsidRPr="00141D44" w:rsidRDefault="00A86A2F" w:rsidP="00141D44">
      <w:pPr>
        <w:keepNext/>
        <w:spacing w:before="240"/>
        <w:rPr>
          <w:u w:val="single"/>
        </w:rPr>
      </w:pPr>
      <w:r w:rsidRPr="458BDDDD">
        <w:rPr>
          <w:u w:val="single"/>
        </w:rPr>
        <w:t>Item 14 – Paragraph 58(a)</w:t>
      </w:r>
    </w:p>
    <w:p w14:paraId="76EB4C5B" w14:textId="1CAE2631" w:rsidR="00A86A2F" w:rsidRPr="00141D44" w:rsidRDefault="286AD0A4" w:rsidP="00141D44">
      <w:pPr>
        <w:keepNext/>
        <w:spacing w:before="240"/>
      </w:pPr>
      <w:bookmarkStart w:id="5" w:name="_Hlk165983137"/>
      <w:r>
        <w:t xml:space="preserve">This item </w:t>
      </w:r>
      <w:r w:rsidR="0012349F" w:rsidRPr="458BDDDD">
        <w:rPr>
          <w:rFonts w:cs="Times New Roman"/>
        </w:rPr>
        <w:t>provides</w:t>
      </w:r>
      <w:r>
        <w:t xml:space="preserve"> that the amount of well activity levy imposed on an application or submission in paragraph 58(a) increases from $46,600 to $52,650</w:t>
      </w:r>
      <w:bookmarkEnd w:id="5"/>
      <w:r w:rsidR="00A86A2F">
        <w:t>.</w:t>
      </w:r>
    </w:p>
    <w:p w14:paraId="3BDD26C3" w14:textId="5FFBEAF5" w:rsidR="00A86A2F" w:rsidRPr="00141D44" w:rsidRDefault="00A86A2F" w:rsidP="00141D44">
      <w:pPr>
        <w:spacing w:before="240"/>
        <w:rPr>
          <w:u w:val="single"/>
        </w:rPr>
      </w:pPr>
      <w:r w:rsidRPr="458BDDDD">
        <w:rPr>
          <w:u w:val="single"/>
        </w:rPr>
        <w:t>Item 15 – Paragraph 59C(4)(a)</w:t>
      </w:r>
    </w:p>
    <w:p w14:paraId="544B6D3B" w14:textId="6BB6E1D6" w:rsidR="00A86A2F" w:rsidRPr="00141D44" w:rsidRDefault="4E46522D" w:rsidP="00141D44">
      <w:pPr>
        <w:spacing w:before="240"/>
      </w:pPr>
      <w:bookmarkStart w:id="6" w:name="_Hlk165983714"/>
      <w:r>
        <w:t xml:space="preserve">This item </w:t>
      </w:r>
      <w:r w:rsidR="002F03B0" w:rsidRPr="458BDDDD">
        <w:rPr>
          <w:rFonts w:cs="Times New Roman"/>
        </w:rPr>
        <w:t>amends</w:t>
      </w:r>
      <w:r>
        <w:t xml:space="preserve"> paragraph 59C(4)(a) to increase the amount used to calculate the </w:t>
      </w:r>
      <w:r w:rsidRPr="458BDDDD">
        <w:rPr>
          <w:b/>
          <w:bCs/>
          <w:i/>
          <w:iCs/>
        </w:rPr>
        <w:t>activity amount</w:t>
      </w:r>
      <w:r>
        <w:t xml:space="preserve"> from $4,800 to $5,420</w:t>
      </w:r>
      <w:bookmarkEnd w:id="6"/>
      <w:r>
        <w:t>.</w:t>
      </w:r>
    </w:p>
    <w:p w14:paraId="6CAA5D9A" w14:textId="18FBF481" w:rsidR="00A86A2F" w:rsidRPr="00141D44" w:rsidRDefault="00A86A2F" w:rsidP="00141D44">
      <w:pPr>
        <w:spacing w:before="240"/>
        <w:rPr>
          <w:u w:val="single"/>
        </w:rPr>
      </w:pPr>
      <w:r w:rsidRPr="458BDDDD">
        <w:rPr>
          <w:u w:val="single"/>
        </w:rPr>
        <w:t>Item 16 – Paragraph 59C(5)(a)</w:t>
      </w:r>
    </w:p>
    <w:p w14:paraId="4B8F43A0" w14:textId="14DFBCFA" w:rsidR="00A86A2F" w:rsidRPr="00141D44" w:rsidRDefault="7D65A346" w:rsidP="00141D44">
      <w:pPr>
        <w:spacing w:before="240"/>
        <w:rPr>
          <w:u w:val="single"/>
        </w:rPr>
      </w:pPr>
      <w:r>
        <w:t xml:space="preserve">This item </w:t>
      </w:r>
      <w:r w:rsidR="00A303DD" w:rsidRPr="458BDDDD">
        <w:rPr>
          <w:rFonts w:cs="Times New Roman"/>
        </w:rPr>
        <w:t>amends</w:t>
      </w:r>
      <w:r>
        <w:t xml:space="preserve"> paragraph 59C(5)(a) to increase the amount used to calculate the </w:t>
      </w:r>
      <w:r w:rsidRPr="458BDDDD">
        <w:rPr>
          <w:b/>
          <w:bCs/>
          <w:i/>
          <w:iCs/>
        </w:rPr>
        <w:t>compliance amount</w:t>
      </w:r>
      <w:r>
        <w:t xml:space="preserve"> from $4,800 to $5,420</w:t>
      </w:r>
      <w:r w:rsidR="00A86A2F">
        <w:t>.</w:t>
      </w:r>
    </w:p>
    <w:p w14:paraId="52223348" w14:textId="4721C6A4" w:rsidR="00A86A2F" w:rsidRPr="00141D44" w:rsidRDefault="00A86A2F" w:rsidP="00141D44">
      <w:pPr>
        <w:spacing w:before="240"/>
        <w:rPr>
          <w:u w:val="single"/>
        </w:rPr>
      </w:pPr>
      <w:r w:rsidRPr="458BDDDD">
        <w:rPr>
          <w:u w:val="single"/>
        </w:rPr>
        <w:t>Item 17 – Paragraph 59G(4)(a)</w:t>
      </w:r>
    </w:p>
    <w:p w14:paraId="3E318DAC" w14:textId="79121E4F" w:rsidR="00A86A2F" w:rsidRPr="00141D44" w:rsidRDefault="452E995C" w:rsidP="00141D44">
      <w:pPr>
        <w:spacing w:before="240"/>
      </w:pPr>
      <w:r>
        <w:t xml:space="preserve">This item </w:t>
      </w:r>
      <w:r w:rsidR="00377854" w:rsidRPr="458BDDDD">
        <w:rPr>
          <w:rFonts w:cs="Times New Roman"/>
        </w:rPr>
        <w:t>amends</w:t>
      </w:r>
      <w:r>
        <w:t xml:space="preserve"> paragraph 59G(4)(a) to increase the amount used to calculate the </w:t>
      </w:r>
      <w:r w:rsidRPr="458BDDDD">
        <w:rPr>
          <w:b/>
          <w:bCs/>
          <w:i/>
          <w:iCs/>
        </w:rPr>
        <w:t>activity amount</w:t>
      </w:r>
      <w:r>
        <w:t xml:space="preserve"> from $4,800 to $5,420</w:t>
      </w:r>
      <w:r w:rsidR="00A86A2F">
        <w:t>.</w:t>
      </w:r>
    </w:p>
    <w:p w14:paraId="0E14D0EF" w14:textId="75CE6AD9" w:rsidR="00A86A2F" w:rsidRPr="003D05D4" w:rsidRDefault="00A86A2F" w:rsidP="00141D44">
      <w:pPr>
        <w:spacing w:before="240"/>
        <w:rPr>
          <w:u w:val="single"/>
        </w:rPr>
      </w:pPr>
      <w:r w:rsidRPr="458BDDDD">
        <w:rPr>
          <w:u w:val="single"/>
        </w:rPr>
        <w:t>Item 18 – Paragraph 59G(5)(a)</w:t>
      </w:r>
    </w:p>
    <w:p w14:paraId="4DC42249" w14:textId="5F3A2675" w:rsidR="00A86A2F" w:rsidRPr="003D05D4" w:rsidRDefault="22ED907C" w:rsidP="00141D44">
      <w:pPr>
        <w:spacing w:before="240"/>
      </w:pPr>
      <w:r>
        <w:t xml:space="preserve">This item </w:t>
      </w:r>
      <w:r w:rsidR="00377854" w:rsidRPr="458BDDDD">
        <w:rPr>
          <w:rFonts w:cs="Times New Roman"/>
        </w:rPr>
        <w:t>amends</w:t>
      </w:r>
      <w:r>
        <w:t xml:space="preserve"> paragraph 59G(5)(a) to increase the amount used to calculate the </w:t>
      </w:r>
      <w:r w:rsidRPr="458BDDDD">
        <w:rPr>
          <w:b/>
          <w:bCs/>
          <w:i/>
          <w:iCs/>
        </w:rPr>
        <w:t>compliance amount</w:t>
      </w:r>
      <w:r>
        <w:t xml:space="preserve"> from $4,800 to $5,420</w:t>
      </w:r>
      <w:r w:rsidR="00A86A2F">
        <w:t>.</w:t>
      </w:r>
    </w:p>
    <w:p w14:paraId="78643B82" w14:textId="248A8584" w:rsidR="00A86A2F" w:rsidRPr="003D05D4" w:rsidRDefault="00A86A2F" w:rsidP="00141D44">
      <w:pPr>
        <w:spacing w:before="240"/>
        <w:rPr>
          <w:b/>
          <w:bCs/>
        </w:rPr>
      </w:pPr>
      <w:r w:rsidRPr="458BDDDD">
        <w:rPr>
          <w:b/>
          <w:bCs/>
        </w:rPr>
        <w:t>Part 2—Application provisions</w:t>
      </w:r>
    </w:p>
    <w:p w14:paraId="384BE722" w14:textId="65E009EE" w:rsidR="00A86A2F" w:rsidRPr="00015F07" w:rsidRDefault="00A86A2F" w:rsidP="458BDDDD">
      <w:pPr>
        <w:spacing w:before="240"/>
        <w:rPr>
          <w:i/>
          <w:iCs/>
        </w:rPr>
      </w:pPr>
      <w:r w:rsidRPr="458BDDDD">
        <w:rPr>
          <w:i/>
          <w:iCs/>
        </w:rPr>
        <w:t>Offshore Petroleum and Greenhouse Gas Storage (Regulatory Levies) Regulations 2022</w:t>
      </w:r>
    </w:p>
    <w:p w14:paraId="52EED566" w14:textId="6BCE70F4" w:rsidR="00A86A2F" w:rsidRPr="00015F07" w:rsidRDefault="00A86A2F" w:rsidP="003D05D4">
      <w:pPr>
        <w:spacing w:before="240"/>
        <w:rPr>
          <w:u w:val="single"/>
        </w:rPr>
      </w:pPr>
      <w:r w:rsidRPr="458BDDDD">
        <w:rPr>
          <w:u w:val="single"/>
        </w:rPr>
        <w:t>Item 19 – At the end of Part 10</w:t>
      </w:r>
    </w:p>
    <w:p w14:paraId="159D0A42" w14:textId="48B4B61B" w:rsidR="00A86A2F" w:rsidRDefault="4D4E34F6" w:rsidP="458BDDDD">
      <w:pPr>
        <w:spacing w:before="240"/>
        <w:rPr>
          <w:rFonts w:eastAsia="Times New Roman" w:cs="Times New Roman"/>
        </w:rPr>
      </w:pPr>
      <w:r>
        <w:t xml:space="preserve">This item </w:t>
      </w:r>
      <w:r w:rsidR="004E57C6" w:rsidRPr="458BDDDD">
        <w:rPr>
          <w:rFonts w:cs="Times New Roman"/>
        </w:rPr>
        <w:t>adds</w:t>
      </w:r>
      <w:r w:rsidR="7B070248">
        <w:t xml:space="preserve"> new Division 2 </w:t>
      </w:r>
      <w:r w:rsidR="00866FE3">
        <w:t>a</w:t>
      </w:r>
      <w:r w:rsidR="000D050A">
        <w:t xml:space="preserve">t the end of Part 10 </w:t>
      </w:r>
      <w:r w:rsidR="0010289C">
        <w:t xml:space="preserve">of the </w:t>
      </w:r>
      <w:r w:rsidR="0010289C" w:rsidRPr="458BDDDD">
        <w:rPr>
          <w:i/>
          <w:iCs/>
        </w:rPr>
        <w:t>Offshore Petroleum and Greenhouse Gas Storage (Regulatory Levies) Regulations 2022</w:t>
      </w:r>
      <w:r w:rsidR="0010289C">
        <w:t xml:space="preserve"> (the Levies Regulations 2022)</w:t>
      </w:r>
      <w:r w:rsidR="000D050A">
        <w:t xml:space="preserve">. </w:t>
      </w:r>
    </w:p>
    <w:p w14:paraId="7CA160B7" w14:textId="3BACA2D9" w:rsidR="00A86A2F" w:rsidRPr="003D05D4" w:rsidRDefault="53D22A7F" w:rsidP="458BDDDD">
      <w:pPr>
        <w:spacing w:before="240"/>
        <w:rPr>
          <w:rStyle w:val="eop"/>
        </w:rPr>
      </w:pPr>
      <w:r>
        <w:t xml:space="preserve">Division 2 </w:t>
      </w:r>
      <w:r w:rsidR="001B080D" w:rsidRPr="458BDDDD">
        <w:rPr>
          <w:rFonts w:cs="Times New Roman"/>
        </w:rPr>
        <w:t>contains</w:t>
      </w:r>
      <w:r>
        <w:t xml:space="preserve"> provisions that relate to the commencement of the </w:t>
      </w:r>
      <w:r w:rsidR="00DE3952" w:rsidRPr="458BDDDD">
        <w:rPr>
          <w:rFonts w:eastAsia="Times New Roman" w:cs="Times New Roman"/>
          <w:color w:val="000000" w:themeColor="text1"/>
        </w:rPr>
        <w:t>Regulations</w:t>
      </w:r>
      <w:r w:rsidRPr="458BDDDD">
        <w:rPr>
          <w:rFonts w:eastAsia="Times New Roman" w:cs="Times New Roman"/>
          <w:color w:val="000000" w:themeColor="text1"/>
        </w:rPr>
        <w:t>.</w:t>
      </w:r>
      <w:r w:rsidR="2B7F7C5E" w:rsidRPr="458BDDDD">
        <w:rPr>
          <w:rStyle w:val="eop"/>
        </w:rPr>
        <w:t> </w:t>
      </w:r>
    </w:p>
    <w:p w14:paraId="56084078" w14:textId="026F03B3" w:rsidR="00A86A2F" w:rsidRPr="0033184A" w:rsidRDefault="00A86A2F" w:rsidP="003D05D4">
      <w:pPr>
        <w:spacing w:before="240"/>
        <w:rPr>
          <w:b/>
          <w:bCs/>
        </w:rPr>
      </w:pPr>
      <w:r w:rsidRPr="458BDDDD">
        <w:rPr>
          <w:b/>
          <w:bCs/>
        </w:rPr>
        <w:t>69 – Definitions for Division</w:t>
      </w:r>
    </w:p>
    <w:p w14:paraId="159E1C54" w14:textId="25594549" w:rsidR="00A86A2F" w:rsidRPr="003D05D4" w:rsidRDefault="54C91FC6" w:rsidP="43708A32">
      <w:pPr>
        <w:spacing w:before="240"/>
        <w:rPr>
          <w:rStyle w:val="eop"/>
        </w:rPr>
      </w:pPr>
      <w:r>
        <w:t xml:space="preserve">Section 69 </w:t>
      </w:r>
      <w:r w:rsidR="001B080D" w:rsidRPr="458BDDDD">
        <w:rPr>
          <w:rFonts w:cs="Times New Roman"/>
        </w:rPr>
        <w:t>contains</w:t>
      </w:r>
      <w:r>
        <w:t xml:space="preserve"> definitions specifically for Division 2. The first definition is of </w:t>
      </w:r>
      <w:r w:rsidRPr="458BDDDD">
        <w:rPr>
          <w:b/>
          <w:bCs/>
          <w:i/>
          <w:iCs/>
        </w:rPr>
        <w:t>amending instrument</w:t>
      </w:r>
      <w:r>
        <w:t xml:space="preserve">, which means the </w:t>
      </w:r>
      <w:r w:rsidR="00EE3D28" w:rsidRPr="458BDDDD">
        <w:rPr>
          <w:rFonts w:eastAsia="Times New Roman" w:cs="Times New Roman"/>
          <w:lang w:eastAsia="en-AU"/>
        </w:rPr>
        <w:t>Regulations</w:t>
      </w:r>
      <w:r w:rsidRPr="458BDDDD">
        <w:rPr>
          <w:i/>
          <w:iCs/>
        </w:rPr>
        <w:t>.</w:t>
      </w:r>
      <w:r>
        <w:t xml:space="preserve"> The second definition is of </w:t>
      </w:r>
      <w:r w:rsidRPr="458BDDDD">
        <w:rPr>
          <w:b/>
          <w:bCs/>
          <w:i/>
          <w:iCs/>
        </w:rPr>
        <w:t>old instrument</w:t>
      </w:r>
      <w:r>
        <w:t xml:space="preserve">, which means the Levies Regulations </w:t>
      </w:r>
      <w:r w:rsidR="0E8FA62F" w:rsidRPr="458BDDDD">
        <w:rPr>
          <w:rFonts w:eastAsia="Times New Roman" w:cs="Times New Roman"/>
          <w:color w:val="000000" w:themeColor="text1"/>
        </w:rPr>
        <w:t xml:space="preserve">2022 </w:t>
      </w:r>
      <w:r>
        <w:t xml:space="preserve">as in force immediately before the commencement of the </w:t>
      </w:r>
      <w:r w:rsidR="00DE3952" w:rsidRPr="458BDDDD">
        <w:rPr>
          <w:rFonts w:eastAsia="Times New Roman" w:cs="Times New Roman"/>
          <w:color w:val="000000" w:themeColor="text1"/>
        </w:rPr>
        <w:t>Regulations</w:t>
      </w:r>
      <w:r w:rsidR="00A86A2F" w:rsidRPr="458BDDDD">
        <w:rPr>
          <w:rStyle w:val="normaltextrun"/>
        </w:rPr>
        <w:t>.</w:t>
      </w:r>
      <w:r w:rsidR="00A86A2F" w:rsidRPr="458BDDDD">
        <w:rPr>
          <w:rStyle w:val="eop"/>
        </w:rPr>
        <w:t> </w:t>
      </w:r>
    </w:p>
    <w:p w14:paraId="6DB18918" w14:textId="77792260" w:rsidR="00A86A2F" w:rsidRPr="00D30B02" w:rsidRDefault="00A86A2F" w:rsidP="007415DE">
      <w:pPr>
        <w:keepNext/>
        <w:spacing w:before="240"/>
        <w:rPr>
          <w:b/>
          <w:bCs/>
        </w:rPr>
      </w:pPr>
      <w:r w:rsidRPr="458BDDDD">
        <w:rPr>
          <w:b/>
          <w:bCs/>
        </w:rPr>
        <w:lastRenderedPageBreak/>
        <w:t>70 – Levies imposed before amending instrument commences</w:t>
      </w:r>
    </w:p>
    <w:p w14:paraId="6091526F" w14:textId="0DCF24AA" w:rsidR="00A86A2F" w:rsidRPr="003D05D4" w:rsidRDefault="21869906" w:rsidP="007415DE">
      <w:pPr>
        <w:keepNext/>
        <w:spacing w:before="240"/>
      </w:pPr>
      <w:r>
        <w:t xml:space="preserve">Section 70 </w:t>
      </w:r>
      <w:r w:rsidR="00B2238E" w:rsidRPr="458BDDDD">
        <w:rPr>
          <w:rFonts w:cs="Times New Roman"/>
        </w:rPr>
        <w:t>provides</w:t>
      </w:r>
      <w:r>
        <w:t xml:space="preserve"> that despite the amendments made by the </w:t>
      </w:r>
      <w:r w:rsidR="00DE3952" w:rsidRPr="458BDDDD">
        <w:rPr>
          <w:rFonts w:eastAsia="Times New Roman" w:cs="Times New Roman"/>
          <w:color w:val="000000" w:themeColor="text1"/>
        </w:rPr>
        <w:t>Regulations</w:t>
      </w:r>
      <w:r>
        <w:t xml:space="preserve">, the </w:t>
      </w:r>
      <w:r w:rsidR="00842FD9" w:rsidRPr="458BDDDD">
        <w:rPr>
          <w:rFonts w:eastAsia="Times New Roman" w:cs="Times New Roman"/>
          <w:color w:val="000000" w:themeColor="text1"/>
        </w:rPr>
        <w:t>Levies</w:t>
      </w:r>
      <w:r w:rsidR="00A43BA4" w:rsidRPr="458BDDDD">
        <w:rPr>
          <w:rFonts w:eastAsia="Times New Roman" w:cs="Times New Roman"/>
          <w:color w:val="000000" w:themeColor="text1"/>
        </w:rPr>
        <w:t> </w:t>
      </w:r>
      <w:r w:rsidR="00842FD9" w:rsidRPr="458BDDDD">
        <w:rPr>
          <w:rFonts w:eastAsia="Times New Roman" w:cs="Times New Roman"/>
          <w:color w:val="000000" w:themeColor="text1"/>
        </w:rPr>
        <w:t>Regulations 2022</w:t>
      </w:r>
      <w:r w:rsidRPr="458BDDDD">
        <w:rPr>
          <w:rFonts w:eastAsia="Times New Roman" w:cs="Times New Roman"/>
          <w:color w:val="000000" w:themeColor="text1"/>
        </w:rPr>
        <w:t xml:space="preserve"> appl</w:t>
      </w:r>
      <w:r w:rsidR="00842FD9" w:rsidRPr="458BDDDD">
        <w:rPr>
          <w:rFonts w:eastAsia="Times New Roman" w:cs="Times New Roman"/>
          <w:color w:val="000000" w:themeColor="text1"/>
        </w:rPr>
        <w:t>y</w:t>
      </w:r>
      <w:r>
        <w:t xml:space="preserve"> in relation to levies set out in paragraphs 70(a) and</w:t>
      </w:r>
      <w:r w:rsidR="00A43BA4">
        <w:t> </w:t>
      </w:r>
      <w:r>
        <w:t xml:space="preserve">(b) imposed prior to the commencement date of the </w:t>
      </w:r>
      <w:r w:rsidR="00DE3952" w:rsidRPr="458BDDDD">
        <w:rPr>
          <w:rFonts w:eastAsia="Times New Roman" w:cs="Times New Roman"/>
          <w:color w:val="000000" w:themeColor="text1"/>
        </w:rPr>
        <w:t>Regulations</w:t>
      </w:r>
      <w:r>
        <w:t>.</w:t>
      </w:r>
    </w:p>
    <w:p w14:paraId="3EFB5B82" w14:textId="28375ECC" w:rsidR="00A86A2F" w:rsidRPr="003D05D4" w:rsidRDefault="21869906" w:rsidP="007415DE">
      <w:pPr>
        <w:spacing w:before="240"/>
        <w:rPr>
          <w:rFonts w:eastAsia="Times New Roman" w:cs="Times New Roman"/>
          <w:color w:val="000000" w:themeColor="text1"/>
        </w:rPr>
      </w:pPr>
      <w:r>
        <w:t xml:space="preserve">Paragraph (a) refers to a levy imposed in respect of a particular period where the levy was imposed in respect of a period that starts before the commencement date of the </w:t>
      </w:r>
      <w:r w:rsidR="00DE3952" w:rsidRPr="458BDDDD">
        <w:rPr>
          <w:rFonts w:eastAsia="Times New Roman" w:cs="Times New Roman"/>
          <w:color w:val="000000" w:themeColor="text1"/>
        </w:rPr>
        <w:t>Regulations</w:t>
      </w:r>
      <w:r w:rsidRPr="458BDDDD">
        <w:rPr>
          <w:rFonts w:eastAsia="Times New Roman" w:cs="Times New Roman"/>
          <w:color w:val="000000" w:themeColor="text1"/>
        </w:rPr>
        <w:t>.</w:t>
      </w:r>
      <w:r>
        <w:t xml:space="preserve"> This is a reference to a levy imposed for a period that starts before the commencement date of the </w:t>
      </w:r>
      <w:r w:rsidR="00DE3952" w:rsidRPr="458BDDDD">
        <w:rPr>
          <w:rFonts w:eastAsia="Times New Roman" w:cs="Times New Roman"/>
          <w:color w:val="000000" w:themeColor="text1"/>
        </w:rPr>
        <w:t>Regulations</w:t>
      </w:r>
      <w:r>
        <w:t xml:space="preserve"> which is payable in instalments which are not payable until after the commencement date of the </w:t>
      </w:r>
      <w:r w:rsidR="00DE3952" w:rsidRPr="458BDDDD">
        <w:rPr>
          <w:rFonts w:eastAsia="Times New Roman" w:cs="Times New Roman"/>
          <w:color w:val="000000" w:themeColor="text1"/>
        </w:rPr>
        <w:t>Regulations</w:t>
      </w:r>
      <w:r w:rsidRPr="458BDDDD">
        <w:rPr>
          <w:rFonts w:eastAsia="Times New Roman" w:cs="Times New Roman"/>
          <w:color w:val="000000" w:themeColor="text1"/>
        </w:rPr>
        <w:t xml:space="preserve">. </w:t>
      </w:r>
    </w:p>
    <w:p w14:paraId="1033BD24" w14:textId="160D4B28" w:rsidR="00A86A2F" w:rsidRPr="003D05D4" w:rsidRDefault="21869906" w:rsidP="007415DE">
      <w:pPr>
        <w:spacing w:before="240"/>
      </w:pPr>
      <w:r>
        <w:t xml:space="preserve">Paragraph (b) refers to any other levy (not covered by paragraph (a)) that is imposed before the commencement date of the </w:t>
      </w:r>
      <w:r w:rsidR="00DE3952" w:rsidRPr="458BDDDD">
        <w:rPr>
          <w:rFonts w:eastAsia="Times New Roman" w:cs="Times New Roman"/>
          <w:color w:val="000000" w:themeColor="text1"/>
        </w:rPr>
        <w:t>Regulations</w:t>
      </w:r>
      <w:r w:rsidRPr="458BDDDD">
        <w:rPr>
          <w:rFonts w:eastAsia="Times New Roman" w:cs="Times New Roman"/>
          <w:color w:val="000000" w:themeColor="text1"/>
        </w:rPr>
        <w:t>.</w:t>
      </w:r>
      <w:r>
        <w:t xml:space="preserve"> For example, if a levy was imposed before the commencement date of the </w:t>
      </w:r>
      <w:r w:rsidR="00DE3952" w:rsidRPr="458BDDDD">
        <w:rPr>
          <w:rFonts w:eastAsia="Times New Roman" w:cs="Times New Roman"/>
          <w:color w:val="000000" w:themeColor="text1"/>
        </w:rPr>
        <w:t>Regulations</w:t>
      </w:r>
      <w:r>
        <w:t xml:space="preserve"> but it was not due and payable until after commencement of the </w:t>
      </w:r>
      <w:r w:rsidR="00DE3952" w:rsidRPr="458BDDDD">
        <w:rPr>
          <w:rFonts w:eastAsia="Times New Roman" w:cs="Times New Roman"/>
          <w:color w:val="000000" w:themeColor="text1"/>
        </w:rPr>
        <w:t>Regulations</w:t>
      </w:r>
      <w:r>
        <w:t>, then the old instrument applies</w:t>
      </w:r>
      <w:r w:rsidR="00A86A2F">
        <w:t>.</w:t>
      </w:r>
    </w:p>
    <w:p w14:paraId="440A0088" w14:textId="09EB3ABF" w:rsidR="00B2238E" w:rsidRDefault="00B2238E" w:rsidP="007415DE">
      <w:pPr>
        <w:spacing w:before="240"/>
        <w:rPr>
          <w:rFonts w:cs="Times New Roman"/>
        </w:rPr>
      </w:pPr>
    </w:p>
    <w:p w14:paraId="4EC34BF4" w14:textId="77777777" w:rsidR="001C7DBA" w:rsidRDefault="001C7DBA" w:rsidP="00A253EE">
      <w:pPr>
        <w:spacing w:before="240"/>
        <w:rPr>
          <w:rFonts w:cs="Times New Roman"/>
        </w:rPr>
      </w:pPr>
    </w:p>
    <w:p w14:paraId="3545B4B8" w14:textId="77777777" w:rsidR="00B170D9" w:rsidRDefault="00B170D9" w:rsidP="00B170D9">
      <w:pPr>
        <w:spacing w:before="240"/>
        <w:rPr>
          <w:rFonts w:cs="Times New Roman"/>
        </w:rPr>
      </w:pPr>
      <w:r w:rsidRPr="458BDDDD">
        <w:rPr>
          <w:rFonts w:cs="Times New Roman"/>
        </w:rPr>
        <w:br w:type="page"/>
      </w:r>
    </w:p>
    <w:p w14:paraId="4E32D1F5" w14:textId="77777777" w:rsidR="00E150C0" w:rsidRPr="00E47F4E" w:rsidRDefault="16DDB6EA" w:rsidP="16DDB6EA">
      <w:pPr>
        <w:tabs>
          <w:tab w:val="left" w:pos="855"/>
        </w:tabs>
        <w:spacing w:before="240" w:after="240"/>
        <w:jc w:val="right"/>
        <w:rPr>
          <w:rFonts w:cs="Times New Roman"/>
          <w:b/>
          <w:bCs/>
          <w:u w:val="single"/>
        </w:rPr>
      </w:pPr>
      <w:r w:rsidRPr="458BDDDD">
        <w:rPr>
          <w:rFonts w:cs="Times New Roman"/>
          <w:b/>
          <w:bCs/>
          <w:u w:val="single"/>
        </w:rPr>
        <w:lastRenderedPageBreak/>
        <w:t>Attachment B</w:t>
      </w:r>
    </w:p>
    <w:p w14:paraId="0EAD790D" w14:textId="77777777" w:rsidR="00E150C0" w:rsidRPr="00547F8D" w:rsidRDefault="16DDB6EA" w:rsidP="16DDB6EA">
      <w:pPr>
        <w:spacing w:before="360" w:after="120"/>
        <w:jc w:val="center"/>
        <w:rPr>
          <w:rFonts w:cs="Times New Roman"/>
          <w:b/>
          <w:bCs/>
          <w:sz w:val="28"/>
          <w:szCs w:val="28"/>
        </w:rPr>
      </w:pPr>
      <w:r w:rsidRPr="458BDDDD">
        <w:rPr>
          <w:rFonts w:cs="Times New Roman"/>
          <w:b/>
          <w:bCs/>
          <w:sz w:val="28"/>
          <w:szCs w:val="28"/>
        </w:rPr>
        <w:t>Statement of Compatibility with Human Rights</w:t>
      </w:r>
    </w:p>
    <w:p w14:paraId="3009A16B" w14:textId="77777777" w:rsidR="00E150C0" w:rsidRPr="00547F8D" w:rsidRDefault="16DDB6EA" w:rsidP="16DDB6EA">
      <w:pPr>
        <w:spacing w:before="240" w:after="240"/>
        <w:jc w:val="center"/>
        <w:rPr>
          <w:rFonts w:cs="Times New Roman"/>
        </w:rPr>
      </w:pPr>
      <w:r w:rsidRPr="458BDDDD">
        <w:rPr>
          <w:rFonts w:cs="Times New Roman"/>
          <w:i/>
          <w:iCs/>
        </w:rPr>
        <w:t>Prepared in accordance with Part 3 of the Human Rights (Parliamentary Scrutiny) Act 2011</w:t>
      </w:r>
    </w:p>
    <w:p w14:paraId="7C825A76" w14:textId="77777777" w:rsidR="00E150C0" w:rsidRPr="00547F8D" w:rsidRDefault="16DDB6EA" w:rsidP="458BDDDD">
      <w:pPr>
        <w:spacing w:before="240" w:after="240"/>
        <w:jc w:val="center"/>
        <w:rPr>
          <w:rFonts w:cs="Times New Roman"/>
          <w:i/>
          <w:iCs/>
        </w:rPr>
      </w:pPr>
      <w:r w:rsidRPr="458BDDDD">
        <w:rPr>
          <w:rFonts w:cs="Times New Roman"/>
          <w:i/>
          <w:iCs/>
        </w:rPr>
        <w:t xml:space="preserve">Offshore Petroleum and Greenhouse Gas Storage (Regulatory Levies) Amendment Regulations </w:t>
      </w:r>
      <w:r w:rsidR="008376B4" w:rsidRPr="458BDDDD">
        <w:rPr>
          <w:rFonts w:cs="Times New Roman"/>
          <w:i/>
          <w:iCs/>
        </w:rPr>
        <w:t>2024</w:t>
      </w:r>
    </w:p>
    <w:p w14:paraId="2FD563D8" w14:textId="77777777" w:rsidR="00E150C0" w:rsidRPr="00547F8D" w:rsidRDefault="16DDB6EA" w:rsidP="16DDB6EA">
      <w:pPr>
        <w:spacing w:before="240" w:after="240"/>
        <w:rPr>
          <w:rFonts w:cs="Times New Roman"/>
        </w:rPr>
      </w:pPr>
      <w:r w:rsidRPr="458BDDDD">
        <w:rPr>
          <w:rFonts w:cs="Times New Roman"/>
        </w:rPr>
        <w:t>Th</w:t>
      </w:r>
      <w:r w:rsidR="009B7AC5" w:rsidRPr="458BDDDD">
        <w:rPr>
          <w:rFonts w:cs="Times New Roman"/>
        </w:rPr>
        <w:t xml:space="preserve">is Legislative Instrument is </w:t>
      </w:r>
      <w:r w:rsidRPr="458BDDDD">
        <w:rPr>
          <w:rFonts w:cs="Times New Roman"/>
        </w:rPr>
        <w:t xml:space="preserve">compatible with the human rights and freedoms recognised or declared in the international instruments listed in section 3 of the </w:t>
      </w:r>
      <w:r w:rsidRPr="458BDDDD">
        <w:rPr>
          <w:rFonts w:cs="Times New Roman"/>
          <w:i/>
          <w:iCs/>
        </w:rPr>
        <w:t>Human Rights (Parliamentary Scrutiny) Act 2011</w:t>
      </w:r>
      <w:r w:rsidRPr="458BDDDD">
        <w:rPr>
          <w:rFonts w:cs="Times New Roman"/>
        </w:rPr>
        <w:t>.</w:t>
      </w:r>
    </w:p>
    <w:p w14:paraId="28641C6D" w14:textId="77777777" w:rsidR="00E150C0" w:rsidRPr="00547F8D" w:rsidRDefault="16DDB6EA" w:rsidP="16DDB6EA">
      <w:pPr>
        <w:spacing w:before="240" w:after="240"/>
        <w:jc w:val="both"/>
        <w:rPr>
          <w:rFonts w:cs="Times New Roman"/>
          <w:b/>
          <w:bCs/>
        </w:rPr>
      </w:pPr>
      <w:r w:rsidRPr="458BDDDD">
        <w:rPr>
          <w:rFonts w:cs="Times New Roman"/>
          <w:b/>
          <w:bCs/>
        </w:rPr>
        <w:t>Overview of the Legislative Instrument</w:t>
      </w:r>
    </w:p>
    <w:p w14:paraId="23A35BF7" w14:textId="699F8836" w:rsidR="00E150C0" w:rsidRPr="00627E40" w:rsidRDefault="390959B5" w:rsidP="390959B5">
      <w:pPr>
        <w:spacing w:before="240" w:after="240"/>
        <w:rPr>
          <w:rFonts w:cs="Times New Roman"/>
        </w:rPr>
      </w:pPr>
      <w:r w:rsidRPr="458BDDDD">
        <w:rPr>
          <w:rFonts w:cs="Times New Roman"/>
        </w:rPr>
        <w:t xml:space="preserve">The </w:t>
      </w:r>
      <w:r w:rsidRPr="458BDDDD">
        <w:rPr>
          <w:rFonts w:cs="Times New Roman"/>
          <w:i/>
          <w:iCs/>
        </w:rPr>
        <w:t>Offshore Petroleum and Greenhouse Gas Storage (Regulatory Levies) Amendment Regulation</w:t>
      </w:r>
      <w:r w:rsidR="004377F1" w:rsidRPr="458BDDDD">
        <w:rPr>
          <w:rFonts w:cs="Times New Roman"/>
          <w:i/>
          <w:iCs/>
        </w:rPr>
        <w:t>s</w:t>
      </w:r>
      <w:r w:rsidRPr="458BDDDD">
        <w:rPr>
          <w:rFonts w:cs="Times New Roman"/>
          <w:i/>
          <w:iCs/>
        </w:rPr>
        <w:t xml:space="preserve"> 20</w:t>
      </w:r>
      <w:r w:rsidR="008376B4" w:rsidRPr="458BDDDD">
        <w:rPr>
          <w:rFonts w:cs="Times New Roman"/>
          <w:i/>
          <w:iCs/>
        </w:rPr>
        <w:t>24</w:t>
      </w:r>
      <w:r w:rsidRPr="458BDDDD">
        <w:rPr>
          <w:rFonts w:cs="Times New Roman"/>
        </w:rPr>
        <w:t xml:space="preserve"> (the </w:t>
      </w:r>
      <w:r w:rsidR="00182362" w:rsidRPr="458BDDDD">
        <w:rPr>
          <w:rFonts w:cs="Times New Roman"/>
        </w:rPr>
        <w:t>Regulations</w:t>
      </w:r>
      <w:r w:rsidRPr="458BDDDD">
        <w:rPr>
          <w:rFonts w:cs="Times New Roman"/>
        </w:rPr>
        <w:t xml:space="preserve">) </w:t>
      </w:r>
      <w:r w:rsidR="008C264F" w:rsidRPr="458BDDDD">
        <w:rPr>
          <w:rFonts w:cs="Times New Roman"/>
        </w:rPr>
        <w:t>is</w:t>
      </w:r>
      <w:r w:rsidRPr="458BDDDD">
        <w:rPr>
          <w:rFonts w:cs="Times New Roman"/>
        </w:rPr>
        <w:t xml:space="preserve"> a legislative instrument for the purposes of the </w:t>
      </w:r>
      <w:r w:rsidRPr="458BDDDD">
        <w:rPr>
          <w:rFonts w:cs="Times New Roman"/>
          <w:i/>
          <w:iCs/>
        </w:rPr>
        <w:t>Legislation Act 2003</w:t>
      </w:r>
      <w:r w:rsidRPr="458BDDDD">
        <w:rPr>
          <w:rFonts w:cs="Times New Roman"/>
        </w:rPr>
        <w:t>.</w:t>
      </w:r>
    </w:p>
    <w:p w14:paraId="4D0BC874" w14:textId="77777777" w:rsidR="00BA1D19" w:rsidRDefault="16DDB6EA" w:rsidP="16DDB6EA">
      <w:pPr>
        <w:spacing w:before="240" w:after="240"/>
        <w:rPr>
          <w:rFonts w:cs="Times New Roman"/>
        </w:rPr>
      </w:pPr>
      <w:r w:rsidRPr="458BDDDD">
        <w:rPr>
          <w:rFonts w:cs="Times New Roman"/>
        </w:rPr>
        <w:t xml:space="preserve">The </w:t>
      </w:r>
      <w:r w:rsidRPr="458BDDDD">
        <w:rPr>
          <w:rFonts w:cs="Times New Roman"/>
          <w:i/>
          <w:iCs/>
        </w:rPr>
        <w:t xml:space="preserve">Offshore Petroleum and Greenhouse Gas Storage (Regulatory Levies) Regulations </w:t>
      </w:r>
      <w:r w:rsidR="00722F66" w:rsidRPr="458BDDDD">
        <w:rPr>
          <w:rFonts w:cs="Times New Roman"/>
          <w:i/>
          <w:iCs/>
        </w:rPr>
        <w:t>2022</w:t>
      </w:r>
      <w:r w:rsidR="00722F66" w:rsidRPr="458BDDDD">
        <w:rPr>
          <w:rFonts w:cs="Times New Roman"/>
        </w:rPr>
        <w:t xml:space="preserve"> </w:t>
      </w:r>
      <w:r w:rsidRPr="458BDDDD">
        <w:rPr>
          <w:rFonts w:cs="Times New Roman"/>
        </w:rPr>
        <w:t xml:space="preserve">provide </w:t>
      </w:r>
      <w:r w:rsidR="000E6298" w:rsidRPr="458BDDDD">
        <w:rPr>
          <w:rFonts w:cs="Times New Roman"/>
        </w:rPr>
        <w:t>how the</w:t>
      </w:r>
      <w:r w:rsidRPr="458BDDDD">
        <w:rPr>
          <w:rFonts w:cs="Times New Roman"/>
        </w:rPr>
        <w:t xml:space="preserve"> amounts of </w:t>
      </w:r>
      <w:r w:rsidR="00BD3748" w:rsidRPr="458BDDDD">
        <w:rPr>
          <w:rFonts w:cs="Times New Roman"/>
        </w:rPr>
        <w:t xml:space="preserve">the </w:t>
      </w:r>
      <w:r w:rsidRPr="458BDDDD">
        <w:rPr>
          <w:rFonts w:cs="Times New Roman"/>
        </w:rPr>
        <w:t>safety case lev</w:t>
      </w:r>
      <w:r w:rsidR="00BD3748" w:rsidRPr="458BDDDD">
        <w:rPr>
          <w:rFonts w:cs="Times New Roman"/>
        </w:rPr>
        <w:t>y</w:t>
      </w:r>
      <w:r w:rsidRPr="458BDDDD">
        <w:rPr>
          <w:rFonts w:cs="Times New Roman"/>
        </w:rPr>
        <w:t>, annual well lev</w:t>
      </w:r>
      <w:r w:rsidR="00BD3748" w:rsidRPr="458BDDDD">
        <w:rPr>
          <w:rFonts w:cs="Times New Roman"/>
        </w:rPr>
        <w:t>y</w:t>
      </w:r>
      <w:r w:rsidRPr="458BDDDD">
        <w:rPr>
          <w:rFonts w:cs="Times New Roman"/>
        </w:rPr>
        <w:t>, well activity lev</w:t>
      </w:r>
      <w:r w:rsidR="00BD3748" w:rsidRPr="458BDDDD">
        <w:rPr>
          <w:rFonts w:cs="Times New Roman"/>
        </w:rPr>
        <w:t>y</w:t>
      </w:r>
      <w:r w:rsidRPr="458BDDDD">
        <w:rPr>
          <w:rFonts w:cs="Times New Roman"/>
        </w:rPr>
        <w:t xml:space="preserve"> and environment plan lev</w:t>
      </w:r>
      <w:r w:rsidR="00BD3748" w:rsidRPr="458BDDDD">
        <w:rPr>
          <w:rFonts w:cs="Times New Roman"/>
        </w:rPr>
        <w:t>y</w:t>
      </w:r>
      <w:r w:rsidR="00D8615D" w:rsidRPr="458BDDDD">
        <w:rPr>
          <w:rFonts w:cs="Times New Roman"/>
        </w:rPr>
        <w:t xml:space="preserve"> are worked out</w:t>
      </w:r>
      <w:r w:rsidRPr="458BDDDD">
        <w:rPr>
          <w:rFonts w:cs="Times New Roman"/>
        </w:rPr>
        <w:t xml:space="preserve">. The levies are collected </w:t>
      </w:r>
      <w:r w:rsidR="00D8615D" w:rsidRPr="458BDDDD">
        <w:rPr>
          <w:rFonts w:cs="Times New Roman"/>
        </w:rPr>
        <w:t xml:space="preserve">on a cost recovery basis to fund the operations of </w:t>
      </w:r>
      <w:r w:rsidRPr="458BDDDD">
        <w:rPr>
          <w:rFonts w:cs="Times New Roman"/>
        </w:rPr>
        <w:t>the National Offshore Petroleum Safety and Environmental Management Authority (NOPSEMA).</w:t>
      </w:r>
    </w:p>
    <w:p w14:paraId="5815ED0B" w14:textId="49B1A1EF" w:rsidR="00E150C0" w:rsidRPr="00627E40" w:rsidRDefault="16DDB6EA" w:rsidP="16DDB6EA">
      <w:pPr>
        <w:spacing w:before="240" w:after="240"/>
        <w:rPr>
          <w:rFonts w:cs="Times New Roman"/>
        </w:rPr>
      </w:pPr>
      <w:r w:rsidRPr="458BDDDD">
        <w:rPr>
          <w:rFonts w:cs="Times New Roman"/>
        </w:rPr>
        <w:t xml:space="preserve">The </w:t>
      </w:r>
      <w:r w:rsidR="007E517D" w:rsidRPr="458BDDDD">
        <w:rPr>
          <w:rFonts w:cs="Times New Roman"/>
        </w:rPr>
        <w:t>Regulations</w:t>
      </w:r>
      <w:r w:rsidRPr="458BDDDD">
        <w:rPr>
          <w:rFonts w:cs="Times New Roman"/>
        </w:rPr>
        <w:t xml:space="preserve"> increase the </w:t>
      </w:r>
      <w:r w:rsidR="00D8615D" w:rsidRPr="458BDDDD">
        <w:rPr>
          <w:rFonts w:cs="Times New Roman"/>
        </w:rPr>
        <w:t xml:space="preserve">levy </w:t>
      </w:r>
      <w:r w:rsidRPr="458BDDDD">
        <w:rPr>
          <w:rFonts w:cs="Times New Roman"/>
        </w:rPr>
        <w:t xml:space="preserve">amounts </w:t>
      </w:r>
      <w:r w:rsidR="00D8615D" w:rsidRPr="458BDDDD">
        <w:rPr>
          <w:rFonts w:cs="Times New Roman"/>
        </w:rPr>
        <w:t>for the</w:t>
      </w:r>
      <w:r w:rsidRPr="458BDDDD">
        <w:rPr>
          <w:rFonts w:cs="Times New Roman"/>
        </w:rPr>
        <w:t xml:space="preserve"> safety case lev</w:t>
      </w:r>
      <w:r w:rsidR="00D8615D" w:rsidRPr="458BDDDD">
        <w:rPr>
          <w:rFonts w:cs="Times New Roman"/>
        </w:rPr>
        <w:t>y</w:t>
      </w:r>
      <w:r w:rsidRPr="458BDDDD">
        <w:rPr>
          <w:rFonts w:cs="Times New Roman"/>
        </w:rPr>
        <w:t>, annual well lev</w:t>
      </w:r>
      <w:r w:rsidR="00D8615D" w:rsidRPr="458BDDDD">
        <w:rPr>
          <w:rFonts w:cs="Times New Roman"/>
        </w:rPr>
        <w:t>y</w:t>
      </w:r>
      <w:r w:rsidRPr="458BDDDD">
        <w:rPr>
          <w:rFonts w:cs="Times New Roman"/>
        </w:rPr>
        <w:t>, well activity lev</w:t>
      </w:r>
      <w:r w:rsidR="00D8615D" w:rsidRPr="458BDDDD">
        <w:rPr>
          <w:rFonts w:cs="Times New Roman"/>
        </w:rPr>
        <w:t>y</w:t>
      </w:r>
      <w:r w:rsidRPr="458BDDDD">
        <w:rPr>
          <w:rFonts w:cs="Times New Roman"/>
        </w:rPr>
        <w:t xml:space="preserve"> and environment plan lev</w:t>
      </w:r>
      <w:r w:rsidR="00D8615D" w:rsidRPr="458BDDDD">
        <w:rPr>
          <w:rFonts w:cs="Times New Roman"/>
        </w:rPr>
        <w:t>y</w:t>
      </w:r>
      <w:r w:rsidRPr="458BDDDD">
        <w:rPr>
          <w:rFonts w:cs="Times New Roman"/>
        </w:rPr>
        <w:t xml:space="preserve">. The increases implement NOPSEMA’s </w:t>
      </w:r>
      <w:r w:rsidR="00D8615D" w:rsidRPr="458BDDDD">
        <w:rPr>
          <w:rFonts w:cs="Times New Roman"/>
        </w:rPr>
        <w:t xml:space="preserve">cost recovery implementation statement </w:t>
      </w:r>
      <w:r w:rsidR="3D242F11" w:rsidRPr="458BDDDD">
        <w:rPr>
          <w:rFonts w:cs="Times New Roman"/>
        </w:rPr>
        <w:t>2024-2026 and</w:t>
      </w:r>
      <w:r w:rsidRPr="458BDDDD">
        <w:rPr>
          <w:rFonts w:cs="Times New Roman"/>
        </w:rPr>
        <w:t xml:space="preserve"> ensure that cost recovery arrangements are adequate to enable NOPSEMA to continue to effectively disch</w:t>
      </w:r>
      <w:r w:rsidR="00B170D9" w:rsidRPr="458BDDDD">
        <w:rPr>
          <w:rFonts w:cs="Times New Roman"/>
        </w:rPr>
        <w:t>arge its regulatory functions.</w:t>
      </w:r>
    </w:p>
    <w:p w14:paraId="5C33B635" w14:textId="77777777" w:rsidR="00E150C0" w:rsidRPr="00DD3F4D" w:rsidRDefault="16DDB6EA" w:rsidP="16DDB6EA">
      <w:pPr>
        <w:spacing w:after="240"/>
        <w:rPr>
          <w:rFonts w:cs="Times New Roman"/>
          <w:b/>
          <w:bCs/>
        </w:rPr>
      </w:pPr>
      <w:r w:rsidRPr="458BDDDD">
        <w:rPr>
          <w:rFonts w:cs="Times New Roman"/>
          <w:b/>
          <w:bCs/>
        </w:rPr>
        <w:t>Human rights implications</w:t>
      </w:r>
    </w:p>
    <w:p w14:paraId="46E1E8B8" w14:textId="77777777" w:rsidR="00E150C0" w:rsidRPr="00627E40" w:rsidRDefault="16DDB6EA" w:rsidP="16DDB6EA">
      <w:pPr>
        <w:spacing w:before="240" w:after="240"/>
        <w:rPr>
          <w:rFonts w:cs="Times New Roman"/>
        </w:rPr>
      </w:pPr>
      <w:r w:rsidRPr="458BDDDD">
        <w:rPr>
          <w:rFonts w:cs="Times New Roman"/>
        </w:rPr>
        <w:t>Th</w:t>
      </w:r>
      <w:r w:rsidR="009B7AC5" w:rsidRPr="458BDDDD">
        <w:rPr>
          <w:rFonts w:cs="Times New Roman"/>
        </w:rPr>
        <w:t xml:space="preserve">is Legislative Instrument does </w:t>
      </w:r>
      <w:r w:rsidRPr="458BDDDD">
        <w:rPr>
          <w:rFonts w:cs="Times New Roman"/>
        </w:rPr>
        <w:t>not engage any of the applicable rights or freedoms.</w:t>
      </w:r>
    </w:p>
    <w:p w14:paraId="63A9B009" w14:textId="77777777" w:rsidR="00E150C0" w:rsidRPr="00DD3F4D" w:rsidRDefault="16DDB6EA" w:rsidP="16DDB6EA">
      <w:pPr>
        <w:spacing w:before="240" w:after="240"/>
        <w:rPr>
          <w:rFonts w:cs="Times New Roman"/>
          <w:b/>
          <w:bCs/>
        </w:rPr>
      </w:pPr>
      <w:r w:rsidRPr="458BDDDD">
        <w:rPr>
          <w:rFonts w:cs="Times New Roman"/>
          <w:b/>
          <w:bCs/>
        </w:rPr>
        <w:t>Conclusion</w:t>
      </w:r>
    </w:p>
    <w:p w14:paraId="7FD33743" w14:textId="77777777" w:rsidR="00E150C0" w:rsidRPr="00547F8D" w:rsidRDefault="16DDB6EA" w:rsidP="00B77E51">
      <w:pPr>
        <w:widowControl w:val="0"/>
        <w:rPr>
          <w:rFonts w:cs="Times New Roman"/>
        </w:rPr>
      </w:pPr>
      <w:r w:rsidRPr="458BDDDD">
        <w:rPr>
          <w:rFonts w:cs="Times New Roman"/>
        </w:rPr>
        <w:t>Th</w:t>
      </w:r>
      <w:r w:rsidR="009B7AC5" w:rsidRPr="458BDDDD">
        <w:rPr>
          <w:rFonts w:cs="Times New Roman"/>
        </w:rPr>
        <w:t xml:space="preserve">is Legislative Instrument is </w:t>
      </w:r>
      <w:r w:rsidRPr="458BDDDD">
        <w:rPr>
          <w:rFonts w:cs="Times New Roman"/>
        </w:rPr>
        <w:t xml:space="preserve">compatible with human rights, as </w:t>
      </w:r>
      <w:r w:rsidR="009B7AC5" w:rsidRPr="458BDDDD">
        <w:rPr>
          <w:rFonts w:cs="Times New Roman"/>
        </w:rPr>
        <w:t>it does</w:t>
      </w:r>
      <w:r w:rsidRPr="458BDDDD">
        <w:rPr>
          <w:rFonts w:cs="Times New Roman"/>
        </w:rPr>
        <w:t xml:space="preserve"> not raise any human rights issues.</w:t>
      </w:r>
    </w:p>
    <w:p w14:paraId="64FBF80E" w14:textId="77777777" w:rsidR="00E150C0" w:rsidRPr="00546F43" w:rsidRDefault="00E150C0" w:rsidP="00B77E51">
      <w:pPr>
        <w:widowControl w:val="0"/>
        <w:spacing w:before="120" w:after="120" w:line="240" w:lineRule="auto"/>
        <w:rPr>
          <w:rFonts w:cs="Times New Roman"/>
        </w:rPr>
      </w:pPr>
    </w:p>
    <w:p w14:paraId="31680E86" w14:textId="77777777" w:rsidR="00E150C0" w:rsidRPr="00546F43" w:rsidRDefault="5E2BDBD1" w:rsidP="0086457F">
      <w:pPr>
        <w:widowControl w:val="0"/>
        <w:spacing w:before="120" w:after="120" w:line="240" w:lineRule="auto"/>
        <w:jc w:val="center"/>
        <w:rPr>
          <w:b/>
          <w:bCs/>
        </w:rPr>
      </w:pPr>
      <w:r w:rsidRPr="458BDDDD">
        <w:rPr>
          <w:b/>
          <w:bCs/>
        </w:rPr>
        <w:t>The Hon Madeleine King MP</w:t>
      </w:r>
    </w:p>
    <w:p w14:paraId="24AE99E5" w14:textId="0001F191" w:rsidR="00CC37E7" w:rsidRPr="00B77E51" w:rsidRDefault="16DDB6EA" w:rsidP="458BDDDD">
      <w:pPr>
        <w:widowControl w:val="0"/>
        <w:spacing w:before="120" w:after="120" w:line="240" w:lineRule="auto"/>
        <w:jc w:val="center"/>
        <w:rPr>
          <w:b/>
          <w:bCs/>
        </w:rPr>
      </w:pPr>
      <w:r w:rsidRPr="458BDDDD">
        <w:rPr>
          <w:b/>
          <w:bCs/>
        </w:rPr>
        <w:t>Minister for Resources</w:t>
      </w:r>
    </w:p>
    <w:sectPr w:rsidR="00CC37E7" w:rsidRPr="00B77E51" w:rsidSect="00D7316C">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275D" w14:textId="77777777" w:rsidR="00E866A6" w:rsidRDefault="00E866A6" w:rsidP="009242D9">
      <w:pPr>
        <w:spacing w:line="240" w:lineRule="auto"/>
      </w:pPr>
      <w:r>
        <w:separator/>
      </w:r>
    </w:p>
  </w:endnote>
  <w:endnote w:type="continuationSeparator" w:id="0">
    <w:p w14:paraId="0CCBB864" w14:textId="77777777" w:rsidR="00E866A6" w:rsidRDefault="00E866A6" w:rsidP="009242D9">
      <w:pPr>
        <w:spacing w:line="240" w:lineRule="auto"/>
      </w:pPr>
      <w:r>
        <w:continuationSeparator/>
      </w:r>
    </w:p>
  </w:endnote>
  <w:endnote w:type="continuationNotice" w:id="1">
    <w:p w14:paraId="4E21B76D" w14:textId="77777777" w:rsidR="00E866A6" w:rsidRDefault="00E866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172309"/>
      <w:docPartObj>
        <w:docPartGallery w:val="Page Numbers (Bottom of Page)"/>
        <w:docPartUnique/>
      </w:docPartObj>
    </w:sdtPr>
    <w:sdtEndPr>
      <w:rPr>
        <w:noProof/>
      </w:rPr>
    </w:sdtEndPr>
    <w:sdtContent>
      <w:p w14:paraId="2937BD84" w14:textId="5457BDFF" w:rsidR="009242D9" w:rsidRDefault="009242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CD13E1" w14:textId="77777777" w:rsidR="009242D9" w:rsidRDefault="00924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97AB" w14:textId="53FCC235" w:rsidR="00D5475D" w:rsidRDefault="00D5475D">
    <w:pPr>
      <w:pStyle w:val="Footer"/>
      <w:jc w:val="center"/>
    </w:pPr>
    <w:r w:rsidRPr="5047A4E9">
      <w:rPr>
        <w:noProof/>
      </w:rPr>
      <w:fldChar w:fldCharType="begin"/>
    </w:r>
    <w:r>
      <w:instrText xml:space="preserve"> PAGE   \* MERGEFORMAT </w:instrText>
    </w:r>
    <w:r w:rsidRPr="5047A4E9">
      <w:fldChar w:fldCharType="separate"/>
    </w:r>
    <w:r w:rsidR="5047A4E9" w:rsidRPr="5047A4E9">
      <w:rPr>
        <w:noProof/>
      </w:rPr>
      <w:t>1</w:t>
    </w:r>
    <w:r w:rsidRPr="5047A4E9">
      <w:rPr>
        <w:noProof/>
      </w:rPr>
      <w:fldChar w:fldCharType="end"/>
    </w:r>
  </w:p>
  <w:p w14:paraId="320A7200" w14:textId="24BD5509" w:rsidR="00FE1F64" w:rsidRDefault="00FE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34A1" w14:textId="77777777" w:rsidR="00E866A6" w:rsidRDefault="00E866A6" w:rsidP="009242D9">
      <w:pPr>
        <w:spacing w:line="240" w:lineRule="auto"/>
      </w:pPr>
      <w:r>
        <w:separator/>
      </w:r>
    </w:p>
  </w:footnote>
  <w:footnote w:type="continuationSeparator" w:id="0">
    <w:p w14:paraId="219BF33C" w14:textId="77777777" w:rsidR="00E866A6" w:rsidRDefault="00E866A6" w:rsidP="009242D9">
      <w:pPr>
        <w:spacing w:line="240" w:lineRule="auto"/>
      </w:pPr>
      <w:r>
        <w:continuationSeparator/>
      </w:r>
    </w:p>
  </w:footnote>
  <w:footnote w:type="continuationNotice" w:id="1">
    <w:p w14:paraId="7E1CFB54" w14:textId="77777777" w:rsidR="00E866A6" w:rsidRDefault="00E866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A3F6" w14:textId="77777777" w:rsidR="00FE1F64" w:rsidRDefault="00FE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316B481" w14:paraId="3371D0F4" w14:textId="77777777" w:rsidTr="0316B481">
      <w:trPr>
        <w:trHeight w:val="300"/>
      </w:trPr>
      <w:tc>
        <w:tcPr>
          <w:tcW w:w="3005" w:type="dxa"/>
        </w:tcPr>
        <w:p w14:paraId="7231A720" w14:textId="6BD17255" w:rsidR="0316B481" w:rsidRDefault="0316B481" w:rsidP="0316B481">
          <w:pPr>
            <w:pStyle w:val="Header"/>
            <w:ind w:left="-115"/>
          </w:pPr>
        </w:p>
      </w:tc>
      <w:tc>
        <w:tcPr>
          <w:tcW w:w="3005" w:type="dxa"/>
        </w:tcPr>
        <w:p w14:paraId="67441DB9" w14:textId="4A72FEFC" w:rsidR="0316B481" w:rsidRDefault="0316B481" w:rsidP="0316B481">
          <w:pPr>
            <w:pStyle w:val="Header"/>
            <w:jc w:val="center"/>
          </w:pPr>
        </w:p>
      </w:tc>
      <w:tc>
        <w:tcPr>
          <w:tcW w:w="3005" w:type="dxa"/>
        </w:tcPr>
        <w:p w14:paraId="07BDAD96" w14:textId="0AE2EF15" w:rsidR="0316B481" w:rsidRDefault="0316B481" w:rsidP="0316B481">
          <w:pPr>
            <w:pStyle w:val="Header"/>
            <w:ind w:right="-115"/>
            <w:jc w:val="right"/>
          </w:pPr>
        </w:p>
      </w:tc>
    </w:tr>
  </w:tbl>
  <w:p w14:paraId="1E4EB6FC" w14:textId="4B381779" w:rsidR="0316B481" w:rsidRDefault="0316B481" w:rsidP="0316B4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0A"/>
    <w:rsid w:val="00000FA4"/>
    <w:rsid w:val="00001E0B"/>
    <w:rsid w:val="00002110"/>
    <w:rsid w:val="0000305A"/>
    <w:rsid w:val="00004723"/>
    <w:rsid w:val="00006DB8"/>
    <w:rsid w:val="00015309"/>
    <w:rsid w:val="000154F9"/>
    <w:rsid w:val="00015F07"/>
    <w:rsid w:val="00016FB0"/>
    <w:rsid w:val="000208D2"/>
    <w:rsid w:val="00020D32"/>
    <w:rsid w:val="00021501"/>
    <w:rsid w:val="000233AA"/>
    <w:rsid w:val="00023979"/>
    <w:rsid w:val="00024208"/>
    <w:rsid w:val="00024D21"/>
    <w:rsid w:val="000252C8"/>
    <w:rsid w:val="00030038"/>
    <w:rsid w:val="00030377"/>
    <w:rsid w:val="0003105B"/>
    <w:rsid w:val="00032145"/>
    <w:rsid w:val="000331F3"/>
    <w:rsid w:val="00035233"/>
    <w:rsid w:val="00035AD4"/>
    <w:rsid w:val="00036A12"/>
    <w:rsid w:val="00036B58"/>
    <w:rsid w:val="0003781D"/>
    <w:rsid w:val="000379C9"/>
    <w:rsid w:val="00040B38"/>
    <w:rsid w:val="0004160C"/>
    <w:rsid w:val="000417CB"/>
    <w:rsid w:val="00042730"/>
    <w:rsid w:val="00043E81"/>
    <w:rsid w:val="00045629"/>
    <w:rsid w:val="0004699F"/>
    <w:rsid w:val="00047902"/>
    <w:rsid w:val="00053A90"/>
    <w:rsid w:val="00054416"/>
    <w:rsid w:val="00054519"/>
    <w:rsid w:val="000565EA"/>
    <w:rsid w:val="000568BC"/>
    <w:rsid w:val="000610AE"/>
    <w:rsid w:val="00064ACA"/>
    <w:rsid w:val="00065B59"/>
    <w:rsid w:val="00065F8E"/>
    <w:rsid w:val="0006647F"/>
    <w:rsid w:val="00066ECD"/>
    <w:rsid w:val="00076133"/>
    <w:rsid w:val="00076850"/>
    <w:rsid w:val="00080488"/>
    <w:rsid w:val="0008473A"/>
    <w:rsid w:val="00084C1F"/>
    <w:rsid w:val="00084D24"/>
    <w:rsid w:val="0008529D"/>
    <w:rsid w:val="00086FE8"/>
    <w:rsid w:val="000947BE"/>
    <w:rsid w:val="00094869"/>
    <w:rsid w:val="000956D0"/>
    <w:rsid w:val="000978EF"/>
    <w:rsid w:val="00097E0A"/>
    <w:rsid w:val="000A5953"/>
    <w:rsid w:val="000A60C6"/>
    <w:rsid w:val="000A61CB"/>
    <w:rsid w:val="000B630F"/>
    <w:rsid w:val="000B71AD"/>
    <w:rsid w:val="000B7952"/>
    <w:rsid w:val="000C0424"/>
    <w:rsid w:val="000C0F2F"/>
    <w:rsid w:val="000C3416"/>
    <w:rsid w:val="000D0252"/>
    <w:rsid w:val="000D050A"/>
    <w:rsid w:val="000D2D92"/>
    <w:rsid w:val="000D76C5"/>
    <w:rsid w:val="000E3915"/>
    <w:rsid w:val="000E3A3D"/>
    <w:rsid w:val="000E55E0"/>
    <w:rsid w:val="000E6298"/>
    <w:rsid w:val="000E7E9B"/>
    <w:rsid w:val="000F2F4C"/>
    <w:rsid w:val="000F5B89"/>
    <w:rsid w:val="000F6353"/>
    <w:rsid w:val="00101E66"/>
    <w:rsid w:val="0010289C"/>
    <w:rsid w:val="00106AF8"/>
    <w:rsid w:val="00110465"/>
    <w:rsid w:val="00112320"/>
    <w:rsid w:val="001215D5"/>
    <w:rsid w:val="00122168"/>
    <w:rsid w:val="00123483"/>
    <w:rsid w:val="0012349F"/>
    <w:rsid w:val="00125836"/>
    <w:rsid w:val="00125CBB"/>
    <w:rsid w:val="001273E1"/>
    <w:rsid w:val="001278B7"/>
    <w:rsid w:val="00130CEA"/>
    <w:rsid w:val="00134C9A"/>
    <w:rsid w:val="00134E25"/>
    <w:rsid w:val="00136577"/>
    <w:rsid w:val="0013782C"/>
    <w:rsid w:val="00141C3A"/>
    <w:rsid w:val="00141D44"/>
    <w:rsid w:val="001429C0"/>
    <w:rsid w:val="0014337D"/>
    <w:rsid w:val="00144782"/>
    <w:rsid w:val="00144A9D"/>
    <w:rsid w:val="00144B9E"/>
    <w:rsid w:val="0014511C"/>
    <w:rsid w:val="001458A0"/>
    <w:rsid w:val="0015030B"/>
    <w:rsid w:val="00151F6F"/>
    <w:rsid w:val="00156E26"/>
    <w:rsid w:val="001606D3"/>
    <w:rsid w:val="001617AD"/>
    <w:rsid w:val="00165D27"/>
    <w:rsid w:val="00167E91"/>
    <w:rsid w:val="00172F2F"/>
    <w:rsid w:val="00176E4C"/>
    <w:rsid w:val="001805FB"/>
    <w:rsid w:val="00181228"/>
    <w:rsid w:val="00182362"/>
    <w:rsid w:val="001824C2"/>
    <w:rsid w:val="00183514"/>
    <w:rsid w:val="001842F2"/>
    <w:rsid w:val="001860B3"/>
    <w:rsid w:val="0018669F"/>
    <w:rsid w:val="00187CD7"/>
    <w:rsid w:val="00195787"/>
    <w:rsid w:val="00195EFE"/>
    <w:rsid w:val="0019756B"/>
    <w:rsid w:val="001A0A24"/>
    <w:rsid w:val="001A214F"/>
    <w:rsid w:val="001A48BA"/>
    <w:rsid w:val="001A4FE4"/>
    <w:rsid w:val="001A7123"/>
    <w:rsid w:val="001B080D"/>
    <w:rsid w:val="001B33D1"/>
    <w:rsid w:val="001B54C5"/>
    <w:rsid w:val="001B5B86"/>
    <w:rsid w:val="001B69E1"/>
    <w:rsid w:val="001B7DE7"/>
    <w:rsid w:val="001C332E"/>
    <w:rsid w:val="001C36CC"/>
    <w:rsid w:val="001C613F"/>
    <w:rsid w:val="001C7DBA"/>
    <w:rsid w:val="001D0CC8"/>
    <w:rsid w:val="001D4599"/>
    <w:rsid w:val="001D509A"/>
    <w:rsid w:val="001D682D"/>
    <w:rsid w:val="001D6916"/>
    <w:rsid w:val="001E197E"/>
    <w:rsid w:val="001E25C4"/>
    <w:rsid w:val="001F26D0"/>
    <w:rsid w:val="001F2E50"/>
    <w:rsid w:val="001F3FFD"/>
    <w:rsid w:val="001F41B8"/>
    <w:rsid w:val="001F6947"/>
    <w:rsid w:val="00200F63"/>
    <w:rsid w:val="00206D17"/>
    <w:rsid w:val="00207ABE"/>
    <w:rsid w:val="002106D7"/>
    <w:rsid w:val="00214217"/>
    <w:rsid w:val="002145DD"/>
    <w:rsid w:val="002218DA"/>
    <w:rsid w:val="0022259E"/>
    <w:rsid w:val="002238E1"/>
    <w:rsid w:val="00225107"/>
    <w:rsid w:val="00227111"/>
    <w:rsid w:val="00227529"/>
    <w:rsid w:val="002304B8"/>
    <w:rsid w:val="00231436"/>
    <w:rsid w:val="00232BF0"/>
    <w:rsid w:val="0023301E"/>
    <w:rsid w:val="0023598D"/>
    <w:rsid w:val="00235ABE"/>
    <w:rsid w:val="002403C2"/>
    <w:rsid w:val="002404AF"/>
    <w:rsid w:val="002414DF"/>
    <w:rsid w:val="00241B01"/>
    <w:rsid w:val="00244FCB"/>
    <w:rsid w:val="0024518B"/>
    <w:rsid w:val="00251170"/>
    <w:rsid w:val="002512C7"/>
    <w:rsid w:val="0025603B"/>
    <w:rsid w:val="00272810"/>
    <w:rsid w:val="0027407C"/>
    <w:rsid w:val="00276A68"/>
    <w:rsid w:val="00276F21"/>
    <w:rsid w:val="00277613"/>
    <w:rsid w:val="0028315A"/>
    <w:rsid w:val="00287975"/>
    <w:rsid w:val="00294234"/>
    <w:rsid w:val="00295DDF"/>
    <w:rsid w:val="00297575"/>
    <w:rsid w:val="002A0511"/>
    <w:rsid w:val="002A2E9F"/>
    <w:rsid w:val="002A3851"/>
    <w:rsid w:val="002A416B"/>
    <w:rsid w:val="002A4567"/>
    <w:rsid w:val="002A5312"/>
    <w:rsid w:val="002A6DB0"/>
    <w:rsid w:val="002A766A"/>
    <w:rsid w:val="002A7E8B"/>
    <w:rsid w:val="002A7F39"/>
    <w:rsid w:val="002B2234"/>
    <w:rsid w:val="002B4BD4"/>
    <w:rsid w:val="002B5ED4"/>
    <w:rsid w:val="002C1F81"/>
    <w:rsid w:val="002C3F52"/>
    <w:rsid w:val="002C469A"/>
    <w:rsid w:val="002C57E6"/>
    <w:rsid w:val="002D3A20"/>
    <w:rsid w:val="002D4E51"/>
    <w:rsid w:val="002D4EA5"/>
    <w:rsid w:val="002D69D6"/>
    <w:rsid w:val="002D6E60"/>
    <w:rsid w:val="002E050A"/>
    <w:rsid w:val="002E3D28"/>
    <w:rsid w:val="002F03B0"/>
    <w:rsid w:val="002F1834"/>
    <w:rsid w:val="002F2212"/>
    <w:rsid w:val="002F3121"/>
    <w:rsid w:val="002F3379"/>
    <w:rsid w:val="002F39F4"/>
    <w:rsid w:val="002F7217"/>
    <w:rsid w:val="002F7A49"/>
    <w:rsid w:val="00300BF4"/>
    <w:rsid w:val="00302738"/>
    <w:rsid w:val="00305C19"/>
    <w:rsid w:val="003063A5"/>
    <w:rsid w:val="003063D7"/>
    <w:rsid w:val="003078E3"/>
    <w:rsid w:val="003142A3"/>
    <w:rsid w:val="00317B7D"/>
    <w:rsid w:val="00326681"/>
    <w:rsid w:val="003276FA"/>
    <w:rsid w:val="00327925"/>
    <w:rsid w:val="0033168F"/>
    <w:rsid w:val="0033184A"/>
    <w:rsid w:val="00333C63"/>
    <w:rsid w:val="00333E3C"/>
    <w:rsid w:val="00334383"/>
    <w:rsid w:val="003345EF"/>
    <w:rsid w:val="00336864"/>
    <w:rsid w:val="00336C52"/>
    <w:rsid w:val="00337E38"/>
    <w:rsid w:val="00341731"/>
    <w:rsid w:val="003426DE"/>
    <w:rsid w:val="00343E34"/>
    <w:rsid w:val="00350B9B"/>
    <w:rsid w:val="00352F8D"/>
    <w:rsid w:val="003537AF"/>
    <w:rsid w:val="00353DEE"/>
    <w:rsid w:val="00355332"/>
    <w:rsid w:val="00355C58"/>
    <w:rsid w:val="0035793C"/>
    <w:rsid w:val="0036113B"/>
    <w:rsid w:val="00361B2B"/>
    <w:rsid w:val="00362873"/>
    <w:rsid w:val="00364A81"/>
    <w:rsid w:val="00365B2D"/>
    <w:rsid w:val="00367232"/>
    <w:rsid w:val="00371937"/>
    <w:rsid w:val="003726E8"/>
    <w:rsid w:val="00376276"/>
    <w:rsid w:val="003773F9"/>
    <w:rsid w:val="00377854"/>
    <w:rsid w:val="00381F23"/>
    <w:rsid w:val="00382B77"/>
    <w:rsid w:val="00382CCC"/>
    <w:rsid w:val="003831FC"/>
    <w:rsid w:val="003929E4"/>
    <w:rsid w:val="00393D0C"/>
    <w:rsid w:val="0039426E"/>
    <w:rsid w:val="0039645A"/>
    <w:rsid w:val="003977DC"/>
    <w:rsid w:val="003A17CB"/>
    <w:rsid w:val="003A2CAE"/>
    <w:rsid w:val="003B01F5"/>
    <w:rsid w:val="003B4637"/>
    <w:rsid w:val="003C06CC"/>
    <w:rsid w:val="003C41B0"/>
    <w:rsid w:val="003D05D4"/>
    <w:rsid w:val="003D2080"/>
    <w:rsid w:val="003D568D"/>
    <w:rsid w:val="003D747F"/>
    <w:rsid w:val="003E17BA"/>
    <w:rsid w:val="003E3664"/>
    <w:rsid w:val="003E4D57"/>
    <w:rsid w:val="003E5217"/>
    <w:rsid w:val="003E59E7"/>
    <w:rsid w:val="003E6A9F"/>
    <w:rsid w:val="003E74F4"/>
    <w:rsid w:val="003F2277"/>
    <w:rsid w:val="003F2E8B"/>
    <w:rsid w:val="003F2FEF"/>
    <w:rsid w:val="003F3840"/>
    <w:rsid w:val="003F3B5B"/>
    <w:rsid w:val="003F5CE0"/>
    <w:rsid w:val="003F7C0E"/>
    <w:rsid w:val="00400557"/>
    <w:rsid w:val="00402B3C"/>
    <w:rsid w:val="004055A5"/>
    <w:rsid w:val="004101F2"/>
    <w:rsid w:val="00412201"/>
    <w:rsid w:val="00412CFB"/>
    <w:rsid w:val="00413F57"/>
    <w:rsid w:val="00414ACC"/>
    <w:rsid w:val="004154A3"/>
    <w:rsid w:val="00415652"/>
    <w:rsid w:val="00415E10"/>
    <w:rsid w:val="004178DC"/>
    <w:rsid w:val="00422F8E"/>
    <w:rsid w:val="0042788D"/>
    <w:rsid w:val="00430D4C"/>
    <w:rsid w:val="00433D7C"/>
    <w:rsid w:val="004377F1"/>
    <w:rsid w:val="00440114"/>
    <w:rsid w:val="004428E7"/>
    <w:rsid w:val="00443095"/>
    <w:rsid w:val="00444C8B"/>
    <w:rsid w:val="004465D6"/>
    <w:rsid w:val="00450FA0"/>
    <w:rsid w:val="00451312"/>
    <w:rsid w:val="0045406D"/>
    <w:rsid w:val="0045409A"/>
    <w:rsid w:val="00454926"/>
    <w:rsid w:val="00457B7D"/>
    <w:rsid w:val="0046033E"/>
    <w:rsid w:val="00460FC7"/>
    <w:rsid w:val="00463305"/>
    <w:rsid w:val="004658A5"/>
    <w:rsid w:val="0046631F"/>
    <w:rsid w:val="00472282"/>
    <w:rsid w:val="00472669"/>
    <w:rsid w:val="004736EA"/>
    <w:rsid w:val="0047499C"/>
    <w:rsid w:val="00474B57"/>
    <w:rsid w:val="0047516F"/>
    <w:rsid w:val="00476E6A"/>
    <w:rsid w:val="00484659"/>
    <w:rsid w:val="004866BF"/>
    <w:rsid w:val="00490431"/>
    <w:rsid w:val="004936C4"/>
    <w:rsid w:val="00496F4A"/>
    <w:rsid w:val="004972E0"/>
    <w:rsid w:val="00497315"/>
    <w:rsid w:val="004A0858"/>
    <w:rsid w:val="004A18B1"/>
    <w:rsid w:val="004A3775"/>
    <w:rsid w:val="004A5707"/>
    <w:rsid w:val="004B0B45"/>
    <w:rsid w:val="004B161F"/>
    <w:rsid w:val="004B420D"/>
    <w:rsid w:val="004B4238"/>
    <w:rsid w:val="004B676D"/>
    <w:rsid w:val="004B68E4"/>
    <w:rsid w:val="004C36D9"/>
    <w:rsid w:val="004C3AC9"/>
    <w:rsid w:val="004C4372"/>
    <w:rsid w:val="004C627F"/>
    <w:rsid w:val="004D2910"/>
    <w:rsid w:val="004D667A"/>
    <w:rsid w:val="004D709E"/>
    <w:rsid w:val="004E5716"/>
    <w:rsid w:val="004E57C6"/>
    <w:rsid w:val="004E631F"/>
    <w:rsid w:val="004E7D95"/>
    <w:rsid w:val="004F284A"/>
    <w:rsid w:val="004F321F"/>
    <w:rsid w:val="004F3A8D"/>
    <w:rsid w:val="004F6824"/>
    <w:rsid w:val="004F78CE"/>
    <w:rsid w:val="00503529"/>
    <w:rsid w:val="00504BFF"/>
    <w:rsid w:val="00505908"/>
    <w:rsid w:val="005063DA"/>
    <w:rsid w:val="005068A4"/>
    <w:rsid w:val="0050E415"/>
    <w:rsid w:val="005104B0"/>
    <w:rsid w:val="0051229A"/>
    <w:rsid w:val="005134CD"/>
    <w:rsid w:val="005168FE"/>
    <w:rsid w:val="00521F26"/>
    <w:rsid w:val="00522117"/>
    <w:rsid w:val="005246D9"/>
    <w:rsid w:val="00524E58"/>
    <w:rsid w:val="00526945"/>
    <w:rsid w:val="0053043A"/>
    <w:rsid w:val="00530D55"/>
    <w:rsid w:val="00532E1E"/>
    <w:rsid w:val="00534C0F"/>
    <w:rsid w:val="0053684F"/>
    <w:rsid w:val="00536DF4"/>
    <w:rsid w:val="005379EC"/>
    <w:rsid w:val="00537C79"/>
    <w:rsid w:val="00540167"/>
    <w:rsid w:val="005411D2"/>
    <w:rsid w:val="0054120B"/>
    <w:rsid w:val="00542332"/>
    <w:rsid w:val="005427F1"/>
    <w:rsid w:val="00542FC2"/>
    <w:rsid w:val="00543D3B"/>
    <w:rsid w:val="00544E6B"/>
    <w:rsid w:val="00545B00"/>
    <w:rsid w:val="00547B0A"/>
    <w:rsid w:val="0055155C"/>
    <w:rsid w:val="0055164B"/>
    <w:rsid w:val="00557EB4"/>
    <w:rsid w:val="005624AB"/>
    <w:rsid w:val="00562D80"/>
    <w:rsid w:val="005630D0"/>
    <w:rsid w:val="00563268"/>
    <w:rsid w:val="005643C4"/>
    <w:rsid w:val="00565140"/>
    <w:rsid w:val="005654B2"/>
    <w:rsid w:val="00565739"/>
    <w:rsid w:val="00567C86"/>
    <w:rsid w:val="005715F0"/>
    <w:rsid w:val="005727E1"/>
    <w:rsid w:val="00572FD5"/>
    <w:rsid w:val="0057494E"/>
    <w:rsid w:val="00577481"/>
    <w:rsid w:val="00580895"/>
    <w:rsid w:val="0058138B"/>
    <w:rsid w:val="0058257D"/>
    <w:rsid w:val="005872C9"/>
    <w:rsid w:val="00587CA7"/>
    <w:rsid w:val="005922E8"/>
    <w:rsid w:val="005946CB"/>
    <w:rsid w:val="00594DDB"/>
    <w:rsid w:val="00597864"/>
    <w:rsid w:val="005A29F9"/>
    <w:rsid w:val="005A3F88"/>
    <w:rsid w:val="005A4F80"/>
    <w:rsid w:val="005A5471"/>
    <w:rsid w:val="005B332D"/>
    <w:rsid w:val="005B59D2"/>
    <w:rsid w:val="005B6401"/>
    <w:rsid w:val="005C05BC"/>
    <w:rsid w:val="005C0D0D"/>
    <w:rsid w:val="005C2F6E"/>
    <w:rsid w:val="005C4133"/>
    <w:rsid w:val="005C7E70"/>
    <w:rsid w:val="005D06FF"/>
    <w:rsid w:val="005D54A8"/>
    <w:rsid w:val="005D635D"/>
    <w:rsid w:val="005D7383"/>
    <w:rsid w:val="005E19C1"/>
    <w:rsid w:val="005E3091"/>
    <w:rsid w:val="005E3C64"/>
    <w:rsid w:val="005E4D02"/>
    <w:rsid w:val="005E7BCD"/>
    <w:rsid w:val="005F0878"/>
    <w:rsid w:val="00600859"/>
    <w:rsid w:val="00600909"/>
    <w:rsid w:val="00601032"/>
    <w:rsid w:val="00603CC2"/>
    <w:rsid w:val="00612160"/>
    <w:rsid w:val="00612752"/>
    <w:rsid w:val="00612BC3"/>
    <w:rsid w:val="00614024"/>
    <w:rsid w:val="00616567"/>
    <w:rsid w:val="00616686"/>
    <w:rsid w:val="006213BA"/>
    <w:rsid w:val="0062433A"/>
    <w:rsid w:val="00625A86"/>
    <w:rsid w:val="0062751E"/>
    <w:rsid w:val="00627AAF"/>
    <w:rsid w:val="006318E1"/>
    <w:rsid w:val="00633BEB"/>
    <w:rsid w:val="006353B3"/>
    <w:rsid w:val="00636B20"/>
    <w:rsid w:val="00637EDB"/>
    <w:rsid w:val="00641E83"/>
    <w:rsid w:val="006512FC"/>
    <w:rsid w:val="00654165"/>
    <w:rsid w:val="00660403"/>
    <w:rsid w:val="00660AD5"/>
    <w:rsid w:val="006619D6"/>
    <w:rsid w:val="00662143"/>
    <w:rsid w:val="006627BE"/>
    <w:rsid w:val="00667787"/>
    <w:rsid w:val="006706FD"/>
    <w:rsid w:val="006715D7"/>
    <w:rsid w:val="00672119"/>
    <w:rsid w:val="006737E1"/>
    <w:rsid w:val="00674137"/>
    <w:rsid w:val="00675A21"/>
    <w:rsid w:val="00680022"/>
    <w:rsid w:val="006839A4"/>
    <w:rsid w:val="0068497D"/>
    <w:rsid w:val="00684FB1"/>
    <w:rsid w:val="006861F5"/>
    <w:rsid w:val="006911EE"/>
    <w:rsid w:val="00691D3C"/>
    <w:rsid w:val="00691DE9"/>
    <w:rsid w:val="00697341"/>
    <w:rsid w:val="006976EE"/>
    <w:rsid w:val="006A0379"/>
    <w:rsid w:val="006A60FB"/>
    <w:rsid w:val="006A674D"/>
    <w:rsid w:val="006B194B"/>
    <w:rsid w:val="006B3293"/>
    <w:rsid w:val="006B3831"/>
    <w:rsid w:val="006B4D43"/>
    <w:rsid w:val="006C7CA4"/>
    <w:rsid w:val="006D0BA3"/>
    <w:rsid w:val="006D2D4A"/>
    <w:rsid w:val="006D4237"/>
    <w:rsid w:val="006D4A30"/>
    <w:rsid w:val="006E1ED9"/>
    <w:rsid w:val="006E3DDB"/>
    <w:rsid w:val="006F11D1"/>
    <w:rsid w:val="006F1F61"/>
    <w:rsid w:val="006F6A70"/>
    <w:rsid w:val="006F711F"/>
    <w:rsid w:val="006F78AB"/>
    <w:rsid w:val="00705196"/>
    <w:rsid w:val="00706D89"/>
    <w:rsid w:val="00706E85"/>
    <w:rsid w:val="00707390"/>
    <w:rsid w:val="00714D05"/>
    <w:rsid w:val="007153F5"/>
    <w:rsid w:val="007210FE"/>
    <w:rsid w:val="007228BC"/>
    <w:rsid w:val="00722F66"/>
    <w:rsid w:val="00726C53"/>
    <w:rsid w:val="00740A45"/>
    <w:rsid w:val="007415DE"/>
    <w:rsid w:val="00742994"/>
    <w:rsid w:val="00746C9B"/>
    <w:rsid w:val="00750C77"/>
    <w:rsid w:val="00755525"/>
    <w:rsid w:val="00763028"/>
    <w:rsid w:val="007668E9"/>
    <w:rsid w:val="007674AA"/>
    <w:rsid w:val="007678F6"/>
    <w:rsid w:val="0077007B"/>
    <w:rsid w:val="0077200A"/>
    <w:rsid w:val="00773F30"/>
    <w:rsid w:val="007761C1"/>
    <w:rsid w:val="00776807"/>
    <w:rsid w:val="0078049E"/>
    <w:rsid w:val="0078057E"/>
    <w:rsid w:val="007813D2"/>
    <w:rsid w:val="00783D20"/>
    <w:rsid w:val="00784581"/>
    <w:rsid w:val="007852B8"/>
    <w:rsid w:val="00791524"/>
    <w:rsid w:val="007916B2"/>
    <w:rsid w:val="007934A6"/>
    <w:rsid w:val="00796011"/>
    <w:rsid w:val="00796A98"/>
    <w:rsid w:val="00797E5D"/>
    <w:rsid w:val="007A02CF"/>
    <w:rsid w:val="007A2721"/>
    <w:rsid w:val="007A47F8"/>
    <w:rsid w:val="007A5960"/>
    <w:rsid w:val="007B1D8A"/>
    <w:rsid w:val="007B4AAD"/>
    <w:rsid w:val="007B50B0"/>
    <w:rsid w:val="007C0434"/>
    <w:rsid w:val="007C3792"/>
    <w:rsid w:val="007C4182"/>
    <w:rsid w:val="007C4E49"/>
    <w:rsid w:val="007C636F"/>
    <w:rsid w:val="007C6ABA"/>
    <w:rsid w:val="007C7D1D"/>
    <w:rsid w:val="007D0122"/>
    <w:rsid w:val="007D077E"/>
    <w:rsid w:val="007D5864"/>
    <w:rsid w:val="007D6223"/>
    <w:rsid w:val="007D6468"/>
    <w:rsid w:val="007D7D46"/>
    <w:rsid w:val="007E0293"/>
    <w:rsid w:val="007E052F"/>
    <w:rsid w:val="007E0ED8"/>
    <w:rsid w:val="007E1D9D"/>
    <w:rsid w:val="007E3D5C"/>
    <w:rsid w:val="007E3D87"/>
    <w:rsid w:val="007E517D"/>
    <w:rsid w:val="007E5253"/>
    <w:rsid w:val="007E599B"/>
    <w:rsid w:val="007F26D5"/>
    <w:rsid w:val="007F3A28"/>
    <w:rsid w:val="007F4345"/>
    <w:rsid w:val="007F5AAF"/>
    <w:rsid w:val="007F6EB4"/>
    <w:rsid w:val="007F7E95"/>
    <w:rsid w:val="00800D85"/>
    <w:rsid w:val="00801E68"/>
    <w:rsid w:val="00803108"/>
    <w:rsid w:val="0080754F"/>
    <w:rsid w:val="00816060"/>
    <w:rsid w:val="008166E9"/>
    <w:rsid w:val="00821FD0"/>
    <w:rsid w:val="00822BE2"/>
    <w:rsid w:val="0083176C"/>
    <w:rsid w:val="00831EAA"/>
    <w:rsid w:val="00836D22"/>
    <w:rsid w:val="008376B4"/>
    <w:rsid w:val="00842FD9"/>
    <w:rsid w:val="008450B7"/>
    <w:rsid w:val="00845C3F"/>
    <w:rsid w:val="00847EFF"/>
    <w:rsid w:val="0085075F"/>
    <w:rsid w:val="00851169"/>
    <w:rsid w:val="00852499"/>
    <w:rsid w:val="00852D9C"/>
    <w:rsid w:val="00853213"/>
    <w:rsid w:val="00853A51"/>
    <w:rsid w:val="00855ADD"/>
    <w:rsid w:val="00856890"/>
    <w:rsid w:val="008574D0"/>
    <w:rsid w:val="008622C4"/>
    <w:rsid w:val="0086457F"/>
    <w:rsid w:val="00865A32"/>
    <w:rsid w:val="008668AF"/>
    <w:rsid w:val="00866AF1"/>
    <w:rsid w:val="00866FE3"/>
    <w:rsid w:val="00871799"/>
    <w:rsid w:val="00873520"/>
    <w:rsid w:val="00873C95"/>
    <w:rsid w:val="00874420"/>
    <w:rsid w:val="00874E4B"/>
    <w:rsid w:val="00875BA3"/>
    <w:rsid w:val="0087655B"/>
    <w:rsid w:val="0088290E"/>
    <w:rsid w:val="00886CDA"/>
    <w:rsid w:val="0088743B"/>
    <w:rsid w:val="008874B0"/>
    <w:rsid w:val="008958E8"/>
    <w:rsid w:val="00895923"/>
    <w:rsid w:val="008965CE"/>
    <w:rsid w:val="008A2C64"/>
    <w:rsid w:val="008A3532"/>
    <w:rsid w:val="008A5387"/>
    <w:rsid w:val="008A6F29"/>
    <w:rsid w:val="008B58C6"/>
    <w:rsid w:val="008B5A7D"/>
    <w:rsid w:val="008C0621"/>
    <w:rsid w:val="008C0A42"/>
    <w:rsid w:val="008C264F"/>
    <w:rsid w:val="008C434C"/>
    <w:rsid w:val="008C4EE4"/>
    <w:rsid w:val="008C64D0"/>
    <w:rsid w:val="008C658B"/>
    <w:rsid w:val="008C7201"/>
    <w:rsid w:val="008D0704"/>
    <w:rsid w:val="008D1948"/>
    <w:rsid w:val="008D1CE6"/>
    <w:rsid w:val="008D3F4E"/>
    <w:rsid w:val="008D4A4C"/>
    <w:rsid w:val="008D5347"/>
    <w:rsid w:val="008D5E0B"/>
    <w:rsid w:val="008D70F2"/>
    <w:rsid w:val="008D7AF2"/>
    <w:rsid w:val="008E12BB"/>
    <w:rsid w:val="008E3B13"/>
    <w:rsid w:val="008E3B3E"/>
    <w:rsid w:val="008E7D6E"/>
    <w:rsid w:val="008F3059"/>
    <w:rsid w:val="008F4DFB"/>
    <w:rsid w:val="0090191E"/>
    <w:rsid w:val="00903222"/>
    <w:rsid w:val="00903B88"/>
    <w:rsid w:val="00904352"/>
    <w:rsid w:val="009045DE"/>
    <w:rsid w:val="00907352"/>
    <w:rsid w:val="00907C96"/>
    <w:rsid w:val="00911322"/>
    <w:rsid w:val="009142AC"/>
    <w:rsid w:val="009146CB"/>
    <w:rsid w:val="00916CFA"/>
    <w:rsid w:val="00916F47"/>
    <w:rsid w:val="009205EC"/>
    <w:rsid w:val="00922E95"/>
    <w:rsid w:val="00923AC6"/>
    <w:rsid w:val="009242D9"/>
    <w:rsid w:val="009267F4"/>
    <w:rsid w:val="00926E82"/>
    <w:rsid w:val="00926F7B"/>
    <w:rsid w:val="0092706F"/>
    <w:rsid w:val="009276BF"/>
    <w:rsid w:val="00937B01"/>
    <w:rsid w:val="0094075A"/>
    <w:rsid w:val="00940E36"/>
    <w:rsid w:val="009435CD"/>
    <w:rsid w:val="009441BC"/>
    <w:rsid w:val="00945F3A"/>
    <w:rsid w:val="00946260"/>
    <w:rsid w:val="0095781A"/>
    <w:rsid w:val="00960C65"/>
    <w:rsid w:val="009642C5"/>
    <w:rsid w:val="009652DD"/>
    <w:rsid w:val="00965AA7"/>
    <w:rsid w:val="00970366"/>
    <w:rsid w:val="00972FD4"/>
    <w:rsid w:val="00975F54"/>
    <w:rsid w:val="00976FF1"/>
    <w:rsid w:val="00981328"/>
    <w:rsid w:val="0098271E"/>
    <w:rsid w:val="00986C6F"/>
    <w:rsid w:val="00986FBA"/>
    <w:rsid w:val="0098713D"/>
    <w:rsid w:val="00992B00"/>
    <w:rsid w:val="0099394E"/>
    <w:rsid w:val="009A0F68"/>
    <w:rsid w:val="009A50AB"/>
    <w:rsid w:val="009A5BD7"/>
    <w:rsid w:val="009A7BBF"/>
    <w:rsid w:val="009B07FA"/>
    <w:rsid w:val="009B112D"/>
    <w:rsid w:val="009B2875"/>
    <w:rsid w:val="009B7AC5"/>
    <w:rsid w:val="009C1901"/>
    <w:rsid w:val="009C2A4E"/>
    <w:rsid w:val="009C2AED"/>
    <w:rsid w:val="009C55D4"/>
    <w:rsid w:val="009C7508"/>
    <w:rsid w:val="009C769B"/>
    <w:rsid w:val="009C7BE6"/>
    <w:rsid w:val="009D09D0"/>
    <w:rsid w:val="009D3305"/>
    <w:rsid w:val="009D5306"/>
    <w:rsid w:val="009D5A57"/>
    <w:rsid w:val="009D5BAD"/>
    <w:rsid w:val="009E1E18"/>
    <w:rsid w:val="009E7A42"/>
    <w:rsid w:val="009F14C1"/>
    <w:rsid w:val="009F1D87"/>
    <w:rsid w:val="009F2358"/>
    <w:rsid w:val="009F3D16"/>
    <w:rsid w:val="009F64F7"/>
    <w:rsid w:val="00A01215"/>
    <w:rsid w:val="00A02D5F"/>
    <w:rsid w:val="00A04B59"/>
    <w:rsid w:val="00A06710"/>
    <w:rsid w:val="00A0692C"/>
    <w:rsid w:val="00A075B4"/>
    <w:rsid w:val="00A10F7A"/>
    <w:rsid w:val="00A1104F"/>
    <w:rsid w:val="00A14660"/>
    <w:rsid w:val="00A14E7D"/>
    <w:rsid w:val="00A16BCC"/>
    <w:rsid w:val="00A17C2B"/>
    <w:rsid w:val="00A2075A"/>
    <w:rsid w:val="00A20A43"/>
    <w:rsid w:val="00A23E93"/>
    <w:rsid w:val="00A2410B"/>
    <w:rsid w:val="00A253EE"/>
    <w:rsid w:val="00A25A46"/>
    <w:rsid w:val="00A26631"/>
    <w:rsid w:val="00A26EB1"/>
    <w:rsid w:val="00A275EE"/>
    <w:rsid w:val="00A27644"/>
    <w:rsid w:val="00A303DD"/>
    <w:rsid w:val="00A30843"/>
    <w:rsid w:val="00A36C2B"/>
    <w:rsid w:val="00A41AF1"/>
    <w:rsid w:val="00A41E4C"/>
    <w:rsid w:val="00A42C8A"/>
    <w:rsid w:val="00A43BA4"/>
    <w:rsid w:val="00A51568"/>
    <w:rsid w:val="00A53DB5"/>
    <w:rsid w:val="00A5411A"/>
    <w:rsid w:val="00A6688C"/>
    <w:rsid w:val="00A73DA0"/>
    <w:rsid w:val="00A749F3"/>
    <w:rsid w:val="00A7557F"/>
    <w:rsid w:val="00A75F3D"/>
    <w:rsid w:val="00A80503"/>
    <w:rsid w:val="00A85377"/>
    <w:rsid w:val="00A86109"/>
    <w:rsid w:val="00A86A2F"/>
    <w:rsid w:val="00AA21CA"/>
    <w:rsid w:val="00AA54C9"/>
    <w:rsid w:val="00AA7A47"/>
    <w:rsid w:val="00AA7B7B"/>
    <w:rsid w:val="00AB0168"/>
    <w:rsid w:val="00AB1329"/>
    <w:rsid w:val="00AB3751"/>
    <w:rsid w:val="00AC142F"/>
    <w:rsid w:val="00AC34F6"/>
    <w:rsid w:val="00AC3B91"/>
    <w:rsid w:val="00AC40AD"/>
    <w:rsid w:val="00AC5497"/>
    <w:rsid w:val="00AC6360"/>
    <w:rsid w:val="00AD04AD"/>
    <w:rsid w:val="00AD0C2A"/>
    <w:rsid w:val="00AD17C3"/>
    <w:rsid w:val="00AD54BB"/>
    <w:rsid w:val="00AD621C"/>
    <w:rsid w:val="00AE0B81"/>
    <w:rsid w:val="00AE1F97"/>
    <w:rsid w:val="00AE3872"/>
    <w:rsid w:val="00AE5B64"/>
    <w:rsid w:val="00AF3D05"/>
    <w:rsid w:val="00AF61B1"/>
    <w:rsid w:val="00B0018A"/>
    <w:rsid w:val="00B00EC3"/>
    <w:rsid w:val="00B0235E"/>
    <w:rsid w:val="00B10694"/>
    <w:rsid w:val="00B10725"/>
    <w:rsid w:val="00B109AB"/>
    <w:rsid w:val="00B11246"/>
    <w:rsid w:val="00B119FD"/>
    <w:rsid w:val="00B12DC9"/>
    <w:rsid w:val="00B12FA2"/>
    <w:rsid w:val="00B13947"/>
    <w:rsid w:val="00B14230"/>
    <w:rsid w:val="00B142F2"/>
    <w:rsid w:val="00B170D9"/>
    <w:rsid w:val="00B20017"/>
    <w:rsid w:val="00B20C55"/>
    <w:rsid w:val="00B2238E"/>
    <w:rsid w:val="00B30424"/>
    <w:rsid w:val="00B33853"/>
    <w:rsid w:val="00B375D8"/>
    <w:rsid w:val="00B415F1"/>
    <w:rsid w:val="00B41E4C"/>
    <w:rsid w:val="00B43591"/>
    <w:rsid w:val="00B53BD1"/>
    <w:rsid w:val="00B550CE"/>
    <w:rsid w:val="00B554D3"/>
    <w:rsid w:val="00B61B05"/>
    <w:rsid w:val="00B62460"/>
    <w:rsid w:val="00B625E8"/>
    <w:rsid w:val="00B62711"/>
    <w:rsid w:val="00B652FD"/>
    <w:rsid w:val="00B67B4C"/>
    <w:rsid w:val="00B701EA"/>
    <w:rsid w:val="00B7243B"/>
    <w:rsid w:val="00B73C06"/>
    <w:rsid w:val="00B7661E"/>
    <w:rsid w:val="00B77E51"/>
    <w:rsid w:val="00B80A00"/>
    <w:rsid w:val="00B85201"/>
    <w:rsid w:val="00B85CD7"/>
    <w:rsid w:val="00B86D4E"/>
    <w:rsid w:val="00B91374"/>
    <w:rsid w:val="00B92F67"/>
    <w:rsid w:val="00B9797C"/>
    <w:rsid w:val="00BA1D19"/>
    <w:rsid w:val="00BA205B"/>
    <w:rsid w:val="00BA3584"/>
    <w:rsid w:val="00BA6783"/>
    <w:rsid w:val="00BA695E"/>
    <w:rsid w:val="00BB1CB6"/>
    <w:rsid w:val="00BB208B"/>
    <w:rsid w:val="00BB4E80"/>
    <w:rsid w:val="00BB523B"/>
    <w:rsid w:val="00BB5B29"/>
    <w:rsid w:val="00BB6B8E"/>
    <w:rsid w:val="00BB7767"/>
    <w:rsid w:val="00BC2A5D"/>
    <w:rsid w:val="00BC3049"/>
    <w:rsid w:val="00BC4C03"/>
    <w:rsid w:val="00BC5610"/>
    <w:rsid w:val="00BD3748"/>
    <w:rsid w:val="00BD3934"/>
    <w:rsid w:val="00BD541F"/>
    <w:rsid w:val="00BD55BE"/>
    <w:rsid w:val="00BD5914"/>
    <w:rsid w:val="00BD6114"/>
    <w:rsid w:val="00BD6B79"/>
    <w:rsid w:val="00BD74A9"/>
    <w:rsid w:val="00BE2405"/>
    <w:rsid w:val="00BE27F3"/>
    <w:rsid w:val="00BE32F6"/>
    <w:rsid w:val="00BE41D1"/>
    <w:rsid w:val="00BF34BE"/>
    <w:rsid w:val="00BF59D9"/>
    <w:rsid w:val="00BF5E0C"/>
    <w:rsid w:val="00BF66FE"/>
    <w:rsid w:val="00BF6A30"/>
    <w:rsid w:val="00BF7A22"/>
    <w:rsid w:val="00C00282"/>
    <w:rsid w:val="00C00443"/>
    <w:rsid w:val="00C00CA2"/>
    <w:rsid w:val="00C048AD"/>
    <w:rsid w:val="00C05462"/>
    <w:rsid w:val="00C054FA"/>
    <w:rsid w:val="00C0604B"/>
    <w:rsid w:val="00C066F8"/>
    <w:rsid w:val="00C0736F"/>
    <w:rsid w:val="00C07C4A"/>
    <w:rsid w:val="00C11F14"/>
    <w:rsid w:val="00C141E1"/>
    <w:rsid w:val="00C2029A"/>
    <w:rsid w:val="00C22299"/>
    <w:rsid w:val="00C22650"/>
    <w:rsid w:val="00C22848"/>
    <w:rsid w:val="00C23BA8"/>
    <w:rsid w:val="00C26AD7"/>
    <w:rsid w:val="00C32064"/>
    <w:rsid w:val="00C34940"/>
    <w:rsid w:val="00C34CDA"/>
    <w:rsid w:val="00C35A00"/>
    <w:rsid w:val="00C35E33"/>
    <w:rsid w:val="00C37EDE"/>
    <w:rsid w:val="00C42DB3"/>
    <w:rsid w:val="00C434EC"/>
    <w:rsid w:val="00C43644"/>
    <w:rsid w:val="00C44940"/>
    <w:rsid w:val="00C45060"/>
    <w:rsid w:val="00C55341"/>
    <w:rsid w:val="00C55E6D"/>
    <w:rsid w:val="00C55E8B"/>
    <w:rsid w:val="00C56888"/>
    <w:rsid w:val="00C6043F"/>
    <w:rsid w:val="00C71DB6"/>
    <w:rsid w:val="00C74259"/>
    <w:rsid w:val="00C74389"/>
    <w:rsid w:val="00C75F69"/>
    <w:rsid w:val="00C76EB7"/>
    <w:rsid w:val="00C83D2E"/>
    <w:rsid w:val="00C862B6"/>
    <w:rsid w:val="00C87ED0"/>
    <w:rsid w:val="00C90E5B"/>
    <w:rsid w:val="00C91EAF"/>
    <w:rsid w:val="00C9363E"/>
    <w:rsid w:val="00C9425D"/>
    <w:rsid w:val="00C9434C"/>
    <w:rsid w:val="00CA14C8"/>
    <w:rsid w:val="00CA1629"/>
    <w:rsid w:val="00CB07E3"/>
    <w:rsid w:val="00CB1CE6"/>
    <w:rsid w:val="00CB2B89"/>
    <w:rsid w:val="00CB2D60"/>
    <w:rsid w:val="00CB435E"/>
    <w:rsid w:val="00CB60F4"/>
    <w:rsid w:val="00CB62BC"/>
    <w:rsid w:val="00CC1719"/>
    <w:rsid w:val="00CC2646"/>
    <w:rsid w:val="00CC354E"/>
    <w:rsid w:val="00CC37E7"/>
    <w:rsid w:val="00CC509A"/>
    <w:rsid w:val="00CC5ECC"/>
    <w:rsid w:val="00CD2BB3"/>
    <w:rsid w:val="00CD5AAE"/>
    <w:rsid w:val="00CD66BA"/>
    <w:rsid w:val="00CE08C3"/>
    <w:rsid w:val="00CE1C68"/>
    <w:rsid w:val="00CE29B8"/>
    <w:rsid w:val="00CE5356"/>
    <w:rsid w:val="00CE65FD"/>
    <w:rsid w:val="00CE6707"/>
    <w:rsid w:val="00CE7F0A"/>
    <w:rsid w:val="00CF2531"/>
    <w:rsid w:val="00CF747F"/>
    <w:rsid w:val="00CF7AAF"/>
    <w:rsid w:val="00D002C6"/>
    <w:rsid w:val="00D0757D"/>
    <w:rsid w:val="00D10449"/>
    <w:rsid w:val="00D1112E"/>
    <w:rsid w:val="00D14036"/>
    <w:rsid w:val="00D15171"/>
    <w:rsid w:val="00D16EBD"/>
    <w:rsid w:val="00D22900"/>
    <w:rsid w:val="00D261CF"/>
    <w:rsid w:val="00D304A4"/>
    <w:rsid w:val="00D30B02"/>
    <w:rsid w:val="00D337B3"/>
    <w:rsid w:val="00D34AD5"/>
    <w:rsid w:val="00D34B42"/>
    <w:rsid w:val="00D34D4C"/>
    <w:rsid w:val="00D412A0"/>
    <w:rsid w:val="00D41C3A"/>
    <w:rsid w:val="00D42136"/>
    <w:rsid w:val="00D4255F"/>
    <w:rsid w:val="00D46009"/>
    <w:rsid w:val="00D5001E"/>
    <w:rsid w:val="00D50B0E"/>
    <w:rsid w:val="00D53E80"/>
    <w:rsid w:val="00D5475D"/>
    <w:rsid w:val="00D6296D"/>
    <w:rsid w:val="00D64327"/>
    <w:rsid w:val="00D64821"/>
    <w:rsid w:val="00D66970"/>
    <w:rsid w:val="00D70296"/>
    <w:rsid w:val="00D7316C"/>
    <w:rsid w:val="00D75A4E"/>
    <w:rsid w:val="00D77267"/>
    <w:rsid w:val="00D77DE9"/>
    <w:rsid w:val="00D77EA1"/>
    <w:rsid w:val="00D8058F"/>
    <w:rsid w:val="00D80D50"/>
    <w:rsid w:val="00D84015"/>
    <w:rsid w:val="00D840DE"/>
    <w:rsid w:val="00D853AB"/>
    <w:rsid w:val="00D858A5"/>
    <w:rsid w:val="00D8615D"/>
    <w:rsid w:val="00D8794B"/>
    <w:rsid w:val="00D90383"/>
    <w:rsid w:val="00D9579E"/>
    <w:rsid w:val="00D96306"/>
    <w:rsid w:val="00DA1DB9"/>
    <w:rsid w:val="00DA3E49"/>
    <w:rsid w:val="00DA4356"/>
    <w:rsid w:val="00DA7CF6"/>
    <w:rsid w:val="00DB00AE"/>
    <w:rsid w:val="00DB50D5"/>
    <w:rsid w:val="00DB792C"/>
    <w:rsid w:val="00DC1D30"/>
    <w:rsid w:val="00DC30BF"/>
    <w:rsid w:val="00DC4091"/>
    <w:rsid w:val="00DC54A6"/>
    <w:rsid w:val="00DC6DF0"/>
    <w:rsid w:val="00DC7C80"/>
    <w:rsid w:val="00DC7E16"/>
    <w:rsid w:val="00DE018C"/>
    <w:rsid w:val="00DE2C8E"/>
    <w:rsid w:val="00DE3952"/>
    <w:rsid w:val="00DE4EFE"/>
    <w:rsid w:val="00DF0044"/>
    <w:rsid w:val="00E03A43"/>
    <w:rsid w:val="00E03BAB"/>
    <w:rsid w:val="00E06165"/>
    <w:rsid w:val="00E06C6F"/>
    <w:rsid w:val="00E14AC5"/>
    <w:rsid w:val="00E14EE4"/>
    <w:rsid w:val="00E150C0"/>
    <w:rsid w:val="00E21995"/>
    <w:rsid w:val="00E223A2"/>
    <w:rsid w:val="00E27836"/>
    <w:rsid w:val="00E32E5E"/>
    <w:rsid w:val="00E34A1B"/>
    <w:rsid w:val="00E35135"/>
    <w:rsid w:val="00E40D6D"/>
    <w:rsid w:val="00E43586"/>
    <w:rsid w:val="00E45493"/>
    <w:rsid w:val="00E47F4E"/>
    <w:rsid w:val="00E5641E"/>
    <w:rsid w:val="00E645D0"/>
    <w:rsid w:val="00E6715F"/>
    <w:rsid w:val="00E70137"/>
    <w:rsid w:val="00E707FD"/>
    <w:rsid w:val="00E7108E"/>
    <w:rsid w:val="00E72A71"/>
    <w:rsid w:val="00E7467F"/>
    <w:rsid w:val="00E7534C"/>
    <w:rsid w:val="00E86665"/>
    <w:rsid w:val="00E866A6"/>
    <w:rsid w:val="00E87E0C"/>
    <w:rsid w:val="00E90273"/>
    <w:rsid w:val="00E916A9"/>
    <w:rsid w:val="00E91D68"/>
    <w:rsid w:val="00E9309F"/>
    <w:rsid w:val="00E955B4"/>
    <w:rsid w:val="00EA11BB"/>
    <w:rsid w:val="00EA1B6C"/>
    <w:rsid w:val="00EA37AF"/>
    <w:rsid w:val="00EB3B7A"/>
    <w:rsid w:val="00EB61FA"/>
    <w:rsid w:val="00EB7981"/>
    <w:rsid w:val="00EC13EA"/>
    <w:rsid w:val="00EC27F7"/>
    <w:rsid w:val="00EC4574"/>
    <w:rsid w:val="00EC5E5D"/>
    <w:rsid w:val="00EC7222"/>
    <w:rsid w:val="00ED2420"/>
    <w:rsid w:val="00ED5A8B"/>
    <w:rsid w:val="00EE04CA"/>
    <w:rsid w:val="00EE1149"/>
    <w:rsid w:val="00EE3D28"/>
    <w:rsid w:val="00EE5024"/>
    <w:rsid w:val="00EE62CE"/>
    <w:rsid w:val="00EF070D"/>
    <w:rsid w:val="00EF49F1"/>
    <w:rsid w:val="00EF6BE8"/>
    <w:rsid w:val="00F01F7F"/>
    <w:rsid w:val="00F029BA"/>
    <w:rsid w:val="00F07401"/>
    <w:rsid w:val="00F25512"/>
    <w:rsid w:val="00F31A8C"/>
    <w:rsid w:val="00F31CD2"/>
    <w:rsid w:val="00F33782"/>
    <w:rsid w:val="00F34160"/>
    <w:rsid w:val="00F349FF"/>
    <w:rsid w:val="00F34A43"/>
    <w:rsid w:val="00F3659C"/>
    <w:rsid w:val="00F437A2"/>
    <w:rsid w:val="00F44DB1"/>
    <w:rsid w:val="00F47494"/>
    <w:rsid w:val="00F52C52"/>
    <w:rsid w:val="00F53027"/>
    <w:rsid w:val="00F56F35"/>
    <w:rsid w:val="00F607ED"/>
    <w:rsid w:val="00F651D6"/>
    <w:rsid w:val="00F7078F"/>
    <w:rsid w:val="00F72053"/>
    <w:rsid w:val="00F7249B"/>
    <w:rsid w:val="00F73D8A"/>
    <w:rsid w:val="00F83958"/>
    <w:rsid w:val="00F91C7D"/>
    <w:rsid w:val="00F938F4"/>
    <w:rsid w:val="00F94C2B"/>
    <w:rsid w:val="00F96A6E"/>
    <w:rsid w:val="00FA29ED"/>
    <w:rsid w:val="00FA62F7"/>
    <w:rsid w:val="00FB1641"/>
    <w:rsid w:val="00FB18E7"/>
    <w:rsid w:val="00FB5F7B"/>
    <w:rsid w:val="00FB6B25"/>
    <w:rsid w:val="00FC05FD"/>
    <w:rsid w:val="00FC35B4"/>
    <w:rsid w:val="00FC3E31"/>
    <w:rsid w:val="00FC4066"/>
    <w:rsid w:val="00FC4198"/>
    <w:rsid w:val="00FC5DFD"/>
    <w:rsid w:val="00FD0314"/>
    <w:rsid w:val="00FD369F"/>
    <w:rsid w:val="00FD3B88"/>
    <w:rsid w:val="00FD4CAD"/>
    <w:rsid w:val="00FE1322"/>
    <w:rsid w:val="00FE1E11"/>
    <w:rsid w:val="00FE1F64"/>
    <w:rsid w:val="00FE47EB"/>
    <w:rsid w:val="00FE60A1"/>
    <w:rsid w:val="00FF27E3"/>
    <w:rsid w:val="00FF2A45"/>
    <w:rsid w:val="00FF3720"/>
    <w:rsid w:val="00FF3EBF"/>
    <w:rsid w:val="00FF5099"/>
    <w:rsid w:val="00FF70AC"/>
    <w:rsid w:val="018C0B80"/>
    <w:rsid w:val="01E799FF"/>
    <w:rsid w:val="0316B481"/>
    <w:rsid w:val="031BA188"/>
    <w:rsid w:val="03EBBB73"/>
    <w:rsid w:val="04659989"/>
    <w:rsid w:val="04979E91"/>
    <w:rsid w:val="04F3FC0D"/>
    <w:rsid w:val="05A2515F"/>
    <w:rsid w:val="05F53011"/>
    <w:rsid w:val="06B72ABB"/>
    <w:rsid w:val="0743CF16"/>
    <w:rsid w:val="074CFA0E"/>
    <w:rsid w:val="0770B450"/>
    <w:rsid w:val="078CF73E"/>
    <w:rsid w:val="07A06723"/>
    <w:rsid w:val="07D69350"/>
    <w:rsid w:val="07DB8A27"/>
    <w:rsid w:val="080CB580"/>
    <w:rsid w:val="087B03E2"/>
    <w:rsid w:val="08860661"/>
    <w:rsid w:val="08F304CA"/>
    <w:rsid w:val="090BCD19"/>
    <w:rsid w:val="090C2805"/>
    <w:rsid w:val="09F35C54"/>
    <w:rsid w:val="0A4FFA8F"/>
    <w:rsid w:val="0B278674"/>
    <w:rsid w:val="0BE6D671"/>
    <w:rsid w:val="0C0F3A5C"/>
    <w:rsid w:val="0C579A98"/>
    <w:rsid w:val="0C627940"/>
    <w:rsid w:val="0CAE1491"/>
    <w:rsid w:val="0D247D63"/>
    <w:rsid w:val="0D518BB6"/>
    <w:rsid w:val="0E0B48ED"/>
    <w:rsid w:val="0E29FC5B"/>
    <w:rsid w:val="0E4A1901"/>
    <w:rsid w:val="0E54BFF1"/>
    <w:rsid w:val="0E8FA62F"/>
    <w:rsid w:val="10D8B4D6"/>
    <w:rsid w:val="1111D288"/>
    <w:rsid w:val="111C520F"/>
    <w:rsid w:val="11577FCF"/>
    <w:rsid w:val="116FAB12"/>
    <w:rsid w:val="118C02F0"/>
    <w:rsid w:val="125485FD"/>
    <w:rsid w:val="12579D78"/>
    <w:rsid w:val="126E7D1B"/>
    <w:rsid w:val="127A9FA9"/>
    <w:rsid w:val="12983435"/>
    <w:rsid w:val="12D4CAFE"/>
    <w:rsid w:val="12D82402"/>
    <w:rsid w:val="12F9CD6F"/>
    <w:rsid w:val="1356CB56"/>
    <w:rsid w:val="140A4D7C"/>
    <w:rsid w:val="140B5C2D"/>
    <w:rsid w:val="143878DF"/>
    <w:rsid w:val="14B3604C"/>
    <w:rsid w:val="14EDD65A"/>
    <w:rsid w:val="150467E5"/>
    <w:rsid w:val="15A321FD"/>
    <w:rsid w:val="165E98B7"/>
    <w:rsid w:val="167BC41F"/>
    <w:rsid w:val="16D8870F"/>
    <w:rsid w:val="16DDB6EA"/>
    <w:rsid w:val="1735F30D"/>
    <w:rsid w:val="19846DE9"/>
    <w:rsid w:val="1A26B29B"/>
    <w:rsid w:val="1A7850C3"/>
    <w:rsid w:val="1A7C13DE"/>
    <w:rsid w:val="1A8F25AB"/>
    <w:rsid w:val="1B45B36B"/>
    <w:rsid w:val="1B77AB99"/>
    <w:rsid w:val="1BB75A6B"/>
    <w:rsid w:val="1C2AB7BD"/>
    <w:rsid w:val="1C876813"/>
    <w:rsid w:val="1CD34F72"/>
    <w:rsid w:val="1D2C27DE"/>
    <w:rsid w:val="1D45E081"/>
    <w:rsid w:val="1DD5F5A6"/>
    <w:rsid w:val="1EC2B5DB"/>
    <w:rsid w:val="1EC856D4"/>
    <w:rsid w:val="2011EF62"/>
    <w:rsid w:val="210C3185"/>
    <w:rsid w:val="2141DB23"/>
    <w:rsid w:val="21593345"/>
    <w:rsid w:val="21702B6E"/>
    <w:rsid w:val="21869906"/>
    <w:rsid w:val="21AE2A7E"/>
    <w:rsid w:val="21DD33E4"/>
    <w:rsid w:val="2268AA0D"/>
    <w:rsid w:val="22ED907C"/>
    <w:rsid w:val="22F7B411"/>
    <w:rsid w:val="24C9CEC2"/>
    <w:rsid w:val="25F132FD"/>
    <w:rsid w:val="2696DC3D"/>
    <w:rsid w:val="2700955A"/>
    <w:rsid w:val="2745B537"/>
    <w:rsid w:val="2788EFC7"/>
    <w:rsid w:val="27AF7994"/>
    <w:rsid w:val="27F5D938"/>
    <w:rsid w:val="2805D1E8"/>
    <w:rsid w:val="286AD0A4"/>
    <w:rsid w:val="287A436F"/>
    <w:rsid w:val="29CE40C5"/>
    <w:rsid w:val="2A416972"/>
    <w:rsid w:val="2A5DD627"/>
    <w:rsid w:val="2A8BD9AB"/>
    <w:rsid w:val="2AD43563"/>
    <w:rsid w:val="2B298D9D"/>
    <w:rsid w:val="2B7CB249"/>
    <w:rsid w:val="2B7F7C5E"/>
    <w:rsid w:val="2BE15228"/>
    <w:rsid w:val="2C716773"/>
    <w:rsid w:val="2C7A88DA"/>
    <w:rsid w:val="2CC88183"/>
    <w:rsid w:val="2CEA03A1"/>
    <w:rsid w:val="2DE93CA7"/>
    <w:rsid w:val="2E87485A"/>
    <w:rsid w:val="2F22496B"/>
    <w:rsid w:val="30684C27"/>
    <w:rsid w:val="30D1F8BC"/>
    <w:rsid w:val="30DC700F"/>
    <w:rsid w:val="3107BE64"/>
    <w:rsid w:val="31232CD0"/>
    <w:rsid w:val="31DA16E2"/>
    <w:rsid w:val="32061CE7"/>
    <w:rsid w:val="32070761"/>
    <w:rsid w:val="327504D5"/>
    <w:rsid w:val="332A4233"/>
    <w:rsid w:val="3367E3A0"/>
    <w:rsid w:val="33DB7528"/>
    <w:rsid w:val="345CB105"/>
    <w:rsid w:val="354EBB68"/>
    <w:rsid w:val="35E93E29"/>
    <w:rsid w:val="366C0EF8"/>
    <w:rsid w:val="369312FF"/>
    <w:rsid w:val="36F25246"/>
    <w:rsid w:val="37FEF097"/>
    <w:rsid w:val="384CEEBF"/>
    <w:rsid w:val="390959B5"/>
    <w:rsid w:val="39162A6C"/>
    <w:rsid w:val="395B8E8B"/>
    <w:rsid w:val="397A041D"/>
    <w:rsid w:val="399D0833"/>
    <w:rsid w:val="39A0835E"/>
    <w:rsid w:val="3A3AD532"/>
    <w:rsid w:val="3A5783E0"/>
    <w:rsid w:val="3A890EBE"/>
    <w:rsid w:val="3AE51B42"/>
    <w:rsid w:val="3B1A834E"/>
    <w:rsid w:val="3B2FA3DE"/>
    <w:rsid w:val="3B464CAA"/>
    <w:rsid w:val="3BCAB05D"/>
    <w:rsid w:val="3C6AB25B"/>
    <w:rsid w:val="3CC85EFB"/>
    <w:rsid w:val="3D149C90"/>
    <w:rsid w:val="3D17AC31"/>
    <w:rsid w:val="3D18DD94"/>
    <w:rsid w:val="3D242F11"/>
    <w:rsid w:val="3D84643F"/>
    <w:rsid w:val="3D86E941"/>
    <w:rsid w:val="3D870ACE"/>
    <w:rsid w:val="3E328A62"/>
    <w:rsid w:val="3EB970AA"/>
    <w:rsid w:val="3ED0E4DD"/>
    <w:rsid w:val="3F33E247"/>
    <w:rsid w:val="3F41045A"/>
    <w:rsid w:val="3FCCAEE4"/>
    <w:rsid w:val="41A62321"/>
    <w:rsid w:val="41C0F462"/>
    <w:rsid w:val="41DFCACD"/>
    <w:rsid w:val="41F7AD1B"/>
    <w:rsid w:val="4254BA17"/>
    <w:rsid w:val="425BE5E9"/>
    <w:rsid w:val="42732104"/>
    <w:rsid w:val="427C03D9"/>
    <w:rsid w:val="42DC4E47"/>
    <w:rsid w:val="42ED05F9"/>
    <w:rsid w:val="42EE9990"/>
    <w:rsid w:val="42F1F38F"/>
    <w:rsid w:val="43708A32"/>
    <w:rsid w:val="438BF5A7"/>
    <w:rsid w:val="4461EBA3"/>
    <w:rsid w:val="44632F8E"/>
    <w:rsid w:val="44E892B6"/>
    <w:rsid w:val="452AAAAB"/>
    <w:rsid w:val="452E995C"/>
    <w:rsid w:val="458BDDDD"/>
    <w:rsid w:val="45A295E5"/>
    <w:rsid w:val="464395F6"/>
    <w:rsid w:val="46D75AF7"/>
    <w:rsid w:val="4763F6D1"/>
    <w:rsid w:val="4790151F"/>
    <w:rsid w:val="4791B332"/>
    <w:rsid w:val="485F1FDA"/>
    <w:rsid w:val="4872D567"/>
    <w:rsid w:val="48BF234A"/>
    <w:rsid w:val="4912F738"/>
    <w:rsid w:val="49D84975"/>
    <w:rsid w:val="49F60A4A"/>
    <w:rsid w:val="49FE8C1A"/>
    <w:rsid w:val="4A10E897"/>
    <w:rsid w:val="4A62E3E4"/>
    <w:rsid w:val="4A842499"/>
    <w:rsid w:val="4B1041B0"/>
    <w:rsid w:val="4B485DAA"/>
    <w:rsid w:val="4B5E65BB"/>
    <w:rsid w:val="4C0A2D32"/>
    <w:rsid w:val="4C50502F"/>
    <w:rsid w:val="4D4E34F6"/>
    <w:rsid w:val="4D54672A"/>
    <w:rsid w:val="4D7B5CF6"/>
    <w:rsid w:val="4DC33941"/>
    <w:rsid w:val="4E250FF4"/>
    <w:rsid w:val="4E46522D"/>
    <w:rsid w:val="4EB5FF4B"/>
    <w:rsid w:val="4FA327B2"/>
    <w:rsid w:val="5003A28F"/>
    <w:rsid w:val="500DA013"/>
    <w:rsid w:val="503DF2CF"/>
    <w:rsid w:val="5047A4E9"/>
    <w:rsid w:val="50D8ED6C"/>
    <w:rsid w:val="50FE841F"/>
    <w:rsid w:val="51829632"/>
    <w:rsid w:val="51CA04D3"/>
    <w:rsid w:val="5204EAB1"/>
    <w:rsid w:val="528E2CA2"/>
    <w:rsid w:val="52A9BCAB"/>
    <w:rsid w:val="52C8F746"/>
    <w:rsid w:val="539631AB"/>
    <w:rsid w:val="53D22A7F"/>
    <w:rsid w:val="53DDC459"/>
    <w:rsid w:val="542B5A4D"/>
    <w:rsid w:val="54C91FC6"/>
    <w:rsid w:val="55993A55"/>
    <w:rsid w:val="55A60BDC"/>
    <w:rsid w:val="55B329DE"/>
    <w:rsid w:val="55BCBAC7"/>
    <w:rsid w:val="55C269AC"/>
    <w:rsid w:val="55FF9351"/>
    <w:rsid w:val="5651D699"/>
    <w:rsid w:val="5670A7F1"/>
    <w:rsid w:val="567B55A2"/>
    <w:rsid w:val="5696512D"/>
    <w:rsid w:val="56C9AE37"/>
    <w:rsid w:val="56DD97B8"/>
    <w:rsid w:val="57719B3E"/>
    <w:rsid w:val="57ED3A05"/>
    <w:rsid w:val="58983165"/>
    <w:rsid w:val="58C30C1A"/>
    <w:rsid w:val="58DE0FAA"/>
    <w:rsid w:val="5974F3D1"/>
    <w:rsid w:val="59968983"/>
    <w:rsid w:val="59B8E6F2"/>
    <w:rsid w:val="59E6D58E"/>
    <w:rsid w:val="5A0A7FE9"/>
    <w:rsid w:val="5A4D9E01"/>
    <w:rsid w:val="5AA55D41"/>
    <w:rsid w:val="5AB805FB"/>
    <w:rsid w:val="5AE28FFB"/>
    <w:rsid w:val="5B1A1CC7"/>
    <w:rsid w:val="5B56F9C0"/>
    <w:rsid w:val="5BEC6CFB"/>
    <w:rsid w:val="5C13526C"/>
    <w:rsid w:val="5C3E55BE"/>
    <w:rsid w:val="5C5E1F0D"/>
    <w:rsid w:val="5C680CAD"/>
    <w:rsid w:val="5C80C7CC"/>
    <w:rsid w:val="5C9E67AF"/>
    <w:rsid w:val="5CC0B611"/>
    <w:rsid w:val="5D150D43"/>
    <w:rsid w:val="5D20DCFD"/>
    <w:rsid w:val="5D3A0B9A"/>
    <w:rsid w:val="5E2BDBD1"/>
    <w:rsid w:val="5E30C7E0"/>
    <w:rsid w:val="5E4A1D38"/>
    <w:rsid w:val="5F1ED42E"/>
    <w:rsid w:val="5FA90C11"/>
    <w:rsid w:val="5FD35FA3"/>
    <w:rsid w:val="60758BCC"/>
    <w:rsid w:val="60BAA48F"/>
    <w:rsid w:val="6117286E"/>
    <w:rsid w:val="614F7903"/>
    <w:rsid w:val="6173BAC5"/>
    <w:rsid w:val="61850510"/>
    <w:rsid w:val="61E99289"/>
    <w:rsid w:val="627F7E25"/>
    <w:rsid w:val="6296E793"/>
    <w:rsid w:val="63AD5256"/>
    <w:rsid w:val="6438C7AC"/>
    <w:rsid w:val="6512D20C"/>
    <w:rsid w:val="66103B97"/>
    <w:rsid w:val="664B8EB4"/>
    <w:rsid w:val="66D321EA"/>
    <w:rsid w:val="67062D9C"/>
    <w:rsid w:val="688B4FAA"/>
    <w:rsid w:val="68FC8473"/>
    <w:rsid w:val="69ABB91D"/>
    <w:rsid w:val="6A891A15"/>
    <w:rsid w:val="6B3D57D1"/>
    <w:rsid w:val="6B62F481"/>
    <w:rsid w:val="6B68D8C6"/>
    <w:rsid w:val="6B720D35"/>
    <w:rsid w:val="6BA03AAF"/>
    <w:rsid w:val="6BABE9CA"/>
    <w:rsid w:val="6BBB3768"/>
    <w:rsid w:val="6BCA2997"/>
    <w:rsid w:val="6BCDDDA4"/>
    <w:rsid w:val="6C74B2BE"/>
    <w:rsid w:val="6C757ECF"/>
    <w:rsid w:val="6D230EDE"/>
    <w:rsid w:val="6E2FFC2A"/>
    <w:rsid w:val="6EAB7989"/>
    <w:rsid w:val="6F51F0ED"/>
    <w:rsid w:val="6F65C5D3"/>
    <w:rsid w:val="6FAA40DD"/>
    <w:rsid w:val="6FCEEE56"/>
    <w:rsid w:val="703C3059"/>
    <w:rsid w:val="7082B67C"/>
    <w:rsid w:val="708BEA67"/>
    <w:rsid w:val="712684CF"/>
    <w:rsid w:val="72C661CC"/>
    <w:rsid w:val="72DFA34D"/>
    <w:rsid w:val="732764A4"/>
    <w:rsid w:val="736D6E1F"/>
    <w:rsid w:val="73F97A90"/>
    <w:rsid w:val="7437AD74"/>
    <w:rsid w:val="744D291C"/>
    <w:rsid w:val="74EC6138"/>
    <w:rsid w:val="74F9A4FA"/>
    <w:rsid w:val="7551803C"/>
    <w:rsid w:val="75A76FE5"/>
    <w:rsid w:val="75F4363A"/>
    <w:rsid w:val="7603736E"/>
    <w:rsid w:val="77727856"/>
    <w:rsid w:val="77FAEBF8"/>
    <w:rsid w:val="7806A5CE"/>
    <w:rsid w:val="781931AE"/>
    <w:rsid w:val="782AD2A1"/>
    <w:rsid w:val="783E8C28"/>
    <w:rsid w:val="789E6DD9"/>
    <w:rsid w:val="78C583A3"/>
    <w:rsid w:val="7976DAE9"/>
    <w:rsid w:val="79873C70"/>
    <w:rsid w:val="79A5CFE6"/>
    <w:rsid w:val="79A78C9C"/>
    <w:rsid w:val="79FE24A8"/>
    <w:rsid w:val="7A55DB95"/>
    <w:rsid w:val="7A732724"/>
    <w:rsid w:val="7AD5509F"/>
    <w:rsid w:val="7B070248"/>
    <w:rsid w:val="7B4C9192"/>
    <w:rsid w:val="7C1206EB"/>
    <w:rsid w:val="7C1BBCF0"/>
    <w:rsid w:val="7C4855A9"/>
    <w:rsid w:val="7C885D9F"/>
    <w:rsid w:val="7C9EEA3B"/>
    <w:rsid w:val="7CA4A247"/>
    <w:rsid w:val="7CAD7BA6"/>
    <w:rsid w:val="7D16C19D"/>
    <w:rsid w:val="7D1DF0ED"/>
    <w:rsid w:val="7D2699C1"/>
    <w:rsid w:val="7D65A346"/>
    <w:rsid w:val="7E8C4DC4"/>
    <w:rsid w:val="7F101955"/>
    <w:rsid w:val="7F9B578F"/>
    <w:rsid w:val="7FC769D9"/>
    <w:rsid w:val="7FF59B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3A47"/>
  <w15:chartTrackingRefBased/>
  <w15:docId w15:val="{1DCF12E5-4D43-42C3-AC4C-7A641E5D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CB"/>
    <w:pPr>
      <w:spacing w:after="0" w:line="252"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53DB5"/>
  </w:style>
  <w:style w:type="character" w:customStyle="1" w:styleId="eop">
    <w:name w:val="eop"/>
    <w:basedOn w:val="DefaultParagraphFont"/>
    <w:rsid w:val="001F26D0"/>
  </w:style>
  <w:style w:type="paragraph" w:customStyle="1" w:styleId="paragraph">
    <w:name w:val="paragraph"/>
    <w:basedOn w:val="Normal"/>
    <w:rsid w:val="001F26D0"/>
    <w:pPr>
      <w:spacing w:before="100" w:beforeAutospacing="1" w:after="100" w:afterAutospacing="1" w:line="240" w:lineRule="auto"/>
    </w:pPr>
    <w:rPr>
      <w:rFonts w:eastAsia="Times New Roman" w:cs="Times New Roman"/>
      <w:szCs w:val="24"/>
      <w:lang w:eastAsia="en-AU"/>
    </w:rPr>
  </w:style>
  <w:style w:type="paragraph" w:styleId="Revision">
    <w:name w:val="Revision"/>
    <w:hidden/>
    <w:uiPriority w:val="99"/>
    <w:semiHidden/>
    <w:rsid w:val="009F3D16"/>
    <w:pPr>
      <w:spacing w:after="0" w:line="240" w:lineRule="auto"/>
    </w:pPr>
    <w:rPr>
      <w:rFonts w:ascii="Times New Roman" w:hAnsi="Times New Roman"/>
      <w:kern w:val="0"/>
      <w:sz w:val="24"/>
      <w14:ligatures w14:val="none"/>
    </w:rPr>
  </w:style>
  <w:style w:type="character" w:customStyle="1" w:styleId="scxw201209267">
    <w:name w:val="scxw201209267"/>
    <w:basedOn w:val="DefaultParagraphFont"/>
    <w:rsid w:val="00A86A2F"/>
  </w:style>
  <w:style w:type="paragraph" w:styleId="Header">
    <w:name w:val="header"/>
    <w:basedOn w:val="Normal"/>
    <w:link w:val="HeaderChar"/>
    <w:uiPriority w:val="99"/>
    <w:unhideWhenUsed/>
    <w:rsid w:val="009242D9"/>
    <w:pPr>
      <w:tabs>
        <w:tab w:val="center" w:pos="4513"/>
        <w:tab w:val="right" w:pos="9026"/>
      </w:tabs>
      <w:spacing w:line="240" w:lineRule="auto"/>
    </w:pPr>
  </w:style>
  <w:style w:type="character" w:customStyle="1" w:styleId="HeaderChar">
    <w:name w:val="Header Char"/>
    <w:basedOn w:val="DefaultParagraphFont"/>
    <w:link w:val="Header"/>
    <w:uiPriority w:val="99"/>
    <w:rsid w:val="009242D9"/>
    <w:rPr>
      <w:rFonts w:ascii="Times New Roman" w:hAnsi="Times New Roman"/>
      <w:kern w:val="0"/>
      <w:sz w:val="24"/>
      <w14:ligatures w14:val="none"/>
    </w:rPr>
  </w:style>
  <w:style w:type="paragraph" w:styleId="Footer">
    <w:name w:val="footer"/>
    <w:basedOn w:val="Normal"/>
    <w:link w:val="FooterChar"/>
    <w:uiPriority w:val="99"/>
    <w:unhideWhenUsed/>
    <w:rsid w:val="009242D9"/>
    <w:pPr>
      <w:tabs>
        <w:tab w:val="center" w:pos="4513"/>
        <w:tab w:val="right" w:pos="9026"/>
      </w:tabs>
      <w:spacing w:line="240" w:lineRule="auto"/>
    </w:pPr>
  </w:style>
  <w:style w:type="character" w:customStyle="1" w:styleId="FooterChar">
    <w:name w:val="Footer Char"/>
    <w:basedOn w:val="DefaultParagraphFont"/>
    <w:link w:val="Footer"/>
    <w:uiPriority w:val="99"/>
    <w:rsid w:val="009242D9"/>
    <w:rPr>
      <w:rFonts w:ascii="Times New Roman" w:hAnsi="Times New Roman"/>
      <w:kern w:val="0"/>
      <w:sz w:val="24"/>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36D22"/>
    <w:rPr>
      <w:b/>
      <w:bCs/>
    </w:rPr>
  </w:style>
  <w:style w:type="character" w:customStyle="1" w:styleId="CommentSubjectChar">
    <w:name w:val="Comment Subject Char"/>
    <w:basedOn w:val="CommentTextChar"/>
    <w:link w:val="CommentSubject"/>
    <w:uiPriority w:val="99"/>
    <w:semiHidden/>
    <w:rsid w:val="00836D22"/>
    <w:rPr>
      <w:rFonts w:ascii="Times New Roman" w:hAnsi="Times New Roman"/>
      <w:b/>
      <w:bCs/>
      <w:kern w:val="0"/>
      <w:sz w:val="20"/>
      <w:szCs w:val="20"/>
      <w14:ligatures w14:val="none"/>
    </w:rPr>
  </w:style>
  <w:style w:type="character" w:customStyle="1" w:styleId="CharDivText">
    <w:name w:val="CharDivText"/>
    <w:basedOn w:val="DefaultParagraphFont"/>
    <w:uiPriority w:val="1"/>
    <w:rsid w:val="48BF234A"/>
    <w:rPr>
      <w:rFonts w:ascii="Times New Roman" w:eastAsiaTheme="minorEastAsia" w:hAnsi="Times New Roman" w:cstheme="minorBidi"/>
      <w:lang w:val="en-AU" w:eastAsia="en-US" w:bidi="ar-SA"/>
    </w:rPr>
  </w:style>
  <w:style w:type="paragraph" w:styleId="BalloonText">
    <w:name w:val="Balloon Text"/>
    <w:basedOn w:val="Normal"/>
    <w:link w:val="BalloonTextChar"/>
    <w:uiPriority w:val="99"/>
    <w:semiHidden/>
    <w:unhideWhenUsed/>
    <w:rsid w:val="00FE1F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F64"/>
    <w:rPr>
      <w:rFonts w:ascii="Segoe UI" w:hAnsi="Segoe UI" w:cs="Segoe UI"/>
      <w:kern w:val="0"/>
      <w:sz w:val="18"/>
      <w:szCs w:val="18"/>
      <w14:ligatures w14:val="none"/>
    </w:rPr>
  </w:style>
  <w:style w:type="paragraph" w:styleId="FootnoteText">
    <w:name w:val="footnote text"/>
    <w:basedOn w:val="Normal"/>
    <w:link w:val="FootnoteTextChar"/>
    <w:uiPriority w:val="99"/>
    <w:unhideWhenUsed/>
    <w:qFormat/>
    <w:rsid w:val="00FE1F64"/>
    <w:pPr>
      <w:spacing w:line="240" w:lineRule="auto"/>
    </w:pPr>
    <w:rPr>
      <w:rFonts w:asciiTheme="minorHAnsi" w:eastAsia="Times New Roman" w:hAnsiTheme="minorHAnsi" w:cs="Times New Roman"/>
      <w:sz w:val="20"/>
      <w:szCs w:val="20"/>
    </w:rPr>
  </w:style>
  <w:style w:type="character" w:customStyle="1" w:styleId="FootnoteTextChar">
    <w:name w:val="Footnote Text Char"/>
    <w:basedOn w:val="DefaultParagraphFont"/>
    <w:link w:val="FootnoteText"/>
    <w:uiPriority w:val="99"/>
    <w:rsid w:val="00FE1F64"/>
    <w:rPr>
      <w:rFonts w:eastAsia="Times New Roman" w:cs="Times New Roman"/>
      <w:kern w:val="0"/>
      <w:sz w:val="20"/>
      <w:szCs w:val="20"/>
      <w14:ligatures w14:val="none"/>
    </w:rPr>
  </w:style>
  <w:style w:type="character" w:styleId="FootnoteReference">
    <w:name w:val="footnote reference"/>
    <w:uiPriority w:val="99"/>
    <w:unhideWhenUsed/>
    <w:rsid w:val="00FE1F64"/>
    <w:rPr>
      <w:rFonts w:asciiTheme="minorHAnsi" w:hAnsiTheme="minorHAnsi"/>
      <w:color w:val="7F7F7F" w:themeColor="text1" w:themeTint="80"/>
      <w:vertAlign w:val="superscript"/>
      <w:lang w:eastAsia="en-AU"/>
    </w:rPr>
  </w:style>
  <w:style w:type="character" w:styleId="Mention">
    <w:name w:val="Mention"/>
    <w:basedOn w:val="DefaultParagraphFont"/>
    <w:uiPriority w:val="99"/>
    <w:unhideWhenUsed/>
    <w:rsid w:val="00FE1F64"/>
    <w:rPr>
      <w:color w:val="2B579A"/>
      <w:shd w:val="clear" w:color="auto" w:fill="E1DFDD"/>
    </w:rPr>
  </w:style>
  <w:style w:type="character" w:styleId="Strong">
    <w:name w:val="Strong"/>
    <w:basedOn w:val="DefaultParagraphFont"/>
    <w:uiPriority w:val="22"/>
    <w:qFormat/>
    <w:rsid w:val="0094075A"/>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139418">
      <w:bodyDiv w:val="1"/>
      <w:marLeft w:val="0"/>
      <w:marRight w:val="0"/>
      <w:marTop w:val="0"/>
      <w:marBottom w:val="0"/>
      <w:divBdr>
        <w:top w:val="none" w:sz="0" w:space="0" w:color="auto"/>
        <w:left w:val="none" w:sz="0" w:space="0" w:color="auto"/>
        <w:bottom w:val="none" w:sz="0" w:space="0" w:color="auto"/>
        <w:right w:val="none" w:sz="0" w:space="0" w:color="auto"/>
      </w:divBdr>
      <w:divsChild>
        <w:div w:id="91165659">
          <w:marLeft w:val="0"/>
          <w:marRight w:val="0"/>
          <w:marTop w:val="0"/>
          <w:marBottom w:val="0"/>
          <w:divBdr>
            <w:top w:val="none" w:sz="0" w:space="0" w:color="auto"/>
            <w:left w:val="none" w:sz="0" w:space="0" w:color="auto"/>
            <w:bottom w:val="none" w:sz="0" w:space="0" w:color="auto"/>
            <w:right w:val="none" w:sz="0" w:space="0" w:color="auto"/>
          </w:divBdr>
        </w:div>
        <w:div w:id="167790650">
          <w:marLeft w:val="0"/>
          <w:marRight w:val="0"/>
          <w:marTop w:val="0"/>
          <w:marBottom w:val="0"/>
          <w:divBdr>
            <w:top w:val="none" w:sz="0" w:space="0" w:color="auto"/>
            <w:left w:val="none" w:sz="0" w:space="0" w:color="auto"/>
            <w:bottom w:val="none" w:sz="0" w:space="0" w:color="auto"/>
            <w:right w:val="none" w:sz="0" w:space="0" w:color="auto"/>
          </w:divBdr>
        </w:div>
        <w:div w:id="556085161">
          <w:marLeft w:val="0"/>
          <w:marRight w:val="0"/>
          <w:marTop w:val="0"/>
          <w:marBottom w:val="0"/>
          <w:divBdr>
            <w:top w:val="none" w:sz="0" w:space="0" w:color="auto"/>
            <w:left w:val="none" w:sz="0" w:space="0" w:color="auto"/>
            <w:bottom w:val="none" w:sz="0" w:space="0" w:color="auto"/>
            <w:right w:val="none" w:sz="0" w:space="0" w:color="auto"/>
          </w:divBdr>
        </w:div>
        <w:div w:id="665397316">
          <w:marLeft w:val="0"/>
          <w:marRight w:val="0"/>
          <w:marTop w:val="0"/>
          <w:marBottom w:val="0"/>
          <w:divBdr>
            <w:top w:val="none" w:sz="0" w:space="0" w:color="auto"/>
            <w:left w:val="none" w:sz="0" w:space="0" w:color="auto"/>
            <w:bottom w:val="none" w:sz="0" w:space="0" w:color="auto"/>
            <w:right w:val="none" w:sz="0" w:space="0" w:color="auto"/>
          </w:divBdr>
        </w:div>
        <w:div w:id="1081833202">
          <w:marLeft w:val="0"/>
          <w:marRight w:val="0"/>
          <w:marTop w:val="0"/>
          <w:marBottom w:val="0"/>
          <w:divBdr>
            <w:top w:val="none" w:sz="0" w:space="0" w:color="auto"/>
            <w:left w:val="none" w:sz="0" w:space="0" w:color="auto"/>
            <w:bottom w:val="none" w:sz="0" w:space="0" w:color="auto"/>
            <w:right w:val="none" w:sz="0" w:space="0" w:color="auto"/>
          </w:divBdr>
        </w:div>
        <w:div w:id="1095705336">
          <w:marLeft w:val="0"/>
          <w:marRight w:val="0"/>
          <w:marTop w:val="0"/>
          <w:marBottom w:val="0"/>
          <w:divBdr>
            <w:top w:val="none" w:sz="0" w:space="0" w:color="auto"/>
            <w:left w:val="none" w:sz="0" w:space="0" w:color="auto"/>
            <w:bottom w:val="none" w:sz="0" w:space="0" w:color="auto"/>
            <w:right w:val="none" w:sz="0" w:space="0" w:color="auto"/>
          </w:divBdr>
        </w:div>
        <w:div w:id="1129208534">
          <w:marLeft w:val="0"/>
          <w:marRight w:val="0"/>
          <w:marTop w:val="0"/>
          <w:marBottom w:val="0"/>
          <w:divBdr>
            <w:top w:val="none" w:sz="0" w:space="0" w:color="auto"/>
            <w:left w:val="none" w:sz="0" w:space="0" w:color="auto"/>
            <w:bottom w:val="none" w:sz="0" w:space="0" w:color="auto"/>
            <w:right w:val="none" w:sz="0" w:space="0" w:color="auto"/>
          </w:divBdr>
        </w:div>
        <w:div w:id="1476334760">
          <w:marLeft w:val="0"/>
          <w:marRight w:val="0"/>
          <w:marTop w:val="0"/>
          <w:marBottom w:val="0"/>
          <w:divBdr>
            <w:top w:val="none" w:sz="0" w:space="0" w:color="auto"/>
            <w:left w:val="none" w:sz="0" w:space="0" w:color="auto"/>
            <w:bottom w:val="none" w:sz="0" w:space="0" w:color="auto"/>
            <w:right w:val="none" w:sz="0" w:space="0" w:color="auto"/>
          </w:divBdr>
        </w:div>
        <w:div w:id="1478297336">
          <w:marLeft w:val="0"/>
          <w:marRight w:val="0"/>
          <w:marTop w:val="0"/>
          <w:marBottom w:val="0"/>
          <w:divBdr>
            <w:top w:val="none" w:sz="0" w:space="0" w:color="auto"/>
            <w:left w:val="none" w:sz="0" w:space="0" w:color="auto"/>
            <w:bottom w:val="none" w:sz="0" w:space="0" w:color="auto"/>
            <w:right w:val="none" w:sz="0" w:space="0" w:color="auto"/>
          </w:divBdr>
        </w:div>
        <w:div w:id="1486627309">
          <w:marLeft w:val="0"/>
          <w:marRight w:val="0"/>
          <w:marTop w:val="0"/>
          <w:marBottom w:val="0"/>
          <w:divBdr>
            <w:top w:val="none" w:sz="0" w:space="0" w:color="auto"/>
            <w:left w:val="none" w:sz="0" w:space="0" w:color="auto"/>
            <w:bottom w:val="none" w:sz="0" w:space="0" w:color="auto"/>
            <w:right w:val="none" w:sz="0" w:space="0" w:color="auto"/>
          </w:divBdr>
        </w:div>
        <w:div w:id="1595284289">
          <w:marLeft w:val="0"/>
          <w:marRight w:val="0"/>
          <w:marTop w:val="0"/>
          <w:marBottom w:val="0"/>
          <w:divBdr>
            <w:top w:val="none" w:sz="0" w:space="0" w:color="auto"/>
            <w:left w:val="none" w:sz="0" w:space="0" w:color="auto"/>
            <w:bottom w:val="none" w:sz="0" w:space="0" w:color="auto"/>
            <w:right w:val="none" w:sz="0" w:space="0" w:color="auto"/>
          </w:divBdr>
        </w:div>
        <w:div w:id="1877739904">
          <w:marLeft w:val="0"/>
          <w:marRight w:val="0"/>
          <w:marTop w:val="0"/>
          <w:marBottom w:val="0"/>
          <w:divBdr>
            <w:top w:val="none" w:sz="0" w:space="0" w:color="auto"/>
            <w:left w:val="none" w:sz="0" w:space="0" w:color="auto"/>
            <w:bottom w:val="none" w:sz="0" w:space="0" w:color="auto"/>
            <w:right w:val="none" w:sz="0" w:space="0" w:color="auto"/>
          </w:divBdr>
        </w:div>
        <w:div w:id="1987539491">
          <w:marLeft w:val="0"/>
          <w:marRight w:val="0"/>
          <w:marTop w:val="0"/>
          <w:marBottom w:val="0"/>
          <w:divBdr>
            <w:top w:val="none" w:sz="0" w:space="0" w:color="auto"/>
            <w:left w:val="none" w:sz="0" w:space="0" w:color="auto"/>
            <w:bottom w:val="none" w:sz="0" w:space="0" w:color="auto"/>
            <w:right w:val="none" w:sz="0" w:space="0" w:color="auto"/>
          </w:divBdr>
        </w:div>
        <w:div w:id="2092237876">
          <w:marLeft w:val="0"/>
          <w:marRight w:val="0"/>
          <w:marTop w:val="0"/>
          <w:marBottom w:val="0"/>
          <w:divBdr>
            <w:top w:val="none" w:sz="0" w:space="0" w:color="auto"/>
            <w:left w:val="none" w:sz="0" w:space="0" w:color="auto"/>
            <w:bottom w:val="none" w:sz="0" w:space="0" w:color="auto"/>
            <w:right w:val="none" w:sz="0" w:space="0" w:color="auto"/>
          </w:divBdr>
        </w:div>
        <w:div w:id="2115393424">
          <w:marLeft w:val="0"/>
          <w:marRight w:val="0"/>
          <w:marTop w:val="0"/>
          <w:marBottom w:val="0"/>
          <w:divBdr>
            <w:top w:val="none" w:sz="0" w:space="0" w:color="auto"/>
            <w:left w:val="none" w:sz="0" w:space="0" w:color="auto"/>
            <w:bottom w:val="none" w:sz="0" w:space="0" w:color="auto"/>
            <w:right w:val="none" w:sz="0" w:space="0" w:color="auto"/>
          </w:divBdr>
        </w:div>
        <w:div w:id="2132087063">
          <w:marLeft w:val="0"/>
          <w:marRight w:val="0"/>
          <w:marTop w:val="0"/>
          <w:marBottom w:val="0"/>
          <w:divBdr>
            <w:top w:val="none" w:sz="0" w:space="0" w:color="auto"/>
            <w:left w:val="none" w:sz="0" w:space="0" w:color="auto"/>
            <w:bottom w:val="none" w:sz="0" w:space="0" w:color="auto"/>
            <w:right w:val="none" w:sz="0" w:space="0" w:color="auto"/>
          </w:divBdr>
        </w:div>
      </w:divsChild>
    </w:div>
    <w:div w:id="672030281">
      <w:bodyDiv w:val="1"/>
      <w:marLeft w:val="0"/>
      <w:marRight w:val="0"/>
      <w:marTop w:val="0"/>
      <w:marBottom w:val="0"/>
      <w:divBdr>
        <w:top w:val="none" w:sz="0" w:space="0" w:color="auto"/>
        <w:left w:val="none" w:sz="0" w:space="0" w:color="auto"/>
        <w:bottom w:val="none" w:sz="0" w:space="0" w:color="auto"/>
        <w:right w:val="none" w:sz="0" w:space="0" w:color="auto"/>
      </w:divBdr>
      <w:divsChild>
        <w:div w:id="310866773">
          <w:marLeft w:val="0"/>
          <w:marRight w:val="0"/>
          <w:marTop w:val="0"/>
          <w:marBottom w:val="0"/>
          <w:divBdr>
            <w:top w:val="none" w:sz="0" w:space="0" w:color="auto"/>
            <w:left w:val="none" w:sz="0" w:space="0" w:color="auto"/>
            <w:bottom w:val="none" w:sz="0" w:space="0" w:color="auto"/>
            <w:right w:val="none" w:sz="0" w:space="0" w:color="auto"/>
          </w:divBdr>
        </w:div>
        <w:div w:id="699597244">
          <w:marLeft w:val="0"/>
          <w:marRight w:val="0"/>
          <w:marTop w:val="0"/>
          <w:marBottom w:val="0"/>
          <w:divBdr>
            <w:top w:val="none" w:sz="0" w:space="0" w:color="auto"/>
            <w:left w:val="none" w:sz="0" w:space="0" w:color="auto"/>
            <w:bottom w:val="none" w:sz="0" w:space="0" w:color="auto"/>
            <w:right w:val="none" w:sz="0" w:space="0" w:color="auto"/>
          </w:divBdr>
        </w:div>
        <w:div w:id="721371957">
          <w:marLeft w:val="0"/>
          <w:marRight w:val="0"/>
          <w:marTop w:val="0"/>
          <w:marBottom w:val="0"/>
          <w:divBdr>
            <w:top w:val="none" w:sz="0" w:space="0" w:color="auto"/>
            <w:left w:val="none" w:sz="0" w:space="0" w:color="auto"/>
            <w:bottom w:val="none" w:sz="0" w:space="0" w:color="auto"/>
            <w:right w:val="none" w:sz="0" w:space="0" w:color="auto"/>
          </w:divBdr>
        </w:div>
        <w:div w:id="1211455498">
          <w:marLeft w:val="0"/>
          <w:marRight w:val="0"/>
          <w:marTop w:val="0"/>
          <w:marBottom w:val="0"/>
          <w:divBdr>
            <w:top w:val="none" w:sz="0" w:space="0" w:color="auto"/>
            <w:left w:val="none" w:sz="0" w:space="0" w:color="auto"/>
            <w:bottom w:val="none" w:sz="0" w:space="0" w:color="auto"/>
            <w:right w:val="none" w:sz="0" w:space="0" w:color="auto"/>
          </w:divBdr>
        </w:div>
        <w:div w:id="1749693605">
          <w:marLeft w:val="0"/>
          <w:marRight w:val="0"/>
          <w:marTop w:val="0"/>
          <w:marBottom w:val="0"/>
          <w:divBdr>
            <w:top w:val="none" w:sz="0" w:space="0" w:color="auto"/>
            <w:left w:val="none" w:sz="0" w:space="0" w:color="auto"/>
            <w:bottom w:val="none" w:sz="0" w:space="0" w:color="auto"/>
            <w:right w:val="none" w:sz="0" w:space="0" w:color="auto"/>
          </w:divBdr>
        </w:div>
      </w:divsChild>
    </w:div>
    <w:div w:id="1312832333">
      <w:bodyDiv w:val="1"/>
      <w:marLeft w:val="0"/>
      <w:marRight w:val="0"/>
      <w:marTop w:val="0"/>
      <w:marBottom w:val="0"/>
      <w:divBdr>
        <w:top w:val="none" w:sz="0" w:space="0" w:color="auto"/>
        <w:left w:val="none" w:sz="0" w:space="0" w:color="auto"/>
        <w:bottom w:val="none" w:sz="0" w:space="0" w:color="auto"/>
        <w:right w:val="none" w:sz="0" w:space="0" w:color="auto"/>
      </w:divBdr>
    </w:div>
    <w:div w:id="1448544919">
      <w:bodyDiv w:val="1"/>
      <w:marLeft w:val="0"/>
      <w:marRight w:val="0"/>
      <w:marTop w:val="0"/>
      <w:marBottom w:val="0"/>
      <w:divBdr>
        <w:top w:val="none" w:sz="0" w:space="0" w:color="auto"/>
        <w:left w:val="none" w:sz="0" w:space="0" w:color="auto"/>
        <w:bottom w:val="none" w:sz="0" w:space="0" w:color="auto"/>
        <w:right w:val="none" w:sz="0" w:space="0" w:color="auto"/>
      </w:divBdr>
    </w:div>
    <w:div w:id="1576670864">
      <w:bodyDiv w:val="1"/>
      <w:marLeft w:val="0"/>
      <w:marRight w:val="0"/>
      <w:marTop w:val="0"/>
      <w:marBottom w:val="0"/>
      <w:divBdr>
        <w:top w:val="none" w:sz="0" w:space="0" w:color="auto"/>
        <w:left w:val="none" w:sz="0" w:space="0" w:color="auto"/>
        <w:bottom w:val="none" w:sz="0" w:space="0" w:color="auto"/>
        <w:right w:val="none" w:sz="0" w:space="0" w:color="auto"/>
      </w:divBdr>
      <w:divsChild>
        <w:div w:id="8336983">
          <w:marLeft w:val="0"/>
          <w:marRight w:val="0"/>
          <w:marTop w:val="0"/>
          <w:marBottom w:val="0"/>
          <w:divBdr>
            <w:top w:val="none" w:sz="0" w:space="0" w:color="auto"/>
            <w:left w:val="none" w:sz="0" w:space="0" w:color="auto"/>
            <w:bottom w:val="none" w:sz="0" w:space="0" w:color="auto"/>
            <w:right w:val="none" w:sz="0" w:space="0" w:color="auto"/>
          </w:divBdr>
        </w:div>
        <w:div w:id="90131857">
          <w:marLeft w:val="0"/>
          <w:marRight w:val="0"/>
          <w:marTop w:val="0"/>
          <w:marBottom w:val="0"/>
          <w:divBdr>
            <w:top w:val="none" w:sz="0" w:space="0" w:color="auto"/>
            <w:left w:val="none" w:sz="0" w:space="0" w:color="auto"/>
            <w:bottom w:val="none" w:sz="0" w:space="0" w:color="auto"/>
            <w:right w:val="none" w:sz="0" w:space="0" w:color="auto"/>
          </w:divBdr>
        </w:div>
        <w:div w:id="228805950">
          <w:marLeft w:val="0"/>
          <w:marRight w:val="0"/>
          <w:marTop w:val="0"/>
          <w:marBottom w:val="0"/>
          <w:divBdr>
            <w:top w:val="none" w:sz="0" w:space="0" w:color="auto"/>
            <w:left w:val="none" w:sz="0" w:space="0" w:color="auto"/>
            <w:bottom w:val="none" w:sz="0" w:space="0" w:color="auto"/>
            <w:right w:val="none" w:sz="0" w:space="0" w:color="auto"/>
          </w:divBdr>
        </w:div>
        <w:div w:id="260989702">
          <w:marLeft w:val="0"/>
          <w:marRight w:val="0"/>
          <w:marTop w:val="0"/>
          <w:marBottom w:val="0"/>
          <w:divBdr>
            <w:top w:val="none" w:sz="0" w:space="0" w:color="auto"/>
            <w:left w:val="none" w:sz="0" w:space="0" w:color="auto"/>
            <w:bottom w:val="none" w:sz="0" w:space="0" w:color="auto"/>
            <w:right w:val="none" w:sz="0" w:space="0" w:color="auto"/>
          </w:divBdr>
        </w:div>
        <w:div w:id="263148089">
          <w:marLeft w:val="0"/>
          <w:marRight w:val="0"/>
          <w:marTop w:val="0"/>
          <w:marBottom w:val="0"/>
          <w:divBdr>
            <w:top w:val="none" w:sz="0" w:space="0" w:color="auto"/>
            <w:left w:val="none" w:sz="0" w:space="0" w:color="auto"/>
            <w:bottom w:val="none" w:sz="0" w:space="0" w:color="auto"/>
            <w:right w:val="none" w:sz="0" w:space="0" w:color="auto"/>
          </w:divBdr>
        </w:div>
        <w:div w:id="268777259">
          <w:marLeft w:val="0"/>
          <w:marRight w:val="0"/>
          <w:marTop w:val="0"/>
          <w:marBottom w:val="0"/>
          <w:divBdr>
            <w:top w:val="none" w:sz="0" w:space="0" w:color="auto"/>
            <w:left w:val="none" w:sz="0" w:space="0" w:color="auto"/>
            <w:bottom w:val="none" w:sz="0" w:space="0" w:color="auto"/>
            <w:right w:val="none" w:sz="0" w:space="0" w:color="auto"/>
          </w:divBdr>
        </w:div>
        <w:div w:id="389308657">
          <w:marLeft w:val="0"/>
          <w:marRight w:val="0"/>
          <w:marTop w:val="0"/>
          <w:marBottom w:val="0"/>
          <w:divBdr>
            <w:top w:val="none" w:sz="0" w:space="0" w:color="auto"/>
            <w:left w:val="none" w:sz="0" w:space="0" w:color="auto"/>
            <w:bottom w:val="none" w:sz="0" w:space="0" w:color="auto"/>
            <w:right w:val="none" w:sz="0" w:space="0" w:color="auto"/>
          </w:divBdr>
        </w:div>
        <w:div w:id="405104425">
          <w:marLeft w:val="0"/>
          <w:marRight w:val="0"/>
          <w:marTop w:val="0"/>
          <w:marBottom w:val="0"/>
          <w:divBdr>
            <w:top w:val="none" w:sz="0" w:space="0" w:color="auto"/>
            <w:left w:val="none" w:sz="0" w:space="0" w:color="auto"/>
            <w:bottom w:val="none" w:sz="0" w:space="0" w:color="auto"/>
            <w:right w:val="none" w:sz="0" w:space="0" w:color="auto"/>
          </w:divBdr>
        </w:div>
        <w:div w:id="416639039">
          <w:marLeft w:val="0"/>
          <w:marRight w:val="0"/>
          <w:marTop w:val="0"/>
          <w:marBottom w:val="0"/>
          <w:divBdr>
            <w:top w:val="none" w:sz="0" w:space="0" w:color="auto"/>
            <w:left w:val="none" w:sz="0" w:space="0" w:color="auto"/>
            <w:bottom w:val="none" w:sz="0" w:space="0" w:color="auto"/>
            <w:right w:val="none" w:sz="0" w:space="0" w:color="auto"/>
          </w:divBdr>
        </w:div>
        <w:div w:id="443572559">
          <w:marLeft w:val="0"/>
          <w:marRight w:val="0"/>
          <w:marTop w:val="0"/>
          <w:marBottom w:val="0"/>
          <w:divBdr>
            <w:top w:val="none" w:sz="0" w:space="0" w:color="auto"/>
            <w:left w:val="none" w:sz="0" w:space="0" w:color="auto"/>
            <w:bottom w:val="none" w:sz="0" w:space="0" w:color="auto"/>
            <w:right w:val="none" w:sz="0" w:space="0" w:color="auto"/>
          </w:divBdr>
        </w:div>
        <w:div w:id="485434011">
          <w:marLeft w:val="0"/>
          <w:marRight w:val="0"/>
          <w:marTop w:val="0"/>
          <w:marBottom w:val="0"/>
          <w:divBdr>
            <w:top w:val="none" w:sz="0" w:space="0" w:color="auto"/>
            <w:left w:val="none" w:sz="0" w:space="0" w:color="auto"/>
            <w:bottom w:val="none" w:sz="0" w:space="0" w:color="auto"/>
            <w:right w:val="none" w:sz="0" w:space="0" w:color="auto"/>
          </w:divBdr>
        </w:div>
        <w:div w:id="509494107">
          <w:marLeft w:val="0"/>
          <w:marRight w:val="0"/>
          <w:marTop w:val="0"/>
          <w:marBottom w:val="0"/>
          <w:divBdr>
            <w:top w:val="none" w:sz="0" w:space="0" w:color="auto"/>
            <w:left w:val="none" w:sz="0" w:space="0" w:color="auto"/>
            <w:bottom w:val="none" w:sz="0" w:space="0" w:color="auto"/>
            <w:right w:val="none" w:sz="0" w:space="0" w:color="auto"/>
          </w:divBdr>
        </w:div>
        <w:div w:id="617179927">
          <w:marLeft w:val="0"/>
          <w:marRight w:val="0"/>
          <w:marTop w:val="0"/>
          <w:marBottom w:val="0"/>
          <w:divBdr>
            <w:top w:val="none" w:sz="0" w:space="0" w:color="auto"/>
            <w:left w:val="none" w:sz="0" w:space="0" w:color="auto"/>
            <w:bottom w:val="none" w:sz="0" w:space="0" w:color="auto"/>
            <w:right w:val="none" w:sz="0" w:space="0" w:color="auto"/>
          </w:divBdr>
        </w:div>
        <w:div w:id="672949194">
          <w:marLeft w:val="0"/>
          <w:marRight w:val="0"/>
          <w:marTop w:val="0"/>
          <w:marBottom w:val="0"/>
          <w:divBdr>
            <w:top w:val="none" w:sz="0" w:space="0" w:color="auto"/>
            <w:left w:val="none" w:sz="0" w:space="0" w:color="auto"/>
            <w:bottom w:val="none" w:sz="0" w:space="0" w:color="auto"/>
            <w:right w:val="none" w:sz="0" w:space="0" w:color="auto"/>
          </w:divBdr>
        </w:div>
        <w:div w:id="736902189">
          <w:marLeft w:val="0"/>
          <w:marRight w:val="0"/>
          <w:marTop w:val="0"/>
          <w:marBottom w:val="0"/>
          <w:divBdr>
            <w:top w:val="none" w:sz="0" w:space="0" w:color="auto"/>
            <w:left w:val="none" w:sz="0" w:space="0" w:color="auto"/>
            <w:bottom w:val="none" w:sz="0" w:space="0" w:color="auto"/>
            <w:right w:val="none" w:sz="0" w:space="0" w:color="auto"/>
          </w:divBdr>
        </w:div>
        <w:div w:id="743838978">
          <w:marLeft w:val="0"/>
          <w:marRight w:val="0"/>
          <w:marTop w:val="0"/>
          <w:marBottom w:val="0"/>
          <w:divBdr>
            <w:top w:val="none" w:sz="0" w:space="0" w:color="auto"/>
            <w:left w:val="none" w:sz="0" w:space="0" w:color="auto"/>
            <w:bottom w:val="none" w:sz="0" w:space="0" w:color="auto"/>
            <w:right w:val="none" w:sz="0" w:space="0" w:color="auto"/>
          </w:divBdr>
        </w:div>
        <w:div w:id="783623159">
          <w:marLeft w:val="0"/>
          <w:marRight w:val="0"/>
          <w:marTop w:val="0"/>
          <w:marBottom w:val="0"/>
          <w:divBdr>
            <w:top w:val="none" w:sz="0" w:space="0" w:color="auto"/>
            <w:left w:val="none" w:sz="0" w:space="0" w:color="auto"/>
            <w:bottom w:val="none" w:sz="0" w:space="0" w:color="auto"/>
            <w:right w:val="none" w:sz="0" w:space="0" w:color="auto"/>
          </w:divBdr>
        </w:div>
        <w:div w:id="832184122">
          <w:marLeft w:val="0"/>
          <w:marRight w:val="0"/>
          <w:marTop w:val="0"/>
          <w:marBottom w:val="0"/>
          <w:divBdr>
            <w:top w:val="none" w:sz="0" w:space="0" w:color="auto"/>
            <w:left w:val="none" w:sz="0" w:space="0" w:color="auto"/>
            <w:bottom w:val="none" w:sz="0" w:space="0" w:color="auto"/>
            <w:right w:val="none" w:sz="0" w:space="0" w:color="auto"/>
          </w:divBdr>
        </w:div>
        <w:div w:id="861548917">
          <w:marLeft w:val="0"/>
          <w:marRight w:val="0"/>
          <w:marTop w:val="0"/>
          <w:marBottom w:val="0"/>
          <w:divBdr>
            <w:top w:val="none" w:sz="0" w:space="0" w:color="auto"/>
            <w:left w:val="none" w:sz="0" w:space="0" w:color="auto"/>
            <w:bottom w:val="none" w:sz="0" w:space="0" w:color="auto"/>
            <w:right w:val="none" w:sz="0" w:space="0" w:color="auto"/>
          </w:divBdr>
        </w:div>
        <w:div w:id="864442443">
          <w:marLeft w:val="0"/>
          <w:marRight w:val="0"/>
          <w:marTop w:val="0"/>
          <w:marBottom w:val="0"/>
          <w:divBdr>
            <w:top w:val="none" w:sz="0" w:space="0" w:color="auto"/>
            <w:left w:val="none" w:sz="0" w:space="0" w:color="auto"/>
            <w:bottom w:val="none" w:sz="0" w:space="0" w:color="auto"/>
            <w:right w:val="none" w:sz="0" w:space="0" w:color="auto"/>
          </w:divBdr>
        </w:div>
        <w:div w:id="883491785">
          <w:marLeft w:val="0"/>
          <w:marRight w:val="0"/>
          <w:marTop w:val="0"/>
          <w:marBottom w:val="0"/>
          <w:divBdr>
            <w:top w:val="none" w:sz="0" w:space="0" w:color="auto"/>
            <w:left w:val="none" w:sz="0" w:space="0" w:color="auto"/>
            <w:bottom w:val="none" w:sz="0" w:space="0" w:color="auto"/>
            <w:right w:val="none" w:sz="0" w:space="0" w:color="auto"/>
          </w:divBdr>
        </w:div>
        <w:div w:id="904609512">
          <w:marLeft w:val="0"/>
          <w:marRight w:val="0"/>
          <w:marTop w:val="0"/>
          <w:marBottom w:val="0"/>
          <w:divBdr>
            <w:top w:val="none" w:sz="0" w:space="0" w:color="auto"/>
            <w:left w:val="none" w:sz="0" w:space="0" w:color="auto"/>
            <w:bottom w:val="none" w:sz="0" w:space="0" w:color="auto"/>
            <w:right w:val="none" w:sz="0" w:space="0" w:color="auto"/>
          </w:divBdr>
        </w:div>
        <w:div w:id="910769516">
          <w:marLeft w:val="0"/>
          <w:marRight w:val="0"/>
          <w:marTop w:val="0"/>
          <w:marBottom w:val="0"/>
          <w:divBdr>
            <w:top w:val="none" w:sz="0" w:space="0" w:color="auto"/>
            <w:left w:val="none" w:sz="0" w:space="0" w:color="auto"/>
            <w:bottom w:val="none" w:sz="0" w:space="0" w:color="auto"/>
            <w:right w:val="none" w:sz="0" w:space="0" w:color="auto"/>
          </w:divBdr>
        </w:div>
        <w:div w:id="913202720">
          <w:marLeft w:val="0"/>
          <w:marRight w:val="0"/>
          <w:marTop w:val="0"/>
          <w:marBottom w:val="0"/>
          <w:divBdr>
            <w:top w:val="none" w:sz="0" w:space="0" w:color="auto"/>
            <w:left w:val="none" w:sz="0" w:space="0" w:color="auto"/>
            <w:bottom w:val="none" w:sz="0" w:space="0" w:color="auto"/>
            <w:right w:val="none" w:sz="0" w:space="0" w:color="auto"/>
          </w:divBdr>
        </w:div>
        <w:div w:id="952713214">
          <w:marLeft w:val="0"/>
          <w:marRight w:val="0"/>
          <w:marTop w:val="0"/>
          <w:marBottom w:val="0"/>
          <w:divBdr>
            <w:top w:val="none" w:sz="0" w:space="0" w:color="auto"/>
            <w:left w:val="none" w:sz="0" w:space="0" w:color="auto"/>
            <w:bottom w:val="none" w:sz="0" w:space="0" w:color="auto"/>
            <w:right w:val="none" w:sz="0" w:space="0" w:color="auto"/>
          </w:divBdr>
        </w:div>
        <w:div w:id="960378215">
          <w:marLeft w:val="0"/>
          <w:marRight w:val="0"/>
          <w:marTop w:val="0"/>
          <w:marBottom w:val="0"/>
          <w:divBdr>
            <w:top w:val="none" w:sz="0" w:space="0" w:color="auto"/>
            <w:left w:val="none" w:sz="0" w:space="0" w:color="auto"/>
            <w:bottom w:val="none" w:sz="0" w:space="0" w:color="auto"/>
            <w:right w:val="none" w:sz="0" w:space="0" w:color="auto"/>
          </w:divBdr>
        </w:div>
        <w:div w:id="966424734">
          <w:marLeft w:val="0"/>
          <w:marRight w:val="0"/>
          <w:marTop w:val="0"/>
          <w:marBottom w:val="0"/>
          <w:divBdr>
            <w:top w:val="none" w:sz="0" w:space="0" w:color="auto"/>
            <w:left w:val="none" w:sz="0" w:space="0" w:color="auto"/>
            <w:bottom w:val="none" w:sz="0" w:space="0" w:color="auto"/>
            <w:right w:val="none" w:sz="0" w:space="0" w:color="auto"/>
          </w:divBdr>
        </w:div>
        <w:div w:id="972562513">
          <w:marLeft w:val="0"/>
          <w:marRight w:val="0"/>
          <w:marTop w:val="0"/>
          <w:marBottom w:val="0"/>
          <w:divBdr>
            <w:top w:val="none" w:sz="0" w:space="0" w:color="auto"/>
            <w:left w:val="none" w:sz="0" w:space="0" w:color="auto"/>
            <w:bottom w:val="none" w:sz="0" w:space="0" w:color="auto"/>
            <w:right w:val="none" w:sz="0" w:space="0" w:color="auto"/>
          </w:divBdr>
        </w:div>
        <w:div w:id="1018580225">
          <w:marLeft w:val="0"/>
          <w:marRight w:val="0"/>
          <w:marTop w:val="0"/>
          <w:marBottom w:val="0"/>
          <w:divBdr>
            <w:top w:val="none" w:sz="0" w:space="0" w:color="auto"/>
            <w:left w:val="none" w:sz="0" w:space="0" w:color="auto"/>
            <w:bottom w:val="none" w:sz="0" w:space="0" w:color="auto"/>
            <w:right w:val="none" w:sz="0" w:space="0" w:color="auto"/>
          </w:divBdr>
        </w:div>
        <w:div w:id="1081370336">
          <w:marLeft w:val="0"/>
          <w:marRight w:val="0"/>
          <w:marTop w:val="0"/>
          <w:marBottom w:val="0"/>
          <w:divBdr>
            <w:top w:val="none" w:sz="0" w:space="0" w:color="auto"/>
            <w:left w:val="none" w:sz="0" w:space="0" w:color="auto"/>
            <w:bottom w:val="none" w:sz="0" w:space="0" w:color="auto"/>
            <w:right w:val="none" w:sz="0" w:space="0" w:color="auto"/>
          </w:divBdr>
        </w:div>
        <w:div w:id="1107969971">
          <w:marLeft w:val="0"/>
          <w:marRight w:val="0"/>
          <w:marTop w:val="0"/>
          <w:marBottom w:val="0"/>
          <w:divBdr>
            <w:top w:val="none" w:sz="0" w:space="0" w:color="auto"/>
            <w:left w:val="none" w:sz="0" w:space="0" w:color="auto"/>
            <w:bottom w:val="none" w:sz="0" w:space="0" w:color="auto"/>
            <w:right w:val="none" w:sz="0" w:space="0" w:color="auto"/>
          </w:divBdr>
        </w:div>
        <w:div w:id="1110276685">
          <w:marLeft w:val="0"/>
          <w:marRight w:val="0"/>
          <w:marTop w:val="0"/>
          <w:marBottom w:val="0"/>
          <w:divBdr>
            <w:top w:val="none" w:sz="0" w:space="0" w:color="auto"/>
            <w:left w:val="none" w:sz="0" w:space="0" w:color="auto"/>
            <w:bottom w:val="none" w:sz="0" w:space="0" w:color="auto"/>
            <w:right w:val="none" w:sz="0" w:space="0" w:color="auto"/>
          </w:divBdr>
        </w:div>
        <w:div w:id="1121531660">
          <w:marLeft w:val="0"/>
          <w:marRight w:val="0"/>
          <w:marTop w:val="0"/>
          <w:marBottom w:val="0"/>
          <w:divBdr>
            <w:top w:val="none" w:sz="0" w:space="0" w:color="auto"/>
            <w:left w:val="none" w:sz="0" w:space="0" w:color="auto"/>
            <w:bottom w:val="none" w:sz="0" w:space="0" w:color="auto"/>
            <w:right w:val="none" w:sz="0" w:space="0" w:color="auto"/>
          </w:divBdr>
        </w:div>
        <w:div w:id="1144156046">
          <w:marLeft w:val="0"/>
          <w:marRight w:val="0"/>
          <w:marTop w:val="0"/>
          <w:marBottom w:val="0"/>
          <w:divBdr>
            <w:top w:val="none" w:sz="0" w:space="0" w:color="auto"/>
            <w:left w:val="none" w:sz="0" w:space="0" w:color="auto"/>
            <w:bottom w:val="none" w:sz="0" w:space="0" w:color="auto"/>
            <w:right w:val="none" w:sz="0" w:space="0" w:color="auto"/>
          </w:divBdr>
        </w:div>
        <w:div w:id="1155219969">
          <w:marLeft w:val="0"/>
          <w:marRight w:val="0"/>
          <w:marTop w:val="0"/>
          <w:marBottom w:val="0"/>
          <w:divBdr>
            <w:top w:val="none" w:sz="0" w:space="0" w:color="auto"/>
            <w:left w:val="none" w:sz="0" w:space="0" w:color="auto"/>
            <w:bottom w:val="none" w:sz="0" w:space="0" w:color="auto"/>
            <w:right w:val="none" w:sz="0" w:space="0" w:color="auto"/>
          </w:divBdr>
        </w:div>
        <w:div w:id="1159033067">
          <w:marLeft w:val="0"/>
          <w:marRight w:val="0"/>
          <w:marTop w:val="0"/>
          <w:marBottom w:val="0"/>
          <w:divBdr>
            <w:top w:val="none" w:sz="0" w:space="0" w:color="auto"/>
            <w:left w:val="none" w:sz="0" w:space="0" w:color="auto"/>
            <w:bottom w:val="none" w:sz="0" w:space="0" w:color="auto"/>
            <w:right w:val="none" w:sz="0" w:space="0" w:color="auto"/>
          </w:divBdr>
        </w:div>
        <w:div w:id="1214387166">
          <w:marLeft w:val="0"/>
          <w:marRight w:val="0"/>
          <w:marTop w:val="0"/>
          <w:marBottom w:val="0"/>
          <w:divBdr>
            <w:top w:val="none" w:sz="0" w:space="0" w:color="auto"/>
            <w:left w:val="none" w:sz="0" w:space="0" w:color="auto"/>
            <w:bottom w:val="none" w:sz="0" w:space="0" w:color="auto"/>
            <w:right w:val="none" w:sz="0" w:space="0" w:color="auto"/>
          </w:divBdr>
        </w:div>
        <w:div w:id="1220171956">
          <w:marLeft w:val="0"/>
          <w:marRight w:val="0"/>
          <w:marTop w:val="0"/>
          <w:marBottom w:val="0"/>
          <w:divBdr>
            <w:top w:val="none" w:sz="0" w:space="0" w:color="auto"/>
            <w:left w:val="none" w:sz="0" w:space="0" w:color="auto"/>
            <w:bottom w:val="none" w:sz="0" w:space="0" w:color="auto"/>
            <w:right w:val="none" w:sz="0" w:space="0" w:color="auto"/>
          </w:divBdr>
        </w:div>
        <w:div w:id="1220361119">
          <w:marLeft w:val="0"/>
          <w:marRight w:val="0"/>
          <w:marTop w:val="0"/>
          <w:marBottom w:val="0"/>
          <w:divBdr>
            <w:top w:val="none" w:sz="0" w:space="0" w:color="auto"/>
            <w:left w:val="none" w:sz="0" w:space="0" w:color="auto"/>
            <w:bottom w:val="none" w:sz="0" w:space="0" w:color="auto"/>
            <w:right w:val="none" w:sz="0" w:space="0" w:color="auto"/>
          </w:divBdr>
        </w:div>
        <w:div w:id="1237548730">
          <w:marLeft w:val="0"/>
          <w:marRight w:val="0"/>
          <w:marTop w:val="0"/>
          <w:marBottom w:val="0"/>
          <w:divBdr>
            <w:top w:val="none" w:sz="0" w:space="0" w:color="auto"/>
            <w:left w:val="none" w:sz="0" w:space="0" w:color="auto"/>
            <w:bottom w:val="none" w:sz="0" w:space="0" w:color="auto"/>
            <w:right w:val="none" w:sz="0" w:space="0" w:color="auto"/>
          </w:divBdr>
        </w:div>
        <w:div w:id="1239636150">
          <w:marLeft w:val="0"/>
          <w:marRight w:val="0"/>
          <w:marTop w:val="0"/>
          <w:marBottom w:val="0"/>
          <w:divBdr>
            <w:top w:val="none" w:sz="0" w:space="0" w:color="auto"/>
            <w:left w:val="none" w:sz="0" w:space="0" w:color="auto"/>
            <w:bottom w:val="none" w:sz="0" w:space="0" w:color="auto"/>
            <w:right w:val="none" w:sz="0" w:space="0" w:color="auto"/>
          </w:divBdr>
        </w:div>
        <w:div w:id="1264415537">
          <w:marLeft w:val="0"/>
          <w:marRight w:val="0"/>
          <w:marTop w:val="0"/>
          <w:marBottom w:val="0"/>
          <w:divBdr>
            <w:top w:val="none" w:sz="0" w:space="0" w:color="auto"/>
            <w:left w:val="none" w:sz="0" w:space="0" w:color="auto"/>
            <w:bottom w:val="none" w:sz="0" w:space="0" w:color="auto"/>
            <w:right w:val="none" w:sz="0" w:space="0" w:color="auto"/>
          </w:divBdr>
        </w:div>
        <w:div w:id="1306282287">
          <w:marLeft w:val="0"/>
          <w:marRight w:val="0"/>
          <w:marTop w:val="0"/>
          <w:marBottom w:val="0"/>
          <w:divBdr>
            <w:top w:val="none" w:sz="0" w:space="0" w:color="auto"/>
            <w:left w:val="none" w:sz="0" w:space="0" w:color="auto"/>
            <w:bottom w:val="none" w:sz="0" w:space="0" w:color="auto"/>
            <w:right w:val="none" w:sz="0" w:space="0" w:color="auto"/>
          </w:divBdr>
        </w:div>
        <w:div w:id="1335843423">
          <w:marLeft w:val="0"/>
          <w:marRight w:val="0"/>
          <w:marTop w:val="0"/>
          <w:marBottom w:val="0"/>
          <w:divBdr>
            <w:top w:val="none" w:sz="0" w:space="0" w:color="auto"/>
            <w:left w:val="none" w:sz="0" w:space="0" w:color="auto"/>
            <w:bottom w:val="none" w:sz="0" w:space="0" w:color="auto"/>
            <w:right w:val="none" w:sz="0" w:space="0" w:color="auto"/>
          </w:divBdr>
        </w:div>
        <w:div w:id="1362559138">
          <w:marLeft w:val="0"/>
          <w:marRight w:val="0"/>
          <w:marTop w:val="0"/>
          <w:marBottom w:val="0"/>
          <w:divBdr>
            <w:top w:val="none" w:sz="0" w:space="0" w:color="auto"/>
            <w:left w:val="none" w:sz="0" w:space="0" w:color="auto"/>
            <w:bottom w:val="none" w:sz="0" w:space="0" w:color="auto"/>
            <w:right w:val="none" w:sz="0" w:space="0" w:color="auto"/>
          </w:divBdr>
        </w:div>
        <w:div w:id="1386219442">
          <w:marLeft w:val="0"/>
          <w:marRight w:val="0"/>
          <w:marTop w:val="0"/>
          <w:marBottom w:val="0"/>
          <w:divBdr>
            <w:top w:val="none" w:sz="0" w:space="0" w:color="auto"/>
            <w:left w:val="none" w:sz="0" w:space="0" w:color="auto"/>
            <w:bottom w:val="none" w:sz="0" w:space="0" w:color="auto"/>
            <w:right w:val="none" w:sz="0" w:space="0" w:color="auto"/>
          </w:divBdr>
        </w:div>
        <w:div w:id="1400326140">
          <w:marLeft w:val="0"/>
          <w:marRight w:val="0"/>
          <w:marTop w:val="0"/>
          <w:marBottom w:val="0"/>
          <w:divBdr>
            <w:top w:val="none" w:sz="0" w:space="0" w:color="auto"/>
            <w:left w:val="none" w:sz="0" w:space="0" w:color="auto"/>
            <w:bottom w:val="none" w:sz="0" w:space="0" w:color="auto"/>
            <w:right w:val="none" w:sz="0" w:space="0" w:color="auto"/>
          </w:divBdr>
        </w:div>
        <w:div w:id="1412580070">
          <w:marLeft w:val="0"/>
          <w:marRight w:val="0"/>
          <w:marTop w:val="0"/>
          <w:marBottom w:val="0"/>
          <w:divBdr>
            <w:top w:val="none" w:sz="0" w:space="0" w:color="auto"/>
            <w:left w:val="none" w:sz="0" w:space="0" w:color="auto"/>
            <w:bottom w:val="none" w:sz="0" w:space="0" w:color="auto"/>
            <w:right w:val="none" w:sz="0" w:space="0" w:color="auto"/>
          </w:divBdr>
        </w:div>
        <w:div w:id="1516576534">
          <w:marLeft w:val="0"/>
          <w:marRight w:val="0"/>
          <w:marTop w:val="0"/>
          <w:marBottom w:val="0"/>
          <w:divBdr>
            <w:top w:val="none" w:sz="0" w:space="0" w:color="auto"/>
            <w:left w:val="none" w:sz="0" w:space="0" w:color="auto"/>
            <w:bottom w:val="none" w:sz="0" w:space="0" w:color="auto"/>
            <w:right w:val="none" w:sz="0" w:space="0" w:color="auto"/>
          </w:divBdr>
        </w:div>
        <w:div w:id="1615017318">
          <w:marLeft w:val="0"/>
          <w:marRight w:val="0"/>
          <w:marTop w:val="0"/>
          <w:marBottom w:val="0"/>
          <w:divBdr>
            <w:top w:val="none" w:sz="0" w:space="0" w:color="auto"/>
            <w:left w:val="none" w:sz="0" w:space="0" w:color="auto"/>
            <w:bottom w:val="none" w:sz="0" w:space="0" w:color="auto"/>
            <w:right w:val="none" w:sz="0" w:space="0" w:color="auto"/>
          </w:divBdr>
        </w:div>
        <w:div w:id="1661274669">
          <w:marLeft w:val="0"/>
          <w:marRight w:val="0"/>
          <w:marTop w:val="0"/>
          <w:marBottom w:val="0"/>
          <w:divBdr>
            <w:top w:val="none" w:sz="0" w:space="0" w:color="auto"/>
            <w:left w:val="none" w:sz="0" w:space="0" w:color="auto"/>
            <w:bottom w:val="none" w:sz="0" w:space="0" w:color="auto"/>
            <w:right w:val="none" w:sz="0" w:space="0" w:color="auto"/>
          </w:divBdr>
        </w:div>
        <w:div w:id="1674064541">
          <w:marLeft w:val="0"/>
          <w:marRight w:val="0"/>
          <w:marTop w:val="0"/>
          <w:marBottom w:val="0"/>
          <w:divBdr>
            <w:top w:val="none" w:sz="0" w:space="0" w:color="auto"/>
            <w:left w:val="none" w:sz="0" w:space="0" w:color="auto"/>
            <w:bottom w:val="none" w:sz="0" w:space="0" w:color="auto"/>
            <w:right w:val="none" w:sz="0" w:space="0" w:color="auto"/>
          </w:divBdr>
        </w:div>
        <w:div w:id="1674458377">
          <w:marLeft w:val="0"/>
          <w:marRight w:val="0"/>
          <w:marTop w:val="0"/>
          <w:marBottom w:val="0"/>
          <w:divBdr>
            <w:top w:val="none" w:sz="0" w:space="0" w:color="auto"/>
            <w:left w:val="none" w:sz="0" w:space="0" w:color="auto"/>
            <w:bottom w:val="none" w:sz="0" w:space="0" w:color="auto"/>
            <w:right w:val="none" w:sz="0" w:space="0" w:color="auto"/>
          </w:divBdr>
        </w:div>
        <w:div w:id="1725635988">
          <w:marLeft w:val="0"/>
          <w:marRight w:val="0"/>
          <w:marTop w:val="0"/>
          <w:marBottom w:val="0"/>
          <w:divBdr>
            <w:top w:val="none" w:sz="0" w:space="0" w:color="auto"/>
            <w:left w:val="none" w:sz="0" w:space="0" w:color="auto"/>
            <w:bottom w:val="none" w:sz="0" w:space="0" w:color="auto"/>
            <w:right w:val="none" w:sz="0" w:space="0" w:color="auto"/>
          </w:divBdr>
        </w:div>
        <w:div w:id="1740178221">
          <w:marLeft w:val="0"/>
          <w:marRight w:val="0"/>
          <w:marTop w:val="0"/>
          <w:marBottom w:val="0"/>
          <w:divBdr>
            <w:top w:val="none" w:sz="0" w:space="0" w:color="auto"/>
            <w:left w:val="none" w:sz="0" w:space="0" w:color="auto"/>
            <w:bottom w:val="none" w:sz="0" w:space="0" w:color="auto"/>
            <w:right w:val="none" w:sz="0" w:space="0" w:color="auto"/>
          </w:divBdr>
        </w:div>
        <w:div w:id="1748573651">
          <w:marLeft w:val="0"/>
          <w:marRight w:val="0"/>
          <w:marTop w:val="0"/>
          <w:marBottom w:val="0"/>
          <w:divBdr>
            <w:top w:val="none" w:sz="0" w:space="0" w:color="auto"/>
            <w:left w:val="none" w:sz="0" w:space="0" w:color="auto"/>
            <w:bottom w:val="none" w:sz="0" w:space="0" w:color="auto"/>
            <w:right w:val="none" w:sz="0" w:space="0" w:color="auto"/>
          </w:divBdr>
        </w:div>
        <w:div w:id="1827089277">
          <w:marLeft w:val="0"/>
          <w:marRight w:val="0"/>
          <w:marTop w:val="0"/>
          <w:marBottom w:val="0"/>
          <w:divBdr>
            <w:top w:val="none" w:sz="0" w:space="0" w:color="auto"/>
            <w:left w:val="none" w:sz="0" w:space="0" w:color="auto"/>
            <w:bottom w:val="none" w:sz="0" w:space="0" w:color="auto"/>
            <w:right w:val="none" w:sz="0" w:space="0" w:color="auto"/>
          </w:divBdr>
        </w:div>
        <w:div w:id="1848402850">
          <w:marLeft w:val="0"/>
          <w:marRight w:val="0"/>
          <w:marTop w:val="0"/>
          <w:marBottom w:val="0"/>
          <w:divBdr>
            <w:top w:val="none" w:sz="0" w:space="0" w:color="auto"/>
            <w:left w:val="none" w:sz="0" w:space="0" w:color="auto"/>
            <w:bottom w:val="none" w:sz="0" w:space="0" w:color="auto"/>
            <w:right w:val="none" w:sz="0" w:space="0" w:color="auto"/>
          </w:divBdr>
        </w:div>
        <w:div w:id="1863545949">
          <w:marLeft w:val="0"/>
          <w:marRight w:val="0"/>
          <w:marTop w:val="0"/>
          <w:marBottom w:val="0"/>
          <w:divBdr>
            <w:top w:val="none" w:sz="0" w:space="0" w:color="auto"/>
            <w:left w:val="none" w:sz="0" w:space="0" w:color="auto"/>
            <w:bottom w:val="none" w:sz="0" w:space="0" w:color="auto"/>
            <w:right w:val="none" w:sz="0" w:space="0" w:color="auto"/>
          </w:divBdr>
        </w:div>
        <w:div w:id="1898469335">
          <w:marLeft w:val="0"/>
          <w:marRight w:val="0"/>
          <w:marTop w:val="0"/>
          <w:marBottom w:val="0"/>
          <w:divBdr>
            <w:top w:val="none" w:sz="0" w:space="0" w:color="auto"/>
            <w:left w:val="none" w:sz="0" w:space="0" w:color="auto"/>
            <w:bottom w:val="none" w:sz="0" w:space="0" w:color="auto"/>
            <w:right w:val="none" w:sz="0" w:space="0" w:color="auto"/>
          </w:divBdr>
        </w:div>
        <w:div w:id="1905791685">
          <w:marLeft w:val="0"/>
          <w:marRight w:val="0"/>
          <w:marTop w:val="0"/>
          <w:marBottom w:val="0"/>
          <w:divBdr>
            <w:top w:val="none" w:sz="0" w:space="0" w:color="auto"/>
            <w:left w:val="none" w:sz="0" w:space="0" w:color="auto"/>
            <w:bottom w:val="none" w:sz="0" w:space="0" w:color="auto"/>
            <w:right w:val="none" w:sz="0" w:space="0" w:color="auto"/>
          </w:divBdr>
        </w:div>
        <w:div w:id="1911387239">
          <w:marLeft w:val="0"/>
          <w:marRight w:val="0"/>
          <w:marTop w:val="0"/>
          <w:marBottom w:val="0"/>
          <w:divBdr>
            <w:top w:val="none" w:sz="0" w:space="0" w:color="auto"/>
            <w:left w:val="none" w:sz="0" w:space="0" w:color="auto"/>
            <w:bottom w:val="none" w:sz="0" w:space="0" w:color="auto"/>
            <w:right w:val="none" w:sz="0" w:space="0" w:color="auto"/>
          </w:divBdr>
        </w:div>
        <w:div w:id="1942908712">
          <w:marLeft w:val="0"/>
          <w:marRight w:val="0"/>
          <w:marTop w:val="0"/>
          <w:marBottom w:val="0"/>
          <w:divBdr>
            <w:top w:val="none" w:sz="0" w:space="0" w:color="auto"/>
            <w:left w:val="none" w:sz="0" w:space="0" w:color="auto"/>
            <w:bottom w:val="none" w:sz="0" w:space="0" w:color="auto"/>
            <w:right w:val="none" w:sz="0" w:space="0" w:color="auto"/>
          </w:divBdr>
        </w:div>
        <w:div w:id="1947540984">
          <w:marLeft w:val="0"/>
          <w:marRight w:val="0"/>
          <w:marTop w:val="0"/>
          <w:marBottom w:val="0"/>
          <w:divBdr>
            <w:top w:val="none" w:sz="0" w:space="0" w:color="auto"/>
            <w:left w:val="none" w:sz="0" w:space="0" w:color="auto"/>
            <w:bottom w:val="none" w:sz="0" w:space="0" w:color="auto"/>
            <w:right w:val="none" w:sz="0" w:space="0" w:color="auto"/>
          </w:divBdr>
        </w:div>
        <w:div w:id="1965621676">
          <w:marLeft w:val="0"/>
          <w:marRight w:val="0"/>
          <w:marTop w:val="0"/>
          <w:marBottom w:val="0"/>
          <w:divBdr>
            <w:top w:val="none" w:sz="0" w:space="0" w:color="auto"/>
            <w:left w:val="none" w:sz="0" w:space="0" w:color="auto"/>
            <w:bottom w:val="none" w:sz="0" w:space="0" w:color="auto"/>
            <w:right w:val="none" w:sz="0" w:space="0" w:color="auto"/>
          </w:divBdr>
        </w:div>
        <w:div w:id="1966739462">
          <w:marLeft w:val="0"/>
          <w:marRight w:val="0"/>
          <w:marTop w:val="0"/>
          <w:marBottom w:val="0"/>
          <w:divBdr>
            <w:top w:val="none" w:sz="0" w:space="0" w:color="auto"/>
            <w:left w:val="none" w:sz="0" w:space="0" w:color="auto"/>
            <w:bottom w:val="none" w:sz="0" w:space="0" w:color="auto"/>
            <w:right w:val="none" w:sz="0" w:space="0" w:color="auto"/>
          </w:divBdr>
        </w:div>
        <w:div w:id="2036694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0F60956-4960-4A28-A6B8-7A82FA7034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e4a39ebdc264d0abe5ee77fe9cb1f05 xmlns="ffe4b66e-8ed7-4886-ace9-ed890174e4d2">
      <Terms xmlns="http://schemas.microsoft.com/office/infopath/2007/PartnerControls">
        <TermInfo xmlns="http://schemas.microsoft.com/office/infopath/2007/PartnerControls">
          <TermName xmlns="http://schemas.microsoft.com/office/infopath/2007/PartnerControls">Regulatory Levies</TermName>
          <TermId xmlns="http://schemas.microsoft.com/office/infopath/2007/PartnerControls">597f19bd-9c82-48a5-9d84-ed2783959854</TermId>
        </TermInfo>
      </Terms>
    </je4a39ebdc264d0abe5ee77fe9cb1f05>
    <e01a212754b1438da5efe472214e8f8c xmlns="ffe4b66e-8ed7-4886-ace9-ed890174e4d2">
      <Terms xmlns="http://schemas.microsoft.com/office/infopath/2007/PartnerControls">
        <TermInfo xmlns="http://schemas.microsoft.com/office/infopath/2007/PartnerControls">
          <TermName xmlns="http://schemas.microsoft.com/office/infopath/2007/PartnerControls">Legislative secrecy</TermName>
          <TermId xmlns="http://schemas.microsoft.com/office/infopath/2007/PartnerControls">9609987e-de91-43d4-afa5-d7d3fbf9e7bf</TermId>
        </TermInfo>
      </Terms>
    </e01a212754b1438da5efe472214e8f8c>
    <p9e7fb3d639e4ffc803a4b8f6549f0f5 xmlns="ffe4b66e-8ed7-4886-ace9-ed890174e4d2">
      <Terms xmlns="http://schemas.microsoft.com/office/infopath/2007/PartnerControls">
        <TermInfo xmlns="http://schemas.microsoft.com/office/infopath/2007/PartnerControls">
          <TermName xmlns="http://schemas.microsoft.com/office/infopath/2007/PartnerControls">Explanatory Memorandum</TermName>
          <TermId xmlns="http://schemas.microsoft.com/office/infopath/2007/PartnerControls">52b48b1c-693b-49de-b44d-fb5b726885a7</TermId>
        </TermInfo>
      </Terms>
    </p9e7fb3d639e4ffc803a4b8f6549f0f5>
    <TaxCatchAll xmlns="ffe4b66e-8ed7-4886-ace9-ed890174e4d2">
      <Value>79</Value>
      <Value>110</Value>
      <Value>109</Value>
      <Value>25</Value>
      <Value>37</Value>
      <Value>137</Value>
    </TaxCatchAll>
    <la485a39a92040eb8409dd7d9dc7c703 xmlns="ffe4b66e-8ed7-4886-ace9-ed890174e4d2">
      <Terms xmlns="http://schemas.microsoft.com/office/infopath/2007/PartnerControls"/>
    </la485a39a92040eb8409dd7d9dc7c703>
    <k2e703269cc54cd2bbb3519ffaffcc1b xmlns="ffe4b66e-8ed7-4886-ace9-ed890174e4d2">
      <Terms xmlns="http://schemas.microsoft.com/office/infopath/2007/PartnerControls">
        <TermInfo xmlns="http://schemas.microsoft.com/office/infopath/2007/PartnerControls">
          <TermName xmlns="http://schemas.microsoft.com/office/infopath/2007/PartnerControls">Department of Industry, Science, Energy and Resources</TermName>
          <TermId xmlns="http://schemas.microsoft.com/office/infopath/2007/PartnerControls">ea000d86-cf4f-4848-985f-59747a4089f7</TermId>
        </TermInfo>
      </Terms>
    </k2e703269cc54cd2bbb3519ffaffcc1b>
    <d7f9728f260c46379b933ee06bc0d6bc xmlns="ffe4b66e-8ed7-4886-ace9-ed890174e4d2">
      <Terms xmlns="http://schemas.microsoft.com/office/infopath/2007/PartnerControls"/>
    </d7f9728f260c46379b933ee06bc0d6bc>
    <o8e9f6b000bf46b78855917f10dbdcbb xmlns="ffe4b66e-8ed7-4886-ace9-ed890174e4d2">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7be34df0-4ab5-4517-a69e-f772c7316a5d</TermId>
        </TermInfo>
      </Terms>
    </o8e9f6b000bf46b78855917f10dbdcbb>
    <PDMS_x0020_Number xmlns="a4e693b7-c50f-4ec0-9b1d-639cf7e3efe7" xsi:nil="true"/>
    <Comments xmlns="http://schemas.microsoft.com/sharepoint/v3" xsi:nil="true"/>
    <a731df1ba80d423ba2edc5c832469412 xmlns="ffe4b66e-8ed7-4886-ace9-ed890174e4d2">
      <Terms xmlns="http://schemas.microsoft.com/office/infopath/2007/PartnerControls">
        <TermInfo xmlns="http://schemas.microsoft.com/office/infopath/2007/PartnerControls">
          <TermName xmlns="http://schemas.microsoft.com/office/infopath/2007/PartnerControls">oil and gas</TermName>
          <TermId xmlns="http://schemas.microsoft.com/office/infopath/2007/PartnerControls">2296c141-4dc6-40cf-94cb-f8a4ee35d08d</TermId>
        </TermInfo>
      </Terms>
    </a731df1ba80d423ba2edc5c83246941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62E59E65003904CA12F8905569FD035" ma:contentTypeVersion="" ma:contentTypeDescription="PDMS Document Site Content Type" ma:contentTypeScope="" ma:versionID="ca4cd5f2c857e68e308e7dd9ec100dea">
  <xsd:schema xmlns:xsd="http://www.w3.org/2001/XMLSchema" xmlns:xs="http://www.w3.org/2001/XMLSchema" xmlns:p="http://schemas.microsoft.com/office/2006/metadata/properties" xmlns:ns2="10F60956-4960-4A28-A6B8-7A82FA703433" targetNamespace="http://schemas.microsoft.com/office/2006/metadata/properties" ma:root="true" ma:fieldsID="043eafb73afe9b017512e740cfc2dab3" ns2:_="">
    <xsd:import namespace="10F60956-4960-4A28-A6B8-7A82FA70343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60956-4960-4A28-A6B8-7A82FA70343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22709-10C9-441A-BBBA-AF526620C5DB}">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www.w3.org/XML/1998/namespace"/>
    <ds:schemaRef ds:uri="http://schemas.microsoft.com/office/infopath/2007/PartnerControls"/>
    <ds:schemaRef ds:uri="10F60956-4960-4A28-A6B8-7A82FA703433"/>
    <ds:schemaRef ds:uri="http://purl.org/dc/elements/1.1/"/>
  </ds:schemaRefs>
</ds:datastoreItem>
</file>

<file path=customXml/itemProps2.xml><?xml version="1.0" encoding="utf-8"?>
<ds:datastoreItem xmlns:ds="http://schemas.openxmlformats.org/officeDocument/2006/customXml" ds:itemID="{2C25EF2A-4E9C-421F-904D-D83B55EE7141}">
  <ds:schemaRefs>
    <ds:schemaRef ds:uri="http://schemas.microsoft.com/sharepoint/v3/contenttype/forms"/>
  </ds:schemaRefs>
</ds:datastoreItem>
</file>

<file path=customXml/itemProps3.xml><?xml version="1.0" encoding="utf-8"?>
<ds:datastoreItem xmlns:ds="http://schemas.openxmlformats.org/officeDocument/2006/customXml" ds:itemID="{1C717B66-9D58-4B94-B189-9A3426326C2A}">
  <ds:schemaRefs>
    <ds:schemaRef ds:uri="http://schemas.microsoft.com/office/infopath/2007/PartnerControls"/>
    <ds:schemaRef ds:uri="http://www.w3.org/XML/1998/namespace"/>
    <ds:schemaRef ds:uri="http://purl.org/dc/terms/"/>
    <ds:schemaRef ds:uri="http://schemas.microsoft.com/office/2006/documentManagement/types"/>
    <ds:schemaRef ds:uri="http://purl.org/dc/dcmitype/"/>
    <ds:schemaRef ds:uri="a4e693b7-c50f-4ec0-9b1d-639cf7e3efe7"/>
    <ds:schemaRef ds:uri="http://schemas.openxmlformats.org/package/2006/metadata/core-properties"/>
    <ds:schemaRef ds:uri="http://purl.org/dc/elements/1.1/"/>
    <ds:schemaRef ds:uri="ffe4b66e-8ed7-4886-ace9-ed890174e4d2"/>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7DC98990-B4D9-40BD-9382-B8D22E503750}">
  <ds:schemaRefs>
    <ds:schemaRef ds:uri="http://schemas.microsoft.com/sharepoint/v3/contenttype/forms"/>
  </ds:schemaRefs>
</ds:datastoreItem>
</file>

<file path=customXml/itemProps5.xml><?xml version="1.0" encoding="utf-8"?>
<ds:datastoreItem xmlns:ds="http://schemas.openxmlformats.org/officeDocument/2006/customXml" ds:itemID="{5AD1462A-0072-4712-8D59-E02C48393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60956-4960-4A28-A6B8-7A82FA703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E20100-B6BB-4253-AEA2-ECA1CFF85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1669</Words>
  <Characters>9518</Characters>
  <Application>Microsoft Office Word</Application>
  <DocSecurity>0</DocSecurity>
  <Lines>79</Lines>
  <Paragraphs>22</Paragraphs>
  <ScaleCrop>false</ScaleCrop>
  <Company>Department of Industry, Science, and Resources</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Mark</dc:creator>
  <cp:keywords/>
  <dc:description/>
  <cp:lastModifiedBy>Tsakalos, Nick</cp:lastModifiedBy>
  <cp:revision>2</cp:revision>
  <dcterms:created xsi:type="dcterms:W3CDTF">2024-06-20T04:21:00Z</dcterms:created>
  <dcterms:modified xsi:type="dcterms:W3CDTF">2024-06-20T04:21:00Z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0x010100266966F133664895A6EE3632470D45F500162E59E65003904CA12F8905569FD035</vt:lpwstr>
  </property>
  <property fmtid="{D5CDD505-2E9C-101B-9397-08002B2CF9AE}" pid="3" name="Stratus_WorkActivity">
    <vt:lpwstr>79;#Legislation and Regulation|7be34df0-4ab5-4517-a69e-f772c7316a5d</vt:lpwstr>
  </property>
  <property fmtid="{D5CDD505-2E9C-101B-9397-08002B2CF9AE}" pid="4" name="Stratus_OffshoreResourcesEnergyMineralResources">
    <vt:lpwstr>37;#oil and gas|2296c141-4dc6-40cf-94cb-f8a4ee35d08d</vt:lpwstr>
  </property>
  <property fmtid="{D5CDD505-2E9C-101B-9397-08002B2CF9AE}" pid="5" name="Stratus_OffshoreResourcesWorkTopics">
    <vt:lpwstr>109;#Regulatory Levies|597f19bd-9c82-48a5-9d84-ed2783959854</vt:lpwstr>
  </property>
  <property fmtid="{D5CDD505-2E9C-101B-9397-08002B2CF9AE}" pid="6" name="Stratus_DocumentType">
    <vt:lpwstr>107;#Legislative Instrument|97701d4b-75df-4372-bfee-59c760b23716</vt:lpwstr>
  </property>
  <property fmtid="{D5CDD505-2E9C-101B-9397-08002B2CF9AE}" pid="7" name="Stratus_Year">
    <vt:lpwstr/>
  </property>
  <property fmtid="{D5CDD505-2E9C-101B-9397-08002B2CF9AE}" pid="8" name="Stratus_GovernmentEntities">
    <vt:lpwstr>25;#Department of Industry, Science, Energy and Resources|ea000d86-cf4f-4848-985f-59747a4089f7</vt:lpwstr>
  </property>
  <property fmtid="{D5CDD505-2E9C-101B-9397-08002B2CF9AE}" pid="9" name="Stratus_SecurityClassification">
    <vt:lpwstr>1;#OFFICIAL|1077e141-03cb-4307-8c0f-d43dc85f509f</vt:lpwstr>
  </property>
  <property fmtid="{D5CDD505-2E9C-101B-9397-08002B2CF9AE}" pid="10" name="Stratus_GroupsOtherEntities">
    <vt:lpwstr/>
  </property>
  <property fmtid="{D5CDD505-2E9C-101B-9397-08002B2CF9AE}" pid="11" name="DocHub_GroupsOtherEntities">
    <vt:lpwstr/>
  </property>
  <property fmtid="{D5CDD505-2E9C-101B-9397-08002B2CF9AE}" pid="12" name="DocHub_DocumentType">
    <vt:lpwstr>9;#Paper|4fd73e9f-ceb6-4d3f-8d1d-e6ca9b922532</vt:lpwstr>
  </property>
  <property fmtid="{D5CDD505-2E9C-101B-9397-08002B2CF9AE}" pid="13" name="DocHub_SecurityClassification">
    <vt:lpwstr>1;#UNCLASSIFIED|6106d03b-a1a0-4e30-9d91-d5e9fb4314f9</vt:lpwstr>
  </property>
  <property fmtid="{D5CDD505-2E9C-101B-9397-08002B2CF9AE}" pid="14" name="DocHub_GovernmentEntities">
    <vt:lpwstr>92;#National Offshore Petroleum Safety and Environmental Management Authority|f1f8e8b8-f76b-4928-9544-ad370ae0b5b4</vt:lpwstr>
  </property>
  <property fmtid="{D5CDD505-2E9C-101B-9397-08002B2CF9AE}" pid="15" name="DocHub_OrganisationEntities">
    <vt:lpwstr/>
  </property>
  <property fmtid="{D5CDD505-2E9C-101B-9397-08002B2CF9AE}" pid="16" name="DocHub_WorkActivity">
    <vt:lpwstr>102;#Legislation and Regulation|6cbc66f5-f4a2-4565-a58b-d5f2d2ac9bd0</vt:lpwstr>
  </property>
  <property fmtid="{D5CDD505-2E9C-101B-9397-08002B2CF9AE}" pid="17" name="DocHub_WorkTopic">
    <vt:lpwstr>645;#Regulatory Levies|be051b9f-ab20-432e-a641-90c11edcbce8</vt:lpwstr>
  </property>
  <property fmtid="{D5CDD505-2E9C-101B-9397-08002B2CF9AE}" pid="18" name="DocHub_EnergyMineralResources">
    <vt:lpwstr/>
  </property>
  <property fmtid="{D5CDD505-2E9C-101B-9397-08002B2CF9AE}" pid="19" name="DocHub_Keywords">
    <vt:lpwstr/>
  </property>
  <property fmtid="{D5CDD505-2E9C-101B-9397-08002B2CF9AE}" pid="20" name="DocHub_State">
    <vt:lpwstr/>
  </property>
  <property fmtid="{D5CDD505-2E9C-101B-9397-08002B2CF9AE}" pid="21" name="DocHub_Year">
    <vt:lpwstr>3075;#2019|7e451fe0-4dc6-437a-a849-bab7965a9aee</vt:lpwstr>
  </property>
  <property fmtid="{D5CDD505-2E9C-101B-9397-08002B2CF9AE}" pid="22" name="_dlc_DocIdItemGuid">
    <vt:lpwstr>3e9e04df-206a-4bb3-ba9f-eaa8ffed73ec</vt:lpwstr>
  </property>
  <property fmtid="{D5CDD505-2E9C-101B-9397-08002B2CF9AE}" pid="23" name="je4a39ebdc264d0abe5ee77fe9cb1f05">
    <vt:lpwstr>Regulatory Levies|597f19bd-9c82-48a5-9d84-ed2783959854</vt:lpwstr>
  </property>
  <property fmtid="{D5CDD505-2E9C-101B-9397-08002B2CF9AE}" pid="24" name="PDMS Number">
    <vt:lpwstr>MS24-000661</vt:lpwstr>
  </property>
  <property fmtid="{D5CDD505-2E9C-101B-9397-08002B2CF9AE}" pid="25" name="p9e7fb3d639e4ffc803a4b8f6549f0f5">
    <vt:lpwstr>Legislative Instrument|97701d4b-75df-4372-bfee-59c760b23716</vt:lpwstr>
  </property>
  <property fmtid="{D5CDD505-2E9C-101B-9397-08002B2CF9AE}" pid="26" name="k2e703269cc54cd2bbb3519ffaffcc1b">
    <vt:lpwstr>Department of Industry, Science, Energy and Resources|ea000d86-cf4f-4848-985f-59747a4089f7</vt:lpwstr>
  </property>
  <property fmtid="{D5CDD505-2E9C-101B-9397-08002B2CF9AE}" pid="27" name="a731df1ba80d423ba2edc5c832469412">
    <vt:lpwstr>oil and gas|2296c141-4dc6-40cf-94cb-f8a4ee35d08d</vt:lpwstr>
  </property>
  <property fmtid="{D5CDD505-2E9C-101B-9397-08002B2CF9AE}" pid="28" name="e01a212754b1438da5efe472214e8f8c">
    <vt:lpwstr>OFFICIAL|1077e141-03cb-4307-8c0f-d43dc85f509f</vt:lpwstr>
  </property>
  <property fmtid="{D5CDD505-2E9C-101B-9397-08002B2CF9AE}" pid="29" name="TaxCatchAll">
    <vt:lpwstr>79;#;#25;#;#109;#;#107;#;#37;#;#1;#</vt:lpwstr>
  </property>
  <property fmtid="{D5CDD505-2E9C-101B-9397-08002B2CF9AE}" pid="30" name="o8e9f6b000bf46b78855917f10dbdcbb">
    <vt:lpwstr>Legislation and Regulation|7be34df0-4ab5-4517-a69e-f772c7316a5d</vt:lpwstr>
  </property>
  <property fmtid="{D5CDD505-2E9C-101B-9397-08002B2CF9AE}" pid="31" name="Comments">
    <vt:lpwstr>Explanatory Statement for amendments to the Levies Regulations</vt:lpwstr>
  </property>
</Properties>
</file>