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56E9"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58B6FEF6" w14:textId="511FDA20"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2537C9289BFD440AA90BA2E2E435824E"/>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3C43BC">
            <w:rPr>
              <w:rStyle w:val="DefaultChar"/>
            </w:rPr>
            <w:t>the Assistant Treasurer and Minister for Financial Services</w:t>
          </w:r>
        </w:sdtContent>
      </w:sdt>
      <w:r w:rsidR="00076178" w:rsidRPr="003C5719">
        <w:rPr>
          <w:sz w:val="24"/>
          <w:szCs w:val="24"/>
        </w:rPr>
        <w:t xml:space="preserve"> </w:t>
      </w:r>
    </w:p>
    <w:p w14:paraId="4AC31DAD" w14:textId="77777777" w:rsidR="003C43BC" w:rsidRDefault="003C43BC" w:rsidP="003C43BC">
      <w:pPr>
        <w:pStyle w:val="paragraph"/>
        <w:spacing w:before="0" w:beforeAutospacing="0" w:after="240" w:afterAutospacing="0"/>
        <w:jc w:val="center"/>
        <w:textAlignment w:val="baseline"/>
        <w:rPr>
          <w:rFonts w:ascii="Segoe UI" w:hAnsi="Segoe UI" w:cs="Segoe UI"/>
          <w:b/>
          <w:bCs/>
          <w:sz w:val="18"/>
          <w:szCs w:val="18"/>
        </w:rPr>
      </w:pPr>
      <w:r>
        <w:rPr>
          <w:rStyle w:val="normaltextrun"/>
          <w:i/>
          <w:iCs/>
        </w:rPr>
        <w:t>Australian Securities and Investments Commission Act 2001</w:t>
      </w:r>
      <w:r>
        <w:rPr>
          <w:rStyle w:val="eop"/>
          <w:b/>
          <w:bCs/>
        </w:rPr>
        <w:t> </w:t>
      </w:r>
    </w:p>
    <w:p w14:paraId="3A564C3E" w14:textId="77777777" w:rsidR="003C43BC" w:rsidRDefault="003C43BC" w:rsidP="003C43BC">
      <w:pPr>
        <w:pStyle w:val="paragraph"/>
        <w:spacing w:before="0" w:beforeAutospacing="0" w:after="240" w:afterAutospacing="0"/>
        <w:ind w:firstLine="780"/>
        <w:jc w:val="center"/>
        <w:textAlignment w:val="baseline"/>
        <w:rPr>
          <w:rFonts w:ascii="Segoe UI" w:hAnsi="Segoe UI" w:cs="Segoe UI"/>
          <w:b/>
          <w:bCs/>
          <w:sz w:val="18"/>
          <w:szCs w:val="18"/>
        </w:rPr>
      </w:pPr>
      <w:r>
        <w:rPr>
          <w:rStyle w:val="normaltextrun"/>
          <w:i/>
          <w:iCs/>
        </w:rPr>
        <w:t>Competition and Consumer Act 2010</w:t>
      </w:r>
      <w:r>
        <w:rPr>
          <w:rStyle w:val="eop"/>
          <w:b/>
          <w:bCs/>
        </w:rPr>
        <w:t> </w:t>
      </w:r>
    </w:p>
    <w:p w14:paraId="1BB7AA90" w14:textId="77777777" w:rsidR="003C43BC" w:rsidRDefault="003C43BC" w:rsidP="003C43BC">
      <w:pPr>
        <w:pStyle w:val="paragraph"/>
        <w:spacing w:before="0" w:beforeAutospacing="0" w:after="240" w:afterAutospacing="0"/>
        <w:ind w:firstLine="780"/>
        <w:jc w:val="center"/>
        <w:textAlignment w:val="baseline"/>
        <w:rPr>
          <w:rFonts w:ascii="Segoe UI" w:hAnsi="Segoe UI" w:cs="Segoe UI"/>
          <w:sz w:val="18"/>
          <w:szCs w:val="18"/>
        </w:rPr>
      </w:pPr>
      <w:r>
        <w:rPr>
          <w:rStyle w:val="normaltextrun"/>
          <w:i/>
          <w:iCs/>
        </w:rPr>
        <w:t>Corporations Act 2001</w:t>
      </w:r>
      <w:r>
        <w:rPr>
          <w:rStyle w:val="eop"/>
        </w:rPr>
        <w:t> </w:t>
      </w:r>
    </w:p>
    <w:p w14:paraId="70170717" w14:textId="527520D1" w:rsidR="003C43BC" w:rsidRDefault="003C43BC" w:rsidP="003C43BC">
      <w:pPr>
        <w:pStyle w:val="paragraph"/>
        <w:spacing w:before="0" w:beforeAutospacing="0" w:after="240" w:afterAutospacing="0"/>
        <w:jc w:val="center"/>
        <w:textAlignment w:val="baseline"/>
        <w:rPr>
          <w:rFonts w:ascii="Segoe UI" w:hAnsi="Segoe UI" w:cs="Segoe UI"/>
          <w:sz w:val="18"/>
          <w:szCs w:val="18"/>
        </w:rPr>
      </w:pPr>
      <w:r>
        <w:rPr>
          <w:rStyle w:val="normaltextrun"/>
          <w:i/>
          <w:iCs/>
        </w:rPr>
        <w:t>Treasury Laws Amendment (Professional Standards Schemes) Regulations 2024</w:t>
      </w:r>
    </w:p>
    <w:p w14:paraId="7D6AE75B" w14:textId="4B4FFE8D" w:rsidR="003C43BC" w:rsidRDefault="003C43BC" w:rsidP="00466DD5">
      <w:pPr>
        <w:pStyle w:val="NormalWeb"/>
        <w:keepNext/>
        <w:keepLines/>
        <w:rPr>
          <w:rStyle w:val="eop"/>
          <w:color w:val="000000"/>
          <w:shd w:val="clear" w:color="auto" w:fill="FFFFFF"/>
        </w:rPr>
      </w:pPr>
      <w:r>
        <w:rPr>
          <w:rStyle w:val="normaltextrun"/>
          <w:color w:val="000000"/>
          <w:shd w:val="clear" w:color="auto" w:fill="FFFFFF"/>
        </w:rPr>
        <w:t xml:space="preserve">Section 251 of the </w:t>
      </w:r>
      <w:r>
        <w:rPr>
          <w:rStyle w:val="normaltextrun"/>
          <w:i/>
          <w:iCs/>
          <w:color w:val="000000"/>
          <w:shd w:val="clear" w:color="auto" w:fill="FFFFFF"/>
        </w:rPr>
        <w:t>Australian Securities and Investments Commission Act 2001</w:t>
      </w:r>
      <w:r>
        <w:rPr>
          <w:rStyle w:val="normaltextrun"/>
          <w:color w:val="000000"/>
          <w:shd w:val="clear" w:color="auto" w:fill="FFFFFF"/>
        </w:rPr>
        <w:t xml:space="preserve"> (</w:t>
      </w:r>
      <w:r w:rsidR="004231FE">
        <w:rPr>
          <w:rStyle w:val="normaltextrun"/>
          <w:color w:val="000000"/>
          <w:shd w:val="clear" w:color="auto" w:fill="FFFFFF"/>
        </w:rPr>
        <w:t xml:space="preserve">the </w:t>
      </w:r>
      <w:r>
        <w:rPr>
          <w:rStyle w:val="normaltextrun"/>
          <w:color w:val="000000"/>
          <w:shd w:val="clear" w:color="auto" w:fill="FFFFFF"/>
        </w:rPr>
        <w:t xml:space="preserve">ASIC Act), section 172 of the </w:t>
      </w:r>
      <w:r>
        <w:rPr>
          <w:rStyle w:val="normaltextrun"/>
          <w:i/>
          <w:iCs/>
          <w:color w:val="000000"/>
          <w:shd w:val="clear" w:color="auto" w:fill="FFFFFF"/>
        </w:rPr>
        <w:t>Competition and Consumer Act 2010</w:t>
      </w:r>
      <w:r>
        <w:rPr>
          <w:rStyle w:val="normaltextrun"/>
          <w:color w:val="000000"/>
          <w:shd w:val="clear" w:color="auto" w:fill="FFFFFF"/>
        </w:rPr>
        <w:t xml:space="preserve"> (the CCA) and section 1364 of the </w:t>
      </w:r>
      <w:r>
        <w:rPr>
          <w:rStyle w:val="normaltextrun"/>
          <w:i/>
          <w:iCs/>
          <w:color w:val="000000"/>
          <w:shd w:val="clear" w:color="auto" w:fill="FFFFFF"/>
        </w:rPr>
        <w:t>Corporations Act 2001</w:t>
      </w:r>
      <w:r>
        <w:rPr>
          <w:rStyle w:val="normaltextrun"/>
          <w:color w:val="000000"/>
          <w:shd w:val="clear" w:color="auto" w:fill="FFFFFF"/>
        </w:rPr>
        <w:t xml:space="preserve"> (the Corporations Act) each provide that the Governor General may make regulations prescribing matters required or permitted by the Acts to be prescribed, or necessary or convenient to be prescribed for carrying out or giving effect to the Acts.</w:t>
      </w:r>
      <w:r>
        <w:rPr>
          <w:rStyle w:val="eop"/>
          <w:color w:val="000000"/>
          <w:shd w:val="clear" w:color="auto" w:fill="FFFFFF"/>
        </w:rPr>
        <w:t> </w:t>
      </w:r>
    </w:p>
    <w:p w14:paraId="344E08A4" w14:textId="4AECA8B0" w:rsidR="00287B11" w:rsidRPr="007E107E" w:rsidRDefault="00287B11" w:rsidP="00287B11">
      <w:pPr>
        <w:spacing w:before="240"/>
      </w:pPr>
      <w:r w:rsidRPr="007E107E">
        <w:t>The intergovernmental </w:t>
      </w:r>
      <w:r w:rsidRPr="00AC6DA9">
        <w:rPr>
          <w:i/>
          <w:iCs/>
        </w:rPr>
        <w:t>Professional Standards Agreement 2011</w:t>
      </w:r>
      <w:r w:rsidRPr="007E107E">
        <w:t>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p>
    <w:p w14:paraId="5348DE29" w14:textId="77777777" w:rsidR="009479AE" w:rsidRPr="00AD0822" w:rsidRDefault="009479AE" w:rsidP="007E107E">
      <w:pPr>
        <w:spacing w:before="240"/>
        <w:rPr>
          <w:color w:val="000000"/>
        </w:rPr>
      </w:pPr>
      <w:r w:rsidRPr="00E467E4">
        <w:rPr>
          <w:color w:val="000000"/>
        </w:rP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p>
    <w:p w14:paraId="0A2D24FA" w14:textId="257CA12C" w:rsidR="009479AE" w:rsidRPr="007E107E" w:rsidRDefault="009479AE" w:rsidP="007E107E">
      <w:pPr>
        <w:spacing w:before="240"/>
      </w:pPr>
      <w:r w:rsidRPr="007E107E">
        <w:rPr>
          <w:color w:val="000000"/>
        </w:rPr>
        <w:t>All approved professional standards schemes are prescribed under the CCA. In addition, those schemes relating to financial services are also prescribed under the ASIC Act and Corporations Act.</w:t>
      </w:r>
    </w:p>
    <w:p w14:paraId="66074506" w14:textId="418C6D8D" w:rsidR="00866658" w:rsidRDefault="00866658" w:rsidP="00287B11">
      <w:pPr>
        <w:spacing w:before="240"/>
        <w:rPr>
          <w:color w:val="000000"/>
        </w:rPr>
      </w:pPr>
      <w:r>
        <w:rPr>
          <w:color w:val="000000"/>
        </w:rPr>
        <w:t>Subsections 12</w:t>
      </w:r>
      <w:proofErr w:type="gramStart"/>
      <w:r>
        <w:rPr>
          <w:color w:val="000000"/>
        </w:rPr>
        <w:t>GNA(</w:t>
      </w:r>
      <w:proofErr w:type="gramEnd"/>
      <w:r>
        <w:rPr>
          <w:color w:val="000000"/>
        </w:rPr>
        <w:t>2) of the ASIC Act, 137(2) of the CCA and 1044B(2) of the Corporations Act</w:t>
      </w:r>
      <w:r w:rsidR="002B7A51">
        <w:rPr>
          <w:color w:val="000000"/>
        </w:rPr>
        <w:t xml:space="preserve"> </w:t>
      </w:r>
      <w:r>
        <w:rPr>
          <w:color w:val="000000"/>
        </w:rPr>
        <w:t>provide for capped civil liability for misleading and deceptive conduct for professional standards schemes that are prescribed in relevant regulations. Accordingly, regulation 3A of the </w:t>
      </w:r>
      <w:r w:rsidRPr="00AA3F31">
        <w:rPr>
          <w:i/>
          <w:iCs/>
          <w:color w:val="000000"/>
        </w:rPr>
        <w:t>Australian Securities and Investments Commission Regulations 200</w:t>
      </w:r>
      <w:r w:rsidRPr="007E107E">
        <w:rPr>
          <w:color w:val="000000"/>
        </w:rPr>
        <w:t>1</w:t>
      </w:r>
      <w:r>
        <w:rPr>
          <w:color w:val="000000"/>
        </w:rPr>
        <w:t>, regulation 8A of the </w:t>
      </w:r>
      <w:r w:rsidRPr="00AA3F31">
        <w:rPr>
          <w:i/>
          <w:iCs/>
          <w:color w:val="000000"/>
        </w:rPr>
        <w:t>Competition and Consumer Regulations 2010</w:t>
      </w:r>
      <w:r>
        <w:rPr>
          <w:color w:val="000000"/>
        </w:rPr>
        <w:t> and regulation 7.10.02 of the </w:t>
      </w:r>
      <w:r w:rsidRPr="00AA3F31">
        <w:rPr>
          <w:i/>
          <w:iCs/>
          <w:color w:val="000000"/>
        </w:rPr>
        <w:t>Corporations Regulations 2001</w:t>
      </w:r>
      <w:r>
        <w:rPr>
          <w:color w:val="000000"/>
        </w:rPr>
        <w:t xml:space="preserve"> prescribe a list of professional standards schemes that have capped civil liability for misleading and deceptive conduct under their respective principal </w:t>
      </w:r>
      <w:r w:rsidR="000F2AE3">
        <w:rPr>
          <w:color w:val="000000"/>
        </w:rPr>
        <w:t>A</w:t>
      </w:r>
      <w:r>
        <w:rPr>
          <w:color w:val="000000"/>
        </w:rPr>
        <w:t>cts.</w:t>
      </w:r>
    </w:p>
    <w:p w14:paraId="5B554286" w14:textId="4388D542" w:rsidR="002E665C" w:rsidRDefault="00863BE6" w:rsidP="002E665C">
      <w:pPr>
        <w:spacing w:before="240"/>
        <w:rPr>
          <w:szCs w:val="24"/>
        </w:rPr>
      </w:pPr>
      <w:r w:rsidRPr="00E467E4">
        <w:rPr>
          <w:color w:val="000000"/>
          <w:szCs w:val="24"/>
        </w:rPr>
        <w:t xml:space="preserve">The </w:t>
      </w:r>
      <w:r>
        <w:rPr>
          <w:i/>
        </w:rPr>
        <w:t>Treasury Laws Amendment (Professional Standards Schemes) Regulations 2024</w:t>
      </w:r>
      <w:r w:rsidRPr="00E467E4">
        <w:rPr>
          <w:color w:val="000000"/>
          <w:szCs w:val="24"/>
        </w:rPr>
        <w:t xml:space="preserve"> (the Regulations) </w:t>
      </w:r>
      <w:r>
        <w:rPr>
          <w:color w:val="000000"/>
          <w:szCs w:val="24"/>
        </w:rPr>
        <w:t>update</w:t>
      </w:r>
      <w:r w:rsidRPr="00E7003A">
        <w:rPr>
          <w:color w:val="000000"/>
          <w:szCs w:val="24"/>
        </w:rPr>
        <w:t xml:space="preserve"> professional standards schemes</w:t>
      </w:r>
      <w:r>
        <w:rPr>
          <w:color w:val="000000"/>
          <w:szCs w:val="24"/>
        </w:rPr>
        <w:t xml:space="preserve"> that are being extended</w:t>
      </w:r>
      <w:r w:rsidRPr="00E7003A">
        <w:rPr>
          <w:color w:val="000000"/>
          <w:szCs w:val="24"/>
        </w:rPr>
        <w:t xml:space="preserve"> with references to </w:t>
      </w:r>
      <w:r w:rsidR="002B10E4">
        <w:rPr>
          <w:color w:val="000000"/>
          <w:szCs w:val="24"/>
        </w:rPr>
        <w:t>the extension period</w:t>
      </w:r>
      <w:r>
        <w:rPr>
          <w:color w:val="000000"/>
          <w:szCs w:val="24"/>
        </w:rPr>
        <w:t>. The schemes being extended are</w:t>
      </w:r>
      <w:r w:rsidRPr="00E7003A">
        <w:rPr>
          <w:color w:val="000000"/>
          <w:szCs w:val="24"/>
        </w:rPr>
        <w:t xml:space="preserve"> </w:t>
      </w:r>
      <w:r w:rsidR="002E665C">
        <w:rPr>
          <w:color w:val="000000"/>
          <w:szCs w:val="24"/>
        </w:rPr>
        <w:t xml:space="preserve">the </w:t>
      </w:r>
      <w:r w:rsidR="002E665C" w:rsidRPr="002E665C">
        <w:rPr>
          <w:i/>
          <w:iCs/>
          <w:color w:val="000000"/>
          <w:szCs w:val="24"/>
        </w:rPr>
        <w:t xml:space="preserve">Victorian Bar </w:t>
      </w:r>
      <w:r w:rsidR="002E665C" w:rsidRPr="002E665C">
        <w:rPr>
          <w:i/>
          <w:iCs/>
          <w:color w:val="000000"/>
          <w:szCs w:val="24"/>
        </w:rPr>
        <w:lastRenderedPageBreak/>
        <w:t>Professional Standards Scheme</w:t>
      </w:r>
      <w:r w:rsidR="002E665C">
        <w:rPr>
          <w:i/>
          <w:iCs/>
          <w:color w:val="000000"/>
          <w:szCs w:val="24"/>
        </w:rPr>
        <w:t xml:space="preserve">, </w:t>
      </w:r>
      <w:r w:rsidR="002E665C" w:rsidRPr="002E665C">
        <w:rPr>
          <w:i/>
          <w:iCs/>
          <w:color w:val="000000"/>
          <w:szCs w:val="24"/>
        </w:rPr>
        <w:t xml:space="preserve">CPA Australia Ltd Professional Standards (Accountants) Scheme </w:t>
      </w:r>
      <w:r w:rsidR="002E665C" w:rsidRPr="00611EB8">
        <w:rPr>
          <w:color w:val="000000"/>
          <w:szCs w:val="24"/>
        </w:rPr>
        <w:t>and the</w:t>
      </w:r>
      <w:r w:rsidR="002E665C" w:rsidRPr="002E665C">
        <w:rPr>
          <w:i/>
          <w:iCs/>
          <w:color w:val="000000"/>
          <w:szCs w:val="24"/>
        </w:rPr>
        <w:t xml:space="preserve"> Chartered Accountants Australia and New Zealand Professional Standards Scheme</w:t>
      </w:r>
      <w:r w:rsidR="002E665C">
        <w:rPr>
          <w:i/>
          <w:iCs/>
          <w:color w:val="000000"/>
          <w:szCs w:val="24"/>
        </w:rPr>
        <w:t xml:space="preserve">. </w:t>
      </w:r>
      <w:r w:rsidR="002E665C">
        <w:rPr>
          <w:rStyle w:val="normaltextrun"/>
          <w:color w:val="000000"/>
          <w:szCs w:val="24"/>
          <w:shd w:val="clear" w:color="auto" w:fill="FFFFFF"/>
        </w:rPr>
        <w:t xml:space="preserve">The </w:t>
      </w:r>
      <w:r w:rsidR="00394998">
        <w:rPr>
          <w:rStyle w:val="normaltextrun"/>
          <w:color w:val="000000"/>
          <w:szCs w:val="24"/>
          <w:shd w:val="clear" w:color="auto" w:fill="FFFFFF"/>
        </w:rPr>
        <w:t>R</w:t>
      </w:r>
      <w:r w:rsidR="002E665C">
        <w:rPr>
          <w:rStyle w:val="normaltextrun"/>
          <w:color w:val="000000"/>
          <w:szCs w:val="24"/>
          <w:shd w:val="clear" w:color="auto" w:fill="FFFFFF"/>
        </w:rPr>
        <w:t xml:space="preserve">egulations also include </w:t>
      </w:r>
      <w:r w:rsidR="00611EB8">
        <w:rPr>
          <w:rStyle w:val="normaltextrun"/>
          <w:color w:val="000000"/>
          <w:szCs w:val="24"/>
          <w:shd w:val="clear" w:color="auto" w:fill="FFFFFF"/>
        </w:rPr>
        <w:t>a</w:t>
      </w:r>
      <w:r w:rsidR="002E665C">
        <w:rPr>
          <w:rStyle w:val="normaltextrun"/>
          <w:color w:val="000000"/>
          <w:szCs w:val="24"/>
          <w:shd w:val="clear" w:color="auto" w:fill="FFFFFF"/>
        </w:rPr>
        <w:t xml:space="preserve"> </w:t>
      </w:r>
      <w:r w:rsidR="00394998">
        <w:rPr>
          <w:rStyle w:val="normaltextrun"/>
          <w:color w:val="000000"/>
          <w:szCs w:val="24"/>
          <w:shd w:val="clear" w:color="auto" w:fill="FFFFFF"/>
        </w:rPr>
        <w:t xml:space="preserve">remade </w:t>
      </w:r>
      <w:r w:rsidR="002E665C">
        <w:rPr>
          <w:rStyle w:val="normaltextrun"/>
          <w:color w:val="000000"/>
          <w:szCs w:val="24"/>
          <w:shd w:val="clear" w:color="auto" w:fill="FFFFFF"/>
        </w:rPr>
        <w:t>professional standards scheme</w:t>
      </w:r>
      <w:r w:rsidR="00611EB8">
        <w:rPr>
          <w:rStyle w:val="normaltextrun"/>
          <w:color w:val="000000"/>
          <w:szCs w:val="24"/>
          <w:shd w:val="clear" w:color="auto" w:fill="FFFFFF"/>
        </w:rPr>
        <w:t xml:space="preserve"> titled the </w:t>
      </w:r>
      <w:r w:rsidR="002E665C" w:rsidRPr="006907C2">
        <w:rPr>
          <w:rStyle w:val="normaltextrun"/>
          <w:i/>
          <w:iCs/>
          <w:color w:val="000000"/>
          <w:szCs w:val="24"/>
          <w:shd w:val="clear" w:color="auto" w:fill="FFFFFF"/>
        </w:rPr>
        <w:t>Law Society of Western Australia Professional Standards Scheme.</w:t>
      </w:r>
      <w:r w:rsidR="00394998">
        <w:rPr>
          <w:rStyle w:val="normaltextrun"/>
          <w:i/>
          <w:iCs/>
          <w:color w:val="000000"/>
          <w:szCs w:val="24"/>
          <w:shd w:val="clear" w:color="auto" w:fill="FFFFFF"/>
        </w:rPr>
        <w:t xml:space="preserve"> </w:t>
      </w:r>
      <w:r w:rsidR="00B5495C">
        <w:rPr>
          <w:rStyle w:val="normaltextrun"/>
          <w:color w:val="000000"/>
          <w:szCs w:val="24"/>
          <w:shd w:val="clear" w:color="auto" w:fill="FFFFFF"/>
        </w:rPr>
        <w:t xml:space="preserve">There are no significant differences between </w:t>
      </w:r>
      <w:r w:rsidR="00611EB8">
        <w:rPr>
          <w:rStyle w:val="normaltextrun"/>
          <w:color w:val="000000"/>
          <w:szCs w:val="24"/>
          <w:shd w:val="clear" w:color="auto" w:fill="FFFFFF"/>
        </w:rPr>
        <w:t>this</w:t>
      </w:r>
      <w:r w:rsidR="00B5495C">
        <w:rPr>
          <w:rStyle w:val="normaltextrun"/>
          <w:color w:val="000000"/>
          <w:szCs w:val="24"/>
          <w:shd w:val="clear" w:color="auto" w:fill="FFFFFF"/>
        </w:rPr>
        <w:t xml:space="preserve"> remade scheme and the </w:t>
      </w:r>
      <w:r w:rsidR="00DF15DC">
        <w:rPr>
          <w:rStyle w:val="normaltextrun"/>
          <w:color w:val="000000"/>
          <w:szCs w:val="24"/>
          <w:shd w:val="clear" w:color="auto" w:fill="FFFFFF"/>
        </w:rPr>
        <w:t xml:space="preserve">earlier </w:t>
      </w:r>
      <w:r w:rsidR="00B5495C">
        <w:rPr>
          <w:rStyle w:val="normaltextrun"/>
          <w:color w:val="000000"/>
          <w:szCs w:val="24"/>
          <w:shd w:val="clear" w:color="auto" w:fill="FFFFFF"/>
        </w:rPr>
        <w:t xml:space="preserve">iteration of the scheme which </w:t>
      </w:r>
      <w:r w:rsidR="00155ABD">
        <w:rPr>
          <w:rStyle w:val="normaltextrun"/>
          <w:color w:val="000000"/>
          <w:szCs w:val="24"/>
          <w:shd w:val="clear" w:color="auto" w:fill="FFFFFF"/>
        </w:rPr>
        <w:t>was</w:t>
      </w:r>
      <w:r w:rsidR="00B5495C">
        <w:rPr>
          <w:rStyle w:val="normaltextrun"/>
          <w:color w:val="000000"/>
          <w:szCs w:val="24"/>
          <w:shd w:val="clear" w:color="auto" w:fill="FFFFFF"/>
        </w:rPr>
        <w:t xml:space="preserve"> </w:t>
      </w:r>
      <w:r w:rsidR="006B5971">
        <w:rPr>
          <w:rStyle w:val="normaltextrun"/>
          <w:color w:val="000000"/>
          <w:szCs w:val="24"/>
          <w:shd w:val="clear" w:color="auto" w:fill="FFFFFF"/>
        </w:rPr>
        <w:t xml:space="preserve">previously prescribed. </w:t>
      </w:r>
    </w:p>
    <w:p w14:paraId="59125941" w14:textId="6E938ADC" w:rsidR="00352FA9" w:rsidRPr="00C56F2E" w:rsidRDefault="00352FA9" w:rsidP="00352FA9">
      <w:pPr>
        <w:pStyle w:val="Bullet"/>
        <w:numPr>
          <w:ilvl w:val="0"/>
          <w:numId w:val="0"/>
        </w:numPr>
        <w:rPr>
          <w:color w:val="FF0000"/>
        </w:rPr>
      </w:pPr>
      <w:r>
        <w:t xml:space="preserve">The </w:t>
      </w:r>
      <w:r w:rsidR="00B36929">
        <w:t xml:space="preserve">ASIC Act, the CCA and the Corporations </w:t>
      </w:r>
      <w:r>
        <w:t xml:space="preserve">Act </w:t>
      </w:r>
      <w:r w:rsidR="002B7A51">
        <w:t>do</w:t>
      </w:r>
      <w:r>
        <w:t xml:space="preserve"> not specify any conditions that need to be satisfied before the power to make the Regulations may be exercised.</w:t>
      </w:r>
    </w:p>
    <w:p w14:paraId="559558F9" w14:textId="77777777" w:rsidR="00AC14C8" w:rsidRPr="002E68B6" w:rsidRDefault="00AC14C8" w:rsidP="00AC14C8">
      <w:pPr>
        <w:shd w:val="clear" w:color="auto" w:fill="FFFFFF"/>
        <w:spacing w:after="240"/>
        <w:rPr>
          <w:color w:val="000000"/>
        </w:rPr>
      </w:pPr>
      <w:r w:rsidRPr="002E68B6">
        <w:rPr>
          <w:color w:val="000000"/>
        </w:rPr>
        <w:t>Details of the currently approved schemes, as well as the expired schemes, are publicly available on the Professional Standards Councils website: </w:t>
      </w:r>
      <w:hyperlink r:id="rId12" w:history="1">
        <w:r w:rsidRPr="002E68B6">
          <w:rPr>
            <w:rStyle w:val="Hyperlink"/>
            <w:color w:val="0F569E"/>
          </w:rPr>
          <w:t>www.psc.gov.au</w:t>
        </w:r>
      </w:hyperlink>
      <w:r w:rsidRPr="002E68B6">
        <w:rPr>
          <w:color w:val="000000"/>
        </w:rPr>
        <w:t>.</w:t>
      </w:r>
    </w:p>
    <w:p w14:paraId="5D833B19" w14:textId="60AAC3E4" w:rsidR="00AC14C8" w:rsidRDefault="00AC14C8" w:rsidP="00AC14C8">
      <w:pPr>
        <w:shd w:val="clear" w:color="auto" w:fill="FFFFFF"/>
        <w:spacing w:after="240"/>
        <w:rPr>
          <w:color w:val="000000"/>
        </w:rPr>
      </w:pPr>
      <w:r>
        <w:rPr>
          <w:color w:val="000000"/>
        </w:rPr>
        <w:t xml:space="preserve">As the Regulations extend </w:t>
      </w:r>
      <w:r w:rsidR="00FA2EF4">
        <w:rPr>
          <w:color w:val="000000"/>
        </w:rPr>
        <w:t xml:space="preserve">to </w:t>
      </w:r>
      <w:proofErr w:type="gramStart"/>
      <w:r>
        <w:rPr>
          <w:color w:val="000000"/>
        </w:rPr>
        <w:t>a number of</w:t>
      </w:r>
      <w:proofErr w:type="gramEnd"/>
      <w:r>
        <w:rPr>
          <w:color w:val="000000"/>
        </w:rPr>
        <w:t xml:space="preserve"> schemes, the Regulations have incorporated by reference the relevant state Government gazette notices. Gazette notice references include the state, gazette number and date the gazette was published. Government gazette notices can be accessed for free from the state government website</w:t>
      </w:r>
      <w:r w:rsidR="00E534CB">
        <w:rPr>
          <w:color w:val="000000"/>
        </w:rPr>
        <w:t>s</w:t>
      </w:r>
      <w:r>
        <w:rPr>
          <w:color w:val="000000"/>
        </w:rPr>
        <w:t xml:space="preserve"> below, by searching the relevant gazette date/number. </w:t>
      </w:r>
    </w:p>
    <w:p w14:paraId="0E7F047A" w14:textId="0A2FD5F5" w:rsidR="00AC14C8" w:rsidRPr="00B904AA" w:rsidRDefault="00AC14C8" w:rsidP="007239FE">
      <w:pPr>
        <w:shd w:val="clear" w:color="auto" w:fill="FFFFFF"/>
        <w:spacing w:before="60" w:after="60"/>
        <w:ind w:left="720"/>
        <w:rPr>
          <w:rStyle w:val="Hyperlink"/>
          <w:color w:val="000000"/>
          <w:u w:val="none"/>
        </w:rPr>
      </w:pPr>
      <w:r w:rsidRPr="002E68B6">
        <w:rPr>
          <w:b/>
          <w:bCs/>
          <w:color w:val="000000"/>
        </w:rPr>
        <w:t>NSW</w:t>
      </w:r>
      <w:r w:rsidR="007F7BF8">
        <w:rPr>
          <w:color w:val="000000"/>
        </w:rPr>
        <w:tab/>
      </w:r>
      <w:hyperlink w:history="1"/>
      <w:hyperlink r:id="rId13" w:anchor="/gazettes" w:history="1">
        <w:r w:rsidR="005C2B74" w:rsidRPr="00B904AA">
          <w:rPr>
            <w:rStyle w:val="Hyperlink"/>
          </w:rPr>
          <w:t>https://legislation.nsw.gov.au/#/gazettes</w:t>
        </w:r>
      </w:hyperlink>
      <w:r w:rsidR="005C2B74">
        <w:t xml:space="preserve"> </w:t>
      </w:r>
      <w:r w:rsidR="005C2B74">
        <w:rPr>
          <w:rStyle w:val="Hyperlink"/>
          <w:color w:val="0F569E"/>
        </w:rPr>
        <w:t xml:space="preserve"> </w:t>
      </w:r>
    </w:p>
    <w:p w14:paraId="18B90689" w14:textId="2A7A9943" w:rsidR="00E534CB" w:rsidRDefault="00E534CB" w:rsidP="00AC14C8">
      <w:pPr>
        <w:shd w:val="clear" w:color="auto" w:fill="FFFFFF"/>
        <w:spacing w:before="60" w:after="60"/>
        <w:ind w:left="720"/>
        <w:rPr>
          <w:b/>
          <w:bCs/>
          <w:color w:val="000000"/>
        </w:rPr>
      </w:pPr>
      <w:r>
        <w:rPr>
          <w:b/>
          <w:bCs/>
          <w:color w:val="000000"/>
        </w:rPr>
        <w:t>VIC</w:t>
      </w:r>
      <w:r w:rsidR="005831A6">
        <w:rPr>
          <w:b/>
          <w:bCs/>
          <w:color w:val="000000"/>
        </w:rPr>
        <w:t xml:space="preserve"> </w:t>
      </w:r>
      <w:r w:rsidR="007F7BF8">
        <w:rPr>
          <w:b/>
          <w:bCs/>
          <w:color w:val="000000"/>
        </w:rPr>
        <w:tab/>
      </w:r>
      <w:hyperlink r:id="rId14" w:history="1">
        <w:r w:rsidR="007F7BF8" w:rsidRPr="004C319B">
          <w:rPr>
            <w:rStyle w:val="Hyperlink"/>
          </w:rPr>
          <w:t>https://www.gazette.vic.gov.au/</w:t>
        </w:r>
      </w:hyperlink>
      <w:r w:rsidR="005831A6">
        <w:rPr>
          <w:b/>
          <w:bCs/>
          <w:color w:val="000000"/>
        </w:rPr>
        <w:t xml:space="preserve"> </w:t>
      </w:r>
    </w:p>
    <w:p w14:paraId="00FE6AF7" w14:textId="4548A123" w:rsidR="00E534CB" w:rsidRPr="002E68B6" w:rsidRDefault="00E534CB" w:rsidP="007E6983">
      <w:pPr>
        <w:shd w:val="clear" w:color="auto" w:fill="FFFFFF"/>
        <w:spacing w:before="60" w:after="60"/>
        <w:ind w:left="720"/>
        <w:rPr>
          <w:color w:val="000000"/>
        </w:rPr>
      </w:pPr>
      <w:r>
        <w:rPr>
          <w:b/>
          <w:bCs/>
          <w:color w:val="000000"/>
        </w:rPr>
        <w:t>WA</w:t>
      </w:r>
      <w:r w:rsidR="00FF3D94">
        <w:rPr>
          <w:b/>
          <w:bCs/>
          <w:color w:val="000000"/>
        </w:rPr>
        <w:t xml:space="preserve"> </w:t>
      </w:r>
      <w:r w:rsidR="007F7BF8">
        <w:rPr>
          <w:b/>
          <w:bCs/>
          <w:color w:val="000000"/>
        </w:rPr>
        <w:tab/>
      </w:r>
      <w:hyperlink r:id="rId15" w:history="1">
        <w:r w:rsidR="007F7BF8" w:rsidRPr="004C319B">
          <w:rPr>
            <w:rStyle w:val="Hyperlink"/>
          </w:rPr>
          <w:t>https://www.legislation.wa.gov.au/legislation/statutes.nsf/gazettes.html</w:t>
        </w:r>
      </w:hyperlink>
      <w:r w:rsidR="00562A0E" w:rsidRPr="00B904AA">
        <w:rPr>
          <w:color w:val="000000"/>
        </w:rPr>
        <w:t xml:space="preserve"> </w:t>
      </w:r>
    </w:p>
    <w:p w14:paraId="28D18E76" w14:textId="77777777" w:rsidR="00A80D80" w:rsidRPr="003C5719" w:rsidRDefault="00A80D80" w:rsidP="00A80D80">
      <w:pPr>
        <w:spacing w:before="240"/>
      </w:pPr>
      <w:r w:rsidRPr="003C5719">
        <w:t xml:space="preserve">The Regulations are a legislative instrument for the purposes of the </w:t>
      </w:r>
      <w:r w:rsidRPr="003C5719">
        <w:rPr>
          <w:i/>
          <w:iCs/>
        </w:rPr>
        <w:t>Legislation Act 2003</w:t>
      </w:r>
      <w:r w:rsidRPr="003C5719">
        <w:t>.</w:t>
      </w:r>
    </w:p>
    <w:p w14:paraId="0A530FE0" w14:textId="77777777" w:rsidR="00A80D80" w:rsidRDefault="00A80D80" w:rsidP="00A80D80">
      <w:pPr>
        <w:spacing w:before="240"/>
      </w:pPr>
      <w:r w:rsidRPr="003C5719">
        <w:t xml:space="preserve">The Regulations commenced on </w:t>
      </w:r>
      <w:r>
        <w:t>the day after it is registered</w:t>
      </w:r>
      <w:r w:rsidRPr="003C5719">
        <w:t xml:space="preserve">. </w:t>
      </w:r>
    </w:p>
    <w:p w14:paraId="2F94B109" w14:textId="77777777" w:rsidR="00A80D80" w:rsidRPr="003C5719" w:rsidRDefault="00A80D80" w:rsidP="00A80D80">
      <w:pPr>
        <w:spacing w:before="240"/>
      </w:pPr>
      <w:r w:rsidRPr="003C5719">
        <w:t xml:space="preserve">Details of the Regulations are set out in </w:t>
      </w:r>
      <w:r w:rsidRPr="003C5719">
        <w:rPr>
          <w:u w:val="single"/>
        </w:rPr>
        <w:t xml:space="preserve">Attachment </w:t>
      </w:r>
      <w:r>
        <w:rPr>
          <w:u w:val="single"/>
        </w:rPr>
        <w:t>A</w:t>
      </w:r>
      <w:r w:rsidRPr="003C5719">
        <w:t xml:space="preserve">. </w:t>
      </w:r>
    </w:p>
    <w:p w14:paraId="765863A2" w14:textId="77777777" w:rsidR="00A80D80" w:rsidRDefault="00A80D80" w:rsidP="00A80D80">
      <w:pPr>
        <w:spacing w:before="240"/>
      </w:pPr>
      <w:r w:rsidRPr="003C5719">
        <w:t xml:space="preserve">A statement of Compatibility with Human Rights is at </w:t>
      </w:r>
      <w:r w:rsidRPr="003C5719">
        <w:rPr>
          <w:u w:val="single"/>
        </w:rPr>
        <w:t>Attachmen</w:t>
      </w:r>
      <w:r>
        <w:rPr>
          <w:u w:val="single"/>
        </w:rPr>
        <w:t>t B</w:t>
      </w:r>
      <w:r w:rsidRPr="003C5719">
        <w:rPr>
          <w:u w:val="single"/>
        </w:rPr>
        <w:t>.</w:t>
      </w:r>
      <w:r w:rsidRPr="003C5719">
        <w:t xml:space="preserve"> </w:t>
      </w:r>
    </w:p>
    <w:p w14:paraId="0588E0B6" w14:textId="1DC99E82" w:rsidR="005D7F77" w:rsidRDefault="005D7F77" w:rsidP="00A80D80">
      <w:pPr>
        <w:spacing w:before="240"/>
      </w:pPr>
      <w:r>
        <w:t xml:space="preserve">Details of the consultation process are outlined in </w:t>
      </w:r>
      <w:r w:rsidRPr="005D7F77">
        <w:rPr>
          <w:u w:val="single"/>
        </w:rPr>
        <w:t>Attachment C.</w:t>
      </w:r>
    </w:p>
    <w:p w14:paraId="37F334FD" w14:textId="74A2251C" w:rsidR="00A80D80" w:rsidRDefault="00A80D80" w:rsidP="00A80D80">
      <w:pPr>
        <w:spacing w:before="240"/>
      </w:pPr>
      <w:r w:rsidRPr="003C5719">
        <w:t xml:space="preserve">The Office of Impact Analysis has been (OIA) has been consulted (OIA </w:t>
      </w:r>
      <w:r>
        <w:t xml:space="preserve">ref: </w:t>
      </w:r>
      <w:sdt>
        <w:sdtPr>
          <w:id w:val="1126047920"/>
          <w:placeholder>
            <w:docPart w:val="107C4B5851E4428D80C6D53F95D47860"/>
          </w:placeholder>
        </w:sdtPr>
        <w:sdtEndPr/>
        <w:sdtContent>
          <w:r w:rsidR="003D79DF">
            <w:t>OIA23-06158</w:t>
          </w:r>
        </w:sdtContent>
      </w:sdt>
      <w:r w:rsidRPr="003C5719">
        <w:t xml:space="preserve">) and agreed that </w:t>
      </w:r>
      <w:r>
        <w:t>an Impact Analysis is not required.</w:t>
      </w:r>
      <w:r w:rsidRPr="003C5719">
        <w:t xml:space="preserve"> </w:t>
      </w:r>
      <w:r>
        <w:t>The measure has no impact on compliance costs</w:t>
      </w:r>
      <w:r w:rsidRPr="003C5719">
        <w:t xml:space="preserve">. </w:t>
      </w:r>
    </w:p>
    <w:p w14:paraId="40727689" w14:textId="77777777" w:rsidR="00EB2AEF" w:rsidRPr="003C5719" w:rsidRDefault="00EB2AEF" w:rsidP="004A27A8">
      <w:pPr>
        <w:spacing w:before="240"/>
      </w:pPr>
    </w:p>
    <w:p w14:paraId="023A46A8" w14:textId="7968415E" w:rsidR="00EA4DD8" w:rsidRPr="003C5719" w:rsidRDefault="00EA4DD8" w:rsidP="004A27A8">
      <w:pPr>
        <w:pageBreakBefore/>
        <w:spacing w:before="240"/>
        <w:jc w:val="right"/>
        <w:rPr>
          <w:b/>
          <w:u w:val="single"/>
        </w:rPr>
      </w:pPr>
      <w:r w:rsidRPr="003C5719">
        <w:rPr>
          <w:b/>
          <w:u w:val="single"/>
        </w:rPr>
        <w:lastRenderedPageBreak/>
        <w:t xml:space="preserve">ATTACHMENT </w:t>
      </w:r>
      <w:r w:rsidR="00D734C0">
        <w:rPr>
          <w:b/>
          <w:u w:val="single"/>
        </w:rPr>
        <w:t>A</w:t>
      </w:r>
    </w:p>
    <w:p w14:paraId="10B54931" w14:textId="1C46B56A" w:rsidR="00EA4DD8" w:rsidRPr="003C5719" w:rsidRDefault="00EA4DD8" w:rsidP="004A27A8">
      <w:pPr>
        <w:spacing w:before="240"/>
        <w:rPr>
          <w:b/>
          <w:bCs/>
          <w:szCs w:val="24"/>
          <w:u w:val="single"/>
        </w:rPr>
      </w:pPr>
      <w:r w:rsidRPr="003C5719">
        <w:rPr>
          <w:b/>
          <w:bCs/>
          <w:u w:val="single"/>
        </w:rPr>
        <w:t xml:space="preserve">Details of the </w:t>
      </w:r>
      <w:r w:rsidR="00287DFF" w:rsidRPr="00D734C0">
        <w:rPr>
          <w:rStyle w:val="normaltextrun"/>
          <w:b/>
          <w:bCs/>
          <w:i/>
          <w:iCs/>
          <w:szCs w:val="24"/>
          <w:u w:val="single"/>
        </w:rPr>
        <w:t>Treasury Laws Amendment (Professional Standards Schemes) Regulations 2024</w:t>
      </w:r>
      <w:r w:rsidRPr="003C5719">
        <w:rPr>
          <w:b/>
          <w:bCs/>
          <w:u w:val="single"/>
        </w:rPr>
        <w:t xml:space="preserve"> </w:t>
      </w:r>
    </w:p>
    <w:p w14:paraId="15C58C16"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69BE3B6" w14:textId="2B4E089F"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287DFF" w:rsidRPr="0079012C">
        <w:rPr>
          <w:rStyle w:val="normaltextrun"/>
          <w:i/>
          <w:iCs/>
          <w:szCs w:val="24"/>
        </w:rPr>
        <w:t>Treasury Laws Amendment (Professional Standards Schemes) Regulations 2024</w:t>
      </w:r>
      <w:r w:rsidRPr="003C5719">
        <w:t xml:space="preserve"> (the Regulations).</w:t>
      </w:r>
    </w:p>
    <w:p w14:paraId="357B8E0A" w14:textId="77777777" w:rsidR="00EA4DD8" w:rsidRPr="003C5719" w:rsidRDefault="00EA4DD8" w:rsidP="004A27A8">
      <w:pPr>
        <w:spacing w:before="240"/>
        <w:rPr>
          <w:u w:val="single"/>
        </w:rPr>
      </w:pPr>
      <w:r w:rsidRPr="003C5719">
        <w:rPr>
          <w:u w:val="single"/>
        </w:rPr>
        <w:t>Section 2 – Commencement</w:t>
      </w:r>
    </w:p>
    <w:p w14:paraId="6004F610" w14:textId="4D5F1FFB" w:rsidR="00EA4DD8" w:rsidRPr="003C5719" w:rsidRDefault="00772CDB" w:rsidP="004A27A8">
      <w:pPr>
        <w:spacing w:before="240"/>
      </w:pPr>
      <w:r w:rsidRPr="00772CDB">
        <w:t xml:space="preserve">This section provides </w:t>
      </w:r>
      <w:r>
        <w:t xml:space="preserve">that </w:t>
      </w:r>
      <w:r w:rsidRPr="00772CDB">
        <w:t>the Regulations commence on the day after the instrument is registered.</w:t>
      </w:r>
    </w:p>
    <w:p w14:paraId="3960BB40" w14:textId="77777777" w:rsidR="00EA4DD8" w:rsidRPr="003C5719" w:rsidRDefault="00EA4DD8" w:rsidP="004A27A8">
      <w:pPr>
        <w:spacing w:before="240"/>
        <w:rPr>
          <w:u w:val="single"/>
        </w:rPr>
      </w:pPr>
      <w:r w:rsidRPr="003C5719">
        <w:rPr>
          <w:u w:val="single"/>
        </w:rPr>
        <w:t>Section 3 – Authority</w:t>
      </w:r>
    </w:p>
    <w:p w14:paraId="4EFC4E41" w14:textId="73E30911" w:rsidR="00EA4DD8" w:rsidRPr="003C5719" w:rsidRDefault="00EA4DD8" w:rsidP="004A27A8">
      <w:pPr>
        <w:spacing w:before="240"/>
      </w:pPr>
      <w:r w:rsidRPr="003C5719">
        <w:t>Th</w:t>
      </w:r>
      <w:r w:rsidR="00DB66B3">
        <w:t>is section provides that the</w:t>
      </w:r>
      <w:r w:rsidRPr="003C5719">
        <w:t xml:space="preserve"> Regulations are made under the </w:t>
      </w:r>
      <w:r w:rsidR="00B03F3B">
        <w:rPr>
          <w:rStyle w:val="normaltextrun"/>
          <w:i/>
          <w:iCs/>
          <w:color w:val="000000"/>
          <w:shd w:val="clear" w:color="auto" w:fill="FFFFFF"/>
        </w:rPr>
        <w:t>Australian Securities and Investments Commission Act 2001</w:t>
      </w:r>
      <w:r w:rsidR="004231FE">
        <w:rPr>
          <w:rStyle w:val="normaltextrun"/>
          <w:i/>
          <w:iCs/>
          <w:color w:val="000000"/>
          <w:shd w:val="clear" w:color="auto" w:fill="FFFFFF"/>
        </w:rPr>
        <w:t xml:space="preserve"> </w:t>
      </w:r>
      <w:r w:rsidR="004231FE">
        <w:rPr>
          <w:rStyle w:val="normaltextrun"/>
          <w:color w:val="000000"/>
          <w:shd w:val="clear" w:color="auto" w:fill="FFFFFF"/>
        </w:rPr>
        <w:t>(the ASIC Act)</w:t>
      </w:r>
      <w:r w:rsidR="00B03F3B">
        <w:rPr>
          <w:rStyle w:val="normaltextrun"/>
          <w:color w:val="000000"/>
          <w:shd w:val="clear" w:color="auto" w:fill="FFFFFF"/>
        </w:rPr>
        <w:t>, the </w:t>
      </w:r>
      <w:r w:rsidR="00B03F3B">
        <w:rPr>
          <w:rStyle w:val="normaltextrun"/>
          <w:i/>
          <w:iCs/>
          <w:color w:val="000000"/>
          <w:shd w:val="clear" w:color="auto" w:fill="FFFFFF"/>
        </w:rPr>
        <w:t>Competition and Consumer Act 2010</w:t>
      </w:r>
      <w:r w:rsidR="004231FE">
        <w:rPr>
          <w:rStyle w:val="normaltextrun"/>
          <w:i/>
          <w:iCs/>
          <w:color w:val="000000"/>
          <w:shd w:val="clear" w:color="auto" w:fill="FFFFFF"/>
        </w:rPr>
        <w:t xml:space="preserve"> </w:t>
      </w:r>
      <w:r w:rsidR="004231FE">
        <w:rPr>
          <w:rStyle w:val="normaltextrun"/>
          <w:color w:val="000000"/>
          <w:shd w:val="clear" w:color="auto" w:fill="FFFFFF"/>
        </w:rPr>
        <w:t>(the CCA)</w:t>
      </w:r>
      <w:r w:rsidR="00B03F3B">
        <w:rPr>
          <w:rStyle w:val="normaltextrun"/>
          <w:color w:val="000000"/>
          <w:shd w:val="clear" w:color="auto" w:fill="FFFFFF"/>
        </w:rPr>
        <w:t xml:space="preserve">, and the </w:t>
      </w:r>
      <w:r w:rsidR="00B03F3B">
        <w:rPr>
          <w:rStyle w:val="normaltextrun"/>
          <w:i/>
          <w:iCs/>
          <w:color w:val="000000"/>
          <w:shd w:val="clear" w:color="auto" w:fill="FFFFFF"/>
        </w:rPr>
        <w:t>Corporations Act 2001</w:t>
      </w:r>
      <w:r w:rsidR="004231FE">
        <w:rPr>
          <w:rStyle w:val="normaltextrun"/>
          <w:i/>
          <w:iCs/>
          <w:color w:val="000000"/>
          <w:shd w:val="clear" w:color="auto" w:fill="FFFFFF"/>
        </w:rPr>
        <w:t xml:space="preserve"> </w:t>
      </w:r>
      <w:r w:rsidR="004231FE">
        <w:rPr>
          <w:rStyle w:val="normaltextrun"/>
          <w:color w:val="000000"/>
          <w:shd w:val="clear" w:color="auto" w:fill="FFFFFF"/>
        </w:rPr>
        <w:t>(the Corporations Act)</w:t>
      </w:r>
      <w:r w:rsidR="00B03F3B">
        <w:rPr>
          <w:rStyle w:val="normaltextrun"/>
          <w:color w:val="000000"/>
          <w:shd w:val="clear" w:color="auto" w:fill="FFFFFF"/>
        </w:rPr>
        <w:t>.</w:t>
      </w:r>
    </w:p>
    <w:p w14:paraId="405302CF" w14:textId="33568FA6" w:rsidR="00EA4DD8" w:rsidRPr="003C5719" w:rsidRDefault="00EA4DD8" w:rsidP="004A27A8">
      <w:pPr>
        <w:spacing w:before="240"/>
        <w:rPr>
          <w:u w:val="single"/>
        </w:rPr>
      </w:pPr>
      <w:r w:rsidRPr="003C5719">
        <w:rPr>
          <w:u w:val="single"/>
        </w:rPr>
        <w:t>Section 4 – Schedule</w:t>
      </w:r>
    </w:p>
    <w:p w14:paraId="38B618E3" w14:textId="23CBB80D" w:rsidR="004B61DE" w:rsidRDefault="00EA4DD8" w:rsidP="00466DD5">
      <w:pPr>
        <w:spacing w:before="240" w:after="200"/>
      </w:pPr>
      <w:r w:rsidRPr="003C5719">
        <w:t xml:space="preserve">This section provides that each instrument that is specified in </w:t>
      </w:r>
      <w:r w:rsidR="005D0BF0">
        <w:t xml:space="preserve">a </w:t>
      </w:r>
      <w:r w:rsidRPr="003C5719">
        <w:t xml:space="preserve">Schedule to </w:t>
      </w:r>
      <w:r w:rsidR="005D0BF0">
        <w:t>the Regulations</w:t>
      </w:r>
      <w:r w:rsidRPr="003C5719">
        <w:t xml:space="preserve"> </w:t>
      </w:r>
      <w:r w:rsidR="005D0BF0">
        <w:t>is</w:t>
      </w:r>
      <w:r w:rsidR="005D7E35">
        <w:t xml:space="preserve"> </w:t>
      </w:r>
      <w:r w:rsidRPr="003C5719">
        <w:t>amended or repealed as set out in the applicable items in the Schedule</w:t>
      </w:r>
      <w:r w:rsidR="008E7D15">
        <w:t xml:space="preserve"> concerned</w:t>
      </w:r>
      <w:r w:rsidRPr="003C5719">
        <w:t xml:space="preserve">, and any other item in </w:t>
      </w:r>
      <w:r w:rsidR="008E7D15">
        <w:t>a Sc</w:t>
      </w:r>
      <w:r w:rsidRPr="003C5719">
        <w:t xml:space="preserve">hedule to </w:t>
      </w:r>
      <w:r w:rsidR="00572014">
        <w:t>the Regulations</w:t>
      </w:r>
      <w:r w:rsidRPr="003C5719">
        <w:t xml:space="preserve"> has effect according to its terms.</w:t>
      </w:r>
    </w:p>
    <w:p w14:paraId="3835379D" w14:textId="77777777" w:rsidR="004B61DE" w:rsidRDefault="004B61DE" w:rsidP="00466DD5">
      <w:pPr>
        <w:spacing w:before="240" w:after="200"/>
        <w:rPr>
          <w:u w:val="single"/>
        </w:rPr>
      </w:pPr>
      <w:r>
        <w:rPr>
          <w:u w:val="single"/>
        </w:rPr>
        <w:t>Schedule 1 – Amendments</w:t>
      </w:r>
    </w:p>
    <w:p w14:paraId="57326FC8" w14:textId="3CA3E296" w:rsidR="005E483D" w:rsidRDefault="003B4431" w:rsidP="00466DD5">
      <w:pPr>
        <w:spacing w:before="240" w:after="200"/>
        <w:rPr>
          <w:b/>
          <w:bCs/>
        </w:rPr>
      </w:pPr>
      <w:r>
        <w:rPr>
          <w:b/>
          <w:bCs/>
        </w:rPr>
        <w:t>Items 1</w:t>
      </w:r>
      <w:r w:rsidR="0091750F">
        <w:rPr>
          <w:b/>
          <w:bCs/>
        </w:rPr>
        <w:t>, 4</w:t>
      </w:r>
      <w:r w:rsidR="00FB26C3">
        <w:rPr>
          <w:b/>
          <w:bCs/>
        </w:rPr>
        <w:t xml:space="preserve"> and 7</w:t>
      </w:r>
      <w:r>
        <w:rPr>
          <w:b/>
          <w:bCs/>
        </w:rPr>
        <w:t xml:space="preserve"> – Extension to the </w:t>
      </w:r>
      <w:r w:rsidR="005E483D" w:rsidRPr="00A90A6A">
        <w:rPr>
          <w:b/>
          <w:bCs/>
          <w:i/>
          <w:iCs/>
        </w:rPr>
        <w:t>CPA Australia Ltd Professional Standards (Accountants) Scheme</w:t>
      </w:r>
    </w:p>
    <w:p w14:paraId="5C9C3A4F" w14:textId="61008CAC" w:rsidR="005E483D" w:rsidRDefault="007202D5" w:rsidP="00466DD5">
      <w:pPr>
        <w:spacing w:before="240" w:after="200"/>
        <w:rPr>
          <w:rStyle w:val="eop"/>
          <w:color w:val="000000"/>
          <w:shd w:val="clear" w:color="auto" w:fill="FFFFFF"/>
        </w:rPr>
      </w:pPr>
      <w:r>
        <w:rPr>
          <w:rStyle w:val="normaltextrun"/>
          <w:color w:val="000000"/>
          <w:shd w:val="clear" w:color="auto" w:fill="FFFFFF"/>
        </w:rPr>
        <w:t xml:space="preserve">These items amend Regulation 3A (table item </w:t>
      </w:r>
      <w:r w:rsidR="00F52292">
        <w:rPr>
          <w:rStyle w:val="normaltextrun"/>
          <w:color w:val="000000"/>
          <w:shd w:val="clear" w:color="auto" w:fill="FFFFFF"/>
        </w:rPr>
        <w:t>1</w:t>
      </w:r>
      <w:r>
        <w:rPr>
          <w:rStyle w:val="normaltextrun"/>
          <w:color w:val="000000"/>
          <w:shd w:val="clear" w:color="auto" w:fill="FFFFFF"/>
        </w:rPr>
        <w:t xml:space="preserve">) of the </w:t>
      </w:r>
      <w:r>
        <w:rPr>
          <w:rStyle w:val="normaltextrun"/>
          <w:i/>
          <w:iCs/>
          <w:color w:val="000000"/>
          <w:shd w:val="clear" w:color="auto" w:fill="FFFFFF"/>
        </w:rPr>
        <w:t>Australian Securities and Investments Commission Regulations 2001</w:t>
      </w:r>
      <w:r>
        <w:rPr>
          <w:rStyle w:val="normaltextrun"/>
          <w:color w:val="000000"/>
          <w:shd w:val="clear" w:color="auto" w:fill="FFFFFF"/>
        </w:rPr>
        <w:t xml:space="preserve"> (ASIC Regulations), regulation 8A (table item </w:t>
      </w:r>
      <w:r w:rsidR="00B22F3D">
        <w:rPr>
          <w:rStyle w:val="normaltextrun"/>
          <w:color w:val="000000"/>
          <w:shd w:val="clear" w:color="auto" w:fill="FFFFFF"/>
        </w:rPr>
        <w:t>5</w:t>
      </w:r>
      <w:r>
        <w:rPr>
          <w:rStyle w:val="normaltextrun"/>
          <w:color w:val="000000"/>
          <w:shd w:val="clear" w:color="auto" w:fill="FFFFFF"/>
        </w:rPr>
        <w:t xml:space="preserve">) of the </w:t>
      </w:r>
      <w:r>
        <w:rPr>
          <w:rStyle w:val="normaltextrun"/>
          <w:i/>
          <w:iCs/>
          <w:color w:val="000000"/>
          <w:shd w:val="clear" w:color="auto" w:fill="FFFFFF"/>
        </w:rPr>
        <w:t>Competition and Consumer Regulations 2010</w:t>
      </w:r>
      <w:r>
        <w:rPr>
          <w:rStyle w:val="normaltextrun"/>
          <w:color w:val="000000"/>
          <w:shd w:val="clear" w:color="auto" w:fill="FFFFFF"/>
        </w:rPr>
        <w:t xml:space="preserve"> (CC Regulations), and regulation 7.10.02 (table item </w:t>
      </w:r>
      <w:r w:rsidR="00CF3BC0">
        <w:rPr>
          <w:rStyle w:val="normaltextrun"/>
          <w:color w:val="000000"/>
          <w:shd w:val="clear" w:color="auto" w:fill="FFFFFF"/>
        </w:rPr>
        <w:t>1</w:t>
      </w:r>
      <w:r>
        <w:rPr>
          <w:rStyle w:val="normaltextrun"/>
          <w:color w:val="000000"/>
          <w:shd w:val="clear" w:color="auto" w:fill="FFFFFF"/>
        </w:rPr>
        <w:t xml:space="preserve">) of the </w:t>
      </w:r>
      <w:r>
        <w:rPr>
          <w:rStyle w:val="normaltextrun"/>
          <w:i/>
          <w:iCs/>
          <w:color w:val="000000"/>
          <w:shd w:val="clear" w:color="auto" w:fill="FFFFFF"/>
        </w:rPr>
        <w:t>Corporation Regulations 2001</w:t>
      </w:r>
      <w:r w:rsidR="00AF7EA0">
        <w:rPr>
          <w:rStyle w:val="normaltextrun"/>
          <w:color w:val="000000"/>
          <w:shd w:val="clear" w:color="auto" w:fill="FFFFFF"/>
        </w:rPr>
        <w:t xml:space="preserve"> (Corporation Regulations)</w:t>
      </w:r>
      <w:r>
        <w:rPr>
          <w:rStyle w:val="normaltextrun"/>
          <w:i/>
          <w:iCs/>
          <w:color w:val="000000"/>
          <w:shd w:val="clear" w:color="auto" w:fill="FFFFFF"/>
        </w:rPr>
        <w:t xml:space="preserve"> </w:t>
      </w:r>
      <w:r>
        <w:rPr>
          <w:rStyle w:val="normaltextrun"/>
          <w:color w:val="000000"/>
          <w:shd w:val="clear" w:color="auto" w:fill="FFFFFF"/>
        </w:rPr>
        <w:t xml:space="preserve">to provide for the extension of the existing </w:t>
      </w:r>
      <w:r w:rsidR="0075080C" w:rsidRPr="002A2CA0">
        <w:rPr>
          <w:i/>
          <w:iCs/>
        </w:rPr>
        <w:t>CPA Australia Ltd Professional Standards (Accountants) Scheme</w:t>
      </w:r>
      <w:r w:rsidRPr="002A2CA0">
        <w:rPr>
          <w:rStyle w:val="normaltextrun"/>
          <w:i/>
          <w:iCs/>
          <w:color w:val="000000"/>
          <w:shd w:val="clear" w:color="auto" w:fill="FFFFFF"/>
        </w:rPr>
        <w:t xml:space="preserve"> </w:t>
      </w:r>
      <w:r>
        <w:rPr>
          <w:rStyle w:val="normaltextrun"/>
          <w:color w:val="000000"/>
          <w:shd w:val="clear" w:color="auto" w:fill="FFFFFF"/>
        </w:rPr>
        <w:t xml:space="preserve">as a professional standards scheme that has capped civil liability for misleading or deceptive conduct under the CCA, the ASIC Act and the Corporations Act. The period in which the </w:t>
      </w:r>
      <w:r w:rsidR="000B6384" w:rsidRPr="00B904AA">
        <w:rPr>
          <w:i/>
          <w:iCs/>
        </w:rPr>
        <w:t>CPA Australia Ltd Professional Standards (Accountants) Scheme</w:t>
      </w:r>
      <w:r w:rsidR="000B6384" w:rsidRPr="00B904AA">
        <w:rPr>
          <w:rStyle w:val="normaltextrun"/>
          <w:i/>
          <w:iCs/>
          <w:color w:val="000000"/>
          <w:shd w:val="clear" w:color="auto" w:fill="FFFFFF"/>
        </w:rPr>
        <w:t xml:space="preserve"> </w:t>
      </w:r>
      <w:r>
        <w:rPr>
          <w:rStyle w:val="normaltextrun"/>
          <w:color w:val="000000"/>
          <w:shd w:val="clear" w:color="auto" w:fill="FFFFFF"/>
        </w:rPr>
        <w:t xml:space="preserve">will be in force is extended to </w:t>
      </w:r>
      <w:r w:rsidR="00991C35">
        <w:rPr>
          <w:rStyle w:val="normaltextrun"/>
          <w:color w:val="000000"/>
          <w:shd w:val="clear" w:color="auto" w:fill="FFFFFF"/>
        </w:rPr>
        <w:t>20</w:t>
      </w:r>
      <w:r>
        <w:rPr>
          <w:rStyle w:val="normaltextrun"/>
          <w:color w:val="000000"/>
          <w:shd w:val="clear" w:color="auto" w:fill="FFFFFF"/>
        </w:rPr>
        <w:t xml:space="preserve"> </w:t>
      </w:r>
      <w:r w:rsidR="00991C35">
        <w:rPr>
          <w:rStyle w:val="normaltextrun"/>
          <w:color w:val="000000"/>
          <w:shd w:val="clear" w:color="auto" w:fill="FFFFFF"/>
        </w:rPr>
        <w:t>August 2025</w:t>
      </w:r>
      <w:r>
        <w:rPr>
          <w:rStyle w:val="normaltextrun"/>
          <w:color w:val="000000"/>
          <w:shd w:val="clear" w:color="auto" w:fill="FFFFFF"/>
        </w:rPr>
        <w:t xml:space="preserve"> as published in the New South Wales Government Gazette No. </w:t>
      </w:r>
      <w:r w:rsidR="00991C35">
        <w:rPr>
          <w:rStyle w:val="normaltextrun"/>
          <w:color w:val="000000"/>
          <w:shd w:val="clear" w:color="auto" w:fill="FFFFFF"/>
        </w:rPr>
        <w:t>71</w:t>
      </w:r>
      <w:r>
        <w:rPr>
          <w:rStyle w:val="normaltextrun"/>
          <w:color w:val="000000"/>
          <w:shd w:val="clear" w:color="auto" w:fill="FFFFFF"/>
        </w:rPr>
        <w:t xml:space="preserve"> of 1 </w:t>
      </w:r>
      <w:r w:rsidR="00991C35">
        <w:rPr>
          <w:rStyle w:val="normaltextrun"/>
          <w:color w:val="000000"/>
          <w:shd w:val="clear" w:color="auto" w:fill="FFFFFF"/>
        </w:rPr>
        <w:t>March 2024</w:t>
      </w:r>
      <w:r>
        <w:rPr>
          <w:rStyle w:val="normaltextrun"/>
          <w:color w:val="000000"/>
          <w:shd w:val="clear" w:color="auto" w:fill="FFFFFF"/>
        </w:rPr>
        <w:t>.</w:t>
      </w:r>
      <w:r>
        <w:rPr>
          <w:rStyle w:val="eop"/>
          <w:color w:val="000000"/>
          <w:shd w:val="clear" w:color="auto" w:fill="FFFFFF"/>
        </w:rPr>
        <w:t> </w:t>
      </w:r>
    </w:p>
    <w:p w14:paraId="498B173F" w14:textId="7C4DE8A6" w:rsidR="00CB65B5" w:rsidRDefault="00CB65B5" w:rsidP="00466DD5">
      <w:pPr>
        <w:spacing w:before="240" w:after="200"/>
        <w:rPr>
          <w:rStyle w:val="eop"/>
          <w:color w:val="000000"/>
          <w:shd w:val="clear" w:color="auto" w:fill="FFFFFF"/>
        </w:rPr>
      </w:pPr>
      <w:r>
        <w:rPr>
          <w:rStyle w:val="normaltextrun"/>
          <w:color w:val="000000"/>
          <w:shd w:val="clear" w:color="auto" w:fill="FFFFFF"/>
        </w:rPr>
        <w:t xml:space="preserve">The existing </w:t>
      </w:r>
      <w:r w:rsidR="0032117A" w:rsidRPr="00B904AA">
        <w:rPr>
          <w:i/>
          <w:iCs/>
        </w:rPr>
        <w:t>CPA Australia Ltd Professional Standards (Accountants) Scheme</w:t>
      </w:r>
      <w:r w:rsidR="0032117A">
        <w:rPr>
          <w:rStyle w:val="normaltextrun"/>
          <w:color w:val="000000"/>
          <w:shd w:val="clear" w:color="auto" w:fill="FFFFFF"/>
        </w:rPr>
        <w:t xml:space="preserve"> </w:t>
      </w:r>
      <w:r>
        <w:rPr>
          <w:rStyle w:val="normaltextrun"/>
          <w:color w:val="000000"/>
          <w:shd w:val="clear" w:color="auto" w:fill="FFFFFF"/>
        </w:rPr>
        <w:t xml:space="preserve">continues unchanged </w:t>
      </w:r>
      <w:r w:rsidR="000D161B">
        <w:rPr>
          <w:rStyle w:val="normaltextrun"/>
          <w:color w:val="000000"/>
          <w:shd w:val="clear" w:color="auto" w:fill="FFFFFF"/>
        </w:rPr>
        <w:t>for the extension period</w:t>
      </w:r>
      <w:r>
        <w:rPr>
          <w:rStyle w:val="normaltextrun"/>
          <w:color w:val="000000"/>
          <w:shd w:val="clear" w:color="auto" w:fill="FFFFFF"/>
        </w:rPr>
        <w:t>. This provides continuity in coverage for scheme participants beyond when the existing scheme was previously due to expire. The extended scheme requires</w:t>
      </w:r>
      <w:r w:rsidR="0032117A">
        <w:rPr>
          <w:rStyle w:val="normaltextrun"/>
          <w:color w:val="000000"/>
          <w:shd w:val="clear" w:color="auto" w:fill="FFFFFF"/>
        </w:rPr>
        <w:t xml:space="preserve"> CPA Australia</w:t>
      </w:r>
      <w:r>
        <w:rPr>
          <w:rStyle w:val="normaltextrun"/>
          <w:color w:val="000000"/>
          <w:shd w:val="clear" w:color="auto" w:fill="FFFFFF"/>
        </w:rPr>
        <w:t xml:space="preserve"> to monitor, enforce and improve the professional standards of their members, and protect consumers of their professional services. The scheme also continues to cap the amount payable by members of </w:t>
      </w:r>
      <w:r w:rsidR="0032117A">
        <w:rPr>
          <w:rStyle w:val="normaltextrun"/>
          <w:color w:val="000000"/>
          <w:shd w:val="clear" w:color="auto" w:fill="FFFFFF"/>
        </w:rPr>
        <w:t>CPA Australia</w:t>
      </w:r>
      <w:r>
        <w:rPr>
          <w:rStyle w:val="normaltextrun"/>
          <w:color w:val="000000"/>
          <w:shd w:val="clear" w:color="auto" w:fill="FFFFFF"/>
        </w:rPr>
        <w:t xml:space="preserve"> who take part in an association’s scheme if a court were to uphold a civil liability claim against them.</w:t>
      </w:r>
      <w:r>
        <w:rPr>
          <w:rStyle w:val="eop"/>
          <w:color w:val="000000"/>
          <w:shd w:val="clear" w:color="auto" w:fill="FFFFFF"/>
        </w:rPr>
        <w:t> </w:t>
      </w:r>
    </w:p>
    <w:p w14:paraId="26800747" w14:textId="316BBC8E" w:rsidR="00CB65B5" w:rsidRDefault="00CB65B5" w:rsidP="00466DD5">
      <w:pPr>
        <w:spacing w:before="240" w:after="200"/>
        <w:rPr>
          <w:b/>
          <w:bCs/>
        </w:rPr>
      </w:pPr>
      <w:r>
        <w:rPr>
          <w:rStyle w:val="normaltextrun"/>
          <w:color w:val="000000"/>
          <w:shd w:val="clear" w:color="auto" w:fill="FFFFFF"/>
        </w:rPr>
        <w:lastRenderedPageBreak/>
        <w:t xml:space="preserve">The fundamentals of the scheme, including persons to whom the scheme applies (membership classes), and the limitation of liability remain the same for the period of the extension. </w:t>
      </w:r>
      <w:r w:rsidR="0032117A">
        <w:rPr>
          <w:rStyle w:val="normaltextrun"/>
          <w:color w:val="000000"/>
          <w:shd w:val="clear" w:color="auto" w:fill="FFFFFF"/>
        </w:rPr>
        <w:t>CPA Australia</w:t>
      </w:r>
      <w:r>
        <w:rPr>
          <w:rStyle w:val="normaltextrun"/>
          <w:color w:val="000000"/>
          <w:shd w:val="clear" w:color="auto" w:fill="FFFFFF"/>
        </w:rPr>
        <w:t xml:space="preserve"> will be required to develop </w:t>
      </w:r>
      <w:proofErr w:type="gramStart"/>
      <w:r>
        <w:rPr>
          <w:rStyle w:val="normaltextrun"/>
          <w:color w:val="000000"/>
          <w:shd w:val="clear" w:color="auto" w:fill="FFFFFF"/>
        </w:rPr>
        <w:t>a replacement professional standards</w:t>
      </w:r>
      <w:proofErr w:type="gramEnd"/>
      <w:r>
        <w:rPr>
          <w:rStyle w:val="normaltextrun"/>
          <w:color w:val="000000"/>
          <w:shd w:val="clear" w:color="auto" w:fill="FFFFFF"/>
        </w:rPr>
        <w:t xml:space="preserve"> scheme in order to retain capped liability beyond this extension.</w:t>
      </w:r>
      <w:r>
        <w:rPr>
          <w:rStyle w:val="eop"/>
          <w:color w:val="000000"/>
          <w:shd w:val="clear" w:color="auto" w:fill="FFFFFF"/>
        </w:rPr>
        <w:t> </w:t>
      </w:r>
    </w:p>
    <w:p w14:paraId="79E9C620" w14:textId="1F4576BF" w:rsidR="00A805A5" w:rsidRDefault="005E483D" w:rsidP="00466DD5">
      <w:pPr>
        <w:spacing w:before="240" w:after="200"/>
        <w:rPr>
          <w:b/>
          <w:bCs/>
        </w:rPr>
      </w:pPr>
      <w:r>
        <w:rPr>
          <w:b/>
          <w:bCs/>
        </w:rPr>
        <w:t xml:space="preserve">Items </w:t>
      </w:r>
      <w:r w:rsidR="00A805A5">
        <w:rPr>
          <w:b/>
          <w:bCs/>
        </w:rPr>
        <w:t>1</w:t>
      </w:r>
      <w:r w:rsidR="0091750F">
        <w:rPr>
          <w:b/>
          <w:bCs/>
        </w:rPr>
        <w:t>, 4</w:t>
      </w:r>
      <w:r w:rsidR="00FB26C3">
        <w:rPr>
          <w:b/>
          <w:bCs/>
        </w:rPr>
        <w:t xml:space="preserve"> and 7</w:t>
      </w:r>
      <w:r>
        <w:rPr>
          <w:b/>
          <w:bCs/>
        </w:rPr>
        <w:t xml:space="preserve"> – Extension to the </w:t>
      </w:r>
      <w:r w:rsidRPr="00B904AA">
        <w:rPr>
          <w:b/>
          <w:bCs/>
          <w:i/>
          <w:iCs/>
        </w:rPr>
        <w:t>Chartered Accountants Australia and New Zealand Professional Standards Scheme</w:t>
      </w:r>
    </w:p>
    <w:p w14:paraId="2C13ED1B" w14:textId="7E6AD0D6" w:rsidR="00FE6F52" w:rsidRDefault="00FE6F52" w:rsidP="00FE6F52">
      <w:pPr>
        <w:spacing w:before="240" w:after="200"/>
        <w:rPr>
          <w:rStyle w:val="eop"/>
          <w:color w:val="000000"/>
          <w:shd w:val="clear" w:color="auto" w:fill="FFFFFF"/>
        </w:rPr>
      </w:pPr>
      <w:r>
        <w:rPr>
          <w:rStyle w:val="normaltextrun"/>
          <w:color w:val="000000"/>
          <w:shd w:val="clear" w:color="auto" w:fill="FFFFFF"/>
        </w:rPr>
        <w:t xml:space="preserve">These items amend Regulation 3A (table item </w:t>
      </w:r>
      <w:r w:rsidR="00B338DE">
        <w:rPr>
          <w:rStyle w:val="normaltextrun"/>
          <w:color w:val="000000"/>
          <w:shd w:val="clear" w:color="auto" w:fill="FFFFFF"/>
        </w:rPr>
        <w:t>2</w:t>
      </w:r>
      <w:r>
        <w:rPr>
          <w:rStyle w:val="normaltextrun"/>
          <w:color w:val="000000"/>
          <w:shd w:val="clear" w:color="auto" w:fill="FFFFFF"/>
        </w:rPr>
        <w:t xml:space="preserve">) of the ASIC Regulations, regulation 8A (table item </w:t>
      </w:r>
      <w:r w:rsidR="00B22F3D">
        <w:rPr>
          <w:rStyle w:val="normaltextrun"/>
          <w:color w:val="000000"/>
          <w:shd w:val="clear" w:color="auto" w:fill="FFFFFF"/>
        </w:rPr>
        <w:t>7</w:t>
      </w:r>
      <w:r>
        <w:rPr>
          <w:rStyle w:val="normaltextrun"/>
          <w:color w:val="000000"/>
          <w:shd w:val="clear" w:color="auto" w:fill="FFFFFF"/>
        </w:rPr>
        <w:t xml:space="preserve">) of the CC Regulations, and regulation 7.10.02 (table item </w:t>
      </w:r>
      <w:r w:rsidR="00CF3BC0">
        <w:rPr>
          <w:rStyle w:val="normaltextrun"/>
          <w:color w:val="000000"/>
          <w:shd w:val="clear" w:color="auto" w:fill="FFFFFF"/>
        </w:rPr>
        <w:t>2</w:t>
      </w:r>
      <w:r>
        <w:rPr>
          <w:rStyle w:val="normaltextrun"/>
          <w:color w:val="000000"/>
          <w:shd w:val="clear" w:color="auto" w:fill="FFFFFF"/>
        </w:rPr>
        <w:t xml:space="preserve">) of the </w:t>
      </w:r>
      <w:r w:rsidR="00AF7EA0">
        <w:rPr>
          <w:rStyle w:val="normaltextrun"/>
          <w:color w:val="000000"/>
          <w:shd w:val="clear" w:color="auto" w:fill="FFFFFF"/>
        </w:rPr>
        <w:t xml:space="preserve">Corporation Regulations </w:t>
      </w:r>
      <w:r>
        <w:rPr>
          <w:rStyle w:val="normaltextrun"/>
          <w:color w:val="000000"/>
          <w:shd w:val="clear" w:color="auto" w:fill="FFFFFF"/>
        </w:rPr>
        <w:t xml:space="preserve">to provide for the extension of the existing </w:t>
      </w:r>
      <w:r w:rsidR="00E95D69" w:rsidRPr="00E95D69">
        <w:t>Chartered Accountants Australia and New Zealand Professional Standards Scheme</w:t>
      </w:r>
      <w:r>
        <w:rPr>
          <w:rStyle w:val="normaltextrun"/>
          <w:i/>
          <w:iCs/>
          <w:color w:val="000000"/>
          <w:shd w:val="clear" w:color="auto" w:fill="FFFFFF"/>
        </w:rPr>
        <w:t xml:space="preserve"> </w:t>
      </w:r>
      <w:r>
        <w:rPr>
          <w:rStyle w:val="normaltextrun"/>
          <w:color w:val="000000"/>
          <w:shd w:val="clear" w:color="auto" w:fill="FFFFFF"/>
        </w:rPr>
        <w:t xml:space="preserve">as a professional standards scheme that has capped civil liability for misleading or deceptive conduct under the CCA, the ASIC Act and the Corporations Act. The period in which the </w:t>
      </w:r>
      <w:r w:rsidR="00E95D69" w:rsidRPr="00B904AA">
        <w:rPr>
          <w:i/>
          <w:iCs/>
        </w:rPr>
        <w:t>Chartered Accountants Australia and New Zealand Professional Standards Scheme</w:t>
      </w:r>
      <w:r w:rsidR="00E95D69" w:rsidRPr="00B34F7C">
        <w:rPr>
          <w:rStyle w:val="normaltextrun"/>
          <w:i/>
          <w:iCs/>
          <w:color w:val="000000"/>
          <w:shd w:val="clear" w:color="auto" w:fill="FFFFFF"/>
        </w:rPr>
        <w:t xml:space="preserve"> </w:t>
      </w:r>
      <w:r>
        <w:rPr>
          <w:rStyle w:val="normaltextrun"/>
          <w:color w:val="000000"/>
          <w:shd w:val="clear" w:color="auto" w:fill="FFFFFF"/>
        </w:rPr>
        <w:t xml:space="preserve">will be in force is extended to </w:t>
      </w:r>
      <w:r w:rsidR="00B04042">
        <w:rPr>
          <w:rStyle w:val="normaltextrun"/>
          <w:color w:val="000000"/>
          <w:shd w:val="clear" w:color="auto" w:fill="FFFFFF"/>
        </w:rPr>
        <w:t>12 July 2025</w:t>
      </w:r>
      <w:r>
        <w:rPr>
          <w:rStyle w:val="normaltextrun"/>
          <w:color w:val="000000"/>
          <w:shd w:val="clear" w:color="auto" w:fill="FFFFFF"/>
        </w:rPr>
        <w:t xml:space="preserve"> as published in the New South Wales Government Gazette No. </w:t>
      </w:r>
      <w:r w:rsidR="00B04042">
        <w:rPr>
          <w:rStyle w:val="normaltextrun"/>
          <w:color w:val="000000"/>
          <w:shd w:val="clear" w:color="auto" w:fill="FFFFFF"/>
        </w:rPr>
        <w:t>71</w:t>
      </w:r>
      <w:r>
        <w:rPr>
          <w:rStyle w:val="normaltextrun"/>
          <w:color w:val="000000"/>
          <w:shd w:val="clear" w:color="auto" w:fill="FFFFFF"/>
        </w:rPr>
        <w:t xml:space="preserve"> of 1</w:t>
      </w:r>
      <w:r w:rsidR="00B04042">
        <w:rPr>
          <w:rStyle w:val="normaltextrun"/>
          <w:color w:val="000000"/>
          <w:shd w:val="clear" w:color="auto" w:fill="FFFFFF"/>
        </w:rPr>
        <w:t xml:space="preserve"> March 2024</w:t>
      </w:r>
      <w:r>
        <w:rPr>
          <w:rStyle w:val="normaltextrun"/>
          <w:color w:val="000000"/>
          <w:shd w:val="clear" w:color="auto" w:fill="FFFFFF"/>
        </w:rPr>
        <w:t>.</w:t>
      </w:r>
      <w:r>
        <w:rPr>
          <w:rStyle w:val="eop"/>
          <w:color w:val="000000"/>
          <w:shd w:val="clear" w:color="auto" w:fill="FFFFFF"/>
        </w:rPr>
        <w:t> </w:t>
      </w:r>
    </w:p>
    <w:p w14:paraId="137BE447" w14:textId="3B8A0CB7" w:rsidR="00FE6F52" w:rsidRDefault="00FE6F52" w:rsidP="00FE6F52">
      <w:pPr>
        <w:spacing w:before="240" w:after="200"/>
        <w:rPr>
          <w:rStyle w:val="eop"/>
          <w:color w:val="000000"/>
          <w:shd w:val="clear" w:color="auto" w:fill="FFFFFF"/>
        </w:rPr>
      </w:pPr>
      <w:r>
        <w:rPr>
          <w:rStyle w:val="normaltextrun"/>
          <w:color w:val="000000"/>
          <w:shd w:val="clear" w:color="auto" w:fill="FFFFFF"/>
        </w:rPr>
        <w:t xml:space="preserve">The existing </w:t>
      </w:r>
      <w:r w:rsidR="00E95D69" w:rsidRPr="00663B56">
        <w:rPr>
          <w:i/>
          <w:iCs/>
        </w:rPr>
        <w:t>Chartered Accountants Australia and New Zealand Professional Standards Scheme</w:t>
      </w:r>
      <w:r w:rsidR="00E95D69">
        <w:rPr>
          <w:rStyle w:val="normaltextrun"/>
          <w:i/>
          <w:iCs/>
          <w:color w:val="000000"/>
          <w:shd w:val="clear" w:color="auto" w:fill="FFFFFF"/>
        </w:rPr>
        <w:t xml:space="preserve"> </w:t>
      </w:r>
      <w:r>
        <w:rPr>
          <w:rStyle w:val="normaltextrun"/>
          <w:color w:val="000000"/>
          <w:shd w:val="clear" w:color="auto" w:fill="FFFFFF"/>
        </w:rPr>
        <w:t xml:space="preserve">continues unchanged for </w:t>
      </w:r>
      <w:r w:rsidR="005823F0">
        <w:rPr>
          <w:rStyle w:val="normaltextrun"/>
          <w:color w:val="000000"/>
          <w:shd w:val="clear" w:color="auto" w:fill="FFFFFF"/>
        </w:rPr>
        <w:t>the extension period</w:t>
      </w:r>
      <w:r>
        <w:rPr>
          <w:rStyle w:val="normaltextrun"/>
          <w:color w:val="000000"/>
          <w:shd w:val="clear" w:color="auto" w:fill="FFFFFF"/>
        </w:rPr>
        <w:t xml:space="preserve"> beyond the date it was previously due to expire. This provides continuity in coverage for scheme participants beyond when the existing scheme was previously due to expire. The extended scheme requires </w:t>
      </w:r>
      <w:r w:rsidR="00093D52" w:rsidRPr="00E95D69">
        <w:t xml:space="preserve">Chartered Accountants Australia and New Zealand </w:t>
      </w:r>
      <w:r>
        <w:rPr>
          <w:rStyle w:val="normaltextrun"/>
          <w:color w:val="000000"/>
          <w:shd w:val="clear" w:color="auto" w:fill="FFFFFF"/>
        </w:rPr>
        <w:t xml:space="preserve">to monitor, enforce and improve the professional standards of their members, and protect consumers of their professional services. The scheme also continues to cap the amount payable by members of </w:t>
      </w:r>
      <w:r w:rsidR="00093D52" w:rsidRPr="00E95D69">
        <w:t xml:space="preserve">Chartered Accountants Australia and New Zealand </w:t>
      </w:r>
      <w:r>
        <w:rPr>
          <w:rStyle w:val="normaltextrun"/>
          <w:color w:val="000000"/>
          <w:shd w:val="clear" w:color="auto" w:fill="FFFFFF"/>
        </w:rPr>
        <w:t>who take part in an association’s scheme if a court were to uphold a civil liability claim against them.</w:t>
      </w:r>
      <w:r>
        <w:rPr>
          <w:rStyle w:val="eop"/>
          <w:color w:val="000000"/>
          <w:shd w:val="clear" w:color="auto" w:fill="FFFFFF"/>
        </w:rPr>
        <w:t> </w:t>
      </w:r>
    </w:p>
    <w:p w14:paraId="1F09C58F" w14:textId="493A5B91" w:rsidR="00A805A5" w:rsidRDefault="00FE6F52" w:rsidP="00466DD5">
      <w:pPr>
        <w:spacing w:before="240" w:after="200"/>
        <w:rPr>
          <w:b/>
          <w:bCs/>
        </w:rPr>
      </w:pPr>
      <w:r>
        <w:rPr>
          <w:rStyle w:val="normaltextrun"/>
          <w:color w:val="000000"/>
          <w:shd w:val="clear" w:color="auto" w:fill="FFFFFF"/>
        </w:rPr>
        <w:t xml:space="preserve">The fundamentals of the scheme, including persons to whom the scheme applies (membership classes), and the limitation of liability remain the same for the period of the extension. </w:t>
      </w:r>
      <w:r w:rsidR="00093D52" w:rsidRPr="00E95D69">
        <w:t xml:space="preserve">Chartered Accountants Australia and New Zealand </w:t>
      </w:r>
      <w:r>
        <w:rPr>
          <w:rStyle w:val="normaltextrun"/>
          <w:color w:val="000000"/>
          <w:shd w:val="clear" w:color="auto" w:fill="FFFFFF"/>
        </w:rPr>
        <w:t xml:space="preserve">will be required to develop </w:t>
      </w:r>
      <w:proofErr w:type="gramStart"/>
      <w:r>
        <w:rPr>
          <w:rStyle w:val="normaltextrun"/>
          <w:color w:val="000000"/>
          <w:shd w:val="clear" w:color="auto" w:fill="FFFFFF"/>
        </w:rPr>
        <w:t>a replacement professional standards</w:t>
      </w:r>
      <w:proofErr w:type="gramEnd"/>
      <w:r>
        <w:rPr>
          <w:rStyle w:val="normaltextrun"/>
          <w:color w:val="000000"/>
          <w:shd w:val="clear" w:color="auto" w:fill="FFFFFF"/>
        </w:rPr>
        <w:t xml:space="preserve"> scheme in order to retain capped liability beyond this extension.</w:t>
      </w:r>
      <w:r>
        <w:rPr>
          <w:rStyle w:val="eop"/>
          <w:color w:val="000000"/>
          <w:shd w:val="clear" w:color="auto" w:fill="FFFFFF"/>
        </w:rPr>
        <w:t> </w:t>
      </w:r>
    </w:p>
    <w:p w14:paraId="1959526E" w14:textId="7355DF66" w:rsidR="00A805A5" w:rsidRDefault="00A805A5" w:rsidP="00466DD5">
      <w:pPr>
        <w:spacing w:before="240" w:after="200"/>
        <w:rPr>
          <w:b/>
          <w:bCs/>
        </w:rPr>
      </w:pPr>
      <w:r>
        <w:rPr>
          <w:b/>
          <w:bCs/>
        </w:rPr>
        <w:t>Items 2</w:t>
      </w:r>
      <w:r w:rsidR="00FB26C3">
        <w:rPr>
          <w:b/>
          <w:bCs/>
        </w:rPr>
        <w:t>, 5</w:t>
      </w:r>
      <w:r>
        <w:rPr>
          <w:b/>
          <w:bCs/>
        </w:rPr>
        <w:t xml:space="preserve"> </w:t>
      </w:r>
      <w:r w:rsidR="00FB26C3">
        <w:rPr>
          <w:b/>
          <w:bCs/>
        </w:rPr>
        <w:t xml:space="preserve">and 8 </w:t>
      </w:r>
      <w:r>
        <w:rPr>
          <w:b/>
          <w:bCs/>
        </w:rPr>
        <w:t xml:space="preserve">– Extension to the </w:t>
      </w:r>
      <w:r w:rsidRPr="00B904AA">
        <w:rPr>
          <w:b/>
          <w:bCs/>
          <w:i/>
          <w:iCs/>
        </w:rPr>
        <w:t xml:space="preserve">Victorian </w:t>
      </w:r>
      <w:r w:rsidR="00E462B1" w:rsidRPr="00B904AA">
        <w:rPr>
          <w:b/>
          <w:bCs/>
          <w:i/>
          <w:iCs/>
        </w:rPr>
        <w:t>B</w:t>
      </w:r>
      <w:r w:rsidRPr="00B904AA">
        <w:rPr>
          <w:b/>
          <w:bCs/>
          <w:i/>
          <w:iCs/>
        </w:rPr>
        <w:t>ar Professional Standards Scheme</w:t>
      </w:r>
    </w:p>
    <w:p w14:paraId="5B394622" w14:textId="3BB35227" w:rsidR="00FE6F52" w:rsidRDefault="00AF7EA0" w:rsidP="00FE6F52">
      <w:pPr>
        <w:spacing w:before="240" w:after="200"/>
        <w:rPr>
          <w:rStyle w:val="eop"/>
          <w:color w:val="000000"/>
          <w:shd w:val="clear" w:color="auto" w:fill="FFFFFF"/>
        </w:rPr>
      </w:pPr>
      <w:r>
        <w:rPr>
          <w:rStyle w:val="normaltextrun"/>
          <w:color w:val="000000"/>
          <w:shd w:val="clear" w:color="auto" w:fill="FFFFFF"/>
        </w:rPr>
        <w:t xml:space="preserve">These items amend Regulation 3A (table item </w:t>
      </w:r>
      <w:r w:rsidR="00B22F3D">
        <w:rPr>
          <w:rStyle w:val="normaltextrun"/>
          <w:color w:val="000000"/>
          <w:shd w:val="clear" w:color="auto" w:fill="FFFFFF"/>
        </w:rPr>
        <w:t>7</w:t>
      </w:r>
      <w:r>
        <w:rPr>
          <w:rStyle w:val="normaltextrun"/>
          <w:color w:val="000000"/>
          <w:shd w:val="clear" w:color="auto" w:fill="FFFFFF"/>
        </w:rPr>
        <w:t xml:space="preserve">) of the ASIC Regulations, regulation 8A (table item </w:t>
      </w:r>
      <w:r w:rsidR="00B22F3D">
        <w:rPr>
          <w:rStyle w:val="normaltextrun"/>
          <w:color w:val="000000"/>
          <w:shd w:val="clear" w:color="auto" w:fill="FFFFFF"/>
        </w:rPr>
        <w:t>15</w:t>
      </w:r>
      <w:r>
        <w:rPr>
          <w:rStyle w:val="normaltextrun"/>
          <w:color w:val="000000"/>
          <w:shd w:val="clear" w:color="auto" w:fill="FFFFFF"/>
        </w:rPr>
        <w:t xml:space="preserve">) of the CC Regulations, and regulation 7.10.02 (table item </w:t>
      </w:r>
      <w:r w:rsidR="00CF3BC0">
        <w:rPr>
          <w:rStyle w:val="normaltextrun"/>
          <w:color w:val="000000"/>
          <w:shd w:val="clear" w:color="auto" w:fill="FFFFFF"/>
        </w:rPr>
        <w:t>7</w:t>
      </w:r>
      <w:r>
        <w:rPr>
          <w:rStyle w:val="normaltextrun"/>
          <w:color w:val="000000"/>
          <w:shd w:val="clear" w:color="auto" w:fill="FFFFFF"/>
        </w:rPr>
        <w:t xml:space="preserve">) of the Corporation Regulations </w:t>
      </w:r>
      <w:r w:rsidR="00FE6F52">
        <w:rPr>
          <w:rStyle w:val="normaltextrun"/>
          <w:color w:val="000000"/>
          <w:shd w:val="clear" w:color="auto" w:fill="FFFFFF"/>
        </w:rPr>
        <w:t xml:space="preserve">to provide for the extension of the existing </w:t>
      </w:r>
      <w:r w:rsidR="000108F2" w:rsidRPr="00663B56">
        <w:rPr>
          <w:i/>
          <w:iCs/>
        </w:rPr>
        <w:t>Victorian Bar Professional Standards Scheme</w:t>
      </w:r>
      <w:r w:rsidR="00FE6F52">
        <w:rPr>
          <w:rStyle w:val="normaltextrun"/>
          <w:i/>
          <w:iCs/>
          <w:color w:val="000000"/>
          <w:shd w:val="clear" w:color="auto" w:fill="FFFFFF"/>
        </w:rPr>
        <w:t xml:space="preserve"> </w:t>
      </w:r>
      <w:r w:rsidR="00FE6F52">
        <w:rPr>
          <w:rStyle w:val="normaltextrun"/>
          <w:color w:val="000000"/>
          <w:shd w:val="clear" w:color="auto" w:fill="FFFFFF"/>
        </w:rPr>
        <w:t xml:space="preserve">as a professional standards scheme that has capped civil liability for misleading or deceptive conduct under the CCA, the ASIC Act and the Corporations Act. The period in which the </w:t>
      </w:r>
      <w:r w:rsidR="000108F2" w:rsidRPr="00B904AA">
        <w:rPr>
          <w:i/>
          <w:iCs/>
        </w:rPr>
        <w:t>Victorian Bar Professional Standards Scheme</w:t>
      </w:r>
      <w:r w:rsidR="000108F2">
        <w:rPr>
          <w:rStyle w:val="normaltextrun"/>
          <w:i/>
          <w:iCs/>
          <w:color w:val="000000"/>
          <w:shd w:val="clear" w:color="auto" w:fill="FFFFFF"/>
        </w:rPr>
        <w:t xml:space="preserve"> </w:t>
      </w:r>
      <w:r w:rsidR="00FE6F52">
        <w:rPr>
          <w:rStyle w:val="normaltextrun"/>
          <w:color w:val="000000"/>
          <w:shd w:val="clear" w:color="auto" w:fill="FFFFFF"/>
        </w:rPr>
        <w:t xml:space="preserve">will be in force is extended to </w:t>
      </w:r>
      <w:r w:rsidR="00E210F9">
        <w:rPr>
          <w:rStyle w:val="normaltextrun"/>
          <w:color w:val="000000"/>
          <w:shd w:val="clear" w:color="auto" w:fill="FFFFFF"/>
        </w:rPr>
        <w:t>30 June 2025</w:t>
      </w:r>
      <w:r w:rsidR="00FE6F52">
        <w:rPr>
          <w:rStyle w:val="normaltextrun"/>
          <w:color w:val="000000"/>
          <w:shd w:val="clear" w:color="auto" w:fill="FFFFFF"/>
        </w:rPr>
        <w:t xml:space="preserve"> as published in the </w:t>
      </w:r>
      <w:r w:rsidR="00597F29">
        <w:rPr>
          <w:rStyle w:val="normaltextrun"/>
          <w:color w:val="000000"/>
          <w:shd w:val="clear" w:color="auto" w:fill="FFFFFF"/>
        </w:rPr>
        <w:t>Victoria</w:t>
      </w:r>
      <w:r w:rsidR="00FE6F52">
        <w:rPr>
          <w:rStyle w:val="normaltextrun"/>
          <w:color w:val="000000"/>
          <w:shd w:val="clear" w:color="auto" w:fill="FFFFFF"/>
        </w:rPr>
        <w:t xml:space="preserve"> Government Gazette No.</w:t>
      </w:r>
      <w:r w:rsidR="00597F29">
        <w:rPr>
          <w:rStyle w:val="normaltextrun"/>
          <w:color w:val="000000"/>
          <w:shd w:val="clear" w:color="auto" w:fill="FFFFFF"/>
        </w:rPr>
        <w:t xml:space="preserve"> G 45</w:t>
      </w:r>
      <w:r w:rsidR="00FE6F52">
        <w:rPr>
          <w:rStyle w:val="normaltextrun"/>
          <w:color w:val="000000"/>
          <w:shd w:val="clear" w:color="auto" w:fill="FFFFFF"/>
        </w:rPr>
        <w:t xml:space="preserve"> of </w:t>
      </w:r>
      <w:r w:rsidR="00597F29">
        <w:rPr>
          <w:rStyle w:val="normaltextrun"/>
          <w:color w:val="000000"/>
          <w:shd w:val="clear" w:color="auto" w:fill="FFFFFF"/>
        </w:rPr>
        <w:t>9 November 2023</w:t>
      </w:r>
      <w:r w:rsidR="00FE6F52">
        <w:rPr>
          <w:rStyle w:val="normaltextrun"/>
          <w:color w:val="000000"/>
          <w:shd w:val="clear" w:color="auto" w:fill="FFFFFF"/>
        </w:rPr>
        <w:t>.</w:t>
      </w:r>
      <w:r w:rsidR="00FE6F52">
        <w:rPr>
          <w:rStyle w:val="eop"/>
          <w:color w:val="000000"/>
          <w:shd w:val="clear" w:color="auto" w:fill="FFFFFF"/>
        </w:rPr>
        <w:t> </w:t>
      </w:r>
    </w:p>
    <w:p w14:paraId="3F447CBD" w14:textId="64AEEFCB" w:rsidR="00FE6F52" w:rsidRDefault="00FE6F52" w:rsidP="00FE6F52">
      <w:pPr>
        <w:spacing w:before="240" w:after="200"/>
        <w:rPr>
          <w:rStyle w:val="eop"/>
          <w:color w:val="000000"/>
          <w:shd w:val="clear" w:color="auto" w:fill="FFFFFF"/>
        </w:rPr>
      </w:pPr>
      <w:r>
        <w:rPr>
          <w:rStyle w:val="normaltextrun"/>
          <w:color w:val="000000"/>
          <w:shd w:val="clear" w:color="auto" w:fill="FFFFFF"/>
        </w:rPr>
        <w:t xml:space="preserve">The existing </w:t>
      </w:r>
      <w:r w:rsidR="000108F2" w:rsidRPr="00663B56">
        <w:rPr>
          <w:i/>
          <w:iCs/>
        </w:rPr>
        <w:t>Victorian Bar Professional Standards Scheme</w:t>
      </w:r>
      <w:r w:rsidR="000108F2">
        <w:rPr>
          <w:rStyle w:val="normaltextrun"/>
          <w:i/>
          <w:iCs/>
          <w:color w:val="000000"/>
          <w:shd w:val="clear" w:color="auto" w:fill="FFFFFF"/>
        </w:rPr>
        <w:t xml:space="preserve"> </w:t>
      </w:r>
      <w:r>
        <w:rPr>
          <w:rStyle w:val="normaltextrun"/>
          <w:color w:val="000000"/>
          <w:shd w:val="clear" w:color="auto" w:fill="FFFFFF"/>
        </w:rPr>
        <w:t xml:space="preserve">continues unchanged for an additional year beyond the date it was previously due to expire. This provides continuity in coverage for scheme participants beyond when the existing scheme was previously due to expire. The extended scheme requires The </w:t>
      </w:r>
      <w:r w:rsidR="00E210F9">
        <w:rPr>
          <w:rStyle w:val="normaltextrun"/>
          <w:color w:val="000000"/>
          <w:shd w:val="clear" w:color="auto" w:fill="FFFFFF"/>
        </w:rPr>
        <w:t>Victorian Bar</w:t>
      </w:r>
      <w:r>
        <w:rPr>
          <w:rStyle w:val="normaltextrun"/>
          <w:color w:val="000000"/>
          <w:shd w:val="clear" w:color="auto" w:fill="FFFFFF"/>
        </w:rPr>
        <w:t xml:space="preserve"> to monitor, enforce and improve the professional standards of their members, and protect consumers of their professional services. The scheme also continues to cap the amount payable by members of </w:t>
      </w:r>
      <w:r w:rsidR="00E210F9">
        <w:rPr>
          <w:rStyle w:val="normaltextrun"/>
          <w:color w:val="000000"/>
          <w:shd w:val="clear" w:color="auto" w:fill="FFFFFF"/>
        </w:rPr>
        <w:t xml:space="preserve">The </w:t>
      </w:r>
      <w:r w:rsidR="00E210F9">
        <w:rPr>
          <w:rStyle w:val="normaltextrun"/>
          <w:color w:val="000000"/>
          <w:shd w:val="clear" w:color="auto" w:fill="FFFFFF"/>
        </w:rPr>
        <w:lastRenderedPageBreak/>
        <w:t xml:space="preserve">Victorian Bar </w:t>
      </w:r>
      <w:r>
        <w:rPr>
          <w:rStyle w:val="normaltextrun"/>
          <w:color w:val="000000"/>
          <w:shd w:val="clear" w:color="auto" w:fill="FFFFFF"/>
        </w:rPr>
        <w:t>who take part in an association’s scheme if a court were to uphold a civil liability claim against them.</w:t>
      </w:r>
      <w:r>
        <w:rPr>
          <w:rStyle w:val="eop"/>
          <w:color w:val="000000"/>
          <w:shd w:val="clear" w:color="auto" w:fill="FFFFFF"/>
        </w:rPr>
        <w:t> </w:t>
      </w:r>
    </w:p>
    <w:p w14:paraId="522BDA89" w14:textId="77F454B1" w:rsidR="00A805A5" w:rsidRDefault="00FE6F52" w:rsidP="00466DD5">
      <w:pPr>
        <w:spacing w:before="240" w:after="200"/>
        <w:rPr>
          <w:b/>
          <w:bCs/>
        </w:rPr>
      </w:pPr>
      <w:r>
        <w:rPr>
          <w:rStyle w:val="normaltextrun"/>
          <w:color w:val="000000"/>
          <w:shd w:val="clear" w:color="auto" w:fill="FFFFFF"/>
        </w:rPr>
        <w:t xml:space="preserve">The fundamentals of the scheme, including persons to whom the scheme applies (membership classes), and the limitation of liability remain the same for the period of the extension. As the relevant State Minister may only provide a single 12-month extension, </w:t>
      </w:r>
      <w:r w:rsidR="00E210F9">
        <w:rPr>
          <w:rStyle w:val="normaltextrun"/>
          <w:color w:val="000000"/>
          <w:shd w:val="clear" w:color="auto" w:fill="FFFFFF"/>
        </w:rPr>
        <w:t xml:space="preserve">The Victorian Bar will </w:t>
      </w:r>
      <w:r>
        <w:rPr>
          <w:rStyle w:val="normaltextrun"/>
          <w:color w:val="000000"/>
          <w:shd w:val="clear" w:color="auto" w:fill="FFFFFF"/>
        </w:rPr>
        <w:t xml:space="preserve">be required to develop </w:t>
      </w:r>
      <w:proofErr w:type="gramStart"/>
      <w:r>
        <w:rPr>
          <w:rStyle w:val="normaltextrun"/>
          <w:color w:val="000000"/>
          <w:shd w:val="clear" w:color="auto" w:fill="FFFFFF"/>
        </w:rPr>
        <w:t>a replacement professional standards</w:t>
      </w:r>
      <w:proofErr w:type="gramEnd"/>
      <w:r>
        <w:rPr>
          <w:rStyle w:val="normaltextrun"/>
          <w:color w:val="000000"/>
          <w:shd w:val="clear" w:color="auto" w:fill="FFFFFF"/>
        </w:rPr>
        <w:t xml:space="preserve"> scheme in order to retain capped liability beyond this 12-month extension.</w:t>
      </w:r>
      <w:r>
        <w:rPr>
          <w:rStyle w:val="eop"/>
          <w:color w:val="000000"/>
          <w:shd w:val="clear" w:color="auto" w:fill="FFFFFF"/>
        </w:rPr>
        <w:t> </w:t>
      </w:r>
    </w:p>
    <w:p w14:paraId="1C61FAC2" w14:textId="45792380" w:rsidR="0091750F" w:rsidRPr="00B904AA" w:rsidRDefault="00A805A5" w:rsidP="000B21BF">
      <w:pPr>
        <w:spacing w:before="240" w:after="200"/>
        <w:rPr>
          <w:b/>
          <w:bCs/>
          <w:i/>
          <w:iCs/>
        </w:rPr>
      </w:pPr>
      <w:r>
        <w:rPr>
          <w:b/>
          <w:bCs/>
        </w:rPr>
        <w:t>Items 3</w:t>
      </w:r>
      <w:r w:rsidR="00FB26C3">
        <w:rPr>
          <w:b/>
          <w:bCs/>
        </w:rPr>
        <w:t>, 6 and 9</w:t>
      </w:r>
      <w:r>
        <w:rPr>
          <w:b/>
          <w:bCs/>
        </w:rPr>
        <w:t xml:space="preserve"> – </w:t>
      </w:r>
      <w:r w:rsidR="00872617">
        <w:rPr>
          <w:b/>
          <w:bCs/>
        </w:rPr>
        <w:t xml:space="preserve">Prescription of the </w:t>
      </w:r>
      <w:r w:rsidRPr="00B904AA">
        <w:rPr>
          <w:b/>
          <w:bCs/>
          <w:i/>
          <w:iCs/>
        </w:rPr>
        <w:t xml:space="preserve">Law Society </w:t>
      </w:r>
      <w:r w:rsidR="0091750F" w:rsidRPr="00B904AA">
        <w:rPr>
          <w:b/>
          <w:bCs/>
          <w:i/>
          <w:iCs/>
        </w:rPr>
        <w:t>of Western Australia Professional Standards Scheme</w:t>
      </w:r>
    </w:p>
    <w:p w14:paraId="6DC51D2B" w14:textId="50392EC2" w:rsidR="00FE6F52" w:rsidRDefault="00AF7EA0" w:rsidP="00FE6F52">
      <w:pPr>
        <w:spacing w:before="240" w:after="200"/>
        <w:rPr>
          <w:rStyle w:val="eop"/>
          <w:color w:val="000000"/>
          <w:shd w:val="clear" w:color="auto" w:fill="FFFFFF"/>
        </w:rPr>
      </w:pPr>
      <w:r>
        <w:rPr>
          <w:rStyle w:val="normaltextrun"/>
          <w:color w:val="000000"/>
          <w:shd w:val="clear" w:color="auto" w:fill="FFFFFF"/>
        </w:rPr>
        <w:t xml:space="preserve">These items amend Regulation 3A (table item </w:t>
      </w:r>
      <w:r w:rsidR="00B22F3D">
        <w:rPr>
          <w:rStyle w:val="normaltextrun"/>
          <w:color w:val="000000"/>
          <w:shd w:val="clear" w:color="auto" w:fill="FFFFFF"/>
        </w:rPr>
        <w:t>12</w:t>
      </w:r>
      <w:r>
        <w:rPr>
          <w:rStyle w:val="normaltextrun"/>
          <w:color w:val="000000"/>
          <w:shd w:val="clear" w:color="auto" w:fill="FFFFFF"/>
        </w:rPr>
        <w:t xml:space="preserve">) of the ASIC Regulations, regulation 8A (table item </w:t>
      </w:r>
      <w:r w:rsidR="00B22F3D">
        <w:rPr>
          <w:rStyle w:val="normaltextrun"/>
          <w:color w:val="000000"/>
          <w:shd w:val="clear" w:color="auto" w:fill="FFFFFF"/>
        </w:rPr>
        <w:t>22</w:t>
      </w:r>
      <w:r>
        <w:rPr>
          <w:rStyle w:val="normaltextrun"/>
          <w:color w:val="000000"/>
          <w:shd w:val="clear" w:color="auto" w:fill="FFFFFF"/>
        </w:rPr>
        <w:t xml:space="preserve">) of the CC Regulations, and regulation 7.10.02 (table item </w:t>
      </w:r>
      <w:r w:rsidR="00CF3BC0">
        <w:rPr>
          <w:rStyle w:val="normaltextrun"/>
          <w:color w:val="000000"/>
          <w:shd w:val="clear" w:color="auto" w:fill="FFFFFF"/>
        </w:rPr>
        <w:t>12</w:t>
      </w:r>
      <w:r>
        <w:rPr>
          <w:rStyle w:val="normaltextrun"/>
          <w:color w:val="000000"/>
          <w:shd w:val="clear" w:color="auto" w:fill="FFFFFF"/>
        </w:rPr>
        <w:t xml:space="preserve">) of the Corporation Regulations </w:t>
      </w:r>
      <w:r w:rsidR="00FE6F52">
        <w:rPr>
          <w:rStyle w:val="normaltextrun"/>
          <w:color w:val="000000"/>
          <w:shd w:val="clear" w:color="auto" w:fill="FFFFFF"/>
        </w:rPr>
        <w:t xml:space="preserve">to provide for the </w:t>
      </w:r>
      <w:r w:rsidR="00872617">
        <w:rPr>
          <w:rStyle w:val="normaltextrun"/>
          <w:color w:val="000000"/>
          <w:shd w:val="clear" w:color="auto" w:fill="FFFFFF"/>
        </w:rPr>
        <w:t>prescription</w:t>
      </w:r>
      <w:r w:rsidR="00FE6F52">
        <w:rPr>
          <w:rStyle w:val="normaltextrun"/>
          <w:color w:val="000000"/>
          <w:shd w:val="clear" w:color="auto" w:fill="FFFFFF"/>
        </w:rPr>
        <w:t xml:space="preserve"> of the </w:t>
      </w:r>
      <w:r w:rsidR="00872617" w:rsidRPr="00B904AA">
        <w:rPr>
          <w:i/>
          <w:iCs/>
        </w:rPr>
        <w:t>Law Society of Western Australia Professional Standards Scheme</w:t>
      </w:r>
      <w:r w:rsidR="00872617">
        <w:rPr>
          <w:rStyle w:val="normaltextrun"/>
          <w:color w:val="000000"/>
          <w:shd w:val="clear" w:color="auto" w:fill="FFFFFF"/>
        </w:rPr>
        <w:t xml:space="preserve"> </w:t>
      </w:r>
      <w:r w:rsidR="00FE6F52">
        <w:rPr>
          <w:rStyle w:val="normaltextrun"/>
          <w:color w:val="000000"/>
          <w:shd w:val="clear" w:color="auto" w:fill="FFFFFF"/>
        </w:rPr>
        <w:t xml:space="preserve">as a professional standards scheme that has capped civil liability for misleading or deceptive conduct under the CCA, the ASIC Act and the Corporations Act. The period in which </w:t>
      </w:r>
      <w:r w:rsidR="00FE6F52" w:rsidRPr="00B904AA">
        <w:rPr>
          <w:rStyle w:val="normaltextrun"/>
          <w:i/>
          <w:iCs/>
          <w:color w:val="000000"/>
          <w:shd w:val="clear" w:color="auto" w:fill="FFFFFF"/>
        </w:rPr>
        <w:t xml:space="preserve">the </w:t>
      </w:r>
      <w:r w:rsidR="00872617" w:rsidRPr="00B904AA">
        <w:rPr>
          <w:i/>
          <w:iCs/>
        </w:rPr>
        <w:t>Law Society of Western Australia Professional Standards Scheme</w:t>
      </w:r>
      <w:r w:rsidR="00FE6F52">
        <w:rPr>
          <w:rStyle w:val="normaltextrun"/>
          <w:i/>
          <w:iCs/>
          <w:color w:val="000000"/>
          <w:shd w:val="clear" w:color="auto" w:fill="FFFFFF"/>
        </w:rPr>
        <w:t xml:space="preserve"> </w:t>
      </w:r>
      <w:r w:rsidR="00FE6F52">
        <w:rPr>
          <w:rStyle w:val="normaltextrun"/>
          <w:color w:val="000000"/>
          <w:shd w:val="clear" w:color="auto" w:fill="FFFFFF"/>
        </w:rPr>
        <w:t xml:space="preserve">will be in force is </w:t>
      </w:r>
      <w:r w:rsidR="000E3864">
        <w:rPr>
          <w:rStyle w:val="normaltextrun"/>
          <w:color w:val="000000"/>
          <w:shd w:val="clear" w:color="auto" w:fill="FFFFFF"/>
        </w:rPr>
        <w:t>from 1 July 2024</w:t>
      </w:r>
      <w:r w:rsidR="00FE6F52">
        <w:rPr>
          <w:rStyle w:val="normaltextrun"/>
          <w:color w:val="000000"/>
          <w:shd w:val="clear" w:color="auto" w:fill="FFFFFF"/>
        </w:rPr>
        <w:t xml:space="preserve"> to </w:t>
      </w:r>
      <w:r w:rsidR="000E3864">
        <w:rPr>
          <w:rStyle w:val="normaltextrun"/>
          <w:color w:val="000000"/>
          <w:shd w:val="clear" w:color="auto" w:fill="FFFFFF"/>
        </w:rPr>
        <w:t>30</w:t>
      </w:r>
      <w:r w:rsidR="00FE6F52">
        <w:rPr>
          <w:rStyle w:val="normaltextrun"/>
          <w:color w:val="000000"/>
          <w:shd w:val="clear" w:color="auto" w:fill="FFFFFF"/>
        </w:rPr>
        <w:t xml:space="preserve"> </w:t>
      </w:r>
      <w:r w:rsidR="000E3864">
        <w:rPr>
          <w:rStyle w:val="normaltextrun"/>
          <w:color w:val="000000"/>
          <w:shd w:val="clear" w:color="auto" w:fill="FFFFFF"/>
        </w:rPr>
        <w:t>June</w:t>
      </w:r>
      <w:r w:rsidR="00FE6F52">
        <w:rPr>
          <w:rStyle w:val="normaltextrun"/>
          <w:color w:val="000000"/>
          <w:shd w:val="clear" w:color="auto" w:fill="FFFFFF"/>
        </w:rPr>
        <w:t xml:space="preserve"> 202</w:t>
      </w:r>
      <w:r w:rsidR="000E3864">
        <w:rPr>
          <w:rStyle w:val="normaltextrun"/>
          <w:color w:val="000000"/>
          <w:shd w:val="clear" w:color="auto" w:fill="FFFFFF"/>
        </w:rPr>
        <w:t>9</w:t>
      </w:r>
      <w:r w:rsidR="00FE6F52">
        <w:rPr>
          <w:rStyle w:val="normaltextrun"/>
          <w:color w:val="000000"/>
          <w:shd w:val="clear" w:color="auto" w:fill="FFFFFF"/>
        </w:rPr>
        <w:t xml:space="preserve"> as published in the </w:t>
      </w:r>
      <w:r w:rsidR="000E3864">
        <w:rPr>
          <w:rStyle w:val="normaltextrun"/>
          <w:color w:val="000000"/>
          <w:shd w:val="clear" w:color="auto" w:fill="FFFFFF"/>
        </w:rPr>
        <w:t>Western Australia</w:t>
      </w:r>
      <w:r w:rsidR="00FE6F52">
        <w:rPr>
          <w:rStyle w:val="normaltextrun"/>
          <w:color w:val="000000"/>
          <w:shd w:val="clear" w:color="auto" w:fill="FFFFFF"/>
        </w:rPr>
        <w:t xml:space="preserve"> Government Gazette No. </w:t>
      </w:r>
      <w:r w:rsidR="000E3864">
        <w:rPr>
          <w:rStyle w:val="normaltextrun"/>
          <w:color w:val="000000"/>
          <w:shd w:val="clear" w:color="auto" w:fill="FFFFFF"/>
        </w:rPr>
        <w:t>23</w:t>
      </w:r>
      <w:r w:rsidR="00FE6F52">
        <w:rPr>
          <w:rStyle w:val="normaltextrun"/>
          <w:color w:val="000000"/>
          <w:shd w:val="clear" w:color="auto" w:fill="FFFFFF"/>
        </w:rPr>
        <w:t xml:space="preserve"> of </w:t>
      </w:r>
      <w:r w:rsidR="000E3864">
        <w:rPr>
          <w:rStyle w:val="normaltextrun"/>
          <w:color w:val="000000"/>
          <w:shd w:val="clear" w:color="auto" w:fill="FFFFFF"/>
        </w:rPr>
        <w:t>8 March 2024</w:t>
      </w:r>
      <w:r w:rsidR="00FE6F52">
        <w:rPr>
          <w:rStyle w:val="normaltextrun"/>
          <w:color w:val="000000"/>
          <w:shd w:val="clear" w:color="auto" w:fill="FFFFFF"/>
        </w:rPr>
        <w:t>.</w:t>
      </w:r>
      <w:r w:rsidR="00FE6F52">
        <w:rPr>
          <w:rStyle w:val="eop"/>
          <w:color w:val="000000"/>
          <w:shd w:val="clear" w:color="auto" w:fill="FFFFFF"/>
        </w:rPr>
        <w:t> </w:t>
      </w:r>
    </w:p>
    <w:p w14:paraId="33DFC8A8" w14:textId="7D410BEC" w:rsidR="00EA4DD8" w:rsidRPr="00A80C94" w:rsidRDefault="00E45C89" w:rsidP="00466DD5">
      <w:pPr>
        <w:spacing w:before="240" w:after="200"/>
        <w:rPr>
          <w:color w:val="000000"/>
          <w:shd w:val="clear" w:color="auto" w:fill="FFFFFF"/>
        </w:rPr>
      </w:pPr>
      <w:r>
        <w:rPr>
          <w:rStyle w:val="normaltextrun"/>
          <w:color w:val="000000"/>
          <w:shd w:val="clear" w:color="auto" w:fill="FFFFFF"/>
        </w:rPr>
        <w:t xml:space="preserve">Though the scheme has been approved anew, the fundamentals of the scheme, including persons to whom the scheme applies (membership classes), and the limitation of liability remain the same as was the case in the 2019 version of the scheme. </w:t>
      </w:r>
      <w:r w:rsidR="00FE6F52">
        <w:rPr>
          <w:rStyle w:val="normaltextrun"/>
          <w:color w:val="000000"/>
          <w:shd w:val="clear" w:color="auto" w:fill="FFFFFF"/>
        </w:rPr>
        <w:t xml:space="preserve">The </w:t>
      </w:r>
      <w:r w:rsidR="00A80C94">
        <w:rPr>
          <w:rStyle w:val="normaltextrun"/>
          <w:color w:val="000000"/>
          <w:shd w:val="clear" w:color="auto" w:fill="FFFFFF"/>
        </w:rPr>
        <w:t>new</w:t>
      </w:r>
      <w:r w:rsidR="00FE6F52">
        <w:rPr>
          <w:rStyle w:val="normaltextrun"/>
          <w:color w:val="000000"/>
          <w:shd w:val="clear" w:color="auto" w:fill="FFFFFF"/>
        </w:rPr>
        <w:t xml:space="preserve"> scheme </w:t>
      </w:r>
      <w:r w:rsidR="00A80C94">
        <w:rPr>
          <w:rStyle w:val="normaltextrun"/>
          <w:color w:val="000000"/>
          <w:shd w:val="clear" w:color="auto" w:fill="FFFFFF"/>
        </w:rPr>
        <w:t>continues to require</w:t>
      </w:r>
      <w:r w:rsidR="00FE6F52">
        <w:rPr>
          <w:rStyle w:val="normaltextrun"/>
          <w:color w:val="000000"/>
          <w:shd w:val="clear" w:color="auto" w:fill="FFFFFF"/>
        </w:rPr>
        <w:t xml:space="preserve"> </w:t>
      </w:r>
      <w:r w:rsidR="00A80C94" w:rsidRPr="00872617">
        <w:t xml:space="preserve">Law Society of Western Australia </w:t>
      </w:r>
      <w:r w:rsidR="00FE6F52">
        <w:rPr>
          <w:rStyle w:val="normaltextrun"/>
          <w:color w:val="000000"/>
          <w:shd w:val="clear" w:color="auto" w:fill="FFFFFF"/>
        </w:rPr>
        <w:t xml:space="preserve">to monitor, enforce and improve the professional standards of their members, and protect consumers of their professional services. The scheme also continues to cap the amount payable by members of </w:t>
      </w:r>
      <w:r w:rsidR="00A80C94" w:rsidRPr="00872617">
        <w:t xml:space="preserve">Law Society of Western Australia </w:t>
      </w:r>
      <w:r w:rsidR="00FE6F52">
        <w:rPr>
          <w:rStyle w:val="normaltextrun"/>
          <w:color w:val="000000"/>
          <w:shd w:val="clear" w:color="auto" w:fill="FFFFFF"/>
        </w:rPr>
        <w:t>who take part in an association’s scheme if a court were to uphold a civil liability claim against them.</w:t>
      </w:r>
      <w:r w:rsidR="00FE6F52">
        <w:rPr>
          <w:rStyle w:val="eop"/>
          <w:color w:val="000000"/>
          <w:shd w:val="clear" w:color="auto" w:fill="FFFFFF"/>
        </w:rPr>
        <w:t> </w:t>
      </w:r>
    </w:p>
    <w:p w14:paraId="2B219A91" w14:textId="43974F3C" w:rsidR="0093421F" w:rsidRPr="003C5719" w:rsidRDefault="007A55A7" w:rsidP="0093421F">
      <w:pPr>
        <w:pageBreakBefore/>
        <w:spacing w:before="240"/>
        <w:jc w:val="right"/>
        <w:rPr>
          <w:b/>
          <w:u w:val="single"/>
        </w:rPr>
      </w:pPr>
      <w:r w:rsidRPr="003C5719">
        <w:rPr>
          <w:b/>
          <w:u w:val="single"/>
        </w:rPr>
        <w:lastRenderedPageBreak/>
        <w:t xml:space="preserve">ATTACHMENT </w:t>
      </w:r>
      <w:r w:rsidR="00D734C0">
        <w:rPr>
          <w:b/>
          <w:u w:val="single"/>
        </w:rPr>
        <w:t>B</w:t>
      </w:r>
    </w:p>
    <w:p w14:paraId="1677F702" w14:textId="77777777" w:rsidR="00757B95" w:rsidRPr="00757B95" w:rsidRDefault="00757B95" w:rsidP="00757B95">
      <w:pPr>
        <w:pStyle w:val="base-text-paragraph"/>
      </w:pPr>
    </w:p>
    <w:p w14:paraId="134BCEC3" w14:textId="77777777" w:rsidR="00E4438C" w:rsidRPr="003C5719" w:rsidRDefault="00E4438C" w:rsidP="00883863">
      <w:pPr>
        <w:pStyle w:val="Heading3"/>
        <w:jc w:val="center"/>
      </w:pPr>
      <w:r w:rsidRPr="003C5719">
        <w:t>Statement of Compatibility with Human Rights</w:t>
      </w:r>
    </w:p>
    <w:p w14:paraId="5E47C9CF"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0315E22B" w14:textId="64823CCC" w:rsidR="00E4438C" w:rsidRPr="006F0A75" w:rsidRDefault="006F0A75" w:rsidP="004A27A8">
      <w:pPr>
        <w:pStyle w:val="Heading3"/>
        <w:jc w:val="center"/>
      </w:pPr>
      <w:r w:rsidRPr="006F0A75">
        <w:rPr>
          <w:rStyle w:val="normaltextrun"/>
          <w:color w:val="000000"/>
          <w:bdr w:val="none" w:sz="0" w:space="0" w:color="auto" w:frame="1"/>
        </w:rPr>
        <w:t>Treasury Laws Amendment (Professional Standards Schemes) Regulations 2024</w:t>
      </w:r>
    </w:p>
    <w:p w14:paraId="79924889"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7BF5A375" w14:textId="77777777" w:rsidR="00E4438C" w:rsidRPr="003C5719" w:rsidRDefault="00E4438C" w:rsidP="004A27A8">
      <w:pPr>
        <w:pStyle w:val="Heading3"/>
      </w:pPr>
      <w:r w:rsidRPr="003C5719">
        <w:t>Overview of the Legislative Instrument</w:t>
      </w:r>
    </w:p>
    <w:p w14:paraId="6C2C0AF9" w14:textId="77777777" w:rsidR="007710CD" w:rsidRDefault="007710CD" w:rsidP="007710CD">
      <w:pPr>
        <w:pStyle w:val="paragraph"/>
        <w:spacing w:before="0" w:beforeAutospacing="0" w:after="240" w:afterAutospacing="0"/>
        <w:textAlignment w:val="baseline"/>
        <w:rPr>
          <w:rFonts w:ascii="Segoe UI" w:hAnsi="Segoe UI" w:cs="Segoe UI"/>
          <w:sz w:val="18"/>
          <w:szCs w:val="18"/>
        </w:rPr>
      </w:pPr>
      <w:r>
        <w:rPr>
          <w:rStyle w:val="normaltextrun"/>
          <w:color w:val="000000"/>
          <w:shd w:val="clear" w:color="auto" w:fill="FFFFFF"/>
        </w:rPr>
        <w:t>The Regulations update the list of prescribed professional schemes that have capped civil liability for misleading and deceptive conduct under the </w:t>
      </w:r>
      <w:r>
        <w:rPr>
          <w:rStyle w:val="normaltextrun"/>
          <w:i/>
          <w:iCs/>
          <w:color w:val="000000"/>
          <w:shd w:val="clear" w:color="auto" w:fill="FFFFFF"/>
        </w:rPr>
        <w:t>Australian Securities and Investments Commission Act 2001</w:t>
      </w:r>
      <w:r>
        <w:rPr>
          <w:rStyle w:val="normaltextrun"/>
          <w:color w:val="000000"/>
          <w:shd w:val="clear" w:color="auto" w:fill="FFFFFF"/>
        </w:rPr>
        <w:t> (the ASIC Act), the </w:t>
      </w:r>
      <w:r>
        <w:rPr>
          <w:rStyle w:val="normaltextrun"/>
          <w:i/>
          <w:iCs/>
          <w:color w:val="000000"/>
          <w:shd w:val="clear" w:color="auto" w:fill="FFFFFF"/>
        </w:rPr>
        <w:t>Competition and Consumer Act 2010</w:t>
      </w:r>
      <w:r>
        <w:rPr>
          <w:rStyle w:val="normaltextrun"/>
          <w:color w:val="000000"/>
          <w:shd w:val="clear" w:color="auto" w:fill="FFFFFF"/>
        </w:rPr>
        <w:t> (the CCA) and the </w:t>
      </w:r>
      <w:r>
        <w:rPr>
          <w:rStyle w:val="normaltextrun"/>
          <w:i/>
          <w:iCs/>
          <w:color w:val="000000"/>
          <w:shd w:val="clear" w:color="auto" w:fill="FFFFFF"/>
        </w:rPr>
        <w:t>Corporations Act 2001</w:t>
      </w:r>
      <w:r>
        <w:rPr>
          <w:rStyle w:val="normaltextrun"/>
          <w:color w:val="000000"/>
          <w:shd w:val="clear" w:color="auto" w:fill="FFFFFF"/>
        </w:rPr>
        <w:t> (the Corporations Act).</w:t>
      </w:r>
      <w:r>
        <w:rPr>
          <w:rStyle w:val="eop"/>
          <w:color w:val="000000"/>
        </w:rPr>
        <w:t> </w:t>
      </w:r>
    </w:p>
    <w:p w14:paraId="70ADD788" w14:textId="77777777" w:rsidR="007710CD" w:rsidRDefault="007710CD" w:rsidP="007710CD">
      <w:pPr>
        <w:pStyle w:val="paragraph"/>
        <w:spacing w:before="0" w:beforeAutospacing="0" w:after="240" w:afterAutospacing="0"/>
        <w:textAlignment w:val="baseline"/>
        <w:rPr>
          <w:rFonts w:ascii="Segoe UI" w:hAnsi="Segoe UI" w:cs="Segoe UI"/>
          <w:sz w:val="18"/>
          <w:szCs w:val="18"/>
        </w:rPr>
      </w:pPr>
      <w:r>
        <w:rPr>
          <w:rStyle w:val="normaltextrun"/>
        </w:rPr>
        <w:t>The intergovernmental Professional Standards Agreement 2011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r>
        <w:rPr>
          <w:rStyle w:val="eop"/>
        </w:rPr>
        <w:t> </w:t>
      </w:r>
    </w:p>
    <w:p w14:paraId="58327DF5" w14:textId="77777777" w:rsidR="007710CD" w:rsidRDefault="007710CD" w:rsidP="007710CD">
      <w:pPr>
        <w:pStyle w:val="paragraph"/>
        <w:spacing w:before="0" w:beforeAutospacing="0" w:after="240" w:afterAutospacing="0"/>
        <w:textAlignment w:val="baseline"/>
        <w:rPr>
          <w:rFonts w:ascii="Segoe UI" w:hAnsi="Segoe UI" w:cs="Segoe UI"/>
          <w:sz w:val="18"/>
          <w:szCs w:val="18"/>
        </w:rPr>
      </w:pPr>
      <w:r>
        <w:rPr>
          <w:rStyle w:val="normaltextrun"/>
        </w:rP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r>
        <w:rPr>
          <w:rStyle w:val="eop"/>
        </w:rPr>
        <w:t> </w:t>
      </w:r>
    </w:p>
    <w:p w14:paraId="6FA127CB" w14:textId="77777777" w:rsidR="00EB2BED" w:rsidRDefault="00E4438C" w:rsidP="004A27A8">
      <w:pPr>
        <w:pStyle w:val="Heading3"/>
      </w:pPr>
      <w:r w:rsidRPr="003C5719">
        <w:t>Human rights implications</w:t>
      </w:r>
      <w:r w:rsidR="006B520A">
        <w:t xml:space="preserve"> </w:t>
      </w:r>
    </w:p>
    <w:p w14:paraId="23628314" w14:textId="2E3B9419" w:rsidR="00E4438C" w:rsidRPr="003C5719" w:rsidRDefault="00454E2D" w:rsidP="004A27A8">
      <w:pPr>
        <w:spacing w:before="240"/>
      </w:pPr>
      <w:r>
        <w:t>This Legislative Instrument does not engage any of the applicable rights or freedoms.</w:t>
      </w:r>
      <w:r w:rsidR="00F24736">
        <w:t xml:space="preserve"> </w:t>
      </w:r>
    </w:p>
    <w:p w14:paraId="154B6432" w14:textId="77777777" w:rsidR="00EB2BED" w:rsidRDefault="00E4438C" w:rsidP="004A27A8">
      <w:pPr>
        <w:pStyle w:val="Heading3"/>
      </w:pPr>
      <w:r w:rsidRPr="003C5719">
        <w:t>Conclusion</w:t>
      </w:r>
      <w:r w:rsidR="006D60D0">
        <w:t xml:space="preserve"> </w:t>
      </w:r>
    </w:p>
    <w:p w14:paraId="6D3CBC75" w14:textId="0F8573BB" w:rsidR="00E37FF7" w:rsidRDefault="00B91ECE" w:rsidP="004A27A8">
      <w:pPr>
        <w:spacing w:before="240"/>
      </w:pPr>
      <w:r>
        <w:t>This Legislative Instrument is compatible with human rights as it does not raise any human rights issues.</w:t>
      </w:r>
    </w:p>
    <w:p w14:paraId="05738155" w14:textId="3B3544BD" w:rsidR="005D7F77" w:rsidRDefault="005D7F77">
      <w:pPr>
        <w:spacing w:before="0" w:after="0"/>
      </w:pPr>
      <w:r>
        <w:br w:type="page"/>
      </w:r>
    </w:p>
    <w:p w14:paraId="210DE6E6" w14:textId="7B6D5802" w:rsidR="005D7F77" w:rsidRPr="003C5719" w:rsidRDefault="005D7F77" w:rsidP="005D7F77">
      <w:pPr>
        <w:pageBreakBefore/>
        <w:spacing w:before="240"/>
        <w:jc w:val="right"/>
        <w:rPr>
          <w:b/>
          <w:u w:val="single"/>
        </w:rPr>
      </w:pPr>
      <w:r w:rsidRPr="003C5719">
        <w:rPr>
          <w:b/>
          <w:u w:val="single"/>
        </w:rPr>
        <w:lastRenderedPageBreak/>
        <w:t xml:space="preserve">ATTACHMENT </w:t>
      </w:r>
      <w:r>
        <w:rPr>
          <w:b/>
          <w:u w:val="single"/>
        </w:rPr>
        <w:t>C</w:t>
      </w:r>
    </w:p>
    <w:p w14:paraId="57F2CE46" w14:textId="77777777" w:rsidR="00B90243" w:rsidRPr="006E22DC" w:rsidRDefault="00B90243" w:rsidP="00B90243">
      <w:pPr>
        <w:ind w:right="91"/>
        <w:rPr>
          <w:b/>
          <w:u w:val="single"/>
        </w:rPr>
      </w:pPr>
      <w:r>
        <w:rPr>
          <w:b/>
          <w:u w:val="single"/>
        </w:rPr>
        <w:t xml:space="preserve">Overview of consultation process for </w:t>
      </w:r>
      <w:r w:rsidRPr="002C3C71">
        <w:rPr>
          <w:b/>
          <w:i/>
          <w:u w:val="single"/>
        </w:rPr>
        <w:t>Treasury Laws Amendment (Professional Standards Schemes) Regulations 2024</w:t>
      </w:r>
    </w:p>
    <w:p w14:paraId="18E02913" w14:textId="77777777" w:rsidR="00B90243" w:rsidRDefault="00B90243" w:rsidP="00A8154C">
      <w:pPr>
        <w:pStyle w:val="Bullet"/>
        <w:numPr>
          <w:ilvl w:val="0"/>
          <w:numId w:val="0"/>
        </w:numPr>
        <w:spacing w:before="0"/>
      </w:pPr>
      <w:r>
        <w:rPr>
          <w:color w:val="000000"/>
        </w:rPr>
        <w:t xml:space="preserve">Prior to prescribing the extension of the </w:t>
      </w:r>
      <w:r w:rsidRPr="002E665C">
        <w:rPr>
          <w:i/>
          <w:iCs/>
          <w:color w:val="000000"/>
          <w:szCs w:val="24"/>
        </w:rPr>
        <w:t>Victorian Bar Professional Standards Scheme</w:t>
      </w:r>
      <w:r>
        <w:rPr>
          <w:i/>
          <w:iCs/>
          <w:color w:val="000000"/>
          <w:szCs w:val="24"/>
        </w:rPr>
        <w:t xml:space="preserve">, </w:t>
      </w:r>
      <w:r w:rsidRPr="002E665C">
        <w:rPr>
          <w:i/>
          <w:iCs/>
          <w:color w:val="000000"/>
          <w:szCs w:val="24"/>
        </w:rPr>
        <w:t xml:space="preserve">CPA Australia Ltd Professional Standards (Accountants) Scheme </w:t>
      </w:r>
      <w:r w:rsidRPr="00F509E1">
        <w:rPr>
          <w:color w:val="000000"/>
          <w:szCs w:val="24"/>
        </w:rPr>
        <w:t>and the</w:t>
      </w:r>
      <w:r w:rsidRPr="002E665C">
        <w:rPr>
          <w:i/>
          <w:iCs/>
          <w:color w:val="000000"/>
          <w:szCs w:val="24"/>
        </w:rPr>
        <w:t xml:space="preserve"> Chartered Accountants Australia and New Zealand Professional Standards Scheme</w:t>
      </w:r>
      <w:r>
        <w:rPr>
          <w:color w:val="000000"/>
          <w:szCs w:val="24"/>
        </w:rPr>
        <w:t>.</w:t>
      </w:r>
      <w:r>
        <w:rPr>
          <w:color w:val="000000"/>
        </w:rPr>
        <w:t xml:space="preserve"> </w:t>
      </w:r>
      <w:r w:rsidRPr="006148CD">
        <w:t>The relevant Minister consulted with the Minister responsible for professional standards schemes in each of the other jurisdictions, including the Commonwealth Assistant Treasurer</w:t>
      </w:r>
      <w:r>
        <w:t xml:space="preserve">. </w:t>
      </w:r>
      <w:r w:rsidRPr="006148CD">
        <w:t>In each instance, no concerns were raised with the extensions.</w:t>
      </w:r>
      <w:r>
        <w:t xml:space="preserve"> This consultation is a requirement in the Professional Standards Agreement. The Ministers consulted were:</w:t>
      </w:r>
    </w:p>
    <w:p w14:paraId="6A9488FA" w14:textId="77777777" w:rsidR="00B90243" w:rsidRPr="006148CD" w:rsidRDefault="00B90243" w:rsidP="00B90243">
      <w:pPr>
        <w:pStyle w:val="Bullet"/>
        <w:numPr>
          <w:ilvl w:val="0"/>
          <w:numId w:val="3"/>
        </w:numPr>
        <w:spacing w:before="0"/>
      </w:pPr>
      <w:r w:rsidRPr="006148CD">
        <w:t>Hon Jaclyn Symes MP, Attorney-General, VIC</w:t>
      </w:r>
    </w:p>
    <w:p w14:paraId="5F57DF2C" w14:textId="77777777" w:rsidR="00B90243" w:rsidRPr="006148CD" w:rsidRDefault="00B90243" w:rsidP="00B90243">
      <w:pPr>
        <w:pStyle w:val="Bullet"/>
        <w:numPr>
          <w:ilvl w:val="0"/>
          <w:numId w:val="3"/>
        </w:numPr>
        <w:spacing w:before="0"/>
      </w:pPr>
      <w:r w:rsidRPr="006148CD">
        <w:t>Hon Shane Rattenbury MLA, Attorney-General, ACT</w:t>
      </w:r>
    </w:p>
    <w:p w14:paraId="49197A98" w14:textId="77777777" w:rsidR="00B90243" w:rsidRPr="006148CD" w:rsidRDefault="00B90243" w:rsidP="00B90243">
      <w:pPr>
        <w:pStyle w:val="Bullet"/>
        <w:numPr>
          <w:ilvl w:val="0"/>
          <w:numId w:val="3"/>
        </w:numPr>
        <w:spacing w:before="0"/>
      </w:pPr>
      <w:r w:rsidRPr="006148CD">
        <w:t xml:space="preserve">Hon </w:t>
      </w:r>
      <w:proofErr w:type="spellStart"/>
      <w:r w:rsidRPr="006148CD">
        <w:t>Anoulack</w:t>
      </w:r>
      <w:proofErr w:type="spellEnd"/>
      <w:r w:rsidRPr="006148CD">
        <w:t xml:space="preserve"> </w:t>
      </w:r>
      <w:proofErr w:type="spellStart"/>
      <w:r w:rsidRPr="006148CD">
        <w:t>Chanthivong</w:t>
      </w:r>
      <w:proofErr w:type="spellEnd"/>
      <w:r w:rsidRPr="006148CD">
        <w:t xml:space="preserve"> MP, Minister for Better Regulation and Fair Trading, NSW</w:t>
      </w:r>
    </w:p>
    <w:p w14:paraId="7180EA5D" w14:textId="77777777" w:rsidR="00B90243" w:rsidRPr="006148CD" w:rsidRDefault="00B90243" w:rsidP="00B90243">
      <w:pPr>
        <w:pStyle w:val="Bullet"/>
        <w:numPr>
          <w:ilvl w:val="0"/>
          <w:numId w:val="3"/>
        </w:numPr>
        <w:spacing w:before="0"/>
      </w:pPr>
      <w:r w:rsidRPr="006148CD">
        <w:t xml:space="preserve">Hon </w:t>
      </w:r>
      <w:proofErr w:type="spellStart"/>
      <w:r w:rsidRPr="006148CD">
        <w:t>Chanston</w:t>
      </w:r>
      <w:proofErr w:type="spellEnd"/>
      <w:r w:rsidRPr="006148CD">
        <w:t xml:space="preserve"> Paech MLA, Attorney-General, NT </w:t>
      </w:r>
    </w:p>
    <w:p w14:paraId="79ABE71F" w14:textId="77777777" w:rsidR="00B90243" w:rsidRPr="006148CD" w:rsidRDefault="00B90243" w:rsidP="00B90243">
      <w:pPr>
        <w:pStyle w:val="Bullet"/>
        <w:numPr>
          <w:ilvl w:val="0"/>
          <w:numId w:val="3"/>
        </w:numPr>
        <w:spacing w:before="0"/>
      </w:pPr>
      <w:r w:rsidRPr="006148CD">
        <w:t xml:space="preserve">Yvette </w:t>
      </w:r>
      <w:proofErr w:type="spellStart"/>
      <w:r w:rsidRPr="006148CD">
        <w:t>D'Ath</w:t>
      </w:r>
      <w:proofErr w:type="spellEnd"/>
      <w:r w:rsidRPr="006148CD">
        <w:t xml:space="preserve"> MP, Attorney-General, QLD</w:t>
      </w:r>
    </w:p>
    <w:p w14:paraId="52CE7B7C" w14:textId="77777777" w:rsidR="00B90243" w:rsidRPr="006148CD" w:rsidRDefault="00B90243" w:rsidP="00B90243">
      <w:pPr>
        <w:pStyle w:val="Bullet"/>
        <w:numPr>
          <w:ilvl w:val="0"/>
          <w:numId w:val="3"/>
        </w:numPr>
        <w:spacing w:before="0"/>
      </w:pPr>
      <w:r w:rsidRPr="006148CD">
        <w:t xml:space="preserve">Hon </w:t>
      </w:r>
      <w:proofErr w:type="spellStart"/>
      <w:r w:rsidRPr="006148CD">
        <w:t>Kyam</w:t>
      </w:r>
      <w:proofErr w:type="spellEnd"/>
      <w:r w:rsidRPr="006148CD">
        <w:t xml:space="preserve"> Maher, Attorney-General, SA </w:t>
      </w:r>
    </w:p>
    <w:p w14:paraId="56641B30" w14:textId="77777777" w:rsidR="00B90243" w:rsidRPr="006148CD" w:rsidRDefault="00B90243" w:rsidP="00B90243">
      <w:pPr>
        <w:pStyle w:val="Bullet"/>
        <w:numPr>
          <w:ilvl w:val="0"/>
          <w:numId w:val="3"/>
        </w:numPr>
        <w:spacing w:before="0"/>
      </w:pPr>
      <w:r w:rsidRPr="006148CD">
        <w:t>Hon Elise Archer MP, Attorney-General, TAS Hon John Quigley MLA, Attorney General</w:t>
      </w:r>
    </w:p>
    <w:p w14:paraId="5973E3CB" w14:textId="77777777" w:rsidR="00B90243" w:rsidRDefault="00B90243" w:rsidP="00B90243">
      <w:pPr>
        <w:pStyle w:val="Bullet"/>
        <w:numPr>
          <w:ilvl w:val="0"/>
          <w:numId w:val="3"/>
        </w:numPr>
        <w:spacing w:before="0"/>
      </w:pPr>
      <w:r w:rsidRPr="006148CD">
        <w:t>Hon Stephen Jones MP, Assistant Treasurer</w:t>
      </w:r>
    </w:p>
    <w:p w14:paraId="4DF6B70A" w14:textId="01159BDF" w:rsidR="00B90243" w:rsidRDefault="00B90243" w:rsidP="00B90243">
      <w:r>
        <w:rPr>
          <w:color w:val="000000"/>
        </w:rPr>
        <w:t xml:space="preserve"> Prior to prescribing the remade </w:t>
      </w:r>
      <w:r w:rsidRPr="48381935">
        <w:rPr>
          <w:rStyle w:val="normaltextrun"/>
          <w:i/>
          <w:iCs/>
          <w:color w:val="000000"/>
          <w:shd w:val="clear" w:color="auto" w:fill="FFFFFF"/>
        </w:rPr>
        <w:t>Law Society of Western Australia Professional Standards Scheme</w:t>
      </w:r>
      <w:r w:rsidRPr="48381935">
        <w:rPr>
          <w:rStyle w:val="normaltextrun"/>
          <w:color w:val="000000"/>
          <w:shd w:val="clear" w:color="auto" w:fill="FFFFFF"/>
        </w:rPr>
        <w:t>,</w:t>
      </w:r>
      <w:r>
        <w:rPr>
          <w:color w:val="000000"/>
        </w:rPr>
        <w:t xml:space="preserve"> t</w:t>
      </w:r>
      <w:r w:rsidRPr="00E467E4">
        <w:rPr>
          <w:color w:val="000000"/>
        </w:rPr>
        <w:t>he Professional Standards Councils sought the opinion of independent actuarial consultants and called for public comment on professional standards schemes via public notification in major newspapers</w:t>
      </w:r>
      <w:r>
        <w:t>. This public consultation was undertaken in accordance with the requirement of the applicable professional standards legislation. More specifically, it included</w:t>
      </w:r>
      <w:r w:rsidR="00A8154C">
        <w:t xml:space="preserve"> publication of</w:t>
      </w:r>
      <w:r>
        <w:t xml:space="preserve">: </w:t>
      </w:r>
    </w:p>
    <w:p w14:paraId="0CD8E1BD" w14:textId="7410B587" w:rsidR="00B90243" w:rsidRDefault="00B90243" w:rsidP="00A8154C">
      <w:pPr>
        <w:pStyle w:val="Bullet"/>
        <w:numPr>
          <w:ilvl w:val="0"/>
          <w:numId w:val="3"/>
        </w:numPr>
        <w:spacing w:before="0"/>
      </w:pPr>
      <w:r>
        <w:t xml:space="preserve">the scheme and an explanatory document on the NSW </w:t>
      </w:r>
      <w:proofErr w:type="spellStart"/>
      <w:r>
        <w:t>Government’s</w:t>
      </w:r>
      <w:proofErr w:type="spellEnd"/>
      <w:r>
        <w:t xml:space="preserve"> </w:t>
      </w:r>
      <w:r w:rsidRPr="00A8154C">
        <w:t>have your say</w:t>
      </w:r>
      <w:r>
        <w:t xml:space="preserve"> </w:t>
      </w:r>
      <w:proofErr w:type="gramStart"/>
      <w:r>
        <w:t>website</w:t>
      </w:r>
      <w:proofErr w:type="gramEnd"/>
    </w:p>
    <w:p w14:paraId="7758C0BC" w14:textId="4011047D" w:rsidR="00B90243" w:rsidRDefault="00B90243" w:rsidP="00A8154C">
      <w:pPr>
        <w:pStyle w:val="Bullet"/>
        <w:numPr>
          <w:ilvl w:val="0"/>
          <w:numId w:val="3"/>
        </w:numPr>
        <w:spacing w:before="0"/>
      </w:pPr>
      <w:r>
        <w:t>the scheme and explanatory document on the Professional Standards Councils’ website</w:t>
      </w:r>
    </w:p>
    <w:p w14:paraId="22E6EB87" w14:textId="67E60068" w:rsidR="00B90243" w:rsidRDefault="00B90243" w:rsidP="00A8154C">
      <w:pPr>
        <w:pStyle w:val="Bullet"/>
        <w:numPr>
          <w:ilvl w:val="0"/>
          <w:numId w:val="3"/>
        </w:numPr>
        <w:spacing w:before="0"/>
      </w:pPr>
      <w:r>
        <w:t>the scheme and explanatory document on the relevant association’s website</w:t>
      </w:r>
    </w:p>
    <w:p w14:paraId="0FE65E02" w14:textId="10914107" w:rsidR="00B90243" w:rsidRDefault="00B90243" w:rsidP="00A8154C">
      <w:pPr>
        <w:pStyle w:val="Bullet"/>
        <w:numPr>
          <w:ilvl w:val="0"/>
          <w:numId w:val="3"/>
        </w:numPr>
        <w:spacing w:before="0"/>
      </w:pPr>
      <w:r>
        <w:t xml:space="preserve">notices in The Australian, The Mercury, The </w:t>
      </w:r>
      <w:proofErr w:type="gramStart"/>
      <w:r>
        <w:t>Advocate</w:t>
      </w:r>
      <w:proofErr w:type="gramEnd"/>
      <w:r>
        <w:t xml:space="preserve"> and the Examiner newspapers</w:t>
      </w:r>
    </w:p>
    <w:p w14:paraId="13B11C8A" w14:textId="77777777" w:rsidR="00B90243" w:rsidRPr="00766457" w:rsidRDefault="00B90243" w:rsidP="00B90243">
      <w:pPr>
        <w:spacing w:before="240" w:after="200"/>
        <w:rPr>
          <w:color w:val="000000"/>
          <w:shd w:val="clear" w:color="auto" w:fill="FFFFFF"/>
        </w:rPr>
      </w:pPr>
      <w:r>
        <w:t>Only limited feedback was received in relation to either scheme, mostly in the form of responses to the accompanying survey.  However, most feedback received was in support of the schemes, with no significant concerns raised.</w:t>
      </w:r>
    </w:p>
    <w:p w14:paraId="059ADC9B" w14:textId="77777777" w:rsidR="005D7F77" w:rsidRPr="00C84FA0" w:rsidRDefault="005D7F77" w:rsidP="004A27A8">
      <w:pPr>
        <w:spacing w:before="240"/>
      </w:pPr>
    </w:p>
    <w:sectPr w:rsidR="005D7F77" w:rsidRPr="00C84FA0" w:rsidSect="004A27A8">
      <w:footerReference w:type="default" r:id="rId16"/>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C253" w14:textId="77777777" w:rsidR="008D24E6" w:rsidRDefault="008D24E6" w:rsidP="00954679">
      <w:pPr>
        <w:spacing w:before="0" w:after="0"/>
      </w:pPr>
      <w:r>
        <w:separator/>
      </w:r>
    </w:p>
  </w:endnote>
  <w:endnote w:type="continuationSeparator" w:id="0">
    <w:p w14:paraId="6E61356F" w14:textId="77777777" w:rsidR="008D24E6" w:rsidRDefault="008D24E6" w:rsidP="00954679">
      <w:pPr>
        <w:spacing w:before="0" w:after="0"/>
      </w:pPr>
      <w:r>
        <w:continuationSeparator/>
      </w:r>
    </w:p>
  </w:endnote>
  <w:endnote w:type="continuationNotice" w:id="1">
    <w:p w14:paraId="53E6097B" w14:textId="77777777" w:rsidR="008D24E6" w:rsidRDefault="008D24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061DBD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B189" w14:textId="77777777" w:rsidR="008D24E6" w:rsidRDefault="008D24E6" w:rsidP="00954679">
      <w:pPr>
        <w:spacing w:before="0" w:after="0"/>
      </w:pPr>
      <w:r>
        <w:separator/>
      </w:r>
    </w:p>
  </w:footnote>
  <w:footnote w:type="continuationSeparator" w:id="0">
    <w:p w14:paraId="23E7D63D" w14:textId="77777777" w:rsidR="008D24E6" w:rsidRDefault="008D24E6" w:rsidP="00954679">
      <w:pPr>
        <w:spacing w:before="0" w:after="0"/>
      </w:pPr>
      <w:r>
        <w:continuationSeparator/>
      </w:r>
    </w:p>
  </w:footnote>
  <w:footnote w:type="continuationNotice" w:id="1">
    <w:p w14:paraId="39786109" w14:textId="77777777" w:rsidR="008D24E6" w:rsidRDefault="008D24E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9FD"/>
    <w:multiLevelType w:val="hybridMultilevel"/>
    <w:tmpl w:val="00F06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F79657C"/>
    <w:multiLevelType w:val="multilevel"/>
    <w:tmpl w:val="2C46F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B659F7"/>
    <w:multiLevelType w:val="multilevel"/>
    <w:tmpl w:val="2E7A6C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A43C0B"/>
    <w:multiLevelType w:val="multilevel"/>
    <w:tmpl w:val="2F24D12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3"/>
  </w:num>
  <w:num w:numId="2" w16cid:durableId="92435628">
    <w:abstractNumId w:val="6"/>
  </w:num>
  <w:num w:numId="3" w16cid:durableId="102648425">
    <w:abstractNumId w:val="2"/>
  </w:num>
  <w:num w:numId="4" w16cid:durableId="1451314351">
    <w:abstractNumId w:val="1"/>
  </w:num>
  <w:num w:numId="5" w16cid:durableId="1455824937">
    <w:abstractNumId w:val="6"/>
  </w:num>
  <w:num w:numId="6" w16cid:durableId="2012178582">
    <w:abstractNumId w:val="6"/>
  </w:num>
  <w:num w:numId="7" w16cid:durableId="1173374635">
    <w:abstractNumId w:val="6"/>
  </w:num>
  <w:num w:numId="8" w16cid:durableId="1074162301">
    <w:abstractNumId w:val="6"/>
  </w:num>
  <w:num w:numId="9" w16cid:durableId="1206795025">
    <w:abstractNumId w:val="6"/>
  </w:num>
  <w:num w:numId="10" w16cid:durableId="474571849">
    <w:abstractNumId w:val="6"/>
  </w:num>
  <w:num w:numId="11" w16cid:durableId="890385033">
    <w:abstractNumId w:val="6"/>
  </w:num>
  <w:num w:numId="12" w16cid:durableId="392780191">
    <w:abstractNumId w:val="6"/>
  </w:num>
  <w:num w:numId="13" w16cid:durableId="1793669345">
    <w:abstractNumId w:val="6"/>
  </w:num>
  <w:num w:numId="14" w16cid:durableId="2085832638">
    <w:abstractNumId w:val="6"/>
  </w:num>
  <w:num w:numId="15" w16cid:durableId="724838217">
    <w:abstractNumId w:val="6"/>
  </w:num>
  <w:num w:numId="16" w16cid:durableId="951398036">
    <w:abstractNumId w:val="6"/>
  </w:num>
  <w:num w:numId="17" w16cid:durableId="1534030231">
    <w:abstractNumId w:val="4"/>
  </w:num>
  <w:num w:numId="18" w16cid:durableId="131948560">
    <w:abstractNumId w:val="5"/>
  </w:num>
  <w:num w:numId="19" w16cid:durableId="249044025">
    <w:abstractNumId w:val="0"/>
  </w:num>
  <w:num w:numId="20" w16cid:durableId="1003702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BC"/>
    <w:rsid w:val="000026BE"/>
    <w:rsid w:val="00003189"/>
    <w:rsid w:val="00004388"/>
    <w:rsid w:val="00005B51"/>
    <w:rsid w:val="0000628C"/>
    <w:rsid w:val="00007D4C"/>
    <w:rsid w:val="000108F2"/>
    <w:rsid w:val="00011947"/>
    <w:rsid w:val="00013390"/>
    <w:rsid w:val="000133C7"/>
    <w:rsid w:val="00013ACE"/>
    <w:rsid w:val="00016EA2"/>
    <w:rsid w:val="0002546A"/>
    <w:rsid w:val="00031AE1"/>
    <w:rsid w:val="000320F6"/>
    <w:rsid w:val="0003427D"/>
    <w:rsid w:val="00041C87"/>
    <w:rsid w:val="000455BA"/>
    <w:rsid w:val="00051648"/>
    <w:rsid w:val="000524A9"/>
    <w:rsid w:val="0005316A"/>
    <w:rsid w:val="000547DB"/>
    <w:rsid w:val="00071668"/>
    <w:rsid w:val="00075A77"/>
    <w:rsid w:val="00076178"/>
    <w:rsid w:val="00076E15"/>
    <w:rsid w:val="00076FF9"/>
    <w:rsid w:val="00080673"/>
    <w:rsid w:val="000847A6"/>
    <w:rsid w:val="000854E0"/>
    <w:rsid w:val="0008741E"/>
    <w:rsid w:val="00093D52"/>
    <w:rsid w:val="00095211"/>
    <w:rsid w:val="000976FE"/>
    <w:rsid w:val="000A532D"/>
    <w:rsid w:val="000A557E"/>
    <w:rsid w:val="000A69C5"/>
    <w:rsid w:val="000B14D4"/>
    <w:rsid w:val="000B21BF"/>
    <w:rsid w:val="000B31C6"/>
    <w:rsid w:val="000B39A1"/>
    <w:rsid w:val="000B6384"/>
    <w:rsid w:val="000C10DF"/>
    <w:rsid w:val="000C2E12"/>
    <w:rsid w:val="000C3ECC"/>
    <w:rsid w:val="000C4B61"/>
    <w:rsid w:val="000C5B36"/>
    <w:rsid w:val="000C5C40"/>
    <w:rsid w:val="000C6935"/>
    <w:rsid w:val="000D0F26"/>
    <w:rsid w:val="000D11E5"/>
    <w:rsid w:val="000D161B"/>
    <w:rsid w:val="000D2234"/>
    <w:rsid w:val="000D578D"/>
    <w:rsid w:val="000D5827"/>
    <w:rsid w:val="000D59B4"/>
    <w:rsid w:val="000E32E3"/>
    <w:rsid w:val="000E3864"/>
    <w:rsid w:val="000F1F12"/>
    <w:rsid w:val="000F2AE3"/>
    <w:rsid w:val="000F3A05"/>
    <w:rsid w:val="000F53D9"/>
    <w:rsid w:val="000F541C"/>
    <w:rsid w:val="001012C2"/>
    <w:rsid w:val="00103D16"/>
    <w:rsid w:val="00107AB7"/>
    <w:rsid w:val="00107C49"/>
    <w:rsid w:val="00112425"/>
    <w:rsid w:val="00113B45"/>
    <w:rsid w:val="00114003"/>
    <w:rsid w:val="0011527C"/>
    <w:rsid w:val="00117C02"/>
    <w:rsid w:val="001276B4"/>
    <w:rsid w:val="001319C8"/>
    <w:rsid w:val="001331B7"/>
    <w:rsid w:val="00133D7A"/>
    <w:rsid w:val="00134E96"/>
    <w:rsid w:val="00142BCF"/>
    <w:rsid w:val="0014608E"/>
    <w:rsid w:val="00150B87"/>
    <w:rsid w:val="00155ABD"/>
    <w:rsid w:val="00155FBE"/>
    <w:rsid w:val="00162432"/>
    <w:rsid w:val="001629D3"/>
    <w:rsid w:val="001668A0"/>
    <w:rsid w:val="00172B5A"/>
    <w:rsid w:val="00186827"/>
    <w:rsid w:val="0018743D"/>
    <w:rsid w:val="00187857"/>
    <w:rsid w:val="00193CED"/>
    <w:rsid w:val="00195A29"/>
    <w:rsid w:val="001A418D"/>
    <w:rsid w:val="001B4919"/>
    <w:rsid w:val="001B7535"/>
    <w:rsid w:val="001B7EC2"/>
    <w:rsid w:val="001C0477"/>
    <w:rsid w:val="001E6A74"/>
    <w:rsid w:val="001F41D0"/>
    <w:rsid w:val="001F462C"/>
    <w:rsid w:val="00205987"/>
    <w:rsid w:val="00206861"/>
    <w:rsid w:val="00216031"/>
    <w:rsid w:val="00220737"/>
    <w:rsid w:val="00220F16"/>
    <w:rsid w:val="00221082"/>
    <w:rsid w:val="00226852"/>
    <w:rsid w:val="00231837"/>
    <w:rsid w:val="002321F7"/>
    <w:rsid w:val="00233587"/>
    <w:rsid w:val="002349A0"/>
    <w:rsid w:val="002369B5"/>
    <w:rsid w:val="00240D31"/>
    <w:rsid w:val="0024245F"/>
    <w:rsid w:val="0024391B"/>
    <w:rsid w:val="0025036D"/>
    <w:rsid w:val="0025405A"/>
    <w:rsid w:val="00254560"/>
    <w:rsid w:val="00254C5B"/>
    <w:rsid w:val="00265437"/>
    <w:rsid w:val="002670B8"/>
    <w:rsid w:val="0026776D"/>
    <w:rsid w:val="00271130"/>
    <w:rsid w:val="0027118E"/>
    <w:rsid w:val="002725F4"/>
    <w:rsid w:val="00275B18"/>
    <w:rsid w:val="002771E5"/>
    <w:rsid w:val="00277840"/>
    <w:rsid w:val="00280ED6"/>
    <w:rsid w:val="00280F58"/>
    <w:rsid w:val="00286DC9"/>
    <w:rsid w:val="00287B11"/>
    <w:rsid w:val="00287C5A"/>
    <w:rsid w:val="00287DFF"/>
    <w:rsid w:val="002904C4"/>
    <w:rsid w:val="00293839"/>
    <w:rsid w:val="0029399E"/>
    <w:rsid w:val="002A1236"/>
    <w:rsid w:val="002A2CA0"/>
    <w:rsid w:val="002A3C80"/>
    <w:rsid w:val="002A415F"/>
    <w:rsid w:val="002A4428"/>
    <w:rsid w:val="002A6DA4"/>
    <w:rsid w:val="002A7B74"/>
    <w:rsid w:val="002A7E1F"/>
    <w:rsid w:val="002B10E4"/>
    <w:rsid w:val="002B219A"/>
    <w:rsid w:val="002B5653"/>
    <w:rsid w:val="002B7A51"/>
    <w:rsid w:val="002C0792"/>
    <w:rsid w:val="002C0A5A"/>
    <w:rsid w:val="002C226C"/>
    <w:rsid w:val="002C2CCB"/>
    <w:rsid w:val="002C3EE2"/>
    <w:rsid w:val="002C5A1A"/>
    <w:rsid w:val="002C5D0A"/>
    <w:rsid w:val="002C7A8B"/>
    <w:rsid w:val="002D2E6B"/>
    <w:rsid w:val="002D4B55"/>
    <w:rsid w:val="002D4F2A"/>
    <w:rsid w:val="002E665C"/>
    <w:rsid w:val="002E7259"/>
    <w:rsid w:val="002E73BB"/>
    <w:rsid w:val="002F022D"/>
    <w:rsid w:val="002F4B6C"/>
    <w:rsid w:val="002F5F99"/>
    <w:rsid w:val="002F6BB1"/>
    <w:rsid w:val="003037F8"/>
    <w:rsid w:val="003041FA"/>
    <w:rsid w:val="003064A9"/>
    <w:rsid w:val="00306B52"/>
    <w:rsid w:val="00312A68"/>
    <w:rsid w:val="0032117A"/>
    <w:rsid w:val="003321F0"/>
    <w:rsid w:val="003342CD"/>
    <w:rsid w:val="0033477F"/>
    <w:rsid w:val="00335042"/>
    <w:rsid w:val="00341642"/>
    <w:rsid w:val="003503AF"/>
    <w:rsid w:val="00352FA9"/>
    <w:rsid w:val="00355872"/>
    <w:rsid w:val="00357733"/>
    <w:rsid w:val="00360C0A"/>
    <w:rsid w:val="00362B70"/>
    <w:rsid w:val="00364DEE"/>
    <w:rsid w:val="00370395"/>
    <w:rsid w:val="00370BB1"/>
    <w:rsid w:val="00371474"/>
    <w:rsid w:val="0037180D"/>
    <w:rsid w:val="00371F48"/>
    <w:rsid w:val="00373853"/>
    <w:rsid w:val="00392BBA"/>
    <w:rsid w:val="00392C0C"/>
    <w:rsid w:val="00394998"/>
    <w:rsid w:val="003954FD"/>
    <w:rsid w:val="00397CBB"/>
    <w:rsid w:val="003A75E4"/>
    <w:rsid w:val="003A792A"/>
    <w:rsid w:val="003B1383"/>
    <w:rsid w:val="003B19DD"/>
    <w:rsid w:val="003B230E"/>
    <w:rsid w:val="003B31F4"/>
    <w:rsid w:val="003B4356"/>
    <w:rsid w:val="003B4431"/>
    <w:rsid w:val="003B7895"/>
    <w:rsid w:val="003C43BC"/>
    <w:rsid w:val="003C445C"/>
    <w:rsid w:val="003C5719"/>
    <w:rsid w:val="003C64C1"/>
    <w:rsid w:val="003C66C9"/>
    <w:rsid w:val="003C7907"/>
    <w:rsid w:val="003C7B82"/>
    <w:rsid w:val="003D0B99"/>
    <w:rsid w:val="003D1163"/>
    <w:rsid w:val="003D392B"/>
    <w:rsid w:val="003D60D7"/>
    <w:rsid w:val="003D79DF"/>
    <w:rsid w:val="003E0411"/>
    <w:rsid w:val="003E1050"/>
    <w:rsid w:val="003E133A"/>
    <w:rsid w:val="003E1C8F"/>
    <w:rsid w:val="003E1CE3"/>
    <w:rsid w:val="003E3E3C"/>
    <w:rsid w:val="003E603D"/>
    <w:rsid w:val="003E77BC"/>
    <w:rsid w:val="003F17A4"/>
    <w:rsid w:val="003F19A7"/>
    <w:rsid w:val="003F3B86"/>
    <w:rsid w:val="003F5602"/>
    <w:rsid w:val="004000AE"/>
    <w:rsid w:val="00401D25"/>
    <w:rsid w:val="0040318F"/>
    <w:rsid w:val="004049A9"/>
    <w:rsid w:val="00412BB6"/>
    <w:rsid w:val="00415877"/>
    <w:rsid w:val="004212C6"/>
    <w:rsid w:val="004231FE"/>
    <w:rsid w:val="00435561"/>
    <w:rsid w:val="00436952"/>
    <w:rsid w:val="004410BF"/>
    <w:rsid w:val="00446C7B"/>
    <w:rsid w:val="00454E2D"/>
    <w:rsid w:val="004577E7"/>
    <w:rsid w:val="00461548"/>
    <w:rsid w:val="00462095"/>
    <w:rsid w:val="00464356"/>
    <w:rsid w:val="00466731"/>
    <w:rsid w:val="00466DD5"/>
    <w:rsid w:val="00467371"/>
    <w:rsid w:val="00467E83"/>
    <w:rsid w:val="00470936"/>
    <w:rsid w:val="0047265F"/>
    <w:rsid w:val="00473B71"/>
    <w:rsid w:val="00475333"/>
    <w:rsid w:val="004755FE"/>
    <w:rsid w:val="00477AD0"/>
    <w:rsid w:val="00482B81"/>
    <w:rsid w:val="00482D4C"/>
    <w:rsid w:val="00483475"/>
    <w:rsid w:val="004838E4"/>
    <w:rsid w:val="0048463A"/>
    <w:rsid w:val="00492BF6"/>
    <w:rsid w:val="00494B40"/>
    <w:rsid w:val="00495931"/>
    <w:rsid w:val="004966CE"/>
    <w:rsid w:val="004A10CE"/>
    <w:rsid w:val="004A1638"/>
    <w:rsid w:val="004A27A8"/>
    <w:rsid w:val="004A3018"/>
    <w:rsid w:val="004A4499"/>
    <w:rsid w:val="004B1EC3"/>
    <w:rsid w:val="004B3873"/>
    <w:rsid w:val="004B3C0F"/>
    <w:rsid w:val="004B4A3C"/>
    <w:rsid w:val="004B61DE"/>
    <w:rsid w:val="004B628D"/>
    <w:rsid w:val="004C05E4"/>
    <w:rsid w:val="004C1D68"/>
    <w:rsid w:val="004C28DF"/>
    <w:rsid w:val="004D4592"/>
    <w:rsid w:val="004D4AE5"/>
    <w:rsid w:val="004E2EE7"/>
    <w:rsid w:val="004E3590"/>
    <w:rsid w:val="004E39E1"/>
    <w:rsid w:val="004E3B64"/>
    <w:rsid w:val="004E54B9"/>
    <w:rsid w:val="004F00BA"/>
    <w:rsid w:val="004F00E4"/>
    <w:rsid w:val="004F011F"/>
    <w:rsid w:val="004F03F4"/>
    <w:rsid w:val="004F1603"/>
    <w:rsid w:val="004F4C00"/>
    <w:rsid w:val="004F56D0"/>
    <w:rsid w:val="004F6627"/>
    <w:rsid w:val="0050235E"/>
    <w:rsid w:val="00503204"/>
    <w:rsid w:val="00503A99"/>
    <w:rsid w:val="00503E44"/>
    <w:rsid w:val="00504B89"/>
    <w:rsid w:val="00505E81"/>
    <w:rsid w:val="0050777E"/>
    <w:rsid w:val="00507D00"/>
    <w:rsid w:val="00511025"/>
    <w:rsid w:val="00511FF5"/>
    <w:rsid w:val="00513FE8"/>
    <w:rsid w:val="0051429B"/>
    <w:rsid w:val="00515283"/>
    <w:rsid w:val="005227CE"/>
    <w:rsid w:val="005231C5"/>
    <w:rsid w:val="00533926"/>
    <w:rsid w:val="00537FB7"/>
    <w:rsid w:val="005411D1"/>
    <w:rsid w:val="00542873"/>
    <w:rsid w:val="00550877"/>
    <w:rsid w:val="0055154D"/>
    <w:rsid w:val="0055199B"/>
    <w:rsid w:val="0055675D"/>
    <w:rsid w:val="005573C4"/>
    <w:rsid w:val="00562A0E"/>
    <w:rsid w:val="005659B4"/>
    <w:rsid w:val="00566E8F"/>
    <w:rsid w:val="005709DE"/>
    <w:rsid w:val="00572014"/>
    <w:rsid w:val="005726BA"/>
    <w:rsid w:val="00573FFC"/>
    <w:rsid w:val="0057422E"/>
    <w:rsid w:val="005823F0"/>
    <w:rsid w:val="005831A6"/>
    <w:rsid w:val="005833BE"/>
    <w:rsid w:val="005847C7"/>
    <w:rsid w:val="005858FB"/>
    <w:rsid w:val="005877CE"/>
    <w:rsid w:val="00592559"/>
    <w:rsid w:val="0059302A"/>
    <w:rsid w:val="00597F29"/>
    <w:rsid w:val="005A1BCD"/>
    <w:rsid w:val="005A2572"/>
    <w:rsid w:val="005B3AF1"/>
    <w:rsid w:val="005C032C"/>
    <w:rsid w:val="005C2B74"/>
    <w:rsid w:val="005C33C4"/>
    <w:rsid w:val="005C73D6"/>
    <w:rsid w:val="005D0029"/>
    <w:rsid w:val="005D0BF0"/>
    <w:rsid w:val="005D2168"/>
    <w:rsid w:val="005D7D5A"/>
    <w:rsid w:val="005D7E35"/>
    <w:rsid w:val="005D7F77"/>
    <w:rsid w:val="005E1625"/>
    <w:rsid w:val="005E4792"/>
    <w:rsid w:val="005E483D"/>
    <w:rsid w:val="005E4BAC"/>
    <w:rsid w:val="005E580A"/>
    <w:rsid w:val="005E7C2A"/>
    <w:rsid w:val="005F0ABE"/>
    <w:rsid w:val="005F1BC2"/>
    <w:rsid w:val="005F55F0"/>
    <w:rsid w:val="005F61B4"/>
    <w:rsid w:val="005F642B"/>
    <w:rsid w:val="0060130D"/>
    <w:rsid w:val="00602530"/>
    <w:rsid w:val="006062F7"/>
    <w:rsid w:val="00606671"/>
    <w:rsid w:val="0060701D"/>
    <w:rsid w:val="006100E5"/>
    <w:rsid w:val="00610D6C"/>
    <w:rsid w:val="006111C4"/>
    <w:rsid w:val="00611EB8"/>
    <w:rsid w:val="00612329"/>
    <w:rsid w:val="006137A6"/>
    <w:rsid w:val="00613B16"/>
    <w:rsid w:val="00615574"/>
    <w:rsid w:val="00623F9C"/>
    <w:rsid w:val="006243C6"/>
    <w:rsid w:val="00626EA7"/>
    <w:rsid w:val="0063079A"/>
    <w:rsid w:val="00630893"/>
    <w:rsid w:val="0064129F"/>
    <w:rsid w:val="0064309D"/>
    <w:rsid w:val="006432D3"/>
    <w:rsid w:val="00644E7D"/>
    <w:rsid w:val="00647BB7"/>
    <w:rsid w:val="00653D18"/>
    <w:rsid w:val="00660F56"/>
    <w:rsid w:val="0066196B"/>
    <w:rsid w:val="00661B41"/>
    <w:rsid w:val="00662973"/>
    <w:rsid w:val="00663B56"/>
    <w:rsid w:val="00663BEB"/>
    <w:rsid w:val="006711DF"/>
    <w:rsid w:val="006735D2"/>
    <w:rsid w:val="00680297"/>
    <w:rsid w:val="0068046D"/>
    <w:rsid w:val="00680871"/>
    <w:rsid w:val="006830FB"/>
    <w:rsid w:val="00683956"/>
    <w:rsid w:val="006847CF"/>
    <w:rsid w:val="006873CE"/>
    <w:rsid w:val="006907C2"/>
    <w:rsid w:val="0069205F"/>
    <w:rsid w:val="00692FA9"/>
    <w:rsid w:val="006A0786"/>
    <w:rsid w:val="006A11D6"/>
    <w:rsid w:val="006A3100"/>
    <w:rsid w:val="006B520A"/>
    <w:rsid w:val="006B523A"/>
    <w:rsid w:val="006B5971"/>
    <w:rsid w:val="006C0309"/>
    <w:rsid w:val="006C170A"/>
    <w:rsid w:val="006C3B79"/>
    <w:rsid w:val="006C6024"/>
    <w:rsid w:val="006D10EC"/>
    <w:rsid w:val="006D478B"/>
    <w:rsid w:val="006D4DAA"/>
    <w:rsid w:val="006D60D0"/>
    <w:rsid w:val="006D672B"/>
    <w:rsid w:val="006E04DB"/>
    <w:rsid w:val="006E0852"/>
    <w:rsid w:val="006E0CBA"/>
    <w:rsid w:val="006E3AB4"/>
    <w:rsid w:val="006E4738"/>
    <w:rsid w:val="006E6321"/>
    <w:rsid w:val="006F06C1"/>
    <w:rsid w:val="006F0A75"/>
    <w:rsid w:val="006F223C"/>
    <w:rsid w:val="006F54EA"/>
    <w:rsid w:val="006F683C"/>
    <w:rsid w:val="006F6C2A"/>
    <w:rsid w:val="006F74AB"/>
    <w:rsid w:val="0070169C"/>
    <w:rsid w:val="007016DB"/>
    <w:rsid w:val="00701F57"/>
    <w:rsid w:val="00704CCA"/>
    <w:rsid w:val="00705171"/>
    <w:rsid w:val="007053B0"/>
    <w:rsid w:val="007109B4"/>
    <w:rsid w:val="00710E94"/>
    <w:rsid w:val="00712BB9"/>
    <w:rsid w:val="007202D5"/>
    <w:rsid w:val="007239FE"/>
    <w:rsid w:val="00727D8A"/>
    <w:rsid w:val="00730DA8"/>
    <w:rsid w:val="00731FEA"/>
    <w:rsid w:val="007323F4"/>
    <w:rsid w:val="0073514D"/>
    <w:rsid w:val="00735921"/>
    <w:rsid w:val="0073599B"/>
    <w:rsid w:val="00735A4E"/>
    <w:rsid w:val="00736F61"/>
    <w:rsid w:val="007406F8"/>
    <w:rsid w:val="007407CE"/>
    <w:rsid w:val="0074185E"/>
    <w:rsid w:val="00742253"/>
    <w:rsid w:val="007436F0"/>
    <w:rsid w:val="0074421E"/>
    <w:rsid w:val="0074422A"/>
    <w:rsid w:val="0074728E"/>
    <w:rsid w:val="0075080C"/>
    <w:rsid w:val="00757413"/>
    <w:rsid w:val="00757B95"/>
    <w:rsid w:val="00760E07"/>
    <w:rsid w:val="00761F1D"/>
    <w:rsid w:val="007629BD"/>
    <w:rsid w:val="007648A0"/>
    <w:rsid w:val="0076586A"/>
    <w:rsid w:val="007662C7"/>
    <w:rsid w:val="007710CD"/>
    <w:rsid w:val="00772677"/>
    <w:rsid w:val="00772CDB"/>
    <w:rsid w:val="00772FAF"/>
    <w:rsid w:val="00776306"/>
    <w:rsid w:val="007816E2"/>
    <w:rsid w:val="0079012C"/>
    <w:rsid w:val="00790672"/>
    <w:rsid w:val="007A1887"/>
    <w:rsid w:val="007A33F8"/>
    <w:rsid w:val="007A55A7"/>
    <w:rsid w:val="007A57BC"/>
    <w:rsid w:val="007B1F10"/>
    <w:rsid w:val="007B2143"/>
    <w:rsid w:val="007B238E"/>
    <w:rsid w:val="007B335E"/>
    <w:rsid w:val="007B4A9D"/>
    <w:rsid w:val="007B7FD4"/>
    <w:rsid w:val="007C137D"/>
    <w:rsid w:val="007C609E"/>
    <w:rsid w:val="007C7D64"/>
    <w:rsid w:val="007D279F"/>
    <w:rsid w:val="007D2C38"/>
    <w:rsid w:val="007D3DD3"/>
    <w:rsid w:val="007D6771"/>
    <w:rsid w:val="007E018D"/>
    <w:rsid w:val="007E0E7A"/>
    <w:rsid w:val="007E107E"/>
    <w:rsid w:val="007E287C"/>
    <w:rsid w:val="007E6983"/>
    <w:rsid w:val="007E6A45"/>
    <w:rsid w:val="007E6DE2"/>
    <w:rsid w:val="007F1126"/>
    <w:rsid w:val="007F1B71"/>
    <w:rsid w:val="007F7BF8"/>
    <w:rsid w:val="0080320B"/>
    <w:rsid w:val="00807E7D"/>
    <w:rsid w:val="008136C9"/>
    <w:rsid w:val="008145BA"/>
    <w:rsid w:val="00820A3C"/>
    <w:rsid w:val="008248F8"/>
    <w:rsid w:val="008249BE"/>
    <w:rsid w:val="00831675"/>
    <w:rsid w:val="00833654"/>
    <w:rsid w:val="008404AD"/>
    <w:rsid w:val="0084439C"/>
    <w:rsid w:val="00844849"/>
    <w:rsid w:val="00845A80"/>
    <w:rsid w:val="00846686"/>
    <w:rsid w:val="00853CDC"/>
    <w:rsid w:val="008552D6"/>
    <w:rsid w:val="00855DA3"/>
    <w:rsid w:val="00857A59"/>
    <w:rsid w:val="00860BB5"/>
    <w:rsid w:val="00862443"/>
    <w:rsid w:val="00863BE6"/>
    <w:rsid w:val="00864379"/>
    <w:rsid w:val="00866658"/>
    <w:rsid w:val="00866FE8"/>
    <w:rsid w:val="00872617"/>
    <w:rsid w:val="008747C1"/>
    <w:rsid w:val="00877071"/>
    <w:rsid w:val="0087755E"/>
    <w:rsid w:val="008779B4"/>
    <w:rsid w:val="00877A2F"/>
    <w:rsid w:val="0088138D"/>
    <w:rsid w:val="00883863"/>
    <w:rsid w:val="00883D7E"/>
    <w:rsid w:val="0088467C"/>
    <w:rsid w:val="008853B9"/>
    <w:rsid w:val="00885AA3"/>
    <w:rsid w:val="00887B7F"/>
    <w:rsid w:val="00891F21"/>
    <w:rsid w:val="00892D3B"/>
    <w:rsid w:val="00894579"/>
    <w:rsid w:val="008947ED"/>
    <w:rsid w:val="00895AC3"/>
    <w:rsid w:val="008A2BDB"/>
    <w:rsid w:val="008A5B67"/>
    <w:rsid w:val="008A5CCD"/>
    <w:rsid w:val="008A647A"/>
    <w:rsid w:val="008A6A6D"/>
    <w:rsid w:val="008B29E7"/>
    <w:rsid w:val="008B2C4E"/>
    <w:rsid w:val="008B33DF"/>
    <w:rsid w:val="008B5C0B"/>
    <w:rsid w:val="008B7BD5"/>
    <w:rsid w:val="008C2216"/>
    <w:rsid w:val="008D07E2"/>
    <w:rsid w:val="008D16F7"/>
    <w:rsid w:val="008D24E6"/>
    <w:rsid w:val="008D40FA"/>
    <w:rsid w:val="008D4835"/>
    <w:rsid w:val="008D4C75"/>
    <w:rsid w:val="008D7954"/>
    <w:rsid w:val="008E000B"/>
    <w:rsid w:val="008E1427"/>
    <w:rsid w:val="008E52C7"/>
    <w:rsid w:val="008E5A1D"/>
    <w:rsid w:val="008E68D1"/>
    <w:rsid w:val="008E6AF1"/>
    <w:rsid w:val="008E7D15"/>
    <w:rsid w:val="008F0C50"/>
    <w:rsid w:val="008F2529"/>
    <w:rsid w:val="008F778A"/>
    <w:rsid w:val="00902ED6"/>
    <w:rsid w:val="0090320B"/>
    <w:rsid w:val="00906037"/>
    <w:rsid w:val="009100D1"/>
    <w:rsid w:val="00910A4D"/>
    <w:rsid w:val="0091280A"/>
    <w:rsid w:val="009143A0"/>
    <w:rsid w:val="0091750F"/>
    <w:rsid w:val="00921B5A"/>
    <w:rsid w:val="00925124"/>
    <w:rsid w:val="00925635"/>
    <w:rsid w:val="00926AEC"/>
    <w:rsid w:val="00927C59"/>
    <w:rsid w:val="00930D28"/>
    <w:rsid w:val="00931881"/>
    <w:rsid w:val="0093421F"/>
    <w:rsid w:val="00936902"/>
    <w:rsid w:val="00942170"/>
    <w:rsid w:val="0094486D"/>
    <w:rsid w:val="009479AE"/>
    <w:rsid w:val="00950E58"/>
    <w:rsid w:val="009520E0"/>
    <w:rsid w:val="00952DF0"/>
    <w:rsid w:val="00954679"/>
    <w:rsid w:val="009552FE"/>
    <w:rsid w:val="00955673"/>
    <w:rsid w:val="009562E9"/>
    <w:rsid w:val="00961076"/>
    <w:rsid w:val="00962ED1"/>
    <w:rsid w:val="009655DA"/>
    <w:rsid w:val="00965BBC"/>
    <w:rsid w:val="009673D0"/>
    <w:rsid w:val="00970BAE"/>
    <w:rsid w:val="00972823"/>
    <w:rsid w:val="00974996"/>
    <w:rsid w:val="00985F3D"/>
    <w:rsid w:val="0098737D"/>
    <w:rsid w:val="009876C1"/>
    <w:rsid w:val="00990BE6"/>
    <w:rsid w:val="00991C35"/>
    <w:rsid w:val="00991CF7"/>
    <w:rsid w:val="00992F1B"/>
    <w:rsid w:val="0099787E"/>
    <w:rsid w:val="009979D2"/>
    <w:rsid w:val="00997E8E"/>
    <w:rsid w:val="009A2167"/>
    <w:rsid w:val="009A49F0"/>
    <w:rsid w:val="009A5307"/>
    <w:rsid w:val="009B4ECF"/>
    <w:rsid w:val="009B7A38"/>
    <w:rsid w:val="009C0051"/>
    <w:rsid w:val="009C6A1E"/>
    <w:rsid w:val="009C780B"/>
    <w:rsid w:val="009C7872"/>
    <w:rsid w:val="009D1D92"/>
    <w:rsid w:val="009D2F0C"/>
    <w:rsid w:val="009D477C"/>
    <w:rsid w:val="009E27A5"/>
    <w:rsid w:val="009E2F86"/>
    <w:rsid w:val="009E5071"/>
    <w:rsid w:val="009E50DE"/>
    <w:rsid w:val="009E6302"/>
    <w:rsid w:val="009E7D1F"/>
    <w:rsid w:val="009F085D"/>
    <w:rsid w:val="00A001FC"/>
    <w:rsid w:val="00A02E1C"/>
    <w:rsid w:val="00A053EC"/>
    <w:rsid w:val="00A11416"/>
    <w:rsid w:val="00A11B44"/>
    <w:rsid w:val="00A12209"/>
    <w:rsid w:val="00A127C6"/>
    <w:rsid w:val="00A16A4F"/>
    <w:rsid w:val="00A31484"/>
    <w:rsid w:val="00A31681"/>
    <w:rsid w:val="00A34CA4"/>
    <w:rsid w:val="00A36DF3"/>
    <w:rsid w:val="00A4441D"/>
    <w:rsid w:val="00A5141E"/>
    <w:rsid w:val="00A532DD"/>
    <w:rsid w:val="00A532FC"/>
    <w:rsid w:val="00A5522E"/>
    <w:rsid w:val="00A60AA1"/>
    <w:rsid w:val="00A649B6"/>
    <w:rsid w:val="00A74B90"/>
    <w:rsid w:val="00A760F0"/>
    <w:rsid w:val="00A805A5"/>
    <w:rsid w:val="00A80912"/>
    <w:rsid w:val="00A80BCF"/>
    <w:rsid w:val="00A80C94"/>
    <w:rsid w:val="00A80D80"/>
    <w:rsid w:val="00A8154C"/>
    <w:rsid w:val="00A825D1"/>
    <w:rsid w:val="00A8369C"/>
    <w:rsid w:val="00A83D54"/>
    <w:rsid w:val="00A86579"/>
    <w:rsid w:val="00A868D5"/>
    <w:rsid w:val="00A90212"/>
    <w:rsid w:val="00A90A6A"/>
    <w:rsid w:val="00A90CC4"/>
    <w:rsid w:val="00A9401D"/>
    <w:rsid w:val="00AA1689"/>
    <w:rsid w:val="00AA187C"/>
    <w:rsid w:val="00AA3F31"/>
    <w:rsid w:val="00AA496F"/>
    <w:rsid w:val="00AA5770"/>
    <w:rsid w:val="00AA6AF1"/>
    <w:rsid w:val="00AA70DB"/>
    <w:rsid w:val="00AB1FA3"/>
    <w:rsid w:val="00AB2E70"/>
    <w:rsid w:val="00AB33C1"/>
    <w:rsid w:val="00AB3A82"/>
    <w:rsid w:val="00AB3E03"/>
    <w:rsid w:val="00AC0BAE"/>
    <w:rsid w:val="00AC14C8"/>
    <w:rsid w:val="00AC1D15"/>
    <w:rsid w:val="00AC3164"/>
    <w:rsid w:val="00AC367E"/>
    <w:rsid w:val="00AC3C87"/>
    <w:rsid w:val="00AC54DF"/>
    <w:rsid w:val="00AC6DA9"/>
    <w:rsid w:val="00AD1EE0"/>
    <w:rsid w:val="00AD2EA1"/>
    <w:rsid w:val="00AD44C6"/>
    <w:rsid w:val="00AE19A6"/>
    <w:rsid w:val="00AE40BA"/>
    <w:rsid w:val="00AE446A"/>
    <w:rsid w:val="00AE460D"/>
    <w:rsid w:val="00AE7F82"/>
    <w:rsid w:val="00AF4163"/>
    <w:rsid w:val="00AF7AEF"/>
    <w:rsid w:val="00AF7EA0"/>
    <w:rsid w:val="00B03F3B"/>
    <w:rsid w:val="00B04042"/>
    <w:rsid w:val="00B07B0C"/>
    <w:rsid w:val="00B120F9"/>
    <w:rsid w:val="00B1236E"/>
    <w:rsid w:val="00B213EA"/>
    <w:rsid w:val="00B22F3D"/>
    <w:rsid w:val="00B23CDB"/>
    <w:rsid w:val="00B25563"/>
    <w:rsid w:val="00B26498"/>
    <w:rsid w:val="00B26D48"/>
    <w:rsid w:val="00B27255"/>
    <w:rsid w:val="00B27470"/>
    <w:rsid w:val="00B2789F"/>
    <w:rsid w:val="00B338DE"/>
    <w:rsid w:val="00B34F7C"/>
    <w:rsid w:val="00B36929"/>
    <w:rsid w:val="00B373E0"/>
    <w:rsid w:val="00B40949"/>
    <w:rsid w:val="00B40D80"/>
    <w:rsid w:val="00B41F7B"/>
    <w:rsid w:val="00B42EE1"/>
    <w:rsid w:val="00B47A59"/>
    <w:rsid w:val="00B5349B"/>
    <w:rsid w:val="00B5495C"/>
    <w:rsid w:val="00B5649C"/>
    <w:rsid w:val="00B63C70"/>
    <w:rsid w:val="00B7138A"/>
    <w:rsid w:val="00B8293D"/>
    <w:rsid w:val="00B87A49"/>
    <w:rsid w:val="00B90243"/>
    <w:rsid w:val="00B904AA"/>
    <w:rsid w:val="00B91ECE"/>
    <w:rsid w:val="00B92478"/>
    <w:rsid w:val="00B943FB"/>
    <w:rsid w:val="00B94EB4"/>
    <w:rsid w:val="00B97463"/>
    <w:rsid w:val="00BA13A1"/>
    <w:rsid w:val="00BA25B4"/>
    <w:rsid w:val="00BA2F06"/>
    <w:rsid w:val="00BA6188"/>
    <w:rsid w:val="00BB2D2C"/>
    <w:rsid w:val="00BB463D"/>
    <w:rsid w:val="00BB608E"/>
    <w:rsid w:val="00BB7567"/>
    <w:rsid w:val="00BC361A"/>
    <w:rsid w:val="00BC68C2"/>
    <w:rsid w:val="00BD06FA"/>
    <w:rsid w:val="00BD1615"/>
    <w:rsid w:val="00BD2045"/>
    <w:rsid w:val="00BD3450"/>
    <w:rsid w:val="00BD37A1"/>
    <w:rsid w:val="00BD3D7D"/>
    <w:rsid w:val="00BD49F7"/>
    <w:rsid w:val="00BD61A2"/>
    <w:rsid w:val="00BE3D86"/>
    <w:rsid w:val="00BE484D"/>
    <w:rsid w:val="00BE6A57"/>
    <w:rsid w:val="00BF2596"/>
    <w:rsid w:val="00C00B11"/>
    <w:rsid w:val="00C06FEB"/>
    <w:rsid w:val="00C24EDE"/>
    <w:rsid w:val="00C33BEA"/>
    <w:rsid w:val="00C37E05"/>
    <w:rsid w:val="00C40F0C"/>
    <w:rsid w:val="00C4270A"/>
    <w:rsid w:val="00C47789"/>
    <w:rsid w:val="00C5000C"/>
    <w:rsid w:val="00C52172"/>
    <w:rsid w:val="00C55D29"/>
    <w:rsid w:val="00C56F2E"/>
    <w:rsid w:val="00C617D8"/>
    <w:rsid w:val="00C62B3A"/>
    <w:rsid w:val="00C6372A"/>
    <w:rsid w:val="00C73833"/>
    <w:rsid w:val="00C77017"/>
    <w:rsid w:val="00C83DB6"/>
    <w:rsid w:val="00C84FA0"/>
    <w:rsid w:val="00C86F05"/>
    <w:rsid w:val="00C86F6D"/>
    <w:rsid w:val="00C902A9"/>
    <w:rsid w:val="00C943F8"/>
    <w:rsid w:val="00C948D8"/>
    <w:rsid w:val="00C963D3"/>
    <w:rsid w:val="00CA0BE9"/>
    <w:rsid w:val="00CA138D"/>
    <w:rsid w:val="00CA2BD0"/>
    <w:rsid w:val="00CA57D9"/>
    <w:rsid w:val="00CA5D67"/>
    <w:rsid w:val="00CA6C50"/>
    <w:rsid w:val="00CB1C1A"/>
    <w:rsid w:val="00CB65B5"/>
    <w:rsid w:val="00CB684F"/>
    <w:rsid w:val="00CC220F"/>
    <w:rsid w:val="00CC2AFE"/>
    <w:rsid w:val="00CC7641"/>
    <w:rsid w:val="00CC7859"/>
    <w:rsid w:val="00CD0BCB"/>
    <w:rsid w:val="00CD2215"/>
    <w:rsid w:val="00CD2590"/>
    <w:rsid w:val="00CD6747"/>
    <w:rsid w:val="00CE0B46"/>
    <w:rsid w:val="00CE3EEE"/>
    <w:rsid w:val="00CE3FE9"/>
    <w:rsid w:val="00CE4EFB"/>
    <w:rsid w:val="00CE5FD3"/>
    <w:rsid w:val="00CE7D19"/>
    <w:rsid w:val="00CE7F98"/>
    <w:rsid w:val="00CF0681"/>
    <w:rsid w:val="00CF2395"/>
    <w:rsid w:val="00CF2515"/>
    <w:rsid w:val="00CF3BC0"/>
    <w:rsid w:val="00CF3E79"/>
    <w:rsid w:val="00CF473E"/>
    <w:rsid w:val="00D011C4"/>
    <w:rsid w:val="00D02B5A"/>
    <w:rsid w:val="00D0519A"/>
    <w:rsid w:val="00D068F8"/>
    <w:rsid w:val="00D074A2"/>
    <w:rsid w:val="00D10CE2"/>
    <w:rsid w:val="00D12CE9"/>
    <w:rsid w:val="00D13794"/>
    <w:rsid w:val="00D156B5"/>
    <w:rsid w:val="00D205D5"/>
    <w:rsid w:val="00D218E7"/>
    <w:rsid w:val="00D24052"/>
    <w:rsid w:val="00D24386"/>
    <w:rsid w:val="00D24609"/>
    <w:rsid w:val="00D26E47"/>
    <w:rsid w:val="00D31575"/>
    <w:rsid w:val="00D31A89"/>
    <w:rsid w:val="00D322B4"/>
    <w:rsid w:val="00D33F8F"/>
    <w:rsid w:val="00D34626"/>
    <w:rsid w:val="00D34FB4"/>
    <w:rsid w:val="00D3590B"/>
    <w:rsid w:val="00D359BA"/>
    <w:rsid w:val="00D35E37"/>
    <w:rsid w:val="00D40818"/>
    <w:rsid w:val="00D4257A"/>
    <w:rsid w:val="00D44248"/>
    <w:rsid w:val="00D456A9"/>
    <w:rsid w:val="00D4717F"/>
    <w:rsid w:val="00D52798"/>
    <w:rsid w:val="00D5468A"/>
    <w:rsid w:val="00D612C7"/>
    <w:rsid w:val="00D61745"/>
    <w:rsid w:val="00D62665"/>
    <w:rsid w:val="00D632E7"/>
    <w:rsid w:val="00D645AC"/>
    <w:rsid w:val="00D66C71"/>
    <w:rsid w:val="00D66D7C"/>
    <w:rsid w:val="00D67A34"/>
    <w:rsid w:val="00D70064"/>
    <w:rsid w:val="00D70205"/>
    <w:rsid w:val="00D70F56"/>
    <w:rsid w:val="00D734C0"/>
    <w:rsid w:val="00D735EF"/>
    <w:rsid w:val="00D73C84"/>
    <w:rsid w:val="00D75F9C"/>
    <w:rsid w:val="00D7609F"/>
    <w:rsid w:val="00D81AA7"/>
    <w:rsid w:val="00D82E47"/>
    <w:rsid w:val="00D84A01"/>
    <w:rsid w:val="00D94618"/>
    <w:rsid w:val="00D977EA"/>
    <w:rsid w:val="00DA5AD8"/>
    <w:rsid w:val="00DB148C"/>
    <w:rsid w:val="00DB1A31"/>
    <w:rsid w:val="00DB202E"/>
    <w:rsid w:val="00DB3A63"/>
    <w:rsid w:val="00DB4F78"/>
    <w:rsid w:val="00DB66B3"/>
    <w:rsid w:val="00DB7AD0"/>
    <w:rsid w:val="00DC027B"/>
    <w:rsid w:val="00DC0CDE"/>
    <w:rsid w:val="00DC1A85"/>
    <w:rsid w:val="00DC498E"/>
    <w:rsid w:val="00DC4D72"/>
    <w:rsid w:val="00DC6525"/>
    <w:rsid w:val="00DC7018"/>
    <w:rsid w:val="00DD09DC"/>
    <w:rsid w:val="00DD12B0"/>
    <w:rsid w:val="00DD3878"/>
    <w:rsid w:val="00DD3901"/>
    <w:rsid w:val="00DD5610"/>
    <w:rsid w:val="00DE18DB"/>
    <w:rsid w:val="00DF0CB3"/>
    <w:rsid w:val="00DF10C2"/>
    <w:rsid w:val="00DF15DC"/>
    <w:rsid w:val="00DF494C"/>
    <w:rsid w:val="00DF6D0B"/>
    <w:rsid w:val="00DF7E0D"/>
    <w:rsid w:val="00E0233F"/>
    <w:rsid w:val="00E0624D"/>
    <w:rsid w:val="00E1706B"/>
    <w:rsid w:val="00E179D4"/>
    <w:rsid w:val="00E20023"/>
    <w:rsid w:val="00E210F9"/>
    <w:rsid w:val="00E24501"/>
    <w:rsid w:val="00E353A3"/>
    <w:rsid w:val="00E35C9D"/>
    <w:rsid w:val="00E37FF7"/>
    <w:rsid w:val="00E4438C"/>
    <w:rsid w:val="00E44C5A"/>
    <w:rsid w:val="00E457F3"/>
    <w:rsid w:val="00E45C89"/>
    <w:rsid w:val="00E462B1"/>
    <w:rsid w:val="00E47D1C"/>
    <w:rsid w:val="00E50663"/>
    <w:rsid w:val="00E534CB"/>
    <w:rsid w:val="00E55F9B"/>
    <w:rsid w:val="00E576F5"/>
    <w:rsid w:val="00E57733"/>
    <w:rsid w:val="00E57A6A"/>
    <w:rsid w:val="00E610D2"/>
    <w:rsid w:val="00E62B1B"/>
    <w:rsid w:val="00E7070C"/>
    <w:rsid w:val="00E72397"/>
    <w:rsid w:val="00E728F4"/>
    <w:rsid w:val="00E73CC1"/>
    <w:rsid w:val="00E767E1"/>
    <w:rsid w:val="00E804C5"/>
    <w:rsid w:val="00E86357"/>
    <w:rsid w:val="00E87284"/>
    <w:rsid w:val="00E873C2"/>
    <w:rsid w:val="00E87D93"/>
    <w:rsid w:val="00E95D69"/>
    <w:rsid w:val="00E97664"/>
    <w:rsid w:val="00EA4DD8"/>
    <w:rsid w:val="00EA7959"/>
    <w:rsid w:val="00EB2AEF"/>
    <w:rsid w:val="00EB2BED"/>
    <w:rsid w:val="00EB7E71"/>
    <w:rsid w:val="00EC0F2B"/>
    <w:rsid w:val="00EC5EA3"/>
    <w:rsid w:val="00ED0691"/>
    <w:rsid w:val="00ED123E"/>
    <w:rsid w:val="00ED1F15"/>
    <w:rsid w:val="00ED216B"/>
    <w:rsid w:val="00ED249A"/>
    <w:rsid w:val="00ED337D"/>
    <w:rsid w:val="00EE6683"/>
    <w:rsid w:val="00EF2788"/>
    <w:rsid w:val="00EF3103"/>
    <w:rsid w:val="00EF4C02"/>
    <w:rsid w:val="00EF6E9B"/>
    <w:rsid w:val="00EF7714"/>
    <w:rsid w:val="00F009C6"/>
    <w:rsid w:val="00F023DB"/>
    <w:rsid w:val="00F109D4"/>
    <w:rsid w:val="00F10A6F"/>
    <w:rsid w:val="00F11F02"/>
    <w:rsid w:val="00F13403"/>
    <w:rsid w:val="00F15160"/>
    <w:rsid w:val="00F15CC9"/>
    <w:rsid w:val="00F15EE9"/>
    <w:rsid w:val="00F24221"/>
    <w:rsid w:val="00F24736"/>
    <w:rsid w:val="00F27344"/>
    <w:rsid w:val="00F3111A"/>
    <w:rsid w:val="00F32B51"/>
    <w:rsid w:val="00F343AA"/>
    <w:rsid w:val="00F34BC4"/>
    <w:rsid w:val="00F4241B"/>
    <w:rsid w:val="00F4486A"/>
    <w:rsid w:val="00F44A94"/>
    <w:rsid w:val="00F46704"/>
    <w:rsid w:val="00F46C17"/>
    <w:rsid w:val="00F47585"/>
    <w:rsid w:val="00F506DA"/>
    <w:rsid w:val="00F50E79"/>
    <w:rsid w:val="00F50FC9"/>
    <w:rsid w:val="00F52292"/>
    <w:rsid w:val="00F53FD6"/>
    <w:rsid w:val="00F556AD"/>
    <w:rsid w:val="00F6249C"/>
    <w:rsid w:val="00F62B24"/>
    <w:rsid w:val="00F678B8"/>
    <w:rsid w:val="00F7078E"/>
    <w:rsid w:val="00F72ED5"/>
    <w:rsid w:val="00F73C44"/>
    <w:rsid w:val="00F756AA"/>
    <w:rsid w:val="00F75BDB"/>
    <w:rsid w:val="00F81232"/>
    <w:rsid w:val="00F8291C"/>
    <w:rsid w:val="00F841B8"/>
    <w:rsid w:val="00F85E6F"/>
    <w:rsid w:val="00F920DA"/>
    <w:rsid w:val="00F95449"/>
    <w:rsid w:val="00FA1942"/>
    <w:rsid w:val="00FA2EF4"/>
    <w:rsid w:val="00FA380A"/>
    <w:rsid w:val="00FB26C3"/>
    <w:rsid w:val="00FC0D7B"/>
    <w:rsid w:val="00FC2CB5"/>
    <w:rsid w:val="00FC38D9"/>
    <w:rsid w:val="00FC3A8F"/>
    <w:rsid w:val="00FC595E"/>
    <w:rsid w:val="00FC5FD8"/>
    <w:rsid w:val="00FC6C4E"/>
    <w:rsid w:val="00FD0466"/>
    <w:rsid w:val="00FD19F7"/>
    <w:rsid w:val="00FD1A75"/>
    <w:rsid w:val="00FD7402"/>
    <w:rsid w:val="00FD77FF"/>
    <w:rsid w:val="00FE04E4"/>
    <w:rsid w:val="00FE2DD7"/>
    <w:rsid w:val="00FE3EAB"/>
    <w:rsid w:val="00FE6F52"/>
    <w:rsid w:val="00FE73F9"/>
    <w:rsid w:val="00FF1057"/>
    <w:rsid w:val="00FF3D94"/>
    <w:rsid w:val="00FF3E25"/>
    <w:rsid w:val="00FF4AC5"/>
    <w:rsid w:val="00FF59FE"/>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1D2DF"/>
  <w15:docId w15:val="{2790B3AF-22CD-475D-83EB-688490C6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paragraph">
    <w:name w:val="paragraph"/>
    <w:basedOn w:val="Normal"/>
    <w:rsid w:val="003C43BC"/>
    <w:pPr>
      <w:spacing w:before="100" w:beforeAutospacing="1" w:after="100" w:afterAutospacing="1"/>
    </w:pPr>
    <w:rPr>
      <w:szCs w:val="24"/>
    </w:rPr>
  </w:style>
  <w:style w:type="character" w:customStyle="1" w:styleId="normaltextrun">
    <w:name w:val="normaltextrun"/>
    <w:basedOn w:val="DefaultParagraphFont"/>
    <w:rsid w:val="003C43BC"/>
  </w:style>
  <w:style w:type="character" w:customStyle="1" w:styleId="eop">
    <w:name w:val="eop"/>
    <w:basedOn w:val="DefaultParagraphFont"/>
    <w:rsid w:val="003C43BC"/>
  </w:style>
  <w:style w:type="character" w:styleId="Mention">
    <w:name w:val="Mention"/>
    <w:basedOn w:val="DefaultParagraphFont"/>
    <w:uiPriority w:val="99"/>
    <w:unhideWhenUsed/>
    <w:rsid w:val="00D35E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7408">
      <w:bodyDiv w:val="1"/>
      <w:marLeft w:val="0"/>
      <w:marRight w:val="0"/>
      <w:marTop w:val="0"/>
      <w:marBottom w:val="0"/>
      <w:divBdr>
        <w:top w:val="none" w:sz="0" w:space="0" w:color="auto"/>
        <w:left w:val="none" w:sz="0" w:space="0" w:color="auto"/>
        <w:bottom w:val="none" w:sz="0" w:space="0" w:color="auto"/>
        <w:right w:val="none" w:sz="0" w:space="0" w:color="auto"/>
      </w:divBdr>
      <w:divsChild>
        <w:div w:id="162207898">
          <w:marLeft w:val="0"/>
          <w:marRight w:val="0"/>
          <w:marTop w:val="0"/>
          <w:marBottom w:val="0"/>
          <w:divBdr>
            <w:top w:val="none" w:sz="0" w:space="0" w:color="auto"/>
            <w:left w:val="none" w:sz="0" w:space="0" w:color="auto"/>
            <w:bottom w:val="none" w:sz="0" w:space="0" w:color="auto"/>
            <w:right w:val="none" w:sz="0" w:space="0" w:color="auto"/>
          </w:divBdr>
        </w:div>
        <w:div w:id="976102723">
          <w:marLeft w:val="0"/>
          <w:marRight w:val="0"/>
          <w:marTop w:val="0"/>
          <w:marBottom w:val="0"/>
          <w:divBdr>
            <w:top w:val="none" w:sz="0" w:space="0" w:color="auto"/>
            <w:left w:val="none" w:sz="0" w:space="0" w:color="auto"/>
            <w:bottom w:val="none" w:sz="0" w:space="0" w:color="auto"/>
            <w:right w:val="none" w:sz="0" w:space="0" w:color="auto"/>
          </w:divBdr>
        </w:div>
        <w:div w:id="1775400483">
          <w:marLeft w:val="0"/>
          <w:marRight w:val="0"/>
          <w:marTop w:val="0"/>
          <w:marBottom w:val="0"/>
          <w:divBdr>
            <w:top w:val="none" w:sz="0" w:space="0" w:color="auto"/>
            <w:left w:val="none" w:sz="0" w:space="0" w:color="auto"/>
            <w:bottom w:val="none" w:sz="0" w:space="0" w:color="auto"/>
            <w:right w:val="none" w:sz="0" w:space="0" w:color="auto"/>
          </w:divBdr>
        </w:div>
      </w:divsChild>
    </w:div>
    <w:div w:id="688458491">
      <w:bodyDiv w:val="1"/>
      <w:marLeft w:val="0"/>
      <w:marRight w:val="0"/>
      <w:marTop w:val="0"/>
      <w:marBottom w:val="0"/>
      <w:divBdr>
        <w:top w:val="none" w:sz="0" w:space="0" w:color="auto"/>
        <w:left w:val="none" w:sz="0" w:space="0" w:color="auto"/>
        <w:bottom w:val="none" w:sz="0" w:space="0" w:color="auto"/>
        <w:right w:val="none" w:sz="0" w:space="0" w:color="auto"/>
      </w:divBdr>
      <w:divsChild>
        <w:div w:id="212275853">
          <w:marLeft w:val="0"/>
          <w:marRight w:val="0"/>
          <w:marTop w:val="0"/>
          <w:marBottom w:val="0"/>
          <w:divBdr>
            <w:top w:val="none" w:sz="0" w:space="0" w:color="auto"/>
            <w:left w:val="none" w:sz="0" w:space="0" w:color="auto"/>
            <w:bottom w:val="none" w:sz="0" w:space="0" w:color="auto"/>
            <w:right w:val="none" w:sz="0" w:space="0" w:color="auto"/>
          </w:divBdr>
        </w:div>
        <w:div w:id="836654309">
          <w:marLeft w:val="0"/>
          <w:marRight w:val="0"/>
          <w:marTop w:val="0"/>
          <w:marBottom w:val="0"/>
          <w:divBdr>
            <w:top w:val="none" w:sz="0" w:space="0" w:color="auto"/>
            <w:left w:val="none" w:sz="0" w:space="0" w:color="auto"/>
            <w:bottom w:val="none" w:sz="0" w:space="0" w:color="auto"/>
            <w:right w:val="none" w:sz="0" w:space="0" w:color="auto"/>
          </w:divBdr>
        </w:div>
        <w:div w:id="941717386">
          <w:marLeft w:val="0"/>
          <w:marRight w:val="0"/>
          <w:marTop w:val="0"/>
          <w:marBottom w:val="0"/>
          <w:divBdr>
            <w:top w:val="none" w:sz="0" w:space="0" w:color="auto"/>
            <w:left w:val="none" w:sz="0" w:space="0" w:color="auto"/>
            <w:bottom w:val="none" w:sz="0" w:space="0" w:color="auto"/>
            <w:right w:val="none" w:sz="0" w:space="0" w:color="auto"/>
          </w:divBdr>
        </w:div>
        <w:div w:id="2062557988">
          <w:marLeft w:val="0"/>
          <w:marRight w:val="0"/>
          <w:marTop w:val="0"/>
          <w:marBottom w:val="0"/>
          <w:divBdr>
            <w:top w:val="none" w:sz="0" w:space="0" w:color="auto"/>
            <w:left w:val="none" w:sz="0" w:space="0" w:color="auto"/>
            <w:bottom w:val="none" w:sz="0" w:space="0" w:color="auto"/>
            <w:right w:val="none" w:sz="0" w:space="0" w:color="auto"/>
          </w:divBdr>
        </w:div>
      </w:divsChild>
    </w:div>
    <w:div w:id="75598285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sw.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s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wa.gov.au/legislation/statutes.nsf/gazettes.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azett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7C9289BFD440AA90BA2E2E435824E"/>
        <w:category>
          <w:name w:val="General"/>
          <w:gallery w:val="placeholder"/>
        </w:category>
        <w:types>
          <w:type w:val="bbPlcHdr"/>
        </w:types>
        <w:behaviors>
          <w:behavior w:val="content"/>
        </w:behaviors>
        <w:guid w:val="{77A302B4-8844-4971-90F3-2C330E1E89EA}"/>
      </w:docPartPr>
      <w:docPartBody>
        <w:p w:rsidR="001D378E" w:rsidRDefault="001D378E">
          <w:pPr>
            <w:pStyle w:val="2537C9289BFD440AA90BA2E2E435824E"/>
          </w:pPr>
          <w:r w:rsidRPr="003C5719">
            <w:rPr>
              <w:rStyle w:val="PlaceholderText"/>
              <w:sz w:val="24"/>
              <w:szCs w:val="24"/>
            </w:rPr>
            <w:t>select a Minister</w:t>
          </w:r>
        </w:p>
      </w:docPartBody>
    </w:docPart>
    <w:docPart>
      <w:docPartPr>
        <w:name w:val="107C4B5851E4428D80C6D53F95D47860"/>
        <w:category>
          <w:name w:val="General"/>
          <w:gallery w:val="placeholder"/>
        </w:category>
        <w:types>
          <w:type w:val="bbPlcHdr"/>
        </w:types>
        <w:behaviors>
          <w:behavior w:val="content"/>
        </w:behaviors>
        <w:guid w:val="{3621D83D-9B18-4027-A3A9-FBC728028654}"/>
      </w:docPartPr>
      <w:docPartBody>
        <w:p w:rsidR="00E16D9B" w:rsidRDefault="00E16D9B">
          <w:pPr>
            <w:pStyle w:val="107C4B5851E4428D80C6D53F95D47860"/>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8E"/>
    <w:rsid w:val="00053C4B"/>
    <w:rsid w:val="000604D7"/>
    <w:rsid w:val="001D378E"/>
    <w:rsid w:val="003C64B0"/>
    <w:rsid w:val="00477BEB"/>
    <w:rsid w:val="00734C28"/>
    <w:rsid w:val="008A24CA"/>
    <w:rsid w:val="00CF72CC"/>
    <w:rsid w:val="00E16D9B"/>
    <w:rsid w:val="00E65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537C9289BFD440AA90BA2E2E435824E">
    <w:name w:val="2537C9289BFD440AA90BA2E2E435824E"/>
  </w:style>
  <w:style w:type="paragraph" w:customStyle="1" w:styleId="107C4B5851E4428D80C6D53F95D47860">
    <w:name w:val="107C4B5851E4428D80C6D53F95D47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565A6EB58B4E9349A9567C79E3155304" ma:contentTypeVersion="40" ma:contentTypeDescription="" ma:contentTypeScope="" ma:versionID="1fa0f2efa8301b7e072f0a5614f390b9">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85aeb6df59fe51b70f177c63d25dc67"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5D7SUYYWNZQE-1616336108-2099</_dlc_DocId>
    <_dlc_DocIdUrl xmlns="fe39d773-a83d-4623-ae74-f25711a76616">
      <Url>https://austreasury.sharepoint.com/sites/leg-meas-function/_layouts/15/DocIdRedir.aspx?ID=5D7SUYYWNZQE-1616336108-2099</Url>
      <Description>5D7SUYYWNZQE-1616336108-2099</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Insurance</TermName>
          <TermId xmlns="http://schemas.microsoft.com/office/infopath/2007/PartnerControls">b90cd62f-b048-4409-b585-751d11d9d856</TermId>
        </TermInfo>
      </Terms>
    </gfba5f33532c49208d2320ce38cc3c2b>
    <TaxCatchAll xmlns="ff38c824-6e29-4496-8487-69f397e7ed29">
      <Value>83</Value>
      <Value>3</Value>
      <Value>153</Value>
      <Value>1</Value>
      <Value>28</Value>
    </TaxCatchAll>
    <MailIn-Reply-To xmlns="fe39d773-a83d-4623-ae74-f25711a76616" xsi:nil="true"/>
    <Cc xmlns="fe39d773-a83d-4623-ae74-f25711a76616" xsi:nil="true"/>
    <DocumentSetDescription xmlns="http://schemas.microsoft.com/sharepoint/v3" xsi:nil="true"/>
    <Measureorigin xmlns="a289cb20-8bb9-401f-8d7b-706fb1a2988d" xsi:nil="true"/>
    <PT_x002f_Measure_x0020_No. xmlns="ff38c824-6e29-4496-8487-69f397e7ed29">TSY/47/0548</PT_x002f_Measure_x0020_No.>
    <From1 xmlns="fe39d773-a83d-4623-ae74-f25711a76616" xsi:nil="true"/>
    <MailSubject xmlns="fe39d773-a83d-4623-ae74-f25711a76616" xsi:nil="true"/>
    <Keydoc xmlns="a289cb20-8bb9-401f-8d7b-706fb1a2988d" xsi:nil="true"/>
    <Act_x0028_s_x0029_beingamended xmlns="a289cb20-8bb9-401f-8d7b-706fb1a2988d" xsi:nil="true"/>
    <Date12 xmlns="fe39d773-a83d-4623-ae74-f25711a76616" xsi:nil="true"/>
    <MailReferences xmlns="fe39d773-a83d-4623-ae74-f25711a76616" xsi:nil="true"/>
    <OriginalSubject xmlns="fe39d773-a83d-4623-ae74-f25711a76616" xsi:nil="true"/>
    <Projectname xmlns="a289cb20-8bb9-401f-8d7b-706fb1a2988d" xsi:nil="true"/>
    <oae75e2df9d943898d59cb03ca0993c5 xmlns="fe39d773-a83d-4623-ae74-f25711a76616" xsi:nil="true"/>
    <EmailAttachments xmlns="fe39d773-a83d-4623-ae74-f25711a76616">false</EmailAttachments>
    <MailTo xmlns="fe39d773-a83d-4623-ae74-f25711a76616" xsi:nil="true"/>
  </documentManagement>
</p:propertie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118D557E-AD56-4274-8D1A-E1194E49F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46278533-3486-40E5-9013-DD26FD164D39}">
  <ds:schemaRefs>
    <ds:schemaRef ds:uri="fe39d773-a83d-4623-ae74-f25711a76616"/>
    <ds:schemaRef ds:uri="http://schemas.microsoft.com/office/2006/documentManagement/types"/>
    <ds:schemaRef ds:uri="http://schemas.microsoft.com/sharepoint/v3"/>
    <ds:schemaRef ds:uri="http://schemas.microsoft.com/office/2006/metadata/properties"/>
    <ds:schemaRef ds:uri="http://www.w3.org/XML/1998/namespace"/>
    <ds:schemaRef ds:uri="ff38c824-6e29-4496-8487-69f397e7ed29"/>
    <ds:schemaRef ds:uri="http://purl.org/dc/terms/"/>
    <ds:schemaRef ds:uri="http://purl.org/dc/dcmitype/"/>
    <ds:schemaRef ds:uri="http://schemas.microsoft.com/office/infopath/2007/PartnerControls"/>
    <ds:schemaRef ds:uri="http://schemas.openxmlformats.org/package/2006/metadata/core-properties"/>
    <ds:schemaRef ds:uri="a289cb20-8bb9-401f-8d7b-706fb1a2988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7</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Craig, Olivia</dc:creator>
  <cp:keywords/>
  <cp:lastModifiedBy>Anderson-Smith, Cameron</cp:lastModifiedBy>
  <cp:revision>2</cp:revision>
  <cp:lastPrinted>2019-02-18T18:23:00Z</cp:lastPrinted>
  <dcterms:created xsi:type="dcterms:W3CDTF">2024-05-24T01:43:00Z</dcterms:created>
  <dcterms:modified xsi:type="dcterms:W3CDTF">2024-05-24T01:43:00Z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0x0101003ECC5A3B3DB5EC46B1D76B9A37FC826900565A6EB58B4E9349A9567C79E3155304</vt:lpwstr>
  </property>
  <property fmtid="{D5CDD505-2E9C-101B-9397-08002B2CF9AE}" pid="4" name="TSYRecordClass">
    <vt:lpwstr>1;#AE-20260-Destroy 7 years after action completed|623f5ec9-ec5d-4824-8e13-9c9bfc51fe7e</vt:lpwstr>
  </property>
  <property fmtid="{D5CDD505-2E9C-101B-9397-08002B2CF9AE}" pid="5" name="_dlc_DocIdItemGuid">
    <vt:lpwstr>4dafa2c1-c6f5-4d35-b036-154d4d550013</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83;#Insurance|b90cd62f-b048-4409-b585-751d11d9d856</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SharedWithUsers">
    <vt:lpwstr>153;#Byrne, Sarah</vt:lpwstr>
  </property>
</Properties>
</file>