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E9F46" w14:textId="2145D424" w:rsidR="00ED143A" w:rsidRDefault="009635FD" w:rsidP="00ED143A">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SUPPLEMENTARY </w:t>
      </w:r>
      <w:r w:rsidR="00ED143A" w:rsidRPr="000B45C1">
        <w:rPr>
          <w:rFonts w:ascii="Times New Roman" w:hAnsi="Times New Roman" w:cs="Times New Roman"/>
          <w:b/>
          <w:bCs/>
          <w:sz w:val="24"/>
          <w:szCs w:val="24"/>
          <w:u w:val="single"/>
        </w:rPr>
        <w:t xml:space="preserve">EXPLANATORY </w:t>
      </w:r>
      <w:r w:rsidR="00ED143A">
        <w:rPr>
          <w:rFonts w:ascii="Times New Roman" w:hAnsi="Times New Roman" w:cs="Times New Roman"/>
          <w:b/>
          <w:bCs/>
          <w:sz w:val="24"/>
          <w:szCs w:val="24"/>
          <w:u w:val="single"/>
        </w:rPr>
        <w:t>STATEMENT</w:t>
      </w:r>
    </w:p>
    <w:p w14:paraId="10A11314" w14:textId="77777777" w:rsidR="00ED143A" w:rsidRPr="00B16B7A" w:rsidRDefault="00ED143A" w:rsidP="00ED143A">
      <w:pPr>
        <w:jc w:val="center"/>
        <w:rPr>
          <w:rFonts w:ascii="Times New Roman" w:hAnsi="Times New Roman" w:cs="Times New Roman"/>
          <w:sz w:val="24"/>
          <w:szCs w:val="24"/>
        </w:rPr>
      </w:pPr>
      <w:r w:rsidRPr="00B16B7A">
        <w:rPr>
          <w:rFonts w:ascii="Times New Roman" w:hAnsi="Times New Roman" w:cs="Times New Roman"/>
          <w:sz w:val="24"/>
          <w:szCs w:val="24"/>
        </w:rPr>
        <w:t>Issued by the authority of the Minister for the Environment and Water</w:t>
      </w:r>
    </w:p>
    <w:p w14:paraId="0E65A728" w14:textId="77777777" w:rsidR="00ED143A" w:rsidRDefault="00ED143A" w:rsidP="00ED143A">
      <w:pPr>
        <w:jc w:val="center"/>
        <w:rPr>
          <w:rFonts w:ascii="Times New Roman" w:hAnsi="Times New Roman" w:cs="Times New Roman"/>
          <w:i/>
          <w:iCs/>
          <w:sz w:val="24"/>
          <w:szCs w:val="24"/>
        </w:rPr>
      </w:pPr>
      <w:r>
        <w:rPr>
          <w:rFonts w:ascii="Times New Roman" w:hAnsi="Times New Roman" w:cs="Times New Roman"/>
          <w:i/>
          <w:iCs/>
          <w:sz w:val="24"/>
          <w:szCs w:val="24"/>
        </w:rPr>
        <w:t>Ozone Protection and Synthetic Greenhouse Gas Management Act 1989</w:t>
      </w:r>
    </w:p>
    <w:p w14:paraId="6CCA688B" w14:textId="77777777" w:rsidR="00ED143A" w:rsidRDefault="00ED143A" w:rsidP="00ED143A">
      <w:pPr>
        <w:jc w:val="center"/>
        <w:rPr>
          <w:rFonts w:ascii="Times New Roman" w:hAnsi="Times New Roman" w:cs="Times New Roman"/>
          <w:i/>
          <w:iCs/>
          <w:sz w:val="24"/>
          <w:szCs w:val="24"/>
        </w:rPr>
      </w:pPr>
      <w:r w:rsidRPr="009F2F53">
        <w:rPr>
          <w:rFonts w:ascii="Times New Roman" w:hAnsi="Times New Roman" w:cs="Times New Roman"/>
          <w:i/>
          <w:iCs/>
          <w:sz w:val="24"/>
          <w:szCs w:val="24"/>
        </w:rPr>
        <w:t xml:space="preserve">Ozone Protection and Synthetic Greenhouse Gas </w:t>
      </w:r>
      <w:r>
        <w:rPr>
          <w:rFonts w:ascii="Times New Roman" w:hAnsi="Times New Roman" w:cs="Times New Roman"/>
          <w:i/>
          <w:iCs/>
          <w:sz w:val="24"/>
          <w:szCs w:val="24"/>
        </w:rPr>
        <w:t>Management Amendment (2024 Measures No.1)</w:t>
      </w:r>
      <w:r w:rsidRPr="009F2F53">
        <w:rPr>
          <w:rFonts w:ascii="Times New Roman" w:hAnsi="Times New Roman" w:cs="Times New Roman"/>
          <w:i/>
          <w:iCs/>
          <w:sz w:val="24"/>
          <w:szCs w:val="24"/>
        </w:rPr>
        <w:t xml:space="preserve"> Regulations 202</w:t>
      </w:r>
      <w:r>
        <w:rPr>
          <w:rFonts w:ascii="Times New Roman" w:hAnsi="Times New Roman" w:cs="Times New Roman"/>
          <w:i/>
          <w:iCs/>
          <w:sz w:val="24"/>
          <w:szCs w:val="24"/>
        </w:rPr>
        <w:t>4</w:t>
      </w:r>
    </w:p>
    <w:p w14:paraId="6C646BA2" w14:textId="64788654" w:rsidR="00ED143A" w:rsidRDefault="00ED143A" w:rsidP="00ED143A">
      <w:pPr>
        <w:spacing w:after="0" w:line="240" w:lineRule="auto"/>
        <w:rPr>
          <w:rFonts w:ascii="Times New Roman" w:eastAsia="Times New Roman" w:hAnsi="Times New Roman" w:cs="Times New Roman"/>
          <w:sz w:val="24"/>
          <w:szCs w:val="24"/>
          <w:lang w:eastAsia="en-AU"/>
        </w:rPr>
      </w:pPr>
      <w:r w:rsidRPr="00ED143A">
        <w:rPr>
          <w:rFonts w:ascii="Times New Roman" w:eastAsia="Times New Roman" w:hAnsi="Times New Roman"/>
          <w:kern w:val="2"/>
          <w:sz w:val="24"/>
          <w:szCs w:val="24"/>
          <w14:ligatures w14:val="standardContextual"/>
        </w:rPr>
        <w:t xml:space="preserve">The </w:t>
      </w:r>
      <w:r w:rsidRPr="00ED143A">
        <w:rPr>
          <w:rFonts w:ascii="Times New Roman" w:hAnsi="Times New Roman"/>
          <w:i/>
          <w:kern w:val="2"/>
          <w:sz w:val="24"/>
          <w:szCs w:val="24"/>
          <w14:ligatures w14:val="standardContextual"/>
        </w:rPr>
        <w:t>Ozone Protection and Synthetic Greenhouse Gas Management Act 1989</w:t>
      </w:r>
      <w:r w:rsidRPr="00ED143A">
        <w:rPr>
          <w:rFonts w:ascii="Times New Roman" w:eastAsia="Times New Roman" w:hAnsi="Times New Roman"/>
          <w:kern w:val="2"/>
          <w:sz w:val="24"/>
          <w:szCs w:val="24"/>
          <w14:ligatures w14:val="standardContextual"/>
        </w:rPr>
        <w:t xml:space="preserve"> (OPSGGM Act) and the </w:t>
      </w:r>
      <w:r w:rsidRPr="00ED143A">
        <w:rPr>
          <w:rFonts w:ascii="Times New Roman" w:hAnsi="Times New Roman"/>
          <w:i/>
          <w:iCs/>
          <w:kern w:val="2"/>
          <w:sz w:val="24"/>
          <w:szCs w:val="24"/>
          <w14:ligatures w14:val="standardContextual"/>
        </w:rPr>
        <w:t>Ozone Protection and Synthetic Greenhouse Gas Management Regulations 1995</w:t>
      </w:r>
      <w:r w:rsidRPr="00ED143A">
        <w:rPr>
          <w:rFonts w:ascii="Times New Roman" w:hAnsi="Times New Roman"/>
          <w:kern w:val="2"/>
          <w:sz w:val="24"/>
          <w:szCs w:val="24"/>
          <w14:ligatures w14:val="standardContextual"/>
        </w:rPr>
        <w:t xml:space="preserve"> (OPSGGM Regulations) </w:t>
      </w:r>
      <w:r w:rsidRPr="00ED143A">
        <w:rPr>
          <w:rFonts w:ascii="Times New Roman" w:eastAsia="Times New Roman" w:hAnsi="Times New Roman"/>
          <w:kern w:val="2"/>
          <w:sz w:val="24"/>
          <w:szCs w:val="24"/>
          <w14:ligatures w14:val="standardContextual"/>
        </w:rPr>
        <w:t xml:space="preserve">implement Australia’s international obligations under the </w:t>
      </w:r>
      <w:r w:rsidRPr="00ED143A">
        <w:rPr>
          <w:rFonts w:ascii="Times New Roman" w:eastAsia="Times New Roman" w:hAnsi="Times New Roman"/>
          <w:i/>
          <w:iCs/>
          <w:kern w:val="2"/>
          <w:sz w:val="24"/>
          <w:szCs w:val="24"/>
          <w14:ligatures w14:val="standardContextual"/>
        </w:rPr>
        <w:t>Vienna Convention for the Protection of the Ozone Layer</w:t>
      </w:r>
      <w:r w:rsidRPr="00ED143A">
        <w:rPr>
          <w:rFonts w:ascii="Times New Roman" w:eastAsia="Times New Roman" w:hAnsi="Times New Roman"/>
          <w:kern w:val="2"/>
          <w:sz w:val="24"/>
          <w:szCs w:val="24"/>
          <w14:ligatures w14:val="standardContextual"/>
        </w:rPr>
        <w:t xml:space="preserve">, its </w:t>
      </w:r>
      <w:r w:rsidRPr="00ED143A">
        <w:rPr>
          <w:rFonts w:ascii="Times New Roman" w:eastAsia="Times New Roman" w:hAnsi="Times New Roman"/>
          <w:i/>
          <w:iCs/>
          <w:kern w:val="2"/>
          <w:sz w:val="24"/>
          <w:szCs w:val="24"/>
          <w14:ligatures w14:val="standardContextual"/>
        </w:rPr>
        <w:t>Montreal Protocol on Substances that Deplete the Ozone Layer</w:t>
      </w:r>
      <w:r w:rsidRPr="00ED143A">
        <w:rPr>
          <w:rFonts w:ascii="Times New Roman" w:eastAsia="Times New Roman" w:hAnsi="Times New Roman"/>
          <w:kern w:val="2"/>
          <w:sz w:val="24"/>
          <w:szCs w:val="24"/>
          <w14:ligatures w14:val="standardContextual"/>
        </w:rPr>
        <w:t xml:space="preserve"> and the </w:t>
      </w:r>
      <w:r w:rsidRPr="00ED143A">
        <w:rPr>
          <w:rFonts w:ascii="Times New Roman" w:eastAsia="Times New Roman" w:hAnsi="Times New Roman"/>
          <w:i/>
          <w:iCs/>
          <w:kern w:val="2"/>
          <w:sz w:val="24"/>
          <w:szCs w:val="24"/>
          <w14:ligatures w14:val="standardContextual"/>
        </w:rPr>
        <w:t>United Nations Framework Convention on Climate Change</w:t>
      </w:r>
      <w:r w:rsidR="00CB34FC">
        <w:rPr>
          <w:rFonts w:ascii="Times New Roman" w:eastAsia="Times New Roman" w:hAnsi="Times New Roman"/>
          <w:kern w:val="2"/>
          <w:sz w:val="24"/>
          <w:szCs w:val="24"/>
          <w14:ligatures w14:val="standardContextual"/>
        </w:rPr>
        <w:t xml:space="preserve">, </w:t>
      </w:r>
      <w:r w:rsidRPr="00ED143A">
        <w:rPr>
          <w:rFonts w:ascii="Times New Roman" w:eastAsia="Times New Roman" w:hAnsi="Times New Roman"/>
          <w:kern w:val="2"/>
          <w:sz w:val="24"/>
          <w:szCs w:val="24"/>
          <w14:ligatures w14:val="standardContextual"/>
        </w:rPr>
        <w:t>through the control of the import, export, manufacture and use of substances covered by the OPSGGM Act</w:t>
      </w:r>
      <w:r w:rsidRPr="00ED143A">
        <w:rPr>
          <w:rFonts w:ascii="Times New Roman" w:eastAsia="Times New Roman" w:hAnsi="Times New Roman" w:cs="Times New Roman"/>
          <w:sz w:val="24"/>
          <w:szCs w:val="24"/>
          <w:lang w:eastAsia="en-AU"/>
        </w:rPr>
        <w:t>.</w:t>
      </w:r>
    </w:p>
    <w:p w14:paraId="11F52488" w14:textId="77777777" w:rsidR="00ED143A" w:rsidRDefault="00ED143A" w:rsidP="00ED143A">
      <w:pPr>
        <w:spacing w:after="0" w:line="240" w:lineRule="auto"/>
        <w:rPr>
          <w:rFonts w:ascii="Times New Roman" w:eastAsia="Times New Roman" w:hAnsi="Times New Roman" w:cs="Times New Roman"/>
          <w:sz w:val="24"/>
          <w:szCs w:val="24"/>
          <w:lang w:eastAsia="en-AU"/>
        </w:rPr>
      </w:pPr>
    </w:p>
    <w:p w14:paraId="21DE6575" w14:textId="086823AE" w:rsidR="00ED143A" w:rsidRDefault="00ED143A" w:rsidP="00ED143A">
      <w:pPr>
        <w:spacing w:after="0" w:line="240" w:lineRule="auto"/>
        <w:rPr>
          <w:rFonts w:ascii="Times New Roman" w:hAnsi="Times New Roman" w:cs="Times New Roman"/>
          <w:sz w:val="24"/>
          <w:szCs w:val="24"/>
        </w:rPr>
      </w:pPr>
      <w:r w:rsidRPr="00173377">
        <w:rPr>
          <w:rFonts w:ascii="Times New Roman" w:hAnsi="Times New Roman" w:cs="Times New Roman"/>
          <w:sz w:val="24"/>
          <w:szCs w:val="24"/>
        </w:rPr>
        <w:t xml:space="preserve">Section 70 of </w:t>
      </w:r>
      <w:r>
        <w:rPr>
          <w:rFonts w:ascii="Times New Roman" w:hAnsi="Times New Roman" w:cs="Times New Roman"/>
          <w:sz w:val="24"/>
          <w:szCs w:val="24"/>
        </w:rPr>
        <w:t xml:space="preserve">the </w:t>
      </w:r>
      <w:r w:rsidR="00897905">
        <w:rPr>
          <w:rFonts w:ascii="Times New Roman" w:hAnsi="Times New Roman" w:cs="Times New Roman"/>
          <w:sz w:val="24"/>
          <w:szCs w:val="24"/>
        </w:rPr>
        <w:t xml:space="preserve">OPSGGM </w:t>
      </w:r>
      <w:r>
        <w:rPr>
          <w:rFonts w:ascii="Times New Roman" w:hAnsi="Times New Roman" w:cs="Times New Roman"/>
          <w:sz w:val="24"/>
          <w:szCs w:val="24"/>
        </w:rPr>
        <w:t>Act</w:t>
      </w:r>
      <w:r w:rsidRPr="00173377">
        <w:rPr>
          <w:rFonts w:ascii="Times New Roman" w:hAnsi="Times New Roman" w:cs="Times New Roman"/>
          <w:sz w:val="24"/>
          <w:szCs w:val="24"/>
        </w:rPr>
        <w:t xml:space="preserve"> provides that the Governor-General may make regulations required or permitted by the Act or that are necessary or convenient to be prescribed for carrying out or giving effect to the Act</w:t>
      </w:r>
      <w:r>
        <w:rPr>
          <w:rFonts w:ascii="Times New Roman" w:hAnsi="Times New Roman" w:cs="Times New Roman"/>
          <w:sz w:val="24"/>
          <w:szCs w:val="24"/>
        </w:rPr>
        <w:t>.</w:t>
      </w:r>
    </w:p>
    <w:p w14:paraId="7878738C" w14:textId="77777777" w:rsidR="00ED143A" w:rsidRDefault="00ED143A" w:rsidP="00ED143A">
      <w:pPr>
        <w:spacing w:after="0" w:line="240" w:lineRule="auto"/>
        <w:rPr>
          <w:rFonts w:ascii="Times New Roman" w:hAnsi="Times New Roman" w:cs="Times New Roman"/>
          <w:sz w:val="24"/>
          <w:szCs w:val="24"/>
        </w:rPr>
      </w:pPr>
    </w:p>
    <w:p w14:paraId="2FF9BF01" w14:textId="54703806" w:rsidR="00ED143A" w:rsidRDefault="00ED143A" w:rsidP="00ED143A">
      <w:pPr>
        <w:rPr>
          <w:rFonts w:ascii="Times New Roman" w:hAnsi="Times New Roman" w:cs="Times New Roman"/>
          <w:sz w:val="24"/>
          <w:szCs w:val="24"/>
        </w:rPr>
      </w:pPr>
      <w:r>
        <w:rPr>
          <w:rFonts w:ascii="Times New Roman" w:hAnsi="Times New Roman" w:cs="Times New Roman"/>
          <w:sz w:val="24"/>
          <w:szCs w:val="24"/>
        </w:rPr>
        <w:t xml:space="preserve">The </w:t>
      </w:r>
      <w:r w:rsidR="00897905" w:rsidRPr="009F2F53">
        <w:rPr>
          <w:rFonts w:ascii="Times New Roman" w:hAnsi="Times New Roman" w:cs="Times New Roman"/>
          <w:i/>
          <w:iCs/>
          <w:sz w:val="24"/>
          <w:szCs w:val="24"/>
        </w:rPr>
        <w:t>Ozone Protection and Synthetic Greenhouse Gas</w:t>
      </w:r>
      <w:r w:rsidR="00897905">
        <w:rPr>
          <w:rFonts w:ascii="Times New Roman" w:hAnsi="Times New Roman" w:cs="Times New Roman"/>
          <w:i/>
          <w:iCs/>
          <w:sz w:val="24"/>
          <w:szCs w:val="24"/>
        </w:rPr>
        <w:t xml:space="preserve"> Management Amendment (2024 Measures No.1)</w:t>
      </w:r>
      <w:r w:rsidR="00897905" w:rsidRPr="009F2F53">
        <w:rPr>
          <w:rFonts w:ascii="Times New Roman" w:hAnsi="Times New Roman" w:cs="Times New Roman"/>
          <w:i/>
          <w:iCs/>
          <w:sz w:val="24"/>
          <w:szCs w:val="24"/>
        </w:rPr>
        <w:t xml:space="preserve"> Regulations 202</w:t>
      </w:r>
      <w:r w:rsidR="00897905">
        <w:rPr>
          <w:rFonts w:ascii="Times New Roman" w:hAnsi="Times New Roman" w:cs="Times New Roman"/>
          <w:i/>
          <w:iCs/>
          <w:sz w:val="24"/>
          <w:szCs w:val="24"/>
        </w:rPr>
        <w:t>4</w:t>
      </w:r>
      <w:r w:rsidR="00897905">
        <w:rPr>
          <w:rFonts w:ascii="Times New Roman" w:hAnsi="Times New Roman" w:cs="Times New Roman"/>
          <w:sz w:val="24"/>
          <w:szCs w:val="24"/>
        </w:rPr>
        <w:t xml:space="preserve"> (the Amendment Regulations) is </w:t>
      </w:r>
      <w:r w:rsidR="00897905" w:rsidRPr="008344C2">
        <w:rPr>
          <w:rFonts w:ascii="Times New Roman" w:hAnsi="Times New Roman" w:cs="Times New Roman"/>
          <w:sz w:val="24"/>
          <w:szCs w:val="24"/>
        </w:rPr>
        <w:t xml:space="preserve">to </w:t>
      </w:r>
      <w:r w:rsidR="00897905">
        <w:rPr>
          <w:rFonts w:ascii="Times New Roman" w:hAnsi="Times New Roman" w:cs="Times New Roman"/>
          <w:sz w:val="24"/>
          <w:szCs w:val="24"/>
        </w:rPr>
        <w:t>amend the OPSGGM Regulations t</w:t>
      </w:r>
      <w:r>
        <w:rPr>
          <w:rFonts w:ascii="Times New Roman" w:hAnsi="Times New Roman" w:cs="Times New Roman"/>
          <w:sz w:val="24"/>
          <w:szCs w:val="24"/>
        </w:rPr>
        <w:t>o:</w:t>
      </w:r>
    </w:p>
    <w:p w14:paraId="1B216873" w14:textId="77777777" w:rsidR="00ED143A" w:rsidRPr="00024830" w:rsidRDefault="00ED143A" w:rsidP="00ED143A">
      <w:pPr>
        <w:numPr>
          <w:ilvl w:val="0"/>
          <w:numId w:val="1"/>
        </w:numPr>
        <w:contextualSpacing/>
        <w:rPr>
          <w:rFonts w:ascii="Times New Roman" w:hAnsi="Times New Roman" w:cs="Times New Roman"/>
          <w:sz w:val="24"/>
          <w:szCs w:val="24"/>
        </w:rPr>
      </w:pPr>
      <w:r w:rsidRPr="00024830">
        <w:rPr>
          <w:rFonts w:ascii="Times New Roman" w:hAnsi="Times New Roman" w:cs="Times New Roman"/>
          <w:sz w:val="24"/>
          <w:szCs w:val="24"/>
        </w:rPr>
        <w:t xml:space="preserve">prohibit, from 1 July 2024, the import and manufacture of small </w:t>
      </w:r>
      <w:r w:rsidRPr="00E13A2D">
        <w:rPr>
          <w:rFonts w:ascii="Times New Roman" w:hAnsi="Times New Roman" w:cs="Times New Roman"/>
          <w:sz w:val="24"/>
          <w:szCs w:val="24"/>
        </w:rPr>
        <w:t>synthetic greenhouse gas (SGG)</w:t>
      </w:r>
      <w:r>
        <w:rPr>
          <w:rFonts w:ascii="Times New Roman" w:hAnsi="Times New Roman" w:cs="Times New Roman"/>
          <w:sz w:val="24"/>
          <w:szCs w:val="24"/>
        </w:rPr>
        <w:t xml:space="preserve"> </w:t>
      </w:r>
      <w:r w:rsidRPr="00024830">
        <w:rPr>
          <w:rFonts w:ascii="Times New Roman" w:hAnsi="Times New Roman" w:cs="Times New Roman"/>
          <w:sz w:val="24"/>
          <w:szCs w:val="24"/>
        </w:rPr>
        <w:t xml:space="preserve">air conditioning equipment </w:t>
      </w:r>
      <w:r>
        <w:rPr>
          <w:rFonts w:ascii="Times New Roman" w:hAnsi="Times New Roman" w:cs="Times New Roman"/>
          <w:sz w:val="24"/>
          <w:szCs w:val="24"/>
        </w:rPr>
        <w:t xml:space="preserve">containing or </w:t>
      </w:r>
      <w:r w:rsidRPr="00995778">
        <w:rPr>
          <w:rFonts w:ascii="Times New Roman" w:hAnsi="Times New Roman" w:cs="Times New Roman"/>
          <w:sz w:val="24"/>
          <w:szCs w:val="24"/>
        </w:rPr>
        <w:t>using a</w:t>
      </w:r>
      <w:r>
        <w:rPr>
          <w:rFonts w:ascii="Times New Roman" w:hAnsi="Times New Roman" w:cs="Times New Roman"/>
          <w:sz w:val="24"/>
          <w:szCs w:val="24"/>
        </w:rPr>
        <w:t xml:space="preserve"> h</w:t>
      </w:r>
      <w:r w:rsidRPr="00D52962">
        <w:rPr>
          <w:rFonts w:ascii="Times New Roman" w:hAnsi="Times New Roman" w:cs="Times New Roman"/>
          <w:sz w:val="24"/>
          <w:szCs w:val="24"/>
        </w:rPr>
        <w:t>ydrofluorocarbon</w:t>
      </w:r>
      <w:r>
        <w:rPr>
          <w:rFonts w:ascii="Times New Roman" w:hAnsi="Times New Roman" w:cs="Times New Roman"/>
          <w:sz w:val="24"/>
          <w:szCs w:val="24"/>
        </w:rPr>
        <w:t xml:space="preserve"> (HFC)</w:t>
      </w:r>
      <w:r w:rsidRPr="00995778">
        <w:rPr>
          <w:rFonts w:ascii="Times New Roman" w:hAnsi="Times New Roman" w:cs="Times New Roman"/>
          <w:sz w:val="24"/>
          <w:szCs w:val="24"/>
        </w:rPr>
        <w:t xml:space="preserve"> with a global warming potential (GWP) over 750 </w:t>
      </w:r>
      <w:r w:rsidRPr="00024830">
        <w:rPr>
          <w:rFonts w:ascii="Times New Roman" w:hAnsi="Times New Roman" w:cs="Times New Roman"/>
          <w:sz w:val="24"/>
          <w:szCs w:val="24"/>
        </w:rPr>
        <w:t xml:space="preserve">without a </w:t>
      </w:r>
      <w:proofErr w:type="gramStart"/>
      <w:r w:rsidRPr="00024830">
        <w:rPr>
          <w:rFonts w:ascii="Times New Roman" w:hAnsi="Times New Roman" w:cs="Times New Roman"/>
          <w:sz w:val="24"/>
          <w:szCs w:val="24"/>
        </w:rPr>
        <w:t>licence;</w:t>
      </w:r>
      <w:proofErr w:type="gramEnd"/>
      <w:r w:rsidRPr="00024830">
        <w:rPr>
          <w:rFonts w:ascii="Times New Roman" w:hAnsi="Times New Roman" w:cs="Times New Roman"/>
          <w:sz w:val="24"/>
          <w:szCs w:val="24"/>
        </w:rPr>
        <w:t xml:space="preserve"> </w:t>
      </w:r>
    </w:p>
    <w:p w14:paraId="6BB0CA82" w14:textId="77777777" w:rsidR="00ED143A" w:rsidRPr="00024830" w:rsidRDefault="00ED143A" w:rsidP="00ED143A">
      <w:pPr>
        <w:ind w:left="780"/>
        <w:contextualSpacing/>
        <w:rPr>
          <w:rFonts w:ascii="Times New Roman" w:hAnsi="Times New Roman" w:cs="Times New Roman"/>
          <w:sz w:val="24"/>
          <w:szCs w:val="24"/>
        </w:rPr>
      </w:pPr>
    </w:p>
    <w:p w14:paraId="7855C90C" w14:textId="77777777" w:rsidR="00ED143A" w:rsidRPr="00024830" w:rsidRDefault="00ED143A" w:rsidP="00ED143A">
      <w:pPr>
        <w:numPr>
          <w:ilvl w:val="0"/>
          <w:numId w:val="1"/>
        </w:numPr>
        <w:contextualSpacing/>
        <w:rPr>
          <w:rFonts w:ascii="Times New Roman" w:hAnsi="Times New Roman" w:cs="Times New Roman"/>
          <w:sz w:val="24"/>
          <w:szCs w:val="24"/>
        </w:rPr>
      </w:pPr>
      <w:r w:rsidRPr="00024830">
        <w:rPr>
          <w:rFonts w:ascii="Times New Roman" w:hAnsi="Times New Roman" w:cs="Times New Roman"/>
          <w:sz w:val="24"/>
          <w:szCs w:val="24"/>
        </w:rPr>
        <w:t xml:space="preserve">prohibit, from 1 July 2025, the import and manufacture of multi-head small SGG air conditioning equipment </w:t>
      </w:r>
      <w:r>
        <w:rPr>
          <w:rFonts w:ascii="Times New Roman" w:hAnsi="Times New Roman" w:cs="Times New Roman"/>
          <w:sz w:val="24"/>
          <w:szCs w:val="24"/>
        </w:rPr>
        <w:t xml:space="preserve">containing or </w:t>
      </w:r>
      <w:r w:rsidRPr="004C63F4">
        <w:rPr>
          <w:rFonts w:ascii="Times New Roman" w:hAnsi="Times New Roman" w:cs="Times New Roman"/>
          <w:sz w:val="24"/>
          <w:szCs w:val="24"/>
        </w:rPr>
        <w:t>using a</w:t>
      </w:r>
      <w:r>
        <w:rPr>
          <w:rFonts w:ascii="Times New Roman" w:hAnsi="Times New Roman" w:cs="Times New Roman"/>
          <w:sz w:val="24"/>
          <w:szCs w:val="24"/>
        </w:rPr>
        <w:t>n HFC</w:t>
      </w:r>
      <w:r w:rsidRPr="004C63F4">
        <w:rPr>
          <w:rFonts w:ascii="Times New Roman" w:hAnsi="Times New Roman" w:cs="Times New Roman"/>
          <w:sz w:val="24"/>
          <w:szCs w:val="24"/>
        </w:rPr>
        <w:t xml:space="preserve"> with a GWP over 750 </w:t>
      </w:r>
      <w:r w:rsidRPr="00024830">
        <w:rPr>
          <w:rFonts w:ascii="Times New Roman" w:hAnsi="Times New Roman" w:cs="Times New Roman"/>
          <w:sz w:val="24"/>
          <w:szCs w:val="24"/>
        </w:rPr>
        <w:t xml:space="preserve">without a </w:t>
      </w:r>
      <w:proofErr w:type="gramStart"/>
      <w:r w:rsidRPr="00024830">
        <w:rPr>
          <w:rFonts w:ascii="Times New Roman" w:hAnsi="Times New Roman" w:cs="Times New Roman"/>
          <w:sz w:val="24"/>
          <w:szCs w:val="24"/>
        </w:rPr>
        <w:t>licence;</w:t>
      </w:r>
      <w:proofErr w:type="gramEnd"/>
    </w:p>
    <w:p w14:paraId="0E0EB9E3" w14:textId="77777777" w:rsidR="00ED143A" w:rsidRPr="00024830" w:rsidRDefault="00ED143A" w:rsidP="00ED143A">
      <w:pPr>
        <w:ind w:left="780"/>
        <w:contextualSpacing/>
        <w:rPr>
          <w:rFonts w:ascii="Times New Roman" w:hAnsi="Times New Roman" w:cs="Times New Roman"/>
          <w:sz w:val="24"/>
          <w:szCs w:val="24"/>
        </w:rPr>
      </w:pPr>
    </w:p>
    <w:p w14:paraId="65FDFBED" w14:textId="77777777" w:rsidR="00ED143A" w:rsidRPr="00024830" w:rsidRDefault="00ED143A" w:rsidP="00ED143A">
      <w:pPr>
        <w:numPr>
          <w:ilvl w:val="0"/>
          <w:numId w:val="1"/>
        </w:numPr>
        <w:contextualSpacing/>
        <w:rPr>
          <w:rFonts w:ascii="Times New Roman" w:hAnsi="Times New Roman" w:cs="Times New Roman"/>
          <w:sz w:val="24"/>
          <w:szCs w:val="24"/>
        </w:rPr>
      </w:pPr>
      <w:r w:rsidRPr="00024830">
        <w:rPr>
          <w:rFonts w:ascii="Times New Roman" w:hAnsi="Times New Roman" w:cs="Times New Roman"/>
          <w:sz w:val="24"/>
          <w:szCs w:val="24"/>
        </w:rPr>
        <w:t>prescribe additional criteria for equipment licences for the import or manufacture of small SGG air conditioning equipment (from 1 July 2024) and multi-head small SGG air conditioning equipment (from 1 July 2025</w:t>
      </w:r>
      <w:proofErr w:type="gramStart"/>
      <w:r w:rsidRPr="00024830">
        <w:rPr>
          <w:rFonts w:ascii="Times New Roman" w:hAnsi="Times New Roman" w:cs="Times New Roman"/>
          <w:sz w:val="24"/>
          <w:szCs w:val="24"/>
        </w:rPr>
        <w:t>);</w:t>
      </w:r>
      <w:proofErr w:type="gramEnd"/>
    </w:p>
    <w:p w14:paraId="5BB6915B" w14:textId="77777777" w:rsidR="00ED143A" w:rsidRPr="00024830" w:rsidRDefault="00ED143A" w:rsidP="00ED143A">
      <w:pPr>
        <w:ind w:left="720"/>
        <w:contextualSpacing/>
        <w:rPr>
          <w:rFonts w:ascii="Times New Roman" w:hAnsi="Times New Roman" w:cs="Times New Roman"/>
          <w:sz w:val="24"/>
          <w:szCs w:val="24"/>
        </w:rPr>
      </w:pPr>
    </w:p>
    <w:p w14:paraId="05F33D3C" w14:textId="77777777" w:rsidR="00ED143A" w:rsidRPr="00024830" w:rsidRDefault="00ED143A" w:rsidP="00ED143A">
      <w:pPr>
        <w:numPr>
          <w:ilvl w:val="0"/>
          <w:numId w:val="1"/>
        </w:numPr>
        <w:contextualSpacing/>
        <w:rPr>
          <w:rFonts w:ascii="Times New Roman" w:hAnsi="Times New Roman" w:cs="Times New Roman"/>
          <w:sz w:val="24"/>
          <w:szCs w:val="24"/>
        </w:rPr>
      </w:pPr>
      <w:r w:rsidRPr="00024830">
        <w:rPr>
          <w:rFonts w:ascii="Times New Roman" w:hAnsi="Times New Roman" w:cs="Times New Roman"/>
          <w:sz w:val="24"/>
          <w:szCs w:val="24"/>
        </w:rPr>
        <w:t xml:space="preserve">modernise the drafting of the offence provisions in the Principal Regulations, including clarifying when an offence provision is strict </w:t>
      </w:r>
      <w:proofErr w:type="gramStart"/>
      <w:r w:rsidRPr="00024830">
        <w:rPr>
          <w:rFonts w:ascii="Times New Roman" w:hAnsi="Times New Roman" w:cs="Times New Roman"/>
          <w:sz w:val="24"/>
          <w:szCs w:val="24"/>
        </w:rPr>
        <w:t>liability;</w:t>
      </w:r>
      <w:proofErr w:type="gramEnd"/>
      <w:r w:rsidRPr="00024830">
        <w:rPr>
          <w:rFonts w:ascii="Times New Roman" w:hAnsi="Times New Roman" w:cs="Times New Roman"/>
          <w:sz w:val="24"/>
          <w:szCs w:val="24"/>
        </w:rPr>
        <w:t xml:space="preserve"> </w:t>
      </w:r>
    </w:p>
    <w:p w14:paraId="5F80CCDC" w14:textId="77777777" w:rsidR="00ED143A" w:rsidRPr="00024830" w:rsidRDefault="00ED143A" w:rsidP="00ED143A">
      <w:pPr>
        <w:ind w:left="780"/>
        <w:contextualSpacing/>
        <w:rPr>
          <w:rFonts w:ascii="Times New Roman" w:hAnsi="Times New Roman" w:cs="Times New Roman"/>
          <w:sz w:val="24"/>
          <w:szCs w:val="24"/>
        </w:rPr>
      </w:pPr>
    </w:p>
    <w:p w14:paraId="6B3FF840" w14:textId="77777777" w:rsidR="00ED143A" w:rsidRPr="00024830" w:rsidRDefault="00ED143A" w:rsidP="00ED143A">
      <w:pPr>
        <w:numPr>
          <w:ilvl w:val="0"/>
          <w:numId w:val="1"/>
        </w:numPr>
        <w:contextualSpacing/>
        <w:rPr>
          <w:rFonts w:ascii="Times New Roman" w:hAnsi="Times New Roman" w:cs="Times New Roman"/>
          <w:sz w:val="24"/>
          <w:szCs w:val="24"/>
        </w:rPr>
      </w:pPr>
      <w:r w:rsidRPr="00024830">
        <w:rPr>
          <w:rFonts w:ascii="Times New Roman" w:hAnsi="Times New Roman" w:cs="Times New Roman"/>
          <w:sz w:val="24"/>
          <w:szCs w:val="24"/>
        </w:rPr>
        <w:t xml:space="preserve">increase the penalties for offences from 10 penalty units to 50 penalty </w:t>
      </w:r>
      <w:proofErr w:type="gramStart"/>
      <w:r w:rsidRPr="00024830">
        <w:rPr>
          <w:rFonts w:ascii="Times New Roman" w:hAnsi="Times New Roman" w:cs="Times New Roman"/>
          <w:sz w:val="24"/>
          <w:szCs w:val="24"/>
        </w:rPr>
        <w:t>units;</w:t>
      </w:r>
      <w:proofErr w:type="gramEnd"/>
      <w:r w:rsidRPr="00024830">
        <w:rPr>
          <w:rFonts w:ascii="Times New Roman" w:hAnsi="Times New Roman" w:cs="Times New Roman"/>
          <w:sz w:val="24"/>
          <w:szCs w:val="24"/>
        </w:rPr>
        <w:t xml:space="preserve"> </w:t>
      </w:r>
    </w:p>
    <w:p w14:paraId="10239169" w14:textId="77777777" w:rsidR="00ED143A" w:rsidRPr="00024830" w:rsidRDefault="00ED143A" w:rsidP="00ED143A">
      <w:pPr>
        <w:ind w:left="780"/>
        <w:contextualSpacing/>
        <w:rPr>
          <w:rFonts w:ascii="Times New Roman" w:hAnsi="Times New Roman" w:cs="Times New Roman"/>
          <w:sz w:val="24"/>
          <w:szCs w:val="24"/>
        </w:rPr>
      </w:pPr>
    </w:p>
    <w:p w14:paraId="3F8E1AD3" w14:textId="77777777" w:rsidR="00ED143A" w:rsidRPr="00024830" w:rsidRDefault="00ED143A" w:rsidP="00ED143A">
      <w:pPr>
        <w:numPr>
          <w:ilvl w:val="0"/>
          <w:numId w:val="1"/>
        </w:numPr>
        <w:contextualSpacing/>
        <w:rPr>
          <w:rFonts w:ascii="Times New Roman" w:hAnsi="Times New Roman" w:cs="Times New Roman"/>
          <w:sz w:val="24"/>
          <w:szCs w:val="24"/>
        </w:rPr>
      </w:pPr>
      <w:r w:rsidRPr="00024830">
        <w:rPr>
          <w:rFonts w:ascii="Times New Roman" w:hAnsi="Times New Roman" w:cs="Times New Roman"/>
          <w:sz w:val="24"/>
          <w:szCs w:val="24"/>
        </w:rPr>
        <w:t xml:space="preserve">insert a mirror civil penalty provision for each offence in the Principal Regulations. The civil penalty provisions have a maximum civil penalty of 60 penalty </w:t>
      </w:r>
      <w:proofErr w:type="gramStart"/>
      <w:r w:rsidRPr="00024830">
        <w:rPr>
          <w:rFonts w:ascii="Times New Roman" w:hAnsi="Times New Roman" w:cs="Times New Roman"/>
          <w:sz w:val="24"/>
          <w:szCs w:val="24"/>
        </w:rPr>
        <w:t>units;</w:t>
      </w:r>
      <w:proofErr w:type="gramEnd"/>
    </w:p>
    <w:p w14:paraId="49A7D48A" w14:textId="77777777" w:rsidR="00ED143A" w:rsidRPr="00024830" w:rsidRDefault="00ED143A" w:rsidP="00ED143A">
      <w:pPr>
        <w:ind w:left="720"/>
        <w:contextualSpacing/>
        <w:rPr>
          <w:rFonts w:ascii="Times New Roman" w:hAnsi="Times New Roman" w:cs="Times New Roman"/>
          <w:sz w:val="24"/>
          <w:szCs w:val="24"/>
        </w:rPr>
      </w:pPr>
    </w:p>
    <w:p w14:paraId="55F47323" w14:textId="12A1BC9B" w:rsidR="00ED143A" w:rsidRPr="00897905" w:rsidRDefault="00ED143A" w:rsidP="00897905">
      <w:pPr>
        <w:numPr>
          <w:ilvl w:val="0"/>
          <w:numId w:val="1"/>
        </w:numPr>
        <w:contextualSpacing/>
        <w:rPr>
          <w:rFonts w:ascii="Times New Roman" w:hAnsi="Times New Roman" w:cs="Times New Roman"/>
          <w:sz w:val="24"/>
          <w:szCs w:val="24"/>
        </w:rPr>
      </w:pPr>
      <w:r w:rsidRPr="00024830">
        <w:rPr>
          <w:rFonts w:ascii="Times New Roman" w:hAnsi="Times New Roman" w:cs="Times New Roman"/>
          <w:sz w:val="24"/>
          <w:szCs w:val="24"/>
        </w:rPr>
        <w:t>provide a mechanism to move the list of qualifications, units of competency and standards required for a refrigerant handling licence and an extinguishing agent handling licence from the regulations to a separate legislative instrument made by the Minister; and</w:t>
      </w:r>
    </w:p>
    <w:p w14:paraId="18B5EB20" w14:textId="77777777" w:rsidR="00897905" w:rsidRDefault="00897905" w:rsidP="00897905">
      <w:pPr>
        <w:ind w:left="780"/>
        <w:contextualSpacing/>
        <w:rPr>
          <w:rFonts w:ascii="Times New Roman" w:hAnsi="Times New Roman" w:cs="Times New Roman"/>
          <w:sz w:val="24"/>
          <w:szCs w:val="24"/>
        </w:rPr>
      </w:pPr>
    </w:p>
    <w:p w14:paraId="4F59D1A2" w14:textId="61CD36A3" w:rsidR="00ED143A" w:rsidRDefault="00ED143A" w:rsidP="00ED143A">
      <w:pPr>
        <w:numPr>
          <w:ilvl w:val="0"/>
          <w:numId w:val="1"/>
        </w:numPr>
        <w:contextualSpacing/>
        <w:rPr>
          <w:rFonts w:ascii="Times New Roman" w:hAnsi="Times New Roman" w:cs="Times New Roman"/>
          <w:sz w:val="24"/>
          <w:szCs w:val="24"/>
        </w:rPr>
      </w:pPr>
      <w:r w:rsidRPr="00ED143A">
        <w:rPr>
          <w:rFonts w:ascii="Times New Roman" w:hAnsi="Times New Roman" w:cs="Times New Roman"/>
          <w:sz w:val="24"/>
          <w:szCs w:val="24"/>
        </w:rPr>
        <w:t>impose a fee for special circumstances exemptions in the refrigeration and air conditioning context and increase the same fee in the fire protection context.</w:t>
      </w:r>
    </w:p>
    <w:p w14:paraId="167A3C03" w14:textId="77777777" w:rsidR="00897905" w:rsidRDefault="00897905" w:rsidP="00897905">
      <w:pPr>
        <w:contextualSpacing/>
        <w:rPr>
          <w:rFonts w:ascii="Times New Roman" w:hAnsi="Times New Roman" w:cs="Times New Roman"/>
          <w:sz w:val="24"/>
          <w:szCs w:val="24"/>
        </w:rPr>
      </w:pPr>
    </w:p>
    <w:p w14:paraId="76A3BFAD" w14:textId="6E417511" w:rsidR="00897905" w:rsidRDefault="00897905" w:rsidP="00897905">
      <w:pPr>
        <w:rPr>
          <w:rFonts w:ascii="Times New Roman" w:hAnsi="Times New Roman" w:cs="Times New Roman"/>
          <w:sz w:val="24"/>
          <w:szCs w:val="24"/>
        </w:rPr>
      </w:pPr>
      <w:r>
        <w:rPr>
          <w:rFonts w:ascii="Times New Roman" w:hAnsi="Times New Roman" w:cs="Times New Roman"/>
          <w:sz w:val="24"/>
          <w:szCs w:val="24"/>
        </w:rPr>
        <w:t xml:space="preserve">The details of the Amendment Regulations are set out in the initial Explanatory Statement. </w:t>
      </w:r>
    </w:p>
    <w:p w14:paraId="41CD28D1" w14:textId="0B54DA8F" w:rsidR="00897905" w:rsidRDefault="00897905" w:rsidP="00897905">
      <w:pPr>
        <w:contextualSpacing/>
        <w:rPr>
          <w:rFonts w:ascii="Times New Roman" w:hAnsi="Times New Roman" w:cs="Times New Roman"/>
          <w:sz w:val="24"/>
          <w:szCs w:val="24"/>
        </w:rPr>
      </w:pPr>
      <w:r>
        <w:rPr>
          <w:rFonts w:ascii="Times New Roman" w:hAnsi="Times New Roman" w:cs="Times New Roman"/>
          <w:sz w:val="24"/>
          <w:szCs w:val="24"/>
        </w:rPr>
        <w:t>The purpose of this Supplementary Explanatory Statement is to provide additional information relating to the application of sunsetting and disallowance requirements</w:t>
      </w:r>
      <w:r w:rsidR="00B826F1">
        <w:rPr>
          <w:rFonts w:ascii="Times New Roman" w:hAnsi="Times New Roman" w:cs="Times New Roman"/>
          <w:sz w:val="24"/>
          <w:szCs w:val="24"/>
        </w:rPr>
        <w:t xml:space="preserve"> to the Amendment Regulations</w:t>
      </w:r>
      <w:r w:rsidR="001F3F60">
        <w:rPr>
          <w:rFonts w:ascii="Times New Roman" w:hAnsi="Times New Roman" w:cs="Times New Roman"/>
          <w:sz w:val="24"/>
          <w:szCs w:val="24"/>
        </w:rPr>
        <w:t xml:space="preserve">, </w:t>
      </w:r>
      <w:r w:rsidR="00B826F1">
        <w:rPr>
          <w:rFonts w:ascii="Times New Roman" w:hAnsi="Times New Roman" w:cs="Times New Roman"/>
          <w:sz w:val="24"/>
          <w:szCs w:val="24"/>
        </w:rPr>
        <w:t xml:space="preserve">as well as the amendments relating to </w:t>
      </w:r>
      <w:r w:rsidR="001F3F60">
        <w:rPr>
          <w:rFonts w:ascii="Times New Roman" w:hAnsi="Times New Roman" w:cs="Times New Roman"/>
          <w:sz w:val="24"/>
          <w:szCs w:val="24"/>
        </w:rPr>
        <w:t xml:space="preserve">exceptional circumstances for granting certain equipment licences, and conditions on halon special </w:t>
      </w:r>
      <w:r w:rsidR="00B826F1">
        <w:rPr>
          <w:rFonts w:ascii="Times New Roman" w:hAnsi="Times New Roman" w:cs="Times New Roman"/>
          <w:sz w:val="24"/>
          <w:szCs w:val="24"/>
        </w:rPr>
        <w:t>permits</w:t>
      </w:r>
      <w:r>
        <w:rPr>
          <w:rFonts w:ascii="Times New Roman" w:hAnsi="Times New Roman" w:cs="Times New Roman"/>
          <w:sz w:val="24"/>
          <w:szCs w:val="24"/>
        </w:rPr>
        <w:t>.</w:t>
      </w:r>
    </w:p>
    <w:p w14:paraId="0AA22937" w14:textId="77777777" w:rsidR="00897905" w:rsidRDefault="00897905" w:rsidP="00897905">
      <w:pPr>
        <w:contextualSpacing/>
        <w:rPr>
          <w:rFonts w:ascii="Times New Roman" w:hAnsi="Times New Roman" w:cs="Times New Roman"/>
          <w:sz w:val="24"/>
          <w:szCs w:val="24"/>
        </w:rPr>
      </w:pPr>
    </w:p>
    <w:p w14:paraId="33CCB28F" w14:textId="2BA5B226" w:rsidR="00897905" w:rsidRPr="00897905" w:rsidRDefault="00897905" w:rsidP="00897905">
      <w:pPr>
        <w:contextualSpacing/>
        <w:rPr>
          <w:rFonts w:ascii="Times New Roman" w:hAnsi="Times New Roman" w:cs="Times New Roman"/>
          <w:b/>
          <w:bCs/>
          <w:sz w:val="24"/>
          <w:szCs w:val="24"/>
        </w:rPr>
      </w:pPr>
      <w:r w:rsidRPr="00897905">
        <w:rPr>
          <w:rFonts w:ascii="Times New Roman" w:hAnsi="Times New Roman" w:cs="Times New Roman"/>
          <w:b/>
          <w:bCs/>
          <w:sz w:val="24"/>
          <w:szCs w:val="24"/>
        </w:rPr>
        <w:t>Sunsetting and disallowance requirements</w:t>
      </w:r>
    </w:p>
    <w:p w14:paraId="1751E046" w14:textId="77777777" w:rsidR="00897905" w:rsidRDefault="00897905" w:rsidP="00897905">
      <w:pPr>
        <w:contextualSpacing/>
        <w:rPr>
          <w:rFonts w:ascii="Times New Roman" w:hAnsi="Times New Roman" w:cs="Times New Roman"/>
          <w:sz w:val="24"/>
          <w:szCs w:val="24"/>
        </w:rPr>
      </w:pPr>
    </w:p>
    <w:p w14:paraId="765815FA" w14:textId="77777777" w:rsidR="00897905" w:rsidRDefault="00897905" w:rsidP="00897905">
      <w:pPr>
        <w:rPr>
          <w:rFonts w:ascii="Times New Roman" w:hAnsi="Times New Roman" w:cs="Times New Roman"/>
          <w:sz w:val="24"/>
          <w:szCs w:val="24"/>
        </w:rPr>
      </w:pPr>
      <w:r>
        <w:rPr>
          <w:rFonts w:ascii="Times New Roman" w:hAnsi="Times New Roman" w:cs="Times New Roman"/>
          <w:sz w:val="24"/>
          <w:szCs w:val="24"/>
        </w:rPr>
        <w:t>T</w:t>
      </w:r>
      <w:r w:rsidRPr="00F76176">
        <w:rPr>
          <w:rFonts w:ascii="Times New Roman" w:hAnsi="Times New Roman" w:cs="Times New Roman"/>
          <w:sz w:val="24"/>
          <w:szCs w:val="24"/>
        </w:rPr>
        <w:t xml:space="preserve">he Amendment Regulations are exempt from sunsetting in accordance with item 1 under section 11 of the </w:t>
      </w:r>
      <w:r w:rsidRPr="00F76176">
        <w:rPr>
          <w:rFonts w:ascii="Times New Roman" w:hAnsi="Times New Roman" w:cs="Times New Roman"/>
          <w:i/>
          <w:iCs/>
          <w:sz w:val="24"/>
          <w:szCs w:val="24"/>
        </w:rPr>
        <w:t>Legislation (Exemptions and Other Matters) Regulation 2015</w:t>
      </w:r>
      <w:r w:rsidRPr="00F76176">
        <w:t xml:space="preserve"> </w:t>
      </w:r>
      <w:r>
        <w:rPr>
          <w:rFonts w:ascii="Times New Roman" w:hAnsi="Times New Roman" w:cs="Times New Roman"/>
          <w:sz w:val="24"/>
          <w:szCs w:val="24"/>
        </w:rPr>
        <w:t>on the basis that</w:t>
      </w:r>
      <w:r w:rsidRPr="00F76176">
        <w:rPr>
          <w:rFonts w:ascii="Times New Roman" w:hAnsi="Times New Roman" w:cs="Times New Roman"/>
          <w:sz w:val="24"/>
          <w:szCs w:val="24"/>
        </w:rPr>
        <w:t xml:space="preserve"> the </w:t>
      </w:r>
      <w:r>
        <w:rPr>
          <w:rFonts w:ascii="Times New Roman" w:hAnsi="Times New Roman" w:cs="Times New Roman"/>
          <w:sz w:val="24"/>
          <w:szCs w:val="24"/>
        </w:rPr>
        <w:t xml:space="preserve">primary purpose of the </w:t>
      </w:r>
      <w:r w:rsidRPr="00F76176">
        <w:rPr>
          <w:rFonts w:ascii="Times New Roman" w:hAnsi="Times New Roman" w:cs="Times New Roman"/>
          <w:sz w:val="24"/>
          <w:szCs w:val="24"/>
        </w:rPr>
        <w:t>Amendment Regulations</w:t>
      </w:r>
      <w:r>
        <w:rPr>
          <w:rFonts w:ascii="Times New Roman" w:hAnsi="Times New Roman" w:cs="Times New Roman"/>
          <w:sz w:val="24"/>
          <w:szCs w:val="24"/>
        </w:rPr>
        <w:t xml:space="preserve"> </w:t>
      </w:r>
      <w:r w:rsidRPr="00F76176">
        <w:rPr>
          <w:rFonts w:ascii="Times New Roman" w:hAnsi="Times New Roman" w:cs="Times New Roman"/>
          <w:sz w:val="24"/>
          <w:szCs w:val="24"/>
        </w:rPr>
        <w:t xml:space="preserve">is to give effect to an international obligation </w:t>
      </w:r>
      <w:r>
        <w:rPr>
          <w:rFonts w:ascii="Times New Roman" w:hAnsi="Times New Roman" w:cs="Times New Roman"/>
          <w:sz w:val="24"/>
          <w:szCs w:val="24"/>
        </w:rPr>
        <w:t xml:space="preserve">in force for </w:t>
      </w:r>
      <w:r w:rsidRPr="00F76176">
        <w:rPr>
          <w:rFonts w:ascii="Times New Roman" w:hAnsi="Times New Roman" w:cs="Times New Roman"/>
          <w:sz w:val="24"/>
          <w:szCs w:val="24"/>
        </w:rPr>
        <w:t xml:space="preserve">Australia. This is an automatic exemption that applies by force of law for instruments that are in the class of legislative instruments as described. The Explanatory Statement to the </w:t>
      </w:r>
      <w:r w:rsidRPr="00897905">
        <w:rPr>
          <w:rFonts w:ascii="Times New Roman" w:hAnsi="Times New Roman" w:cs="Times New Roman"/>
          <w:i/>
          <w:iCs/>
          <w:sz w:val="24"/>
          <w:szCs w:val="24"/>
        </w:rPr>
        <w:t>Legislation (Exemptions and Other Matters) Regulation 2015</w:t>
      </w:r>
      <w:r w:rsidRPr="00F76176">
        <w:rPr>
          <w:rFonts w:ascii="Times New Roman" w:hAnsi="Times New Roman" w:cs="Times New Roman"/>
          <w:sz w:val="24"/>
          <w:szCs w:val="24"/>
        </w:rPr>
        <w:t xml:space="preserve"> explains that it is appropriate to exempt legislative instruments, whose sole or primary purpose is to give effect to an international obligation, from sunsetting. This is because Australia’s international obligations do not cease upon a unilateral sunsetting process</w:t>
      </w:r>
      <w:r>
        <w:rPr>
          <w:rFonts w:ascii="Times New Roman" w:hAnsi="Times New Roman" w:cs="Times New Roman"/>
          <w:sz w:val="24"/>
          <w:szCs w:val="24"/>
        </w:rPr>
        <w:t>.</w:t>
      </w:r>
    </w:p>
    <w:p w14:paraId="3C5110FB" w14:textId="7EC640BE" w:rsidR="00897905" w:rsidRDefault="00897905" w:rsidP="00897905">
      <w:pPr>
        <w:contextualSpacing/>
        <w:rPr>
          <w:rFonts w:ascii="Times New Roman" w:hAnsi="Times New Roman" w:cs="Times New Roman"/>
          <w:sz w:val="24"/>
          <w:szCs w:val="24"/>
        </w:rPr>
      </w:pPr>
      <w:r>
        <w:rPr>
          <w:rFonts w:ascii="Times New Roman" w:hAnsi="Times New Roman" w:cs="Times New Roman"/>
          <w:sz w:val="24"/>
          <w:szCs w:val="24"/>
        </w:rPr>
        <w:t>T</w:t>
      </w:r>
      <w:r w:rsidRPr="00F76176">
        <w:rPr>
          <w:rFonts w:ascii="Times New Roman" w:hAnsi="Times New Roman" w:cs="Times New Roman"/>
          <w:sz w:val="24"/>
          <w:szCs w:val="24"/>
        </w:rPr>
        <w:t>he Amendment Regulations are not exempt from the disallowance process and</w:t>
      </w:r>
      <w:r>
        <w:rPr>
          <w:rFonts w:ascii="Times New Roman" w:hAnsi="Times New Roman" w:cs="Times New Roman"/>
          <w:sz w:val="24"/>
          <w:szCs w:val="24"/>
        </w:rPr>
        <w:t>,</w:t>
      </w:r>
      <w:r w:rsidRPr="00F76176">
        <w:rPr>
          <w:rFonts w:ascii="Times New Roman" w:hAnsi="Times New Roman" w:cs="Times New Roman"/>
          <w:sz w:val="24"/>
          <w:szCs w:val="24"/>
        </w:rPr>
        <w:t xml:space="preserve"> therefore, </w:t>
      </w:r>
      <w:r>
        <w:rPr>
          <w:rFonts w:ascii="Times New Roman" w:hAnsi="Times New Roman" w:cs="Times New Roman"/>
          <w:sz w:val="24"/>
          <w:szCs w:val="24"/>
        </w:rPr>
        <w:t>are</w:t>
      </w:r>
      <w:r w:rsidRPr="00F76176">
        <w:rPr>
          <w:rFonts w:ascii="Times New Roman" w:hAnsi="Times New Roman" w:cs="Times New Roman"/>
          <w:sz w:val="24"/>
          <w:szCs w:val="24"/>
        </w:rPr>
        <w:t xml:space="preserve"> still subject to parliamentary scrutiny</w:t>
      </w:r>
      <w:r>
        <w:rPr>
          <w:rFonts w:ascii="Times New Roman" w:hAnsi="Times New Roman" w:cs="Times New Roman"/>
          <w:sz w:val="24"/>
          <w:szCs w:val="24"/>
        </w:rPr>
        <w:t>.</w:t>
      </w:r>
    </w:p>
    <w:p w14:paraId="6DD082A7" w14:textId="77777777" w:rsidR="00897905" w:rsidRDefault="00897905" w:rsidP="00897905">
      <w:pPr>
        <w:contextualSpacing/>
        <w:rPr>
          <w:rFonts w:ascii="Times New Roman" w:hAnsi="Times New Roman" w:cs="Times New Roman"/>
          <w:sz w:val="24"/>
          <w:szCs w:val="24"/>
        </w:rPr>
      </w:pPr>
    </w:p>
    <w:p w14:paraId="5B045A8C" w14:textId="76923D04" w:rsidR="00897905" w:rsidRPr="00897905" w:rsidRDefault="00897905" w:rsidP="00897905">
      <w:pPr>
        <w:contextualSpacing/>
        <w:rPr>
          <w:rFonts w:ascii="Times New Roman" w:hAnsi="Times New Roman" w:cs="Times New Roman"/>
          <w:b/>
          <w:bCs/>
          <w:sz w:val="24"/>
          <w:szCs w:val="24"/>
        </w:rPr>
      </w:pPr>
      <w:r w:rsidRPr="00897905">
        <w:rPr>
          <w:rFonts w:ascii="Times New Roman" w:hAnsi="Times New Roman" w:cs="Times New Roman"/>
          <w:b/>
          <w:bCs/>
          <w:sz w:val="24"/>
          <w:szCs w:val="24"/>
        </w:rPr>
        <w:t>Exceptional circumstances</w:t>
      </w:r>
    </w:p>
    <w:p w14:paraId="0576C67E" w14:textId="77777777" w:rsidR="00897905" w:rsidRDefault="00897905" w:rsidP="00897905">
      <w:pPr>
        <w:contextualSpacing/>
        <w:rPr>
          <w:rFonts w:ascii="Times New Roman" w:hAnsi="Times New Roman" w:cs="Times New Roman"/>
          <w:sz w:val="24"/>
          <w:szCs w:val="24"/>
        </w:rPr>
      </w:pPr>
    </w:p>
    <w:p w14:paraId="57907D47" w14:textId="7F4735F5" w:rsidR="00897905" w:rsidRDefault="00897905" w:rsidP="00897905">
      <w:pPr>
        <w:contextualSpacing/>
        <w:rPr>
          <w:rFonts w:ascii="Times New Roman" w:hAnsi="Times New Roman" w:cs="Times New Roman"/>
          <w:sz w:val="24"/>
          <w:szCs w:val="24"/>
        </w:rPr>
      </w:pPr>
      <w:r w:rsidRPr="00897905">
        <w:rPr>
          <w:rFonts w:ascii="Times New Roman" w:hAnsi="Times New Roman" w:cs="Times New Roman"/>
          <w:sz w:val="24"/>
          <w:szCs w:val="24"/>
        </w:rPr>
        <w:t xml:space="preserve">Section 16 of the </w:t>
      </w:r>
      <w:r>
        <w:rPr>
          <w:rFonts w:ascii="Times New Roman" w:hAnsi="Times New Roman" w:cs="Times New Roman"/>
          <w:sz w:val="24"/>
          <w:szCs w:val="24"/>
        </w:rPr>
        <w:t xml:space="preserve">OPSGGM </w:t>
      </w:r>
      <w:r w:rsidRPr="00897905">
        <w:rPr>
          <w:rFonts w:ascii="Times New Roman" w:hAnsi="Times New Roman" w:cs="Times New Roman"/>
          <w:sz w:val="24"/>
          <w:szCs w:val="24"/>
        </w:rPr>
        <w:t>Act allows the Minister to grant a</w:t>
      </w:r>
      <w:r>
        <w:rPr>
          <w:rFonts w:ascii="Times New Roman" w:hAnsi="Times New Roman" w:cs="Times New Roman"/>
          <w:sz w:val="24"/>
          <w:szCs w:val="24"/>
        </w:rPr>
        <w:t xml:space="preserve"> </w:t>
      </w:r>
      <w:r w:rsidRPr="00897905">
        <w:rPr>
          <w:rFonts w:ascii="Times New Roman" w:hAnsi="Times New Roman" w:cs="Times New Roman"/>
          <w:sz w:val="24"/>
          <w:szCs w:val="24"/>
        </w:rPr>
        <w:t>licence to a person who has applied for it in accordance with section 14. Under section 14, a person may apply to the Minister for</w:t>
      </w:r>
      <w:r>
        <w:rPr>
          <w:rFonts w:ascii="Times New Roman" w:hAnsi="Times New Roman" w:cs="Times New Roman"/>
          <w:sz w:val="24"/>
          <w:szCs w:val="24"/>
        </w:rPr>
        <w:t>, relevantly</w:t>
      </w:r>
      <w:r w:rsidR="005A59C8">
        <w:rPr>
          <w:rFonts w:ascii="Times New Roman" w:hAnsi="Times New Roman" w:cs="Times New Roman"/>
          <w:sz w:val="24"/>
          <w:szCs w:val="24"/>
        </w:rPr>
        <w:t>,</w:t>
      </w:r>
      <w:r w:rsidRPr="00897905">
        <w:rPr>
          <w:rFonts w:ascii="Times New Roman" w:hAnsi="Times New Roman" w:cs="Times New Roman"/>
          <w:sz w:val="24"/>
          <w:szCs w:val="24"/>
        </w:rPr>
        <w:t xml:space="preserve"> an equipment licence. </w:t>
      </w:r>
      <w:r w:rsidR="005A59C8" w:rsidRPr="005A59C8">
        <w:rPr>
          <w:rFonts w:ascii="Times New Roman" w:hAnsi="Times New Roman" w:cs="Times New Roman"/>
          <w:sz w:val="24"/>
          <w:szCs w:val="24"/>
        </w:rPr>
        <w:t>An equipment licence allows the licensee to import, manufacture or export specified ODS equipment or SGG equipment, as specified in the licence</w:t>
      </w:r>
      <w:r w:rsidR="005A59C8">
        <w:rPr>
          <w:rFonts w:ascii="Times New Roman" w:hAnsi="Times New Roman" w:cs="Times New Roman"/>
          <w:sz w:val="24"/>
          <w:szCs w:val="24"/>
        </w:rPr>
        <w:t xml:space="preserve">. </w:t>
      </w:r>
      <w:r w:rsidRPr="00897905">
        <w:rPr>
          <w:rFonts w:ascii="Times New Roman" w:hAnsi="Times New Roman" w:cs="Times New Roman"/>
          <w:sz w:val="24"/>
          <w:szCs w:val="24"/>
        </w:rPr>
        <w:t xml:space="preserve">Section 16 also sets out the requirements of which the Minister must be satisfied </w:t>
      </w:r>
      <w:proofErr w:type="gramStart"/>
      <w:r w:rsidRPr="00897905">
        <w:rPr>
          <w:rFonts w:ascii="Times New Roman" w:hAnsi="Times New Roman" w:cs="Times New Roman"/>
          <w:sz w:val="24"/>
          <w:szCs w:val="24"/>
        </w:rPr>
        <w:t>in order to</w:t>
      </w:r>
      <w:proofErr w:type="gramEnd"/>
      <w:r w:rsidRPr="00897905">
        <w:rPr>
          <w:rFonts w:ascii="Times New Roman" w:hAnsi="Times New Roman" w:cs="Times New Roman"/>
          <w:sz w:val="24"/>
          <w:szCs w:val="24"/>
        </w:rPr>
        <w:t xml:space="preserve"> grant a licence</w:t>
      </w:r>
      <w:r>
        <w:rPr>
          <w:rFonts w:ascii="Times New Roman" w:hAnsi="Times New Roman" w:cs="Times New Roman"/>
          <w:sz w:val="24"/>
          <w:szCs w:val="24"/>
        </w:rPr>
        <w:t>.</w:t>
      </w:r>
    </w:p>
    <w:p w14:paraId="32460210" w14:textId="77777777" w:rsidR="00897905" w:rsidRDefault="00897905" w:rsidP="00897905">
      <w:pPr>
        <w:contextualSpacing/>
        <w:rPr>
          <w:rFonts w:ascii="Times New Roman" w:hAnsi="Times New Roman" w:cs="Times New Roman"/>
          <w:sz w:val="24"/>
          <w:szCs w:val="24"/>
        </w:rPr>
      </w:pPr>
    </w:p>
    <w:p w14:paraId="6B09E78C" w14:textId="48088A43" w:rsidR="005A59C8" w:rsidRDefault="005A59C8" w:rsidP="00897905">
      <w:pPr>
        <w:contextualSpacing/>
        <w:rPr>
          <w:rFonts w:ascii="Times New Roman" w:hAnsi="Times New Roman" w:cs="Times New Roman"/>
          <w:sz w:val="24"/>
          <w:szCs w:val="24"/>
        </w:rPr>
      </w:pPr>
      <w:r w:rsidRPr="005C1BF0">
        <w:rPr>
          <w:rFonts w:ascii="Times New Roman" w:hAnsi="Times New Roman" w:cs="Times New Roman"/>
          <w:sz w:val="24"/>
          <w:szCs w:val="24"/>
        </w:rPr>
        <w:t xml:space="preserve">New regulation 3DA </w:t>
      </w:r>
      <w:r>
        <w:rPr>
          <w:rFonts w:ascii="Times New Roman" w:hAnsi="Times New Roman" w:cs="Times New Roman"/>
          <w:sz w:val="24"/>
          <w:szCs w:val="24"/>
        </w:rPr>
        <w:t xml:space="preserve">is </w:t>
      </w:r>
      <w:r w:rsidRPr="005C1BF0">
        <w:rPr>
          <w:rFonts w:ascii="Times New Roman" w:hAnsi="Times New Roman" w:cs="Times New Roman"/>
          <w:sz w:val="24"/>
          <w:szCs w:val="24"/>
        </w:rPr>
        <w:t xml:space="preserve">made for the purposes of subsection 16(5) of the </w:t>
      </w:r>
      <w:r>
        <w:rPr>
          <w:rFonts w:ascii="Times New Roman" w:hAnsi="Times New Roman" w:cs="Times New Roman"/>
          <w:sz w:val="24"/>
          <w:szCs w:val="24"/>
        </w:rPr>
        <w:t xml:space="preserve">OPSGGM </w:t>
      </w:r>
      <w:r w:rsidRPr="005C1BF0">
        <w:rPr>
          <w:rFonts w:ascii="Times New Roman" w:hAnsi="Times New Roman" w:cs="Times New Roman"/>
          <w:sz w:val="24"/>
          <w:szCs w:val="24"/>
        </w:rPr>
        <w:t xml:space="preserve">Act and </w:t>
      </w:r>
      <w:r>
        <w:rPr>
          <w:rFonts w:ascii="Times New Roman" w:hAnsi="Times New Roman" w:cs="Times New Roman"/>
          <w:sz w:val="24"/>
          <w:szCs w:val="24"/>
        </w:rPr>
        <w:t>has</w:t>
      </w:r>
      <w:r w:rsidRPr="005C1BF0">
        <w:rPr>
          <w:rFonts w:ascii="Times New Roman" w:hAnsi="Times New Roman" w:cs="Times New Roman"/>
          <w:sz w:val="24"/>
          <w:szCs w:val="24"/>
        </w:rPr>
        <w:t xml:space="preserve"> the effect that the Minister </w:t>
      </w:r>
      <w:r>
        <w:rPr>
          <w:rFonts w:ascii="Times New Roman" w:hAnsi="Times New Roman" w:cs="Times New Roman"/>
          <w:sz w:val="24"/>
          <w:szCs w:val="24"/>
        </w:rPr>
        <w:t xml:space="preserve">is </w:t>
      </w:r>
      <w:r w:rsidRPr="005C1BF0">
        <w:rPr>
          <w:rFonts w:ascii="Times New Roman" w:hAnsi="Times New Roman" w:cs="Times New Roman"/>
          <w:sz w:val="24"/>
          <w:szCs w:val="24"/>
        </w:rPr>
        <w:t>only be able to grant an equipment licence allowing the import or manufacture of SGG equipment that is small SGG air conditioning equipment</w:t>
      </w:r>
      <w:r>
        <w:rPr>
          <w:rFonts w:ascii="Times New Roman" w:hAnsi="Times New Roman" w:cs="Times New Roman"/>
          <w:sz w:val="24"/>
          <w:szCs w:val="24"/>
        </w:rPr>
        <w:t xml:space="preserve"> or</w:t>
      </w:r>
      <w:r w:rsidRPr="005C1BF0">
        <w:rPr>
          <w:rFonts w:ascii="Times New Roman" w:hAnsi="Times New Roman" w:cs="Times New Roman"/>
          <w:sz w:val="24"/>
          <w:szCs w:val="24"/>
        </w:rPr>
        <w:t xml:space="preserve"> </w:t>
      </w:r>
      <w:r w:rsidRPr="005A59C8">
        <w:rPr>
          <w:rFonts w:ascii="Times New Roman" w:hAnsi="Times New Roman" w:cs="Times New Roman"/>
          <w:sz w:val="24"/>
          <w:szCs w:val="24"/>
        </w:rPr>
        <w:t xml:space="preserve">multi-head small SGG air conditioning equipment if satisfied of one or more of the criteria in </w:t>
      </w:r>
      <w:proofErr w:type="spellStart"/>
      <w:r w:rsidRPr="005A59C8">
        <w:rPr>
          <w:rFonts w:ascii="Times New Roman" w:hAnsi="Times New Roman" w:cs="Times New Roman"/>
          <w:sz w:val="24"/>
          <w:szCs w:val="24"/>
        </w:rPr>
        <w:t>subregulation</w:t>
      </w:r>
      <w:proofErr w:type="spellEnd"/>
      <w:r w:rsidRPr="005A59C8">
        <w:rPr>
          <w:rFonts w:ascii="Times New Roman" w:hAnsi="Times New Roman" w:cs="Times New Roman"/>
          <w:sz w:val="24"/>
          <w:szCs w:val="24"/>
        </w:rPr>
        <w:t xml:space="preserve"> 3</w:t>
      </w:r>
      <w:proofErr w:type="gramStart"/>
      <w:r w:rsidRPr="005A59C8">
        <w:rPr>
          <w:rFonts w:ascii="Times New Roman" w:hAnsi="Times New Roman" w:cs="Times New Roman"/>
          <w:sz w:val="24"/>
          <w:szCs w:val="24"/>
        </w:rPr>
        <w:t>DA(</w:t>
      </w:r>
      <w:proofErr w:type="gramEnd"/>
      <w:r w:rsidRPr="005A59C8">
        <w:rPr>
          <w:rFonts w:ascii="Times New Roman" w:hAnsi="Times New Roman" w:cs="Times New Roman"/>
          <w:sz w:val="24"/>
          <w:szCs w:val="24"/>
        </w:rPr>
        <w:t>2)</w:t>
      </w:r>
      <w:r>
        <w:rPr>
          <w:rFonts w:ascii="Times New Roman" w:hAnsi="Times New Roman" w:cs="Times New Roman"/>
          <w:sz w:val="24"/>
          <w:szCs w:val="24"/>
        </w:rPr>
        <w:t xml:space="preserve">. </w:t>
      </w:r>
      <w:r w:rsidRPr="005A59C8">
        <w:rPr>
          <w:rFonts w:ascii="Times New Roman" w:hAnsi="Times New Roman" w:cs="Times New Roman"/>
          <w:sz w:val="24"/>
          <w:szCs w:val="24"/>
        </w:rPr>
        <w:t>This means that licences to import or manufacture small SGG air conditioning equipment or multi-head small SGG air conditioning equipment</w:t>
      </w:r>
      <w:r>
        <w:rPr>
          <w:rFonts w:ascii="Times New Roman" w:hAnsi="Times New Roman" w:cs="Times New Roman"/>
          <w:sz w:val="24"/>
          <w:szCs w:val="24"/>
        </w:rPr>
        <w:t xml:space="preserve"> (from, respectively</w:t>
      </w:r>
      <w:r w:rsidR="00E25EC7">
        <w:rPr>
          <w:rFonts w:ascii="Times New Roman" w:hAnsi="Times New Roman" w:cs="Times New Roman"/>
          <w:sz w:val="24"/>
          <w:szCs w:val="24"/>
        </w:rPr>
        <w:t>,</w:t>
      </w:r>
      <w:r>
        <w:rPr>
          <w:rFonts w:ascii="Times New Roman" w:hAnsi="Times New Roman" w:cs="Times New Roman"/>
          <w:sz w:val="24"/>
          <w:szCs w:val="24"/>
        </w:rPr>
        <w:t xml:space="preserve"> 1 July 2024 and 1 July 2025)</w:t>
      </w:r>
      <w:r w:rsidRPr="005A59C8">
        <w:rPr>
          <w:rFonts w:ascii="Times New Roman" w:hAnsi="Times New Roman" w:cs="Times New Roman"/>
          <w:sz w:val="24"/>
          <w:szCs w:val="24"/>
        </w:rPr>
        <w:t xml:space="preserve"> will generally only be able to be granted in very limited circumstances, for essential uses</w:t>
      </w:r>
      <w:r>
        <w:rPr>
          <w:rFonts w:ascii="Times New Roman" w:hAnsi="Times New Roman" w:cs="Times New Roman"/>
          <w:sz w:val="24"/>
          <w:szCs w:val="24"/>
        </w:rPr>
        <w:t xml:space="preserve">. </w:t>
      </w:r>
      <w:r w:rsidRPr="005A59C8">
        <w:rPr>
          <w:rFonts w:ascii="Times New Roman" w:hAnsi="Times New Roman" w:cs="Times New Roman"/>
          <w:sz w:val="24"/>
          <w:szCs w:val="24"/>
        </w:rPr>
        <w:t xml:space="preserve">It is appropriate to impose these strict limitations on licences to import or manufacture </w:t>
      </w:r>
      <w:r>
        <w:rPr>
          <w:rFonts w:ascii="Times New Roman" w:hAnsi="Times New Roman" w:cs="Times New Roman"/>
          <w:sz w:val="24"/>
          <w:szCs w:val="24"/>
        </w:rPr>
        <w:t xml:space="preserve">small SGG air conditioning equipment and </w:t>
      </w:r>
      <w:r w:rsidRPr="005A59C8">
        <w:rPr>
          <w:rFonts w:ascii="Times New Roman" w:hAnsi="Times New Roman" w:cs="Times New Roman"/>
          <w:sz w:val="24"/>
          <w:szCs w:val="24"/>
        </w:rPr>
        <w:t>multi-head small SGG air conditioning equipment, based on the environmental risks associated with the equipment</w:t>
      </w:r>
      <w:r>
        <w:rPr>
          <w:rFonts w:ascii="Times New Roman" w:hAnsi="Times New Roman" w:cs="Times New Roman"/>
          <w:sz w:val="24"/>
          <w:szCs w:val="24"/>
        </w:rPr>
        <w:t>.</w:t>
      </w:r>
    </w:p>
    <w:p w14:paraId="5D608181" w14:textId="77777777" w:rsidR="005A59C8" w:rsidRDefault="005A59C8" w:rsidP="00897905">
      <w:pPr>
        <w:contextualSpacing/>
        <w:rPr>
          <w:rFonts w:ascii="Times New Roman" w:hAnsi="Times New Roman" w:cs="Times New Roman"/>
          <w:sz w:val="24"/>
          <w:szCs w:val="24"/>
        </w:rPr>
      </w:pPr>
    </w:p>
    <w:p w14:paraId="5C1D98EC" w14:textId="1A4EED73" w:rsidR="005A59C8" w:rsidRPr="005A59C8" w:rsidRDefault="005A59C8" w:rsidP="005A59C8">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One circumstance in which the Minister can grant an equipment licence to </w:t>
      </w:r>
      <w:r w:rsidRPr="005A59C8">
        <w:rPr>
          <w:rFonts w:ascii="Times New Roman" w:hAnsi="Times New Roman" w:cs="Times New Roman"/>
          <w:sz w:val="24"/>
          <w:szCs w:val="24"/>
        </w:rPr>
        <w:t>import or manufacture small SGG air conditioning equipment and multi-head small SGG air conditioning equipment</w:t>
      </w:r>
      <w:r>
        <w:rPr>
          <w:rFonts w:ascii="Times New Roman" w:hAnsi="Times New Roman" w:cs="Times New Roman"/>
          <w:sz w:val="24"/>
          <w:szCs w:val="24"/>
        </w:rPr>
        <w:t xml:space="preserve"> is where the Minister is satisfied that </w:t>
      </w:r>
      <w:r w:rsidRPr="005A59C8">
        <w:rPr>
          <w:rFonts w:ascii="Times New Roman" w:hAnsi="Times New Roman" w:cs="Times New Roman"/>
          <w:sz w:val="24"/>
          <w:szCs w:val="24"/>
        </w:rPr>
        <w:t>both:</w:t>
      </w:r>
    </w:p>
    <w:p w14:paraId="7F290953" w14:textId="77777777" w:rsidR="005A59C8" w:rsidRDefault="005A59C8" w:rsidP="005A59C8">
      <w:pPr>
        <w:pStyle w:val="ListParagraph"/>
        <w:numPr>
          <w:ilvl w:val="0"/>
          <w:numId w:val="2"/>
        </w:numPr>
        <w:rPr>
          <w:rFonts w:ascii="Times New Roman" w:hAnsi="Times New Roman" w:cs="Times New Roman"/>
          <w:sz w:val="24"/>
          <w:szCs w:val="24"/>
        </w:rPr>
      </w:pPr>
      <w:r w:rsidRPr="005A59C8">
        <w:rPr>
          <w:rFonts w:ascii="Times New Roman" w:hAnsi="Times New Roman" w:cs="Times New Roman"/>
          <w:sz w:val="24"/>
          <w:szCs w:val="24"/>
        </w:rPr>
        <w:t>exceptional circumstances justify granting the licence in relation to the equipment; and</w:t>
      </w:r>
    </w:p>
    <w:p w14:paraId="0B081191" w14:textId="6457B9D9" w:rsidR="005A59C8" w:rsidRDefault="005A59C8" w:rsidP="005A59C8">
      <w:pPr>
        <w:pStyle w:val="ListParagraph"/>
        <w:numPr>
          <w:ilvl w:val="0"/>
          <w:numId w:val="2"/>
        </w:numPr>
        <w:rPr>
          <w:rFonts w:ascii="Times New Roman" w:hAnsi="Times New Roman" w:cs="Times New Roman"/>
          <w:sz w:val="24"/>
          <w:szCs w:val="24"/>
        </w:rPr>
      </w:pPr>
      <w:r w:rsidRPr="005A59C8">
        <w:rPr>
          <w:rFonts w:ascii="Times New Roman" w:hAnsi="Times New Roman" w:cs="Times New Roman"/>
          <w:sz w:val="24"/>
          <w:szCs w:val="24"/>
        </w:rPr>
        <w:t>granting the licence would not be inconsistent with Australia’s international obligations under the Montreal Protocol</w:t>
      </w:r>
      <w:r>
        <w:rPr>
          <w:rFonts w:ascii="Times New Roman" w:hAnsi="Times New Roman" w:cs="Times New Roman"/>
          <w:sz w:val="24"/>
          <w:szCs w:val="24"/>
        </w:rPr>
        <w:t>.</w:t>
      </w:r>
    </w:p>
    <w:p w14:paraId="3603A942" w14:textId="77777777" w:rsidR="00CE43AB" w:rsidRDefault="005A59C8" w:rsidP="005A59C8">
      <w:pPr>
        <w:rPr>
          <w:rFonts w:ascii="Times New Roman" w:hAnsi="Times New Roman" w:cs="Times New Roman"/>
          <w:sz w:val="24"/>
          <w:szCs w:val="24"/>
        </w:rPr>
      </w:pPr>
      <w:r>
        <w:rPr>
          <w:rFonts w:ascii="Times New Roman" w:hAnsi="Times New Roman" w:cs="Times New Roman"/>
          <w:sz w:val="24"/>
          <w:szCs w:val="24"/>
        </w:rPr>
        <w:t>T</w:t>
      </w:r>
      <w:r w:rsidRPr="005A59C8">
        <w:rPr>
          <w:rFonts w:ascii="Times New Roman" w:hAnsi="Times New Roman" w:cs="Times New Roman"/>
          <w:sz w:val="24"/>
          <w:szCs w:val="24"/>
        </w:rPr>
        <w:t xml:space="preserve">he purpose of including an exceptional circumstances criterion in regulation 3DA is to allow the Minister the flexibility to respond to emerging and unforeseen circumstances, while ensuring that Australia continues to comply with its international obligations in relation to HFCs. </w:t>
      </w:r>
    </w:p>
    <w:p w14:paraId="032A9FBE" w14:textId="77777777" w:rsidR="00CE43AB" w:rsidRDefault="005A59C8" w:rsidP="005A59C8">
      <w:r>
        <w:rPr>
          <w:rFonts w:ascii="Times New Roman" w:hAnsi="Times New Roman" w:cs="Times New Roman"/>
          <w:sz w:val="24"/>
          <w:szCs w:val="24"/>
        </w:rPr>
        <w:t>E</w:t>
      </w:r>
      <w:r w:rsidRPr="005A59C8">
        <w:rPr>
          <w:rFonts w:ascii="Times New Roman" w:hAnsi="Times New Roman" w:cs="Times New Roman"/>
          <w:sz w:val="24"/>
          <w:szCs w:val="24"/>
        </w:rPr>
        <w:t xml:space="preserve">xamples of exceptional circumstances could potentially include supply shortages caused by unforeseen global events (such as the recent pandemic), urgent medical, defence or diplomatic requirements that do not otherwise meet the criteria for granting a licence, certain research in the national interest, certain commercial situations that are outside the importer’s control or are in the public interest, or other national emergencies. Each of these circumstances would need to be assessed on a case-by-case basis and the Minister would need to be satisfied that the </w:t>
      </w:r>
      <w:proofErr w:type="gramStart"/>
      <w:r w:rsidRPr="005A59C8">
        <w:rPr>
          <w:rFonts w:ascii="Times New Roman" w:hAnsi="Times New Roman" w:cs="Times New Roman"/>
          <w:sz w:val="24"/>
          <w:szCs w:val="24"/>
        </w:rPr>
        <w:t>particular case</w:t>
      </w:r>
      <w:proofErr w:type="gramEnd"/>
      <w:r w:rsidRPr="005A59C8">
        <w:rPr>
          <w:rFonts w:ascii="Times New Roman" w:hAnsi="Times New Roman" w:cs="Times New Roman"/>
          <w:sz w:val="24"/>
          <w:szCs w:val="24"/>
        </w:rPr>
        <w:t xml:space="preserve"> involved exceptional circumstances, that those exceptional circumstances justified the granting of the licence, and that granting the licence would not be inconsistent with Australia’s obligations under the Montreal Protocol</w:t>
      </w:r>
      <w:r>
        <w:rPr>
          <w:rFonts w:ascii="Times New Roman" w:hAnsi="Times New Roman" w:cs="Times New Roman"/>
          <w:sz w:val="24"/>
          <w:szCs w:val="24"/>
        </w:rPr>
        <w:t>.</w:t>
      </w:r>
      <w:r w:rsidR="00CE43AB" w:rsidRPr="00CE43AB">
        <w:t xml:space="preserve"> </w:t>
      </w:r>
    </w:p>
    <w:p w14:paraId="3DAB0208" w14:textId="45810F09" w:rsidR="00CE43AB" w:rsidRDefault="00CE43AB" w:rsidP="005A59C8">
      <w:pPr>
        <w:rPr>
          <w:rFonts w:ascii="Times New Roman" w:hAnsi="Times New Roman" w:cs="Times New Roman"/>
          <w:sz w:val="24"/>
          <w:szCs w:val="24"/>
        </w:rPr>
      </w:pPr>
      <w:r w:rsidRPr="00CE43AB">
        <w:rPr>
          <w:rFonts w:ascii="Times New Roman" w:hAnsi="Times New Roman" w:cs="Times New Roman"/>
          <w:sz w:val="24"/>
          <w:szCs w:val="24"/>
        </w:rPr>
        <w:t xml:space="preserve">General administrative law principles will also apply to the Minister’s decision </w:t>
      </w:r>
      <w:r>
        <w:rPr>
          <w:rFonts w:ascii="Times New Roman" w:hAnsi="Times New Roman" w:cs="Times New Roman"/>
          <w:sz w:val="24"/>
          <w:szCs w:val="24"/>
        </w:rPr>
        <w:t>whether to grant a licence based on the exceptional circumstance criterion in regulation 3DA</w:t>
      </w:r>
      <w:r w:rsidRPr="00CE43AB">
        <w:rPr>
          <w:rFonts w:ascii="Times New Roman" w:hAnsi="Times New Roman" w:cs="Times New Roman"/>
          <w:sz w:val="24"/>
          <w:szCs w:val="24"/>
        </w:rPr>
        <w:t>.</w:t>
      </w:r>
    </w:p>
    <w:p w14:paraId="2000C041" w14:textId="5F9512C5" w:rsidR="005A59C8" w:rsidRPr="00CE43AB" w:rsidRDefault="00CE43AB" w:rsidP="005A59C8">
      <w:pPr>
        <w:rPr>
          <w:rFonts w:ascii="Times New Roman" w:hAnsi="Times New Roman" w:cs="Times New Roman"/>
          <w:b/>
          <w:bCs/>
          <w:sz w:val="24"/>
          <w:szCs w:val="24"/>
        </w:rPr>
      </w:pPr>
      <w:r w:rsidRPr="00CE43AB">
        <w:rPr>
          <w:rFonts w:ascii="Times New Roman" w:hAnsi="Times New Roman" w:cs="Times New Roman"/>
          <w:b/>
          <w:bCs/>
          <w:sz w:val="24"/>
          <w:szCs w:val="24"/>
        </w:rPr>
        <w:t>Conditions on halon special permits</w:t>
      </w:r>
    </w:p>
    <w:p w14:paraId="486B936C" w14:textId="48F06D36" w:rsidR="00CE43AB" w:rsidRPr="00CE43AB" w:rsidRDefault="00CE43AB" w:rsidP="00CE43AB">
      <w:pPr>
        <w:rPr>
          <w:rFonts w:ascii="Times New Roman" w:hAnsi="Times New Roman" w:cs="Times New Roman"/>
          <w:sz w:val="24"/>
          <w:szCs w:val="24"/>
        </w:rPr>
      </w:pPr>
      <w:r w:rsidRPr="00CE43AB">
        <w:rPr>
          <w:rFonts w:ascii="Times New Roman" w:hAnsi="Times New Roman" w:cs="Times New Roman"/>
          <w:sz w:val="24"/>
          <w:szCs w:val="24"/>
        </w:rPr>
        <w:t xml:space="preserve">Halons are chemicals primarily used as fire extinguishing agents, </w:t>
      </w:r>
      <w:r w:rsidR="006B3DF7">
        <w:rPr>
          <w:rFonts w:ascii="Times New Roman" w:hAnsi="Times New Roman" w:cs="Times New Roman"/>
          <w:sz w:val="24"/>
          <w:szCs w:val="24"/>
        </w:rPr>
        <w:t>and historically used in</w:t>
      </w:r>
      <w:r w:rsidRPr="00CE43AB">
        <w:rPr>
          <w:rFonts w:ascii="Times New Roman" w:hAnsi="Times New Roman" w:cs="Times New Roman"/>
          <w:sz w:val="24"/>
          <w:szCs w:val="24"/>
        </w:rPr>
        <w:t xml:space="preserve"> small quantities in specialist refrigeration and air conditioning (RAC) equipment. Australia has international obligations under the Montreal Protocol to phase-out the use of halons. Globally, alternatives to halons are now available for most, but not all, halon applications. The remaining major halon uses in Australia are in civil aviation and defence </w:t>
      </w:r>
      <w:r w:rsidR="00E01207">
        <w:rPr>
          <w:rFonts w:ascii="Times New Roman" w:hAnsi="Times New Roman" w:cs="Times New Roman"/>
          <w:sz w:val="24"/>
          <w:szCs w:val="24"/>
        </w:rPr>
        <w:t>fire protection</w:t>
      </w:r>
      <w:r w:rsidR="006A51A1">
        <w:rPr>
          <w:rFonts w:ascii="Times New Roman" w:hAnsi="Times New Roman" w:cs="Times New Roman"/>
          <w:sz w:val="24"/>
          <w:szCs w:val="24"/>
        </w:rPr>
        <w:t xml:space="preserve"> </w:t>
      </w:r>
      <w:r w:rsidRPr="00CE43AB">
        <w:rPr>
          <w:rFonts w:ascii="Times New Roman" w:hAnsi="Times New Roman" w:cs="Times New Roman"/>
          <w:sz w:val="24"/>
          <w:szCs w:val="24"/>
        </w:rPr>
        <w:t>applications. There are separate provisions under the</w:t>
      </w:r>
      <w:r>
        <w:rPr>
          <w:rFonts w:ascii="Times New Roman" w:hAnsi="Times New Roman" w:cs="Times New Roman"/>
          <w:sz w:val="24"/>
          <w:szCs w:val="24"/>
        </w:rPr>
        <w:t xml:space="preserve"> OPSGGM Regulations</w:t>
      </w:r>
      <w:r w:rsidRPr="00CE43AB">
        <w:rPr>
          <w:rFonts w:ascii="Times New Roman" w:hAnsi="Times New Roman" w:cs="Times New Roman"/>
          <w:sz w:val="24"/>
          <w:szCs w:val="24"/>
        </w:rPr>
        <w:t xml:space="preserve"> that provide for the granting of a halon special permit in the context of RAC equipment (regulation 150) and in the context of fire protection equipment (regulation 341).</w:t>
      </w:r>
    </w:p>
    <w:p w14:paraId="799BF983" w14:textId="77777777" w:rsidR="00CE43AB" w:rsidRDefault="00CE43AB" w:rsidP="00897905">
      <w:pPr>
        <w:rPr>
          <w:rFonts w:ascii="Times New Roman" w:hAnsi="Times New Roman" w:cs="Times New Roman"/>
          <w:sz w:val="24"/>
          <w:szCs w:val="24"/>
        </w:rPr>
      </w:pPr>
      <w:r w:rsidRPr="00CE43AB">
        <w:rPr>
          <w:rFonts w:ascii="Times New Roman" w:hAnsi="Times New Roman" w:cs="Times New Roman"/>
          <w:sz w:val="24"/>
          <w:szCs w:val="24"/>
        </w:rPr>
        <w:t xml:space="preserve">New </w:t>
      </w:r>
      <w:proofErr w:type="spellStart"/>
      <w:r w:rsidRPr="00CE43AB">
        <w:rPr>
          <w:rFonts w:ascii="Times New Roman" w:hAnsi="Times New Roman" w:cs="Times New Roman"/>
          <w:sz w:val="24"/>
          <w:szCs w:val="24"/>
        </w:rPr>
        <w:t>subregulation</w:t>
      </w:r>
      <w:proofErr w:type="spellEnd"/>
      <w:r w:rsidRPr="00CE43AB">
        <w:rPr>
          <w:rFonts w:ascii="Times New Roman" w:hAnsi="Times New Roman" w:cs="Times New Roman"/>
          <w:sz w:val="24"/>
          <w:szCs w:val="24"/>
        </w:rPr>
        <w:t xml:space="preserve"> 150(4) allows the Minister to impose a condition on a halon special permit. </w:t>
      </w:r>
      <w:r>
        <w:rPr>
          <w:rFonts w:ascii="Times New Roman" w:hAnsi="Times New Roman" w:cs="Times New Roman"/>
          <w:sz w:val="24"/>
          <w:szCs w:val="24"/>
        </w:rPr>
        <w:t>T</w:t>
      </w:r>
      <w:r w:rsidRPr="00CE43AB">
        <w:rPr>
          <w:rFonts w:ascii="Times New Roman" w:hAnsi="Times New Roman" w:cs="Times New Roman"/>
          <w:sz w:val="24"/>
          <w:szCs w:val="24"/>
        </w:rPr>
        <w:t xml:space="preserve">he intention of this amendment is to ensure consistency between regulation 150 and regulation 341. A note to subsection 150(4) sets out examples of the kinds of conditions that may be imposed on a halon special permit. </w:t>
      </w:r>
    </w:p>
    <w:p w14:paraId="2C767C28" w14:textId="77777777" w:rsidR="00CE43AB" w:rsidRDefault="00CE43AB" w:rsidP="00897905">
      <w:pPr>
        <w:rPr>
          <w:rFonts w:ascii="Times New Roman" w:hAnsi="Times New Roman" w:cs="Times New Roman"/>
          <w:sz w:val="24"/>
          <w:szCs w:val="24"/>
        </w:rPr>
      </w:pPr>
      <w:r w:rsidRPr="00CE43AB">
        <w:rPr>
          <w:rFonts w:ascii="Times New Roman" w:hAnsi="Times New Roman" w:cs="Times New Roman"/>
          <w:sz w:val="24"/>
          <w:szCs w:val="24"/>
        </w:rPr>
        <w:t xml:space="preserve">Examples of factors that the Minister may </w:t>
      </w:r>
      <w:proofErr w:type="gramStart"/>
      <w:r w:rsidRPr="00CE43AB">
        <w:rPr>
          <w:rFonts w:ascii="Times New Roman" w:hAnsi="Times New Roman" w:cs="Times New Roman"/>
          <w:sz w:val="24"/>
          <w:szCs w:val="24"/>
        </w:rPr>
        <w:t>take into account</w:t>
      </w:r>
      <w:proofErr w:type="gramEnd"/>
      <w:r w:rsidRPr="00CE43AB">
        <w:rPr>
          <w:rFonts w:ascii="Times New Roman" w:hAnsi="Times New Roman" w:cs="Times New Roman"/>
          <w:sz w:val="24"/>
          <w:szCs w:val="24"/>
        </w:rPr>
        <w:t xml:space="preserve"> when deciding whether to impose a condition under </w:t>
      </w:r>
      <w:proofErr w:type="spellStart"/>
      <w:r w:rsidRPr="00CE43AB">
        <w:rPr>
          <w:rFonts w:ascii="Times New Roman" w:hAnsi="Times New Roman" w:cs="Times New Roman"/>
          <w:sz w:val="24"/>
          <w:szCs w:val="24"/>
        </w:rPr>
        <w:t>subregulation</w:t>
      </w:r>
      <w:proofErr w:type="spellEnd"/>
      <w:r w:rsidRPr="00CE43AB">
        <w:rPr>
          <w:rFonts w:ascii="Times New Roman" w:hAnsi="Times New Roman" w:cs="Times New Roman"/>
          <w:sz w:val="24"/>
          <w:szCs w:val="24"/>
        </w:rPr>
        <w:t xml:space="preserve"> 150(4) could include matters about who and how many persons are intended to deal with the halon when it is in the permit holder’s possession, and for what purpose the halon is intended to be used. The Minister may consider it necessary and appropriate to include a condition on a halon special permit to ensure that criteria </w:t>
      </w:r>
      <w:r>
        <w:rPr>
          <w:rFonts w:ascii="Times New Roman" w:hAnsi="Times New Roman" w:cs="Times New Roman"/>
          <w:sz w:val="24"/>
          <w:szCs w:val="24"/>
        </w:rPr>
        <w:t>of which</w:t>
      </w:r>
      <w:r w:rsidRPr="00CE43AB">
        <w:rPr>
          <w:rFonts w:ascii="Times New Roman" w:hAnsi="Times New Roman" w:cs="Times New Roman"/>
          <w:sz w:val="24"/>
          <w:szCs w:val="24"/>
        </w:rPr>
        <w:t xml:space="preserve"> the Minister must be satisfied to grant the permit will continue to be met after the permit is granted</w:t>
      </w:r>
      <w:r>
        <w:rPr>
          <w:rFonts w:ascii="Times New Roman" w:hAnsi="Times New Roman" w:cs="Times New Roman"/>
          <w:sz w:val="24"/>
          <w:szCs w:val="24"/>
        </w:rPr>
        <w:t xml:space="preserve">. </w:t>
      </w:r>
    </w:p>
    <w:p w14:paraId="57A102AD" w14:textId="153EFCD7" w:rsidR="00897905" w:rsidRDefault="00CE43AB" w:rsidP="00897905">
      <w:pPr>
        <w:rPr>
          <w:rFonts w:ascii="Times New Roman" w:hAnsi="Times New Roman" w:cs="Times New Roman"/>
          <w:sz w:val="24"/>
          <w:szCs w:val="24"/>
        </w:rPr>
      </w:pPr>
      <w:r>
        <w:rPr>
          <w:rFonts w:ascii="Times New Roman" w:hAnsi="Times New Roman" w:cs="Times New Roman"/>
          <w:sz w:val="24"/>
          <w:szCs w:val="24"/>
        </w:rPr>
        <w:lastRenderedPageBreak/>
        <w:t>General a</w:t>
      </w:r>
      <w:r w:rsidRPr="00CE43AB">
        <w:rPr>
          <w:rFonts w:ascii="Times New Roman" w:hAnsi="Times New Roman" w:cs="Times New Roman"/>
          <w:sz w:val="24"/>
          <w:szCs w:val="24"/>
        </w:rPr>
        <w:t xml:space="preserve">dministrative law principles will also apply to the Minister’s decision </w:t>
      </w:r>
      <w:r>
        <w:rPr>
          <w:rFonts w:ascii="Times New Roman" w:hAnsi="Times New Roman" w:cs="Times New Roman"/>
          <w:sz w:val="24"/>
          <w:szCs w:val="24"/>
        </w:rPr>
        <w:t xml:space="preserve">whether </w:t>
      </w:r>
      <w:r w:rsidRPr="00CE43AB">
        <w:rPr>
          <w:rFonts w:ascii="Times New Roman" w:hAnsi="Times New Roman" w:cs="Times New Roman"/>
          <w:sz w:val="24"/>
          <w:szCs w:val="24"/>
        </w:rPr>
        <w:t xml:space="preserve">to impose a condition on a special halon permit under </w:t>
      </w:r>
      <w:proofErr w:type="spellStart"/>
      <w:r w:rsidRPr="00CE43AB">
        <w:rPr>
          <w:rFonts w:ascii="Times New Roman" w:hAnsi="Times New Roman" w:cs="Times New Roman"/>
          <w:sz w:val="24"/>
          <w:szCs w:val="24"/>
        </w:rPr>
        <w:t>subregulation</w:t>
      </w:r>
      <w:proofErr w:type="spellEnd"/>
      <w:r w:rsidRPr="00CE43AB">
        <w:rPr>
          <w:rFonts w:ascii="Times New Roman" w:hAnsi="Times New Roman" w:cs="Times New Roman"/>
          <w:sz w:val="24"/>
          <w:szCs w:val="24"/>
        </w:rPr>
        <w:t xml:space="preserve"> 150(4)</w:t>
      </w:r>
      <w:r>
        <w:rPr>
          <w:rFonts w:ascii="Times New Roman" w:hAnsi="Times New Roman" w:cs="Times New Roman"/>
          <w:sz w:val="24"/>
          <w:szCs w:val="24"/>
        </w:rPr>
        <w:t>.</w:t>
      </w:r>
    </w:p>
    <w:p w14:paraId="3FA749F8" w14:textId="77777777" w:rsidR="00897905" w:rsidRDefault="00897905" w:rsidP="00897905">
      <w:pPr>
        <w:contextualSpacing/>
        <w:rPr>
          <w:rFonts w:ascii="Times New Roman" w:hAnsi="Times New Roman" w:cs="Times New Roman"/>
          <w:sz w:val="24"/>
          <w:szCs w:val="24"/>
        </w:rPr>
      </w:pPr>
    </w:p>
    <w:p w14:paraId="47369101" w14:textId="77777777" w:rsidR="00897905" w:rsidRDefault="00897905" w:rsidP="00897905">
      <w:pPr>
        <w:contextualSpacing/>
        <w:rPr>
          <w:rFonts w:ascii="Times New Roman" w:hAnsi="Times New Roman" w:cs="Times New Roman"/>
          <w:sz w:val="24"/>
          <w:szCs w:val="24"/>
        </w:rPr>
      </w:pPr>
    </w:p>
    <w:p w14:paraId="77D67662" w14:textId="77777777" w:rsidR="00897905" w:rsidRPr="00ED143A" w:rsidRDefault="00897905" w:rsidP="00897905">
      <w:pPr>
        <w:contextualSpacing/>
        <w:rPr>
          <w:rFonts w:ascii="Times New Roman" w:hAnsi="Times New Roman" w:cs="Times New Roman"/>
          <w:sz w:val="24"/>
          <w:szCs w:val="24"/>
        </w:rPr>
      </w:pPr>
    </w:p>
    <w:sectPr w:rsidR="00897905" w:rsidRPr="00ED143A">
      <w:headerReference w:type="even"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03CD1" w14:textId="77777777" w:rsidR="00253002" w:rsidRDefault="00253002" w:rsidP="00897905">
      <w:pPr>
        <w:spacing w:after="0" w:line="240" w:lineRule="auto"/>
      </w:pPr>
      <w:r>
        <w:separator/>
      </w:r>
    </w:p>
  </w:endnote>
  <w:endnote w:type="continuationSeparator" w:id="0">
    <w:p w14:paraId="1F268E98" w14:textId="77777777" w:rsidR="00253002" w:rsidRDefault="00253002" w:rsidP="0089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7D1C" w14:textId="43F3DFEF" w:rsidR="00CE43AB" w:rsidRDefault="00CE43AB">
    <w:pPr>
      <w:pStyle w:val="Footer"/>
    </w:pPr>
    <w:r>
      <w:rPr>
        <w:noProof/>
        <w14:ligatures w14:val="standardContextual"/>
      </w:rPr>
      <mc:AlternateContent>
        <mc:Choice Requires="wps">
          <w:drawing>
            <wp:anchor distT="0" distB="0" distL="0" distR="0" simplePos="0" relativeHeight="251662336" behindDoc="0" locked="0" layoutInCell="1" allowOverlap="1" wp14:anchorId="7DE2BC0C" wp14:editId="3F7DA313">
              <wp:simplePos x="635" y="635"/>
              <wp:positionH relativeFrom="page">
                <wp:align>center</wp:align>
              </wp:positionH>
              <wp:positionV relativeFrom="page">
                <wp:align>bottom</wp:align>
              </wp:positionV>
              <wp:extent cx="551815" cy="391160"/>
              <wp:effectExtent l="0" t="0" r="635" b="0"/>
              <wp:wrapNone/>
              <wp:docPr id="3836837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7A756AA" w14:textId="69B4B6FC" w:rsidR="00CE43AB" w:rsidRPr="00CE43AB" w:rsidRDefault="00CE43AB" w:rsidP="00CE43AB">
                          <w:pPr>
                            <w:spacing w:after="0"/>
                            <w:rPr>
                              <w:rFonts w:ascii="Calibri" w:eastAsia="Calibri" w:hAnsi="Calibri" w:cs="Calibri"/>
                              <w:noProof/>
                              <w:color w:val="FF0000"/>
                              <w:sz w:val="24"/>
                              <w:szCs w:val="24"/>
                            </w:rPr>
                          </w:pPr>
                          <w:r w:rsidRPr="00CE43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E2BC0C"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77A756AA" w14:textId="69B4B6FC" w:rsidR="00CE43AB" w:rsidRPr="00CE43AB" w:rsidRDefault="00CE43AB" w:rsidP="00CE43AB">
                    <w:pPr>
                      <w:spacing w:after="0"/>
                      <w:rPr>
                        <w:rFonts w:ascii="Calibri" w:eastAsia="Calibri" w:hAnsi="Calibri" w:cs="Calibri"/>
                        <w:noProof/>
                        <w:color w:val="FF0000"/>
                        <w:sz w:val="24"/>
                        <w:szCs w:val="24"/>
                      </w:rPr>
                    </w:pPr>
                    <w:r w:rsidRPr="00CE43A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57E4A" w14:textId="1079E1C7" w:rsidR="00897905" w:rsidRDefault="00000000">
    <w:pPr>
      <w:pStyle w:val="Footer"/>
      <w:jc w:val="right"/>
    </w:pPr>
    <w:sdt>
      <w:sdtPr>
        <w:id w:val="596836642"/>
        <w:docPartObj>
          <w:docPartGallery w:val="Page Numbers (Bottom of Page)"/>
          <w:docPartUnique/>
        </w:docPartObj>
      </w:sdtPr>
      <w:sdtEndPr>
        <w:rPr>
          <w:noProof/>
        </w:rPr>
      </w:sdtEndPr>
      <w:sdtContent>
        <w:r w:rsidR="00897905">
          <w:fldChar w:fldCharType="begin"/>
        </w:r>
        <w:r w:rsidR="00897905">
          <w:instrText xml:space="preserve"> PAGE   \* MERGEFORMAT </w:instrText>
        </w:r>
        <w:r w:rsidR="00897905">
          <w:fldChar w:fldCharType="separate"/>
        </w:r>
        <w:r w:rsidR="00897905">
          <w:rPr>
            <w:noProof/>
          </w:rPr>
          <w:t>2</w:t>
        </w:r>
        <w:r w:rsidR="00897905">
          <w:rPr>
            <w:noProof/>
          </w:rPr>
          <w:fldChar w:fldCharType="end"/>
        </w:r>
      </w:sdtContent>
    </w:sdt>
  </w:p>
  <w:p w14:paraId="1CDAE3E6" w14:textId="77777777" w:rsidR="00897905" w:rsidRDefault="00897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B534" w14:textId="360C1DEE" w:rsidR="00CE43AB" w:rsidRDefault="00CE43AB">
    <w:pPr>
      <w:pStyle w:val="Footer"/>
    </w:pPr>
    <w:r>
      <w:rPr>
        <w:noProof/>
        <w14:ligatures w14:val="standardContextual"/>
      </w:rPr>
      <mc:AlternateContent>
        <mc:Choice Requires="wps">
          <w:drawing>
            <wp:anchor distT="0" distB="0" distL="0" distR="0" simplePos="0" relativeHeight="251661312" behindDoc="0" locked="0" layoutInCell="1" allowOverlap="1" wp14:anchorId="09E5098F" wp14:editId="7C7347E4">
              <wp:simplePos x="635" y="635"/>
              <wp:positionH relativeFrom="page">
                <wp:align>center</wp:align>
              </wp:positionH>
              <wp:positionV relativeFrom="page">
                <wp:align>bottom</wp:align>
              </wp:positionV>
              <wp:extent cx="551815" cy="391160"/>
              <wp:effectExtent l="0" t="0" r="635" b="0"/>
              <wp:wrapNone/>
              <wp:docPr id="114566423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799FBF7" w14:textId="1964151D" w:rsidR="00CE43AB" w:rsidRPr="00CE43AB" w:rsidRDefault="00CE43AB" w:rsidP="00CE43AB">
                          <w:pPr>
                            <w:spacing w:after="0"/>
                            <w:rPr>
                              <w:rFonts w:ascii="Calibri" w:eastAsia="Calibri" w:hAnsi="Calibri" w:cs="Calibri"/>
                              <w:noProof/>
                              <w:color w:val="FF0000"/>
                              <w:sz w:val="24"/>
                              <w:szCs w:val="24"/>
                            </w:rPr>
                          </w:pPr>
                          <w:r w:rsidRPr="00CE43A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E5098F"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6799FBF7" w14:textId="1964151D" w:rsidR="00CE43AB" w:rsidRPr="00CE43AB" w:rsidRDefault="00CE43AB" w:rsidP="00CE43AB">
                    <w:pPr>
                      <w:spacing w:after="0"/>
                      <w:rPr>
                        <w:rFonts w:ascii="Calibri" w:eastAsia="Calibri" w:hAnsi="Calibri" w:cs="Calibri"/>
                        <w:noProof/>
                        <w:color w:val="FF0000"/>
                        <w:sz w:val="24"/>
                        <w:szCs w:val="24"/>
                      </w:rPr>
                    </w:pPr>
                    <w:r w:rsidRPr="00CE43AB">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D21C1" w14:textId="77777777" w:rsidR="00253002" w:rsidRDefault="00253002" w:rsidP="00897905">
      <w:pPr>
        <w:spacing w:after="0" w:line="240" w:lineRule="auto"/>
      </w:pPr>
      <w:r>
        <w:separator/>
      </w:r>
    </w:p>
  </w:footnote>
  <w:footnote w:type="continuationSeparator" w:id="0">
    <w:p w14:paraId="53BE60CC" w14:textId="77777777" w:rsidR="00253002" w:rsidRDefault="00253002" w:rsidP="0089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6219" w14:textId="38777FB8" w:rsidR="00CE43AB" w:rsidRDefault="00CE43AB">
    <w:pPr>
      <w:pStyle w:val="Header"/>
    </w:pPr>
    <w:r>
      <w:rPr>
        <w:noProof/>
        <w14:ligatures w14:val="standardContextual"/>
      </w:rPr>
      <mc:AlternateContent>
        <mc:Choice Requires="wps">
          <w:drawing>
            <wp:anchor distT="0" distB="0" distL="0" distR="0" simplePos="0" relativeHeight="251659264" behindDoc="0" locked="0" layoutInCell="1" allowOverlap="1" wp14:anchorId="5B6B87D1" wp14:editId="4DFE39F7">
              <wp:simplePos x="635" y="635"/>
              <wp:positionH relativeFrom="page">
                <wp:align>center</wp:align>
              </wp:positionH>
              <wp:positionV relativeFrom="page">
                <wp:align>top</wp:align>
              </wp:positionV>
              <wp:extent cx="551815" cy="391160"/>
              <wp:effectExtent l="0" t="0" r="635" b="8890"/>
              <wp:wrapNone/>
              <wp:docPr id="8672518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CE8D92A" w14:textId="7BDFDE38" w:rsidR="00CE43AB" w:rsidRPr="00CE43AB" w:rsidRDefault="00CE43AB" w:rsidP="00CE43AB">
                          <w:pPr>
                            <w:spacing w:after="0"/>
                            <w:rPr>
                              <w:rFonts w:ascii="Calibri" w:eastAsia="Calibri" w:hAnsi="Calibri" w:cs="Calibri"/>
                              <w:noProof/>
                              <w:color w:val="FF0000"/>
                              <w:sz w:val="24"/>
                              <w:szCs w:val="24"/>
                            </w:rPr>
                          </w:pPr>
                          <w:r w:rsidRPr="00CE43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6B87D1"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CE8D92A" w14:textId="7BDFDE38" w:rsidR="00CE43AB" w:rsidRPr="00CE43AB" w:rsidRDefault="00CE43AB" w:rsidP="00CE43AB">
                    <w:pPr>
                      <w:spacing w:after="0"/>
                      <w:rPr>
                        <w:rFonts w:ascii="Calibri" w:eastAsia="Calibri" w:hAnsi="Calibri" w:cs="Calibri"/>
                        <w:noProof/>
                        <w:color w:val="FF0000"/>
                        <w:sz w:val="24"/>
                        <w:szCs w:val="24"/>
                      </w:rPr>
                    </w:pPr>
                    <w:r w:rsidRPr="00CE43A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257E" w14:textId="7DE57D5C" w:rsidR="00CE43AB" w:rsidRDefault="00CE43AB">
    <w:pPr>
      <w:pStyle w:val="Header"/>
    </w:pPr>
    <w:r>
      <w:rPr>
        <w:noProof/>
        <w14:ligatures w14:val="standardContextual"/>
      </w:rPr>
      <mc:AlternateContent>
        <mc:Choice Requires="wps">
          <w:drawing>
            <wp:anchor distT="0" distB="0" distL="0" distR="0" simplePos="0" relativeHeight="251658240" behindDoc="0" locked="0" layoutInCell="1" allowOverlap="1" wp14:anchorId="68073146" wp14:editId="2C458930">
              <wp:simplePos x="635" y="635"/>
              <wp:positionH relativeFrom="page">
                <wp:align>center</wp:align>
              </wp:positionH>
              <wp:positionV relativeFrom="page">
                <wp:align>top</wp:align>
              </wp:positionV>
              <wp:extent cx="551815" cy="391160"/>
              <wp:effectExtent l="0" t="0" r="635" b="8890"/>
              <wp:wrapNone/>
              <wp:docPr id="15683989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AA6FEF7" w14:textId="23902EF6" w:rsidR="00CE43AB" w:rsidRPr="00CE43AB" w:rsidRDefault="00CE43AB" w:rsidP="00CE43AB">
                          <w:pPr>
                            <w:spacing w:after="0"/>
                            <w:rPr>
                              <w:rFonts w:ascii="Calibri" w:eastAsia="Calibri" w:hAnsi="Calibri" w:cs="Calibri"/>
                              <w:noProof/>
                              <w:color w:val="FF0000"/>
                              <w:sz w:val="24"/>
                              <w:szCs w:val="24"/>
                            </w:rPr>
                          </w:pPr>
                          <w:r w:rsidRPr="00CE43A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73146"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6AA6FEF7" w14:textId="23902EF6" w:rsidR="00CE43AB" w:rsidRPr="00CE43AB" w:rsidRDefault="00CE43AB" w:rsidP="00CE43AB">
                    <w:pPr>
                      <w:spacing w:after="0"/>
                      <w:rPr>
                        <w:rFonts w:ascii="Calibri" w:eastAsia="Calibri" w:hAnsi="Calibri" w:cs="Calibri"/>
                        <w:noProof/>
                        <w:color w:val="FF0000"/>
                        <w:sz w:val="24"/>
                        <w:szCs w:val="24"/>
                      </w:rPr>
                    </w:pPr>
                    <w:r w:rsidRPr="00CE43AB">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219DB"/>
    <w:multiLevelType w:val="hybridMultilevel"/>
    <w:tmpl w:val="71FC5E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0B37B0"/>
    <w:multiLevelType w:val="hybridMultilevel"/>
    <w:tmpl w:val="4B4AD6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144547584">
    <w:abstractNumId w:val="1"/>
  </w:num>
  <w:num w:numId="2" w16cid:durableId="164948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3A"/>
    <w:rsid w:val="0000299A"/>
    <w:rsid w:val="00023ABA"/>
    <w:rsid w:val="001F3F60"/>
    <w:rsid w:val="00253002"/>
    <w:rsid w:val="0027356F"/>
    <w:rsid w:val="002852E2"/>
    <w:rsid w:val="00340E3D"/>
    <w:rsid w:val="00356F22"/>
    <w:rsid w:val="003875A4"/>
    <w:rsid w:val="005A59C8"/>
    <w:rsid w:val="006A51A1"/>
    <w:rsid w:val="006B3DF7"/>
    <w:rsid w:val="006D7049"/>
    <w:rsid w:val="00741496"/>
    <w:rsid w:val="008021F6"/>
    <w:rsid w:val="0088723E"/>
    <w:rsid w:val="00897905"/>
    <w:rsid w:val="008E55A4"/>
    <w:rsid w:val="009635FD"/>
    <w:rsid w:val="009774DC"/>
    <w:rsid w:val="00A0285C"/>
    <w:rsid w:val="00A768BD"/>
    <w:rsid w:val="00AC5918"/>
    <w:rsid w:val="00B826F1"/>
    <w:rsid w:val="00BF69A5"/>
    <w:rsid w:val="00C006F0"/>
    <w:rsid w:val="00CB34FC"/>
    <w:rsid w:val="00CE43AB"/>
    <w:rsid w:val="00E01207"/>
    <w:rsid w:val="00E25EC7"/>
    <w:rsid w:val="00E52771"/>
    <w:rsid w:val="00ED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79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3A"/>
    <w:rPr>
      <w:kern w:val="0"/>
      <w14:ligatures w14:val="none"/>
    </w:rPr>
  </w:style>
  <w:style w:type="paragraph" w:styleId="Heading1">
    <w:name w:val="heading 1"/>
    <w:basedOn w:val="Normal"/>
    <w:next w:val="Normal"/>
    <w:link w:val="Heading1Char"/>
    <w:uiPriority w:val="9"/>
    <w:qFormat/>
    <w:rsid w:val="00ED1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4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4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4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4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4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43A"/>
    <w:rPr>
      <w:rFonts w:eastAsiaTheme="majorEastAsia" w:cstheme="majorBidi"/>
      <w:color w:val="272727" w:themeColor="text1" w:themeTint="D8"/>
    </w:rPr>
  </w:style>
  <w:style w:type="paragraph" w:styleId="Title">
    <w:name w:val="Title"/>
    <w:basedOn w:val="Normal"/>
    <w:next w:val="Normal"/>
    <w:link w:val="TitleChar"/>
    <w:uiPriority w:val="10"/>
    <w:qFormat/>
    <w:rsid w:val="00ED1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43A"/>
    <w:pPr>
      <w:spacing w:before="160"/>
      <w:jc w:val="center"/>
    </w:pPr>
    <w:rPr>
      <w:i/>
      <w:iCs/>
      <w:color w:val="404040" w:themeColor="text1" w:themeTint="BF"/>
    </w:rPr>
  </w:style>
  <w:style w:type="character" w:customStyle="1" w:styleId="QuoteChar">
    <w:name w:val="Quote Char"/>
    <w:basedOn w:val="DefaultParagraphFont"/>
    <w:link w:val="Quote"/>
    <w:uiPriority w:val="29"/>
    <w:rsid w:val="00ED143A"/>
    <w:rPr>
      <w:i/>
      <w:iCs/>
      <w:color w:val="404040" w:themeColor="text1" w:themeTint="BF"/>
    </w:rPr>
  </w:style>
  <w:style w:type="paragraph" w:styleId="ListParagraph">
    <w:name w:val="List Paragraph"/>
    <w:basedOn w:val="Normal"/>
    <w:uiPriority w:val="34"/>
    <w:qFormat/>
    <w:rsid w:val="00ED143A"/>
    <w:pPr>
      <w:ind w:left="720"/>
      <w:contextualSpacing/>
    </w:pPr>
  </w:style>
  <w:style w:type="character" w:styleId="IntenseEmphasis">
    <w:name w:val="Intense Emphasis"/>
    <w:basedOn w:val="DefaultParagraphFont"/>
    <w:uiPriority w:val="21"/>
    <w:qFormat/>
    <w:rsid w:val="00ED143A"/>
    <w:rPr>
      <w:i/>
      <w:iCs/>
      <w:color w:val="0F4761" w:themeColor="accent1" w:themeShade="BF"/>
    </w:rPr>
  </w:style>
  <w:style w:type="paragraph" w:styleId="IntenseQuote">
    <w:name w:val="Intense Quote"/>
    <w:basedOn w:val="Normal"/>
    <w:next w:val="Normal"/>
    <w:link w:val="IntenseQuoteChar"/>
    <w:uiPriority w:val="30"/>
    <w:qFormat/>
    <w:rsid w:val="00ED1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43A"/>
    <w:rPr>
      <w:i/>
      <w:iCs/>
      <w:color w:val="0F4761" w:themeColor="accent1" w:themeShade="BF"/>
    </w:rPr>
  </w:style>
  <w:style w:type="character" w:styleId="IntenseReference">
    <w:name w:val="Intense Reference"/>
    <w:basedOn w:val="DefaultParagraphFont"/>
    <w:uiPriority w:val="32"/>
    <w:qFormat/>
    <w:rsid w:val="00ED143A"/>
    <w:rPr>
      <w:b/>
      <w:bCs/>
      <w:smallCaps/>
      <w:color w:val="0F4761" w:themeColor="accent1" w:themeShade="BF"/>
      <w:spacing w:val="5"/>
    </w:rPr>
  </w:style>
  <w:style w:type="paragraph" w:styleId="Header">
    <w:name w:val="header"/>
    <w:basedOn w:val="Normal"/>
    <w:link w:val="HeaderChar"/>
    <w:uiPriority w:val="99"/>
    <w:unhideWhenUsed/>
    <w:rsid w:val="0089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905"/>
    <w:rPr>
      <w:kern w:val="0"/>
      <w14:ligatures w14:val="none"/>
    </w:rPr>
  </w:style>
  <w:style w:type="paragraph" w:styleId="Footer">
    <w:name w:val="footer"/>
    <w:basedOn w:val="Normal"/>
    <w:link w:val="FooterChar"/>
    <w:uiPriority w:val="99"/>
    <w:unhideWhenUsed/>
    <w:rsid w:val="0089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905"/>
    <w:rPr>
      <w:kern w:val="0"/>
      <w14:ligatures w14:val="none"/>
    </w:rPr>
  </w:style>
  <w:style w:type="paragraph" w:styleId="Revision">
    <w:name w:val="Revision"/>
    <w:hidden/>
    <w:uiPriority w:val="99"/>
    <w:semiHidden/>
    <w:rsid w:val="00023ABA"/>
    <w:pPr>
      <w:spacing w:after="0" w:line="240" w:lineRule="auto"/>
    </w:pPr>
    <w:rPr>
      <w:kern w:val="0"/>
      <w14:ligatures w14:val="none"/>
    </w:rPr>
  </w:style>
  <w:style w:type="character" w:styleId="CommentReference">
    <w:name w:val="annotation reference"/>
    <w:basedOn w:val="DefaultParagraphFont"/>
    <w:uiPriority w:val="99"/>
    <w:semiHidden/>
    <w:unhideWhenUsed/>
    <w:rsid w:val="00C006F0"/>
    <w:rPr>
      <w:sz w:val="16"/>
      <w:szCs w:val="16"/>
    </w:rPr>
  </w:style>
  <w:style w:type="paragraph" w:styleId="CommentText">
    <w:name w:val="annotation text"/>
    <w:basedOn w:val="Normal"/>
    <w:link w:val="CommentTextChar"/>
    <w:uiPriority w:val="99"/>
    <w:unhideWhenUsed/>
    <w:rsid w:val="00C006F0"/>
    <w:pPr>
      <w:spacing w:line="240" w:lineRule="auto"/>
    </w:pPr>
    <w:rPr>
      <w:sz w:val="20"/>
      <w:szCs w:val="20"/>
    </w:rPr>
  </w:style>
  <w:style w:type="character" w:customStyle="1" w:styleId="CommentTextChar">
    <w:name w:val="Comment Text Char"/>
    <w:basedOn w:val="DefaultParagraphFont"/>
    <w:link w:val="CommentText"/>
    <w:uiPriority w:val="99"/>
    <w:rsid w:val="00C006F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006F0"/>
    <w:rPr>
      <w:b/>
      <w:bCs/>
    </w:rPr>
  </w:style>
  <w:style w:type="character" w:customStyle="1" w:styleId="CommentSubjectChar">
    <w:name w:val="Comment Subject Char"/>
    <w:basedOn w:val="CommentTextChar"/>
    <w:link w:val="CommentSubject"/>
    <w:uiPriority w:val="99"/>
    <w:semiHidden/>
    <w:rsid w:val="00C006F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2024-10-09T05:28:00Z</dcterms:created>
  <dcterms:modified xsi:type="dcterms:W3CDTF">2024-10-09T05:28:00Z</dcterms:modified>
</cp:coreProperties>
</file>