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67D0" w14:textId="77777777" w:rsidR="005833BE" w:rsidRPr="00E649F4" w:rsidRDefault="00F109D4" w:rsidP="0039795F">
      <w:pPr>
        <w:pStyle w:val="Heading1"/>
        <w:spacing w:after="240"/>
        <w:rPr>
          <w:rFonts w:ascii="Times New Roman" w:hAnsi="Times New Roman"/>
        </w:rPr>
      </w:pPr>
      <w:r w:rsidRPr="00E649F4">
        <w:rPr>
          <w:rFonts w:ascii="Times New Roman" w:hAnsi="Times New Roman"/>
        </w:rPr>
        <w:t>EXPLANATORY STATEMENT</w:t>
      </w:r>
    </w:p>
    <w:p w14:paraId="53298D8C" w14:textId="2E1B55C9" w:rsidR="00941C0D" w:rsidRPr="00E649F4" w:rsidRDefault="00941C0D" w:rsidP="0039795F">
      <w:pPr>
        <w:pStyle w:val="Heading2"/>
        <w:spacing w:after="240"/>
        <w:jc w:val="center"/>
        <w:rPr>
          <w:b w:val="0"/>
          <w:sz w:val="24"/>
          <w:szCs w:val="24"/>
        </w:rPr>
      </w:pPr>
      <w:r w:rsidRPr="00E649F4">
        <w:rPr>
          <w:b w:val="0"/>
          <w:sz w:val="24"/>
          <w:szCs w:val="24"/>
        </w:rPr>
        <w:t xml:space="preserve">Issued by authority of the </w:t>
      </w:r>
      <w:r w:rsidR="0039795F" w:rsidRPr="00E649F4">
        <w:rPr>
          <w:b w:val="0"/>
          <w:sz w:val="24"/>
          <w:szCs w:val="24"/>
        </w:rPr>
        <w:t xml:space="preserve">Minister for </w:t>
      </w:r>
      <w:r w:rsidR="007E3A2D" w:rsidRPr="00E649F4">
        <w:rPr>
          <w:b w:val="0"/>
          <w:sz w:val="24"/>
          <w:szCs w:val="24"/>
        </w:rPr>
        <w:t xml:space="preserve">Climate Change and </w:t>
      </w:r>
      <w:r w:rsidR="00137EF6" w:rsidRPr="00E649F4">
        <w:rPr>
          <w:b w:val="0"/>
          <w:sz w:val="24"/>
          <w:szCs w:val="24"/>
        </w:rPr>
        <w:t xml:space="preserve">Energy </w:t>
      </w:r>
    </w:p>
    <w:p w14:paraId="7C281EC7" w14:textId="77777777" w:rsidR="00B460E9" w:rsidRPr="00E649F4" w:rsidRDefault="004A4D33" w:rsidP="0039795F">
      <w:pPr>
        <w:spacing w:before="240" w:after="240"/>
        <w:jc w:val="center"/>
        <w:rPr>
          <w:i/>
        </w:rPr>
      </w:pPr>
      <w:r w:rsidRPr="00E649F4">
        <w:rPr>
          <w:i/>
          <w:iCs/>
        </w:rPr>
        <w:t>National Greenhouse and Energy Reporting Act 2007</w:t>
      </w:r>
    </w:p>
    <w:p w14:paraId="7E05998C" w14:textId="3AAC16C1" w:rsidR="00A91FAE" w:rsidRPr="00E649F4" w:rsidRDefault="00A91FAE" w:rsidP="00A91FAE">
      <w:pPr>
        <w:spacing w:before="0" w:after="240"/>
        <w:jc w:val="center"/>
        <w:rPr>
          <w:i/>
        </w:rPr>
      </w:pPr>
      <w:r w:rsidRPr="00E649F4">
        <w:rPr>
          <w:i/>
        </w:rPr>
        <w:t xml:space="preserve">National Greenhouse and Energy Reporting Amendment </w:t>
      </w:r>
      <w:bookmarkStart w:id="0" w:name="_Hlk135949565"/>
      <w:r w:rsidR="00FC2951" w:rsidRPr="00E649F4">
        <w:rPr>
          <w:i/>
          <w:szCs w:val="24"/>
          <w:lang w:eastAsia="en-US"/>
        </w:rPr>
        <w:t>(202</w:t>
      </w:r>
      <w:r w:rsidR="00BD5C6A">
        <w:rPr>
          <w:i/>
          <w:szCs w:val="24"/>
          <w:lang w:eastAsia="en-US"/>
        </w:rPr>
        <w:t>4</w:t>
      </w:r>
      <w:r w:rsidR="00FC2951" w:rsidRPr="00E649F4">
        <w:rPr>
          <w:i/>
          <w:szCs w:val="24"/>
          <w:lang w:eastAsia="en-US"/>
        </w:rPr>
        <w:t xml:space="preserve"> Measures No. 1)</w:t>
      </w:r>
      <w:bookmarkEnd w:id="0"/>
      <w:r w:rsidRPr="00E649F4">
        <w:rPr>
          <w:i/>
        </w:rPr>
        <w:t xml:space="preserve"> Regulations 202</w:t>
      </w:r>
      <w:r w:rsidR="00BD5C6A">
        <w:rPr>
          <w:i/>
        </w:rPr>
        <w:t>4</w:t>
      </w:r>
    </w:p>
    <w:p w14:paraId="51A7C4A3" w14:textId="4EA55385" w:rsidR="00A04056" w:rsidRPr="00E649F4" w:rsidRDefault="00A04056" w:rsidP="00D520DF">
      <w:pPr>
        <w:spacing w:before="0" w:after="240"/>
        <w:rPr>
          <w:b/>
          <w:iCs/>
        </w:rPr>
      </w:pPr>
      <w:r w:rsidRPr="00E649F4">
        <w:rPr>
          <w:b/>
          <w:iCs/>
        </w:rPr>
        <w:t>Background</w:t>
      </w:r>
    </w:p>
    <w:p w14:paraId="44C691B3" w14:textId="05862FF6" w:rsidR="00A2139A" w:rsidRPr="00E649F4" w:rsidRDefault="00A2139A" w:rsidP="00A2139A">
      <w:pPr>
        <w:spacing w:before="0" w:after="240"/>
      </w:pPr>
      <w:r w:rsidRPr="00E649F4">
        <w:rPr>
          <w:szCs w:val="24"/>
        </w:rPr>
        <w:t xml:space="preserve">The </w:t>
      </w:r>
      <w:r w:rsidRPr="00E649F4">
        <w:rPr>
          <w:i/>
          <w:iCs/>
          <w:szCs w:val="24"/>
        </w:rPr>
        <w:t>National Greenhouse and Energy Reporting Act 2007</w:t>
      </w:r>
      <w:r w:rsidRPr="00E649F4">
        <w:rPr>
          <w:szCs w:val="24"/>
        </w:rPr>
        <w:t xml:space="preserve"> (NGER Act) provides a national framework for reporting and disseminating company information about greenhouse gas emissions, energy production, energy consumption and other information. </w:t>
      </w:r>
      <w:r w:rsidR="00947409" w:rsidRPr="00E649F4">
        <w:t xml:space="preserve">Section 77 of </w:t>
      </w:r>
      <w:r w:rsidR="0092527E" w:rsidRPr="00E649F4">
        <w:rPr>
          <w:iCs/>
        </w:rPr>
        <w:t xml:space="preserve">the Act </w:t>
      </w:r>
      <w:r w:rsidR="00947409" w:rsidRPr="00E649F4">
        <w:rPr>
          <w:iCs/>
        </w:rPr>
        <w:t xml:space="preserve">provides that </w:t>
      </w:r>
      <w:r w:rsidR="00947409" w:rsidRPr="00E649F4">
        <w:t xml:space="preserve">the Governor-General may make regulations prescribing matters required or permitted by the Act to be prescribed, or necessary or convenient to be prescribed for carrying out or giving effect to the Act. The </w:t>
      </w:r>
      <w:r w:rsidR="00947409" w:rsidRPr="00E649F4">
        <w:rPr>
          <w:i/>
          <w:iCs/>
        </w:rPr>
        <w:t>National Greenhouse and Energy Reporting Regulations 2008</w:t>
      </w:r>
      <w:r w:rsidR="00947409" w:rsidRPr="00E649F4">
        <w:t xml:space="preserve"> (the </w:t>
      </w:r>
      <w:r w:rsidR="0092527E" w:rsidRPr="00E649F4">
        <w:t xml:space="preserve">NGER </w:t>
      </w:r>
      <w:r w:rsidR="00947409" w:rsidRPr="00E649F4">
        <w:t xml:space="preserve">Regulations) </w:t>
      </w:r>
      <w:r w:rsidR="00796285" w:rsidRPr="00E649F4">
        <w:t>are</w:t>
      </w:r>
      <w:r w:rsidR="00947409" w:rsidRPr="00E649F4">
        <w:t xml:space="preserve"> made under this </w:t>
      </w:r>
      <w:r w:rsidR="00796285" w:rsidRPr="00E649F4">
        <w:t>provision</w:t>
      </w:r>
      <w:r w:rsidR="00947409" w:rsidRPr="00E649F4">
        <w:t>.</w:t>
      </w:r>
    </w:p>
    <w:p w14:paraId="47859167" w14:textId="2E0C2069" w:rsidR="00A2139A" w:rsidRPr="00E649F4" w:rsidRDefault="00A2139A" w:rsidP="00A2139A">
      <w:pPr>
        <w:spacing w:before="0" w:after="240"/>
        <w:rPr>
          <w:rStyle w:val="eop"/>
          <w:color w:val="000000"/>
          <w:shd w:val="clear" w:color="auto" w:fill="FFFFFF"/>
        </w:rPr>
      </w:pPr>
      <w:r w:rsidRPr="00E649F4">
        <w:rPr>
          <w:rStyle w:val="normaltextrun"/>
          <w:color w:val="000000"/>
          <w:shd w:val="clear" w:color="auto" w:fill="FFFFFF"/>
        </w:rPr>
        <w:t xml:space="preserve">The </w:t>
      </w:r>
      <w:r w:rsidR="001F4509" w:rsidRPr="00E649F4">
        <w:rPr>
          <w:rStyle w:val="normaltextrun"/>
          <w:color w:val="000000"/>
          <w:shd w:val="clear" w:color="auto" w:fill="FFFFFF"/>
        </w:rPr>
        <w:t xml:space="preserve">National Greenhouse and Energy (NGER) </w:t>
      </w:r>
      <w:r w:rsidR="00C05DAB">
        <w:rPr>
          <w:rStyle w:val="normaltextrun"/>
          <w:color w:val="000000"/>
          <w:shd w:val="clear" w:color="auto" w:fill="FFFFFF"/>
        </w:rPr>
        <w:t>s</w:t>
      </w:r>
      <w:r w:rsidRPr="00E649F4">
        <w:rPr>
          <w:rStyle w:val="normaltextrun"/>
          <w:color w:val="000000"/>
          <w:shd w:val="clear" w:color="auto" w:fill="FFFFFF"/>
        </w:rPr>
        <w:t xml:space="preserve">cheme </w:t>
      </w:r>
      <w:r w:rsidR="005D3D74" w:rsidRPr="00E649F4">
        <w:rPr>
          <w:rStyle w:val="normaltextrun"/>
          <w:color w:val="000000"/>
          <w:shd w:val="clear" w:color="auto" w:fill="FFFFFF"/>
        </w:rPr>
        <w:t xml:space="preserve">as </w:t>
      </w:r>
      <w:r w:rsidRPr="00E649F4">
        <w:rPr>
          <w:rStyle w:val="normaltextrun"/>
          <w:color w:val="000000"/>
          <w:shd w:val="clear" w:color="auto" w:fill="FFFFFF"/>
        </w:rPr>
        <w:t xml:space="preserve">established under the Act is a key data source which supports Australia’s international and domestic reporting obligations and informs domestic climate and energy policies. Emissions reported under the NGER Act underpin the operation of the Safeguard Mechanism, which </w:t>
      </w:r>
      <w:r w:rsidRPr="00E649F4">
        <w:rPr>
          <w:szCs w:val="24"/>
        </w:rPr>
        <w:t>places emissions limits on Australia’s largest greenhouse gas emitters</w:t>
      </w:r>
      <w:r w:rsidRPr="00E649F4">
        <w:rPr>
          <w:rStyle w:val="normaltextrun"/>
          <w:color w:val="000000"/>
          <w:shd w:val="clear" w:color="auto" w:fill="FFFFFF"/>
        </w:rPr>
        <w:t>. </w:t>
      </w:r>
      <w:r w:rsidRPr="00E649F4">
        <w:rPr>
          <w:rStyle w:val="eop"/>
          <w:color w:val="000000"/>
          <w:shd w:val="clear" w:color="auto" w:fill="FFFFFF"/>
        </w:rPr>
        <w:t> </w:t>
      </w:r>
    </w:p>
    <w:p w14:paraId="363726BF" w14:textId="00BF140D" w:rsidR="005F7673" w:rsidRPr="00E649F4" w:rsidRDefault="005F7673" w:rsidP="00D520DF">
      <w:pPr>
        <w:spacing w:before="0" w:after="240"/>
      </w:pPr>
      <w:r w:rsidRPr="00E649F4">
        <w:t xml:space="preserve">The </w:t>
      </w:r>
      <w:r w:rsidRPr="00E649F4">
        <w:rPr>
          <w:bCs/>
          <w:i/>
          <w:szCs w:val="24"/>
        </w:rPr>
        <w:t xml:space="preserve">National Greenhouse and Energy Reporting (Measurement) Determination 2008 </w:t>
      </w:r>
      <w:r w:rsidRPr="00E649F4">
        <w:rPr>
          <w:bCs/>
          <w:szCs w:val="24"/>
        </w:rPr>
        <w:t>(the</w:t>
      </w:r>
      <w:r w:rsidR="00587B81" w:rsidRPr="00E649F4">
        <w:rPr>
          <w:bCs/>
          <w:szCs w:val="24"/>
        </w:rPr>
        <w:t> </w:t>
      </w:r>
      <w:r w:rsidRPr="00E649F4">
        <w:rPr>
          <w:bCs/>
          <w:szCs w:val="24"/>
        </w:rPr>
        <w:t xml:space="preserve">Measurement Determination), made under </w:t>
      </w:r>
      <w:r w:rsidR="008D238C" w:rsidRPr="00E649F4">
        <w:rPr>
          <w:bCs/>
          <w:szCs w:val="24"/>
        </w:rPr>
        <w:t>sub</w:t>
      </w:r>
      <w:r w:rsidRPr="00E649F4">
        <w:rPr>
          <w:bCs/>
          <w:szCs w:val="24"/>
        </w:rPr>
        <w:t xml:space="preserve">section 10(3) of the </w:t>
      </w:r>
      <w:r w:rsidR="00A2139A" w:rsidRPr="00E649F4">
        <w:rPr>
          <w:bCs/>
          <w:szCs w:val="24"/>
        </w:rPr>
        <w:t xml:space="preserve">NGER </w:t>
      </w:r>
      <w:r w:rsidRPr="00E649F4">
        <w:rPr>
          <w:bCs/>
          <w:szCs w:val="24"/>
        </w:rPr>
        <w:t>Act, specifies the methods by which the amounts of emissions and energy production and consumption are to be measured for the purposes of the Act.</w:t>
      </w:r>
    </w:p>
    <w:p w14:paraId="7CD64ECA" w14:textId="77777777" w:rsidR="00A04056" w:rsidRPr="00E649F4" w:rsidRDefault="00A04056" w:rsidP="00E56D94">
      <w:pPr>
        <w:spacing w:before="240" w:after="240"/>
        <w:rPr>
          <w:b/>
        </w:rPr>
      </w:pPr>
      <w:r w:rsidRPr="00E649F4">
        <w:rPr>
          <w:b/>
        </w:rPr>
        <w:t>Purpose and Operation</w:t>
      </w:r>
    </w:p>
    <w:p w14:paraId="43AD2BE2" w14:textId="58DC3626" w:rsidR="00C503BA" w:rsidRPr="00E649F4" w:rsidRDefault="00D520DF" w:rsidP="00D520DF">
      <w:pPr>
        <w:pStyle w:val="Bullet"/>
        <w:numPr>
          <w:ilvl w:val="0"/>
          <w:numId w:val="0"/>
        </w:numPr>
        <w:spacing w:before="0" w:after="240"/>
      </w:pPr>
      <w:r w:rsidRPr="00E649F4">
        <w:t xml:space="preserve">The purpose of the </w:t>
      </w:r>
      <w:r w:rsidR="00D81132" w:rsidRPr="00E649F4">
        <w:rPr>
          <w:i/>
        </w:rPr>
        <w:t xml:space="preserve">National Greenhouse and Energy Reporting Amendment </w:t>
      </w:r>
      <w:r w:rsidR="004E475C" w:rsidRPr="00E649F4">
        <w:rPr>
          <w:i/>
          <w:szCs w:val="24"/>
          <w:lang w:eastAsia="en-US"/>
        </w:rPr>
        <w:t>(202</w:t>
      </w:r>
      <w:r w:rsidR="00BD5C6A">
        <w:rPr>
          <w:i/>
          <w:szCs w:val="24"/>
          <w:lang w:eastAsia="en-US"/>
        </w:rPr>
        <w:t>4</w:t>
      </w:r>
      <w:r w:rsidR="004E475C" w:rsidRPr="00E649F4">
        <w:rPr>
          <w:i/>
          <w:szCs w:val="24"/>
          <w:lang w:eastAsia="en-US"/>
        </w:rPr>
        <w:t xml:space="preserve"> Measures No. 1)</w:t>
      </w:r>
      <w:r w:rsidR="00D81132" w:rsidRPr="00E649F4">
        <w:rPr>
          <w:i/>
        </w:rPr>
        <w:t xml:space="preserve"> Regulations 202</w:t>
      </w:r>
      <w:r w:rsidR="00BD5C6A">
        <w:rPr>
          <w:i/>
        </w:rPr>
        <w:t>4</w:t>
      </w:r>
      <w:r w:rsidRPr="00E649F4">
        <w:rPr>
          <w:i/>
        </w:rPr>
        <w:t xml:space="preserve"> </w:t>
      </w:r>
      <w:r w:rsidR="00D47F98" w:rsidRPr="00E649F4">
        <w:t xml:space="preserve">(the </w:t>
      </w:r>
      <w:r w:rsidR="009C6BC9" w:rsidRPr="00E649F4">
        <w:t>amending Regulations</w:t>
      </w:r>
      <w:r w:rsidR="00D47F98" w:rsidRPr="00E649F4">
        <w:t xml:space="preserve">) </w:t>
      </w:r>
      <w:r w:rsidRPr="00E649F4">
        <w:t>is</w:t>
      </w:r>
      <w:r w:rsidR="00947409" w:rsidRPr="00E649F4">
        <w:t xml:space="preserve"> to</w:t>
      </w:r>
      <w:r w:rsidR="00E770CF">
        <w:t xml:space="preserve"> create provisions requiring reporting of</w:t>
      </w:r>
      <w:r w:rsidR="00940126" w:rsidRPr="00E649F4">
        <w:t>:</w:t>
      </w:r>
    </w:p>
    <w:p w14:paraId="4C35C92A" w14:textId="77777777" w:rsidR="00E770CF" w:rsidRDefault="00E770CF" w:rsidP="005E2ADF">
      <w:pPr>
        <w:pStyle w:val="TOC2"/>
        <w:numPr>
          <w:ilvl w:val="0"/>
          <w:numId w:val="32"/>
        </w:numPr>
        <w:spacing w:after="240"/>
      </w:pPr>
      <w:r>
        <w:t>The methods used to estimate emissions from fuel combustion, and other information relevant to the use of those methods specified by Schedule 4 to the Measurement Determination; and</w:t>
      </w:r>
    </w:p>
    <w:p w14:paraId="1C9C1CA9" w14:textId="63838ED1" w:rsidR="00E770CF" w:rsidRDefault="00E770CF" w:rsidP="00E770CF">
      <w:pPr>
        <w:pStyle w:val="Bullet"/>
        <w:numPr>
          <w:ilvl w:val="0"/>
          <w:numId w:val="32"/>
        </w:numPr>
        <w:spacing w:after="240"/>
      </w:pPr>
      <w:r>
        <w:rPr>
          <w:szCs w:val="24"/>
        </w:rPr>
        <w:t>The methods used to estimate ‘scope 2’ emissions, other information relating to the use of those metho</w:t>
      </w:r>
      <w:r w:rsidR="00B77492">
        <w:rPr>
          <w:szCs w:val="24"/>
        </w:rPr>
        <w:t>d</w:t>
      </w:r>
      <w:r>
        <w:rPr>
          <w:szCs w:val="24"/>
        </w:rPr>
        <w:t xml:space="preserve">s specified by Schedule 4 to the Measurement Determination, and the amount of scope 2 emissions estimated. </w:t>
      </w:r>
    </w:p>
    <w:p w14:paraId="0FB8205F" w14:textId="5A6B173B" w:rsidR="008D238C" w:rsidRPr="00E649F4" w:rsidRDefault="00D47F98" w:rsidP="008D238C">
      <w:pPr>
        <w:pStyle w:val="Bullet"/>
        <w:numPr>
          <w:ilvl w:val="0"/>
          <w:numId w:val="0"/>
        </w:numPr>
      </w:pPr>
      <w:r w:rsidRPr="00E649F4">
        <w:t>D</w:t>
      </w:r>
      <w:r w:rsidR="002D2E26" w:rsidRPr="00E649F4">
        <w:t>etails of the</w:t>
      </w:r>
      <w:r w:rsidR="003F414F" w:rsidRPr="00E649F4">
        <w:t xml:space="preserve"> amending</w:t>
      </w:r>
      <w:r w:rsidR="002D2E26" w:rsidRPr="00E649F4">
        <w:t xml:space="preserve"> Regulation</w:t>
      </w:r>
      <w:r w:rsidR="003F414F" w:rsidRPr="00E649F4">
        <w:t>s</w:t>
      </w:r>
      <w:r w:rsidR="002D2E26" w:rsidRPr="00E649F4">
        <w:t xml:space="preserve"> are outlined in </w:t>
      </w:r>
      <w:r w:rsidR="002D2E26" w:rsidRPr="00E649F4">
        <w:rPr>
          <w:u w:val="single"/>
        </w:rPr>
        <w:t>Attachment A</w:t>
      </w:r>
      <w:r w:rsidR="002D2E26" w:rsidRPr="00E649F4">
        <w:t>.</w:t>
      </w:r>
    </w:p>
    <w:p w14:paraId="04300DE5" w14:textId="687EC2C5" w:rsidR="00AB00C7" w:rsidRDefault="000E6055" w:rsidP="00AB00C7">
      <w:pPr>
        <w:spacing w:after="240"/>
        <w:rPr>
          <w:bCs/>
          <w:szCs w:val="24"/>
        </w:rPr>
      </w:pPr>
      <w:r>
        <w:t>T</w:t>
      </w:r>
      <w:r w:rsidR="00AB00C7" w:rsidRPr="00E649F4">
        <w:t xml:space="preserve">he amending Regulations commence </w:t>
      </w:r>
      <w:r w:rsidR="00EB0E72">
        <w:t>on the day after registration to complement</w:t>
      </w:r>
      <w:r w:rsidR="00AB00C7" w:rsidRPr="00E649F4">
        <w:t xml:space="preserve"> amendments to </w:t>
      </w:r>
      <w:r w:rsidR="00AB00C7" w:rsidRPr="00E649F4">
        <w:rPr>
          <w:bCs/>
          <w:szCs w:val="24"/>
        </w:rPr>
        <w:t xml:space="preserve">the Measurement Determination, made by the </w:t>
      </w:r>
      <w:r w:rsidR="00AB00C7" w:rsidRPr="00E649F4">
        <w:rPr>
          <w:i/>
        </w:rPr>
        <w:t>National Greenhouse and</w:t>
      </w:r>
      <w:r w:rsidR="00AB00C7" w:rsidRPr="00E649F4">
        <w:t xml:space="preserve"> E</w:t>
      </w:r>
      <w:r w:rsidR="00AB00C7" w:rsidRPr="00E649F4">
        <w:rPr>
          <w:i/>
        </w:rPr>
        <w:t>nergy Reporting (Measurement) Amendment (202</w:t>
      </w:r>
      <w:r>
        <w:rPr>
          <w:i/>
        </w:rPr>
        <w:t>4</w:t>
      </w:r>
      <w:r w:rsidR="00AB00C7" w:rsidRPr="00E649F4">
        <w:rPr>
          <w:i/>
        </w:rPr>
        <w:t xml:space="preserve"> Update) Determination 202</w:t>
      </w:r>
      <w:r>
        <w:rPr>
          <w:i/>
        </w:rPr>
        <w:t>4</w:t>
      </w:r>
      <w:r w:rsidR="00EB0E72">
        <w:rPr>
          <w:i/>
        </w:rPr>
        <w:t xml:space="preserve"> </w:t>
      </w:r>
      <w:r w:rsidR="00EB0E72">
        <w:rPr>
          <w:iCs/>
        </w:rPr>
        <w:t>which apply for the reporting year starting 1 July 2024</w:t>
      </w:r>
      <w:r w:rsidR="00AB00C7" w:rsidRPr="00E649F4">
        <w:rPr>
          <w:bCs/>
          <w:szCs w:val="24"/>
        </w:rPr>
        <w:t xml:space="preserve">. </w:t>
      </w:r>
      <w:r>
        <w:rPr>
          <w:bCs/>
          <w:szCs w:val="24"/>
        </w:rPr>
        <w:t>One of the purposes of t</w:t>
      </w:r>
      <w:r w:rsidR="00AB00C7" w:rsidRPr="00E649F4">
        <w:rPr>
          <w:bCs/>
          <w:szCs w:val="24"/>
        </w:rPr>
        <w:t>hese amendments</w:t>
      </w:r>
      <w:r>
        <w:rPr>
          <w:bCs/>
          <w:szCs w:val="24"/>
        </w:rPr>
        <w:t xml:space="preserve"> is to set out the information that entities are required to report under Schedule 4</w:t>
      </w:r>
      <w:r w:rsidR="00AB00C7" w:rsidRPr="00E649F4">
        <w:rPr>
          <w:bCs/>
          <w:szCs w:val="24"/>
        </w:rPr>
        <w:t>.</w:t>
      </w:r>
    </w:p>
    <w:p w14:paraId="74E76D13" w14:textId="75F6FE73" w:rsidR="007B484D" w:rsidRDefault="007B484D" w:rsidP="007B484D">
      <w:pPr>
        <w:spacing w:after="240"/>
        <w:rPr>
          <w:szCs w:val="24"/>
        </w:rPr>
      </w:pPr>
      <w:r>
        <w:rPr>
          <w:szCs w:val="24"/>
        </w:rPr>
        <w:lastRenderedPageBreak/>
        <w:t xml:space="preserve">The NGER Regulations </w:t>
      </w:r>
      <w:r w:rsidR="001F4833">
        <w:rPr>
          <w:szCs w:val="24"/>
        </w:rPr>
        <w:t xml:space="preserve">are </w:t>
      </w:r>
      <w:r>
        <w:rPr>
          <w:szCs w:val="24"/>
        </w:rPr>
        <w:t xml:space="preserve">exempt from sunsetting under </w:t>
      </w:r>
      <w:r>
        <w:rPr>
          <w:i/>
          <w:iCs/>
          <w:szCs w:val="24"/>
        </w:rPr>
        <w:t>Legislation (Exemptions and Other Matters) Regulation</w:t>
      </w:r>
      <w:r>
        <w:rPr>
          <w:szCs w:val="24"/>
        </w:rPr>
        <w:t xml:space="preserve"> 2015 section 12, item 42A. This exemption is justified because the legislative instrument </w:t>
      </w:r>
      <w:r w:rsidR="00EB0E72">
        <w:rPr>
          <w:szCs w:val="24"/>
        </w:rPr>
        <w:t xml:space="preserve">implements international reporting obligations under the United Nations Framework Convention on Climate Change and </w:t>
      </w:r>
      <w:r>
        <w:rPr>
          <w:szCs w:val="24"/>
        </w:rPr>
        <w:t>is scientific and technical in application. There would be limited benefit in sunsetting of this instrument because it is required on an ongoing basis for relevant persons to determine their emissions reporting obligations</w:t>
      </w:r>
      <w:r w:rsidR="00EB0E72">
        <w:rPr>
          <w:szCs w:val="24"/>
        </w:rPr>
        <w:t xml:space="preserve"> and for Australia to comply with its international reporting obligations</w:t>
      </w:r>
      <w:r>
        <w:rPr>
          <w:szCs w:val="24"/>
        </w:rPr>
        <w:t xml:space="preserve">. </w:t>
      </w:r>
    </w:p>
    <w:p w14:paraId="4591C3E1" w14:textId="77777777" w:rsidR="00A04056" w:rsidRPr="00E649F4" w:rsidRDefault="00A04056" w:rsidP="00523CDE">
      <w:pPr>
        <w:spacing w:before="200" w:after="200"/>
        <w:rPr>
          <w:b/>
        </w:rPr>
      </w:pPr>
      <w:r w:rsidRPr="00E649F4">
        <w:rPr>
          <w:b/>
        </w:rPr>
        <w:t>Consultation</w:t>
      </w:r>
    </w:p>
    <w:p w14:paraId="0414674F" w14:textId="6EF38BFA" w:rsidR="00576982" w:rsidRPr="00E649F4" w:rsidRDefault="005E2ADF" w:rsidP="00576982">
      <w:pPr>
        <w:tabs>
          <w:tab w:val="left" w:pos="1701"/>
          <w:tab w:val="right" w:pos="9072"/>
        </w:tabs>
        <w:spacing w:before="0" w:after="0"/>
        <w:ind w:right="91"/>
      </w:pPr>
      <w:r>
        <w:t xml:space="preserve">The </w:t>
      </w:r>
      <w:r w:rsidR="00DF52CC">
        <w:t>proposal</w:t>
      </w:r>
      <w:r w:rsidR="00BA6138">
        <w:t>s</w:t>
      </w:r>
      <w:r w:rsidR="00DF52CC">
        <w:t xml:space="preserve"> to </w:t>
      </w:r>
      <w:r w:rsidR="00857682">
        <w:t xml:space="preserve">require reporting of information relevant to the use of those methods specified by Schedule 4 to the Measurement Determination relating to </w:t>
      </w:r>
      <w:r w:rsidR="008655B5">
        <w:t>methods used to estimate emissions from fuel combustion and scope 2 emissions</w:t>
      </w:r>
      <w:r w:rsidR="00B54FD2">
        <w:t xml:space="preserve">, together with proposed transparency measures which </w:t>
      </w:r>
      <w:r w:rsidR="007657A8">
        <w:t>the amending Regulations would enable,</w:t>
      </w:r>
      <w:r w:rsidR="008655B5">
        <w:t xml:space="preserve"> </w:t>
      </w:r>
      <w:r w:rsidR="00BA6138">
        <w:t xml:space="preserve">were </w:t>
      </w:r>
      <w:r w:rsidR="008655B5">
        <w:t>subject to public consultation</w:t>
      </w:r>
      <w:r w:rsidR="007C666C">
        <w:t xml:space="preserve"> </w:t>
      </w:r>
      <w:r w:rsidR="00CE002C">
        <w:t>(</w:t>
      </w:r>
      <w:r w:rsidR="007F756F" w:rsidRPr="0082144B">
        <w:rPr>
          <w:i/>
          <w:iCs/>
        </w:rPr>
        <w:t>National Greenhouse and Energy Reporting (NGER) scheme – 2024 proposed updates</w:t>
      </w:r>
      <w:r w:rsidR="00CE002C">
        <w:t>)</w:t>
      </w:r>
      <w:r w:rsidR="007F756F" w:rsidRPr="007F756F">
        <w:t xml:space="preserve"> </w:t>
      </w:r>
      <w:r w:rsidR="007C666C">
        <w:t>from Monday 29 April to Friday 24 May 2024</w:t>
      </w:r>
      <w:r w:rsidR="00B54FD2">
        <w:t>.</w:t>
      </w:r>
      <w:r w:rsidR="007657A8">
        <w:t xml:space="preserve"> Two submissions were received in support of proposed transparency measures relating to fuel combustion; </w:t>
      </w:r>
      <w:r w:rsidR="005A2EA6">
        <w:t>nine</w:t>
      </w:r>
      <w:r w:rsidR="007657A8">
        <w:t xml:space="preserve"> submissions were received in support of proposed transparency measures relating to scope 2 emissions. No submission opposed </w:t>
      </w:r>
      <w:r w:rsidR="008F59D3">
        <w:t>the proposed reporting requirements.</w:t>
      </w:r>
      <w:r w:rsidR="007F3642" w:rsidRPr="00E649F4">
        <w:tab/>
      </w:r>
    </w:p>
    <w:p w14:paraId="1DCC00A4" w14:textId="77777777" w:rsidR="005E3235" w:rsidRPr="00E649F4" w:rsidRDefault="005E3235" w:rsidP="004B4AE8">
      <w:pPr>
        <w:keepNext/>
        <w:tabs>
          <w:tab w:val="left" w:pos="1701"/>
          <w:tab w:val="right" w:pos="9072"/>
        </w:tabs>
        <w:spacing w:before="200" w:after="200"/>
        <w:ind w:right="91"/>
        <w:rPr>
          <w:b/>
        </w:rPr>
      </w:pPr>
      <w:r w:rsidRPr="00E649F4">
        <w:rPr>
          <w:b/>
        </w:rPr>
        <w:t>Regulatory Impact</w:t>
      </w:r>
    </w:p>
    <w:p w14:paraId="36D66C52" w14:textId="73E0C423" w:rsidR="00F50B42" w:rsidRPr="00E649F4" w:rsidRDefault="00F50B42" w:rsidP="007E3A2D">
      <w:pPr>
        <w:spacing w:before="200" w:after="200"/>
        <w:rPr>
          <w:rStyle w:val="eop"/>
          <w:color w:val="000000"/>
          <w:szCs w:val="24"/>
          <w:shd w:val="clear" w:color="auto" w:fill="FFFFFF"/>
        </w:rPr>
      </w:pPr>
      <w:r w:rsidRPr="00E649F4">
        <w:rPr>
          <w:rStyle w:val="normaltextrun"/>
          <w:color w:val="000000"/>
          <w:shd w:val="clear" w:color="auto" w:fill="FFFFFF"/>
          <w:lang w:val="en-GB"/>
        </w:rPr>
        <w:t xml:space="preserve">The </w:t>
      </w:r>
      <w:r w:rsidRPr="00E649F4">
        <w:rPr>
          <w:rStyle w:val="normaltextrun"/>
          <w:color w:val="000000"/>
          <w:szCs w:val="24"/>
          <w:shd w:val="clear" w:color="auto" w:fill="FFFFFF"/>
          <w:lang w:val="en-GB"/>
        </w:rPr>
        <w:t xml:space="preserve">regulatory impacts of the amending Regulations have been assessed as </w:t>
      </w:r>
      <w:r w:rsidR="00BB4A67">
        <w:rPr>
          <w:rStyle w:val="normaltextrun"/>
          <w:color w:val="000000"/>
          <w:szCs w:val="24"/>
          <w:shd w:val="clear" w:color="auto" w:fill="FFFFFF"/>
          <w:lang w:val="en-GB"/>
        </w:rPr>
        <w:t>minor</w:t>
      </w:r>
      <w:r w:rsidRPr="00E649F4">
        <w:rPr>
          <w:rStyle w:val="normaltextrun"/>
          <w:color w:val="000000"/>
          <w:szCs w:val="24"/>
          <w:shd w:val="clear" w:color="auto" w:fill="FFFFFF"/>
          <w:lang w:val="en-GB"/>
        </w:rPr>
        <w:t xml:space="preserve"> by the Office of Impact Assessment (r</w:t>
      </w:r>
      <w:r w:rsidRPr="00E649F4">
        <w:rPr>
          <w:rStyle w:val="normaltextrun"/>
          <w:color w:val="000000"/>
          <w:szCs w:val="24"/>
          <w:shd w:val="clear" w:color="auto" w:fill="FFFFFF"/>
        </w:rPr>
        <w:t>ef</w:t>
      </w:r>
      <w:r w:rsidR="00CC13EE">
        <w:rPr>
          <w:rStyle w:val="normaltextrun"/>
          <w:color w:val="000000"/>
          <w:szCs w:val="24"/>
          <w:shd w:val="clear" w:color="auto" w:fill="FFFFFF"/>
        </w:rPr>
        <w:t xml:space="preserve"> </w:t>
      </w:r>
      <w:r w:rsidR="00BB4A67">
        <w:t>OIA24-06759</w:t>
      </w:r>
      <w:r w:rsidRPr="00E649F4">
        <w:rPr>
          <w:rStyle w:val="normaltextrun"/>
          <w:color w:val="000000"/>
          <w:szCs w:val="24"/>
          <w:shd w:val="clear" w:color="auto" w:fill="FFFFFF"/>
        </w:rPr>
        <w:t>)</w:t>
      </w:r>
      <w:r w:rsidRPr="00E649F4">
        <w:rPr>
          <w:rStyle w:val="normaltextrun"/>
          <w:color w:val="000000"/>
          <w:szCs w:val="24"/>
          <w:shd w:val="clear" w:color="auto" w:fill="FFFFFF"/>
          <w:lang w:val="en-GB"/>
        </w:rPr>
        <w:t>.</w:t>
      </w:r>
      <w:r w:rsidRPr="00E649F4">
        <w:rPr>
          <w:rStyle w:val="eop"/>
          <w:color w:val="000000"/>
          <w:szCs w:val="24"/>
          <w:shd w:val="clear" w:color="auto" w:fill="FFFFFF"/>
        </w:rPr>
        <w:t> </w:t>
      </w:r>
    </w:p>
    <w:p w14:paraId="0424CC4B" w14:textId="77777777" w:rsidR="00A2139A" w:rsidRPr="00E649F4" w:rsidRDefault="00587B81" w:rsidP="007E3A2D">
      <w:pPr>
        <w:spacing w:before="200" w:after="200"/>
      </w:pPr>
      <w:r w:rsidRPr="00E649F4">
        <w:t xml:space="preserve">A statement of the amending Regulations’ compatibility with human rights is set out in </w:t>
      </w:r>
      <w:r w:rsidRPr="00E649F4">
        <w:rPr>
          <w:u w:val="single"/>
        </w:rPr>
        <w:t>Attachment B</w:t>
      </w:r>
      <w:r w:rsidRPr="00E649F4">
        <w:t>.</w:t>
      </w:r>
    </w:p>
    <w:p w14:paraId="55DB2FE0" w14:textId="5E5BCB46" w:rsidR="00A2139A" w:rsidRPr="00E649F4" w:rsidRDefault="00A2139A" w:rsidP="00A2139A">
      <w:pPr>
        <w:spacing w:before="0"/>
        <w:rPr>
          <w:szCs w:val="24"/>
        </w:rPr>
      </w:pPr>
      <w:r w:rsidRPr="00E649F4">
        <w:rPr>
          <w:szCs w:val="24"/>
        </w:rPr>
        <w:t>The amending Regulations are a legislative instrument for the purposes of the</w:t>
      </w:r>
      <w:r w:rsidRPr="00E649F4">
        <w:rPr>
          <w:i/>
          <w:iCs/>
          <w:szCs w:val="24"/>
        </w:rPr>
        <w:t xml:space="preserve"> Legislation Act 2003</w:t>
      </w:r>
      <w:r w:rsidRPr="00E649F4">
        <w:rPr>
          <w:szCs w:val="24"/>
        </w:rPr>
        <w:t xml:space="preserve">. </w:t>
      </w:r>
    </w:p>
    <w:p w14:paraId="5B8778F0" w14:textId="6DAC401F" w:rsidR="0092527E" w:rsidRPr="00E649F4" w:rsidRDefault="0092527E" w:rsidP="007E3A2D">
      <w:pPr>
        <w:spacing w:before="200" w:after="200"/>
        <w:rPr>
          <w:b/>
          <w:u w:val="single"/>
        </w:rPr>
      </w:pPr>
      <w:r w:rsidRPr="00E649F4">
        <w:rPr>
          <w:b/>
          <w:u w:val="single"/>
        </w:rPr>
        <w:br w:type="page"/>
      </w:r>
    </w:p>
    <w:p w14:paraId="04A28F7B" w14:textId="69FAF49F" w:rsidR="00084BFA" w:rsidRPr="00E649F4" w:rsidRDefault="00084BFA" w:rsidP="00084BFA">
      <w:pPr>
        <w:tabs>
          <w:tab w:val="left" w:pos="1701"/>
          <w:tab w:val="right" w:pos="9072"/>
        </w:tabs>
        <w:spacing w:before="200" w:after="200"/>
        <w:ind w:right="91"/>
        <w:jc w:val="right"/>
        <w:rPr>
          <w:b/>
          <w:u w:val="single"/>
        </w:rPr>
      </w:pPr>
      <w:r w:rsidRPr="00E649F4">
        <w:rPr>
          <w:b/>
          <w:u w:val="single"/>
        </w:rPr>
        <w:lastRenderedPageBreak/>
        <w:t>ATTACHMENT A</w:t>
      </w:r>
    </w:p>
    <w:p w14:paraId="6B671C80" w14:textId="01689D48" w:rsidR="00084BFA" w:rsidRPr="00E649F4" w:rsidRDefault="00084BFA" w:rsidP="00084BFA">
      <w:pPr>
        <w:keepNext/>
        <w:spacing w:after="240"/>
        <w:outlineLvl w:val="1"/>
        <w:rPr>
          <w:b/>
          <w:i/>
          <w:szCs w:val="24"/>
          <w:u w:val="single"/>
        </w:rPr>
      </w:pPr>
      <w:r w:rsidRPr="00E649F4">
        <w:rPr>
          <w:b/>
          <w:u w:val="single"/>
        </w:rPr>
        <w:t xml:space="preserve">Details of the </w:t>
      </w:r>
      <w:r w:rsidR="00F81E28" w:rsidRPr="00E649F4">
        <w:rPr>
          <w:b/>
          <w:i/>
          <w:u w:val="single"/>
        </w:rPr>
        <w:t xml:space="preserve">National Greenhouse and Energy Reporting Amendment </w:t>
      </w:r>
      <w:r w:rsidR="00172C66" w:rsidRPr="00E649F4">
        <w:rPr>
          <w:b/>
          <w:i/>
          <w:u w:val="single"/>
        </w:rPr>
        <w:t>(202</w:t>
      </w:r>
      <w:r w:rsidR="00B44837">
        <w:rPr>
          <w:b/>
          <w:i/>
          <w:u w:val="single"/>
        </w:rPr>
        <w:t>4</w:t>
      </w:r>
      <w:r w:rsidR="00172C66" w:rsidRPr="00E649F4">
        <w:rPr>
          <w:b/>
          <w:i/>
          <w:u w:val="single"/>
        </w:rPr>
        <w:t xml:space="preserve"> Measures No. 1)</w:t>
      </w:r>
      <w:r w:rsidR="00F81E28" w:rsidRPr="00E649F4">
        <w:rPr>
          <w:b/>
          <w:i/>
          <w:u w:val="single"/>
        </w:rPr>
        <w:t xml:space="preserve"> Regulations 202</w:t>
      </w:r>
      <w:r w:rsidR="00B44837">
        <w:rPr>
          <w:b/>
          <w:i/>
          <w:u w:val="single"/>
        </w:rPr>
        <w:t>4</w:t>
      </w:r>
    </w:p>
    <w:p w14:paraId="6DBD4AE4" w14:textId="77777777" w:rsidR="00084BFA" w:rsidRPr="00E649F4" w:rsidRDefault="00084BFA" w:rsidP="00084BFA">
      <w:pPr>
        <w:spacing w:before="0" w:after="240"/>
        <w:ind w:right="91"/>
        <w:rPr>
          <w:szCs w:val="24"/>
        </w:rPr>
      </w:pPr>
      <w:r w:rsidRPr="00E649F4">
        <w:rPr>
          <w:szCs w:val="24"/>
          <w:u w:val="single"/>
        </w:rPr>
        <w:t xml:space="preserve">Section </w:t>
      </w:r>
      <w:r w:rsidRPr="00E649F4">
        <w:rPr>
          <w:szCs w:val="24"/>
          <w:u w:val="single"/>
        </w:rPr>
        <w:fldChar w:fldCharType="begin"/>
      </w:r>
      <w:r w:rsidRPr="00E649F4">
        <w:rPr>
          <w:szCs w:val="24"/>
          <w:u w:val="single"/>
        </w:rPr>
        <w:instrText xml:space="preserve"> SEQ numlist \r1 </w:instrText>
      </w:r>
      <w:r w:rsidRPr="00E649F4">
        <w:rPr>
          <w:szCs w:val="24"/>
          <w:u w:val="single"/>
        </w:rPr>
        <w:fldChar w:fldCharType="separate"/>
      </w:r>
      <w:r w:rsidRPr="00E649F4">
        <w:rPr>
          <w:noProof/>
          <w:szCs w:val="24"/>
          <w:u w:val="single"/>
        </w:rPr>
        <w:t>1</w:t>
      </w:r>
      <w:r w:rsidRPr="00E649F4">
        <w:rPr>
          <w:szCs w:val="24"/>
          <w:u w:val="single"/>
        </w:rPr>
        <w:fldChar w:fldCharType="end"/>
      </w:r>
      <w:r w:rsidRPr="00E649F4">
        <w:rPr>
          <w:szCs w:val="24"/>
          <w:u w:val="single"/>
        </w:rPr>
        <w:t>—Name</w:t>
      </w:r>
    </w:p>
    <w:p w14:paraId="11EEF85A" w14:textId="6BA64B3C" w:rsidR="00084BFA" w:rsidRPr="00E649F4" w:rsidRDefault="00084BFA" w:rsidP="00084BFA">
      <w:pPr>
        <w:spacing w:before="0" w:after="240"/>
        <w:ind w:right="91"/>
        <w:rPr>
          <w:szCs w:val="24"/>
        </w:rPr>
      </w:pPr>
      <w:r w:rsidRPr="00E649F4">
        <w:rPr>
          <w:szCs w:val="24"/>
        </w:rPr>
        <w:t>This section provide</w:t>
      </w:r>
      <w:r w:rsidR="00D57219" w:rsidRPr="00E649F4">
        <w:rPr>
          <w:szCs w:val="24"/>
        </w:rPr>
        <w:t>s</w:t>
      </w:r>
      <w:r w:rsidRPr="00E649F4">
        <w:rPr>
          <w:szCs w:val="24"/>
        </w:rPr>
        <w:t xml:space="preserve"> that the title of the Regulations is the </w:t>
      </w:r>
      <w:r w:rsidR="0092527E" w:rsidRPr="00E649F4">
        <w:rPr>
          <w:i/>
        </w:rPr>
        <w:t xml:space="preserve">National Greenhouse and Energy Reporting Amendment </w:t>
      </w:r>
      <w:r w:rsidR="00172C66" w:rsidRPr="00E649F4">
        <w:rPr>
          <w:i/>
        </w:rPr>
        <w:t>(202</w:t>
      </w:r>
      <w:r w:rsidR="00B44837">
        <w:rPr>
          <w:i/>
        </w:rPr>
        <w:t>4</w:t>
      </w:r>
      <w:r w:rsidR="00172C66" w:rsidRPr="00E649F4">
        <w:rPr>
          <w:i/>
        </w:rPr>
        <w:t xml:space="preserve"> Measures No. 1) </w:t>
      </w:r>
      <w:r w:rsidR="0092527E" w:rsidRPr="00E649F4">
        <w:rPr>
          <w:i/>
        </w:rPr>
        <w:t>Regulations 202</w:t>
      </w:r>
      <w:r w:rsidR="00B44837">
        <w:rPr>
          <w:i/>
        </w:rPr>
        <w:t>4</w:t>
      </w:r>
      <w:r w:rsidRPr="00E649F4">
        <w:rPr>
          <w:szCs w:val="24"/>
        </w:rPr>
        <w:t>.</w:t>
      </w:r>
    </w:p>
    <w:p w14:paraId="17BA615A" w14:textId="77777777" w:rsidR="00084BFA" w:rsidRPr="00E649F4" w:rsidRDefault="00084BFA" w:rsidP="00084BFA">
      <w:pPr>
        <w:spacing w:before="0" w:after="240"/>
        <w:ind w:right="91"/>
        <w:rPr>
          <w:szCs w:val="24"/>
          <w:u w:val="single"/>
        </w:rPr>
      </w:pPr>
      <w:r w:rsidRPr="00E649F4">
        <w:rPr>
          <w:szCs w:val="24"/>
          <w:u w:val="single"/>
        </w:rPr>
        <w:t>Section 2—Commencement</w:t>
      </w:r>
    </w:p>
    <w:p w14:paraId="64356633" w14:textId="6DBE8137" w:rsidR="00084BFA" w:rsidRPr="00E649F4" w:rsidRDefault="00084BFA" w:rsidP="00084BFA">
      <w:pPr>
        <w:spacing w:before="0" w:after="240"/>
        <w:ind w:right="91"/>
        <w:rPr>
          <w:szCs w:val="24"/>
        </w:rPr>
      </w:pPr>
      <w:r w:rsidRPr="00E649F4">
        <w:rPr>
          <w:szCs w:val="24"/>
        </w:rPr>
        <w:t>This section provide</w:t>
      </w:r>
      <w:r w:rsidR="00D57219" w:rsidRPr="00E649F4">
        <w:rPr>
          <w:szCs w:val="24"/>
        </w:rPr>
        <w:t>s</w:t>
      </w:r>
      <w:r w:rsidRPr="00E649F4">
        <w:rPr>
          <w:szCs w:val="24"/>
        </w:rPr>
        <w:t xml:space="preserve"> </w:t>
      </w:r>
      <w:r w:rsidR="003E14CE">
        <w:rPr>
          <w:szCs w:val="24"/>
        </w:rPr>
        <w:t xml:space="preserve">that the </w:t>
      </w:r>
      <w:r w:rsidR="00D57219" w:rsidRPr="00E649F4">
        <w:rPr>
          <w:szCs w:val="24"/>
        </w:rPr>
        <w:t xml:space="preserve">amending </w:t>
      </w:r>
      <w:r w:rsidRPr="00E649F4">
        <w:rPr>
          <w:szCs w:val="24"/>
        </w:rPr>
        <w:t>Regulations</w:t>
      </w:r>
      <w:r w:rsidR="003E14CE">
        <w:rPr>
          <w:szCs w:val="24"/>
        </w:rPr>
        <w:t xml:space="preserve"> commence the day after it is registered</w:t>
      </w:r>
      <w:r w:rsidR="004E0F7C" w:rsidRPr="00E649F4">
        <w:rPr>
          <w:szCs w:val="24"/>
        </w:rPr>
        <w:t>.</w:t>
      </w:r>
    </w:p>
    <w:p w14:paraId="6F9EAEAE" w14:textId="77777777" w:rsidR="00084BFA" w:rsidRPr="00E649F4" w:rsidRDefault="00084BFA" w:rsidP="00084BFA">
      <w:pPr>
        <w:spacing w:before="0" w:after="240"/>
        <w:ind w:right="91"/>
        <w:rPr>
          <w:szCs w:val="24"/>
        </w:rPr>
      </w:pPr>
      <w:r w:rsidRPr="00E649F4">
        <w:rPr>
          <w:szCs w:val="24"/>
          <w:u w:val="single"/>
        </w:rPr>
        <w:t>Section 3—Authority</w:t>
      </w:r>
    </w:p>
    <w:p w14:paraId="35A04897" w14:textId="753A3F65" w:rsidR="00084BFA" w:rsidRPr="00E649F4" w:rsidRDefault="00084BFA" w:rsidP="00084BFA">
      <w:pPr>
        <w:spacing w:before="0" w:after="240"/>
        <w:ind w:right="91"/>
        <w:rPr>
          <w:i/>
          <w:szCs w:val="24"/>
        </w:rPr>
      </w:pPr>
      <w:r w:rsidRPr="00E649F4">
        <w:rPr>
          <w:szCs w:val="24"/>
        </w:rPr>
        <w:t>This section provide</w:t>
      </w:r>
      <w:r w:rsidR="00D57219" w:rsidRPr="00E649F4">
        <w:rPr>
          <w:szCs w:val="24"/>
        </w:rPr>
        <w:t>s</w:t>
      </w:r>
      <w:r w:rsidRPr="00E649F4">
        <w:rPr>
          <w:szCs w:val="24"/>
        </w:rPr>
        <w:t xml:space="preserve"> that the </w:t>
      </w:r>
      <w:r w:rsidR="00D57219" w:rsidRPr="00E649F4">
        <w:rPr>
          <w:szCs w:val="24"/>
        </w:rPr>
        <w:t xml:space="preserve">amending </w:t>
      </w:r>
      <w:r w:rsidRPr="00E649F4">
        <w:rPr>
          <w:szCs w:val="24"/>
        </w:rPr>
        <w:t xml:space="preserve">Regulations are made under </w:t>
      </w:r>
      <w:r w:rsidRPr="00E649F4">
        <w:t>the</w:t>
      </w:r>
      <w:r w:rsidR="00587B81" w:rsidRPr="00E649F4">
        <w:t xml:space="preserve"> Act</w:t>
      </w:r>
      <w:r w:rsidRPr="00E649F4">
        <w:rPr>
          <w:iCs/>
        </w:rPr>
        <w:t xml:space="preserve">. </w:t>
      </w:r>
      <w:r w:rsidRPr="00E649F4">
        <w:rPr>
          <w:lang w:bidi="en-US"/>
        </w:rPr>
        <w:t>The power to make regulations under section</w:t>
      </w:r>
      <w:r w:rsidR="00587B81" w:rsidRPr="00E649F4">
        <w:rPr>
          <w:lang w:bidi="en-US"/>
        </w:rPr>
        <w:t> </w:t>
      </w:r>
      <w:r w:rsidRPr="00E649F4">
        <w:rPr>
          <w:lang w:bidi="en-US"/>
        </w:rPr>
        <w:t xml:space="preserve">77 of the Act includes the power to amend or revoke regulations that have already been made, with any doubt about this resolved by subsection 33(3) of the </w:t>
      </w:r>
      <w:r w:rsidRPr="00E649F4">
        <w:rPr>
          <w:i/>
          <w:lang w:bidi="en-US"/>
        </w:rPr>
        <w:t>Acts Interpretation Act 1901.</w:t>
      </w:r>
    </w:p>
    <w:p w14:paraId="610D9A9A" w14:textId="77777777" w:rsidR="00084BFA" w:rsidRPr="00E649F4" w:rsidRDefault="00084BFA" w:rsidP="00084BFA">
      <w:pPr>
        <w:spacing w:before="0" w:after="240"/>
        <w:ind w:right="91"/>
        <w:rPr>
          <w:szCs w:val="24"/>
          <w:u w:val="single"/>
        </w:rPr>
      </w:pPr>
      <w:r w:rsidRPr="00E649F4">
        <w:rPr>
          <w:szCs w:val="24"/>
          <w:u w:val="single"/>
        </w:rPr>
        <w:t>Section 4—Schedules</w:t>
      </w:r>
    </w:p>
    <w:p w14:paraId="61F0E64D" w14:textId="77777777" w:rsidR="00084BFA" w:rsidRPr="00E649F4" w:rsidRDefault="00084BFA" w:rsidP="00084BFA">
      <w:pPr>
        <w:spacing w:before="0" w:after="240"/>
        <w:rPr>
          <w:szCs w:val="24"/>
        </w:rPr>
      </w:pPr>
      <w:r w:rsidRPr="00E649F4">
        <w:rPr>
          <w:szCs w:val="24"/>
        </w:rPr>
        <w:t>This section provide</w:t>
      </w:r>
      <w:r w:rsidR="00D57219" w:rsidRPr="00E649F4">
        <w:rPr>
          <w:szCs w:val="24"/>
        </w:rPr>
        <w:t>s</w:t>
      </w:r>
      <w:r w:rsidRPr="00E649F4">
        <w:rPr>
          <w:szCs w:val="24"/>
        </w:rPr>
        <w:t xml:space="preserve"> that each instrument that is specified in a Schedule to the </w:t>
      </w:r>
      <w:r w:rsidR="00D57219" w:rsidRPr="00E649F4">
        <w:rPr>
          <w:szCs w:val="24"/>
        </w:rPr>
        <w:t xml:space="preserve">amending </w:t>
      </w:r>
      <w:r w:rsidRPr="00E649F4">
        <w:rPr>
          <w:szCs w:val="24"/>
        </w:rPr>
        <w:t>Regulations is amended or repealed as set out in the applicable items in the Schedule concerned, and any other item in a Schedule to the</w:t>
      </w:r>
      <w:r w:rsidRPr="00E649F4" w:rsidDel="00D57219">
        <w:rPr>
          <w:szCs w:val="24"/>
        </w:rPr>
        <w:t xml:space="preserve"> </w:t>
      </w:r>
      <w:r w:rsidR="00D57219" w:rsidRPr="00E649F4">
        <w:rPr>
          <w:szCs w:val="24"/>
        </w:rPr>
        <w:t>amending</w:t>
      </w:r>
      <w:r w:rsidRPr="00E649F4">
        <w:rPr>
          <w:szCs w:val="24"/>
        </w:rPr>
        <w:t xml:space="preserve"> Regulations has effect according to its terms.</w:t>
      </w:r>
    </w:p>
    <w:p w14:paraId="71C00870" w14:textId="1DEB247D" w:rsidR="00084BFA" w:rsidRPr="00AD08C1" w:rsidRDefault="00084BFA" w:rsidP="00AD08C1">
      <w:pPr>
        <w:spacing w:before="0" w:after="240"/>
        <w:ind w:right="91"/>
        <w:rPr>
          <w:szCs w:val="24"/>
          <w:u w:val="single"/>
        </w:rPr>
      </w:pPr>
      <w:r w:rsidRPr="00AD08C1">
        <w:rPr>
          <w:szCs w:val="24"/>
          <w:u w:val="single"/>
        </w:rPr>
        <w:t xml:space="preserve">Schedule </w:t>
      </w:r>
      <w:r w:rsidRPr="00AD08C1">
        <w:rPr>
          <w:szCs w:val="24"/>
          <w:u w:val="single"/>
        </w:rPr>
        <w:fldChar w:fldCharType="begin"/>
      </w:r>
      <w:r w:rsidRPr="00AD08C1">
        <w:rPr>
          <w:szCs w:val="24"/>
          <w:u w:val="single"/>
        </w:rPr>
        <w:instrText xml:space="preserve"> SEQ numlist \r1 </w:instrText>
      </w:r>
      <w:r w:rsidRPr="00AD08C1">
        <w:rPr>
          <w:szCs w:val="24"/>
          <w:u w:val="single"/>
        </w:rPr>
        <w:fldChar w:fldCharType="separate"/>
      </w:r>
      <w:r w:rsidRPr="00AD08C1">
        <w:rPr>
          <w:szCs w:val="24"/>
          <w:u w:val="single"/>
        </w:rPr>
        <w:t>1</w:t>
      </w:r>
      <w:r w:rsidRPr="00AD08C1">
        <w:rPr>
          <w:szCs w:val="24"/>
          <w:u w:val="single"/>
        </w:rPr>
        <w:fldChar w:fldCharType="end"/>
      </w:r>
      <w:r w:rsidRPr="00AD08C1">
        <w:rPr>
          <w:szCs w:val="24"/>
          <w:u w:val="single"/>
        </w:rPr>
        <w:t>—Amendments</w:t>
      </w:r>
      <w:r w:rsidR="00C73073" w:rsidRPr="00AD08C1">
        <w:rPr>
          <w:szCs w:val="24"/>
          <w:u w:val="single"/>
        </w:rPr>
        <w:t xml:space="preserve"> </w:t>
      </w:r>
    </w:p>
    <w:p w14:paraId="2C47CC96" w14:textId="15B35286" w:rsidR="0092527E" w:rsidRPr="00E649F4" w:rsidRDefault="0092527E" w:rsidP="004E682F">
      <w:pPr>
        <w:spacing w:before="0" w:after="240"/>
        <w:rPr>
          <w:b/>
          <w:szCs w:val="24"/>
        </w:rPr>
      </w:pPr>
      <w:r w:rsidRPr="00E649F4">
        <w:rPr>
          <w:b/>
          <w:szCs w:val="24"/>
        </w:rPr>
        <w:t xml:space="preserve">Item 1 – </w:t>
      </w:r>
      <w:r w:rsidR="00CF778F" w:rsidRPr="00CF778F">
        <w:rPr>
          <w:b/>
          <w:szCs w:val="24"/>
        </w:rPr>
        <w:t>After paragraph 4.07(2)(c)</w:t>
      </w:r>
    </w:p>
    <w:p w14:paraId="039E89EC" w14:textId="45454879" w:rsidR="00E770CF" w:rsidRPr="00716ED1" w:rsidRDefault="00E770CF" w:rsidP="00E770CF">
      <w:pPr>
        <w:spacing w:before="0"/>
        <w:ind w:right="-1"/>
        <w:rPr>
          <w:szCs w:val="24"/>
        </w:rPr>
      </w:pPr>
      <w:r w:rsidRPr="00153780">
        <w:rPr>
          <w:szCs w:val="24"/>
        </w:rPr>
        <w:t>This item insert</w:t>
      </w:r>
      <w:r>
        <w:rPr>
          <w:szCs w:val="24"/>
        </w:rPr>
        <w:t>s</w:t>
      </w:r>
      <w:r w:rsidRPr="00153780">
        <w:rPr>
          <w:szCs w:val="24"/>
        </w:rPr>
        <w:t xml:space="preserve"> a new paragraph 4.07(2)(ca) </w:t>
      </w:r>
      <w:r>
        <w:rPr>
          <w:szCs w:val="24"/>
        </w:rPr>
        <w:t xml:space="preserve">requiring </w:t>
      </w:r>
      <w:r w:rsidRPr="00153780">
        <w:rPr>
          <w:szCs w:val="24"/>
        </w:rPr>
        <w:t xml:space="preserve">the reporting of </w:t>
      </w:r>
      <w:r>
        <w:rPr>
          <w:szCs w:val="24"/>
        </w:rPr>
        <w:t xml:space="preserve">methods used to </w:t>
      </w:r>
      <w:r w:rsidRPr="00716ED1">
        <w:rPr>
          <w:szCs w:val="24"/>
        </w:rPr>
        <w:t>estimate emissions from fuel combustion and a new paragraph (cb) requiring reporting of matters set out in Part 1A of Schedule 4 to the Measurement Determination relating to the use of those methods.</w:t>
      </w:r>
    </w:p>
    <w:p w14:paraId="38E61953" w14:textId="34226859" w:rsidR="00E770CF" w:rsidRPr="00716ED1" w:rsidRDefault="00E770CF" w:rsidP="00E770CF">
      <w:pPr>
        <w:spacing w:before="0"/>
        <w:ind w:right="-1"/>
        <w:rPr>
          <w:szCs w:val="24"/>
        </w:rPr>
      </w:pPr>
      <w:r w:rsidRPr="00716ED1">
        <w:t>Paragraph (ca) brings regulation 4.07 of the NGER Regulations into alignment with other provisions of Division 4.4 and confirm the currently applied interpretation of the NGER Regulations.</w:t>
      </w:r>
      <w:r w:rsidRPr="00716ED1">
        <w:rPr>
          <w:szCs w:val="24"/>
        </w:rPr>
        <w:t xml:space="preserve"> </w:t>
      </w:r>
    </w:p>
    <w:p w14:paraId="554AA72A" w14:textId="6FDE2BC4" w:rsidR="00E770CF" w:rsidRPr="00716ED1" w:rsidRDefault="00E770CF" w:rsidP="00E770CF">
      <w:pPr>
        <w:spacing w:before="0" w:after="240"/>
        <w:rPr>
          <w:color w:val="FF0000"/>
          <w:szCs w:val="24"/>
        </w:rPr>
      </w:pPr>
      <w:r w:rsidRPr="00716ED1">
        <w:t>Paragraph (cb) brings regulation 4.07 of the NGER Regulations into alignment with other provisions of Division 4.4. Its inclusion would enable provision of information to increase the transparency and usefulness of data reported and published under the NGER scheme.</w:t>
      </w:r>
    </w:p>
    <w:p w14:paraId="3F248A26" w14:textId="0A210DEB" w:rsidR="00CF778F" w:rsidRDefault="00CF778F" w:rsidP="00CF778F">
      <w:pPr>
        <w:spacing w:before="0"/>
        <w:ind w:right="-1"/>
        <w:rPr>
          <w:szCs w:val="24"/>
        </w:rPr>
      </w:pPr>
      <w:r w:rsidRPr="00716ED1">
        <w:rPr>
          <w:szCs w:val="24"/>
        </w:rPr>
        <w:t xml:space="preserve">The new Part </w:t>
      </w:r>
      <w:r w:rsidR="00E770CF" w:rsidRPr="00716ED1">
        <w:rPr>
          <w:szCs w:val="24"/>
        </w:rPr>
        <w:t>1A</w:t>
      </w:r>
      <w:r w:rsidRPr="00716ED1">
        <w:rPr>
          <w:szCs w:val="24"/>
        </w:rPr>
        <w:t xml:space="preserve"> </w:t>
      </w:r>
      <w:r w:rsidRPr="00716ED1">
        <w:t xml:space="preserve">to Schedule 4 of the Measurement Determination is introduced in the </w:t>
      </w:r>
      <w:r w:rsidRPr="00716ED1">
        <w:rPr>
          <w:i/>
          <w:iCs/>
        </w:rPr>
        <w:t>National Greenhouse</w:t>
      </w:r>
      <w:r w:rsidRPr="003F6B22">
        <w:rPr>
          <w:i/>
          <w:iCs/>
        </w:rPr>
        <w:t xml:space="preserve"> and Energy Reporting (Measurement) Amendment (2024 Update) Determination 2024</w:t>
      </w:r>
      <w:r>
        <w:t xml:space="preserve">, which </w:t>
      </w:r>
      <w:r w:rsidR="00EB0E72">
        <w:t>applies</w:t>
      </w:r>
      <w:r>
        <w:t xml:space="preserve"> with the amending Regulations</w:t>
      </w:r>
      <w:r w:rsidR="00EB0E72">
        <w:t xml:space="preserve"> to the 2024-25 reporting year</w:t>
      </w:r>
      <w:r>
        <w:t>.</w:t>
      </w:r>
    </w:p>
    <w:p w14:paraId="399E0918" w14:textId="21E439C3" w:rsidR="0092527E" w:rsidRPr="00E649F4" w:rsidRDefault="0092527E" w:rsidP="004E682F">
      <w:pPr>
        <w:spacing w:before="0" w:after="240"/>
        <w:rPr>
          <w:b/>
          <w:bCs/>
          <w:szCs w:val="24"/>
        </w:rPr>
      </w:pPr>
      <w:r w:rsidRPr="00E649F4">
        <w:rPr>
          <w:b/>
          <w:szCs w:val="24"/>
        </w:rPr>
        <w:t xml:space="preserve">Item 2 </w:t>
      </w:r>
      <w:r w:rsidR="00E770CF">
        <w:rPr>
          <w:b/>
          <w:szCs w:val="24"/>
        </w:rPr>
        <w:t>–</w:t>
      </w:r>
      <w:r w:rsidRPr="00E649F4">
        <w:rPr>
          <w:b/>
          <w:szCs w:val="24"/>
        </w:rPr>
        <w:t xml:space="preserve"> </w:t>
      </w:r>
      <w:r w:rsidR="00716ED1" w:rsidRPr="00716ED1">
        <w:rPr>
          <w:b/>
          <w:szCs w:val="24"/>
        </w:rPr>
        <w:t>Subdivision 4.4.3A</w:t>
      </w:r>
    </w:p>
    <w:p w14:paraId="078690FC" w14:textId="637D300A" w:rsidR="00E770CF" w:rsidRDefault="00E770CF" w:rsidP="00E770CF">
      <w:pPr>
        <w:spacing w:before="0"/>
        <w:ind w:right="-1"/>
        <w:rPr>
          <w:szCs w:val="24"/>
        </w:rPr>
      </w:pPr>
      <w:r>
        <w:rPr>
          <w:szCs w:val="24"/>
        </w:rPr>
        <w:t>This item repeals and replaces Subdivision 4.4.3A of the NGER Regulations.</w:t>
      </w:r>
    </w:p>
    <w:p w14:paraId="5074D6E8" w14:textId="77777777" w:rsidR="00E770CF" w:rsidRDefault="00E770CF" w:rsidP="00E770CF">
      <w:pPr>
        <w:spacing w:before="0"/>
        <w:ind w:right="-1"/>
        <w:rPr>
          <w:szCs w:val="24"/>
        </w:rPr>
      </w:pPr>
    </w:p>
    <w:p w14:paraId="263DEF68" w14:textId="4484A63C" w:rsidR="00E770CF" w:rsidRDefault="00E770CF" w:rsidP="00E770CF">
      <w:pPr>
        <w:spacing w:before="0"/>
        <w:ind w:right="-1"/>
        <w:rPr>
          <w:szCs w:val="24"/>
        </w:rPr>
      </w:pPr>
      <w:r>
        <w:rPr>
          <w:szCs w:val="24"/>
        </w:rPr>
        <w:t>The item relevantly inserts three new paragraphs 4.17B(2)(a), (2)(b) and (2)(c), respectively requiring reporting of (a) the methods in the Measurement Determination used to estimate scope 2 emissions emitted from the operation of a facility, (b) matters set out in Part 7 of Schedule 4 to the Measurement Determination relating to the use of those methods, and (c) the amount of scope 2 emissions estimated.</w:t>
      </w:r>
    </w:p>
    <w:p w14:paraId="3CB08ED3" w14:textId="665B35C0" w:rsidR="00E770CF" w:rsidRDefault="00E770CF" w:rsidP="00E770CF">
      <w:pPr>
        <w:spacing w:before="0"/>
        <w:ind w:right="-1"/>
        <w:rPr>
          <w:szCs w:val="24"/>
        </w:rPr>
      </w:pPr>
      <w:r>
        <w:t>Paragraphs (2)(a) and (2)(c) bring regulation 4.17B of the NGER Regulations into alignment with other provisions of Division 4.4 and confirm the currently applied interpretation of the NGER Regulations.</w:t>
      </w:r>
    </w:p>
    <w:p w14:paraId="5C6405B9" w14:textId="09F694B0" w:rsidR="00E770CF" w:rsidRDefault="00E770CF" w:rsidP="00E770CF">
      <w:pPr>
        <w:spacing w:before="0"/>
        <w:ind w:right="-1"/>
        <w:rPr>
          <w:szCs w:val="24"/>
        </w:rPr>
      </w:pPr>
      <w:r>
        <w:t>Paragraph (2)(b) brings regulation 4.</w:t>
      </w:r>
      <w:r w:rsidR="00C10CD1">
        <w:t>1</w:t>
      </w:r>
      <w:r>
        <w:t>7</w:t>
      </w:r>
      <w:r w:rsidR="00C10CD1">
        <w:t>B</w:t>
      </w:r>
      <w:r>
        <w:t xml:space="preserve"> of the NGER Regulations into alignment with other provisions of Division 4.4. Its inclusion enables provision of information to increase the transparency and usefulness of data reported and published under the NGER scheme. </w:t>
      </w:r>
      <w:r w:rsidRPr="00DF4D51">
        <w:rPr>
          <w:szCs w:val="24"/>
        </w:rPr>
        <w:t xml:space="preserve">This </w:t>
      </w:r>
      <w:r>
        <w:rPr>
          <w:szCs w:val="24"/>
        </w:rPr>
        <w:t xml:space="preserve">reporting </w:t>
      </w:r>
      <w:r w:rsidRPr="00DF4D51">
        <w:rPr>
          <w:szCs w:val="24"/>
        </w:rPr>
        <w:t xml:space="preserve">obligation </w:t>
      </w:r>
      <w:r w:rsidR="00EB0E72">
        <w:rPr>
          <w:szCs w:val="24"/>
        </w:rPr>
        <w:t>applies</w:t>
      </w:r>
      <w:r w:rsidRPr="00DF4D51">
        <w:rPr>
          <w:szCs w:val="24"/>
        </w:rPr>
        <w:t xml:space="preserve"> with the </w:t>
      </w:r>
      <w:r w:rsidRPr="00DF4D51">
        <w:rPr>
          <w:i/>
          <w:iCs/>
          <w:szCs w:val="24"/>
        </w:rPr>
        <w:t>National Greenhouse and Energy Reporting (Measurement) Amendment (2024 Update) Determination 2024</w:t>
      </w:r>
      <w:r>
        <w:rPr>
          <w:szCs w:val="24"/>
        </w:rPr>
        <w:t xml:space="preserve">, which sets out the relevant </w:t>
      </w:r>
      <w:r w:rsidRPr="00DF4D51">
        <w:rPr>
          <w:szCs w:val="24"/>
        </w:rPr>
        <w:t xml:space="preserve">reportable items </w:t>
      </w:r>
      <w:r>
        <w:rPr>
          <w:szCs w:val="24"/>
        </w:rPr>
        <w:t>in</w:t>
      </w:r>
      <w:r w:rsidRPr="00DF4D51">
        <w:rPr>
          <w:szCs w:val="24"/>
        </w:rPr>
        <w:t xml:space="preserve"> Part 7 of Schedule 4</w:t>
      </w:r>
      <w:r>
        <w:rPr>
          <w:szCs w:val="24"/>
        </w:rPr>
        <w:t>.</w:t>
      </w:r>
    </w:p>
    <w:p w14:paraId="48E171D8" w14:textId="5F57200B" w:rsidR="00CF778F" w:rsidRPr="00DF4D51" w:rsidRDefault="00CF778F" w:rsidP="00CF778F">
      <w:pPr>
        <w:spacing w:before="0"/>
        <w:ind w:right="-1"/>
        <w:rPr>
          <w:szCs w:val="24"/>
        </w:rPr>
      </w:pPr>
    </w:p>
    <w:p w14:paraId="03FCD7BD" w14:textId="093A4F89" w:rsidR="0092527E" w:rsidRPr="00E649F4" w:rsidRDefault="0092527E" w:rsidP="004E682F">
      <w:pPr>
        <w:spacing w:before="0" w:after="240"/>
        <w:rPr>
          <w:b/>
          <w:bCs/>
          <w:szCs w:val="24"/>
        </w:rPr>
      </w:pPr>
      <w:r w:rsidRPr="00E649F4">
        <w:rPr>
          <w:b/>
          <w:bCs/>
          <w:szCs w:val="24"/>
        </w:rPr>
        <w:t xml:space="preserve">Item 3 - </w:t>
      </w:r>
      <w:r w:rsidR="00CF778F" w:rsidRPr="00CF778F">
        <w:rPr>
          <w:b/>
          <w:bCs/>
          <w:szCs w:val="24"/>
        </w:rPr>
        <w:t>In the appropriate position in Part 7</w:t>
      </w:r>
      <w:r w:rsidR="00CF778F">
        <w:rPr>
          <w:b/>
          <w:bCs/>
          <w:szCs w:val="24"/>
        </w:rPr>
        <w:t xml:space="preserve"> </w:t>
      </w:r>
    </w:p>
    <w:p w14:paraId="0FB6DEE3" w14:textId="61430D9E" w:rsidR="00CF778F" w:rsidRPr="00AF1DFB" w:rsidRDefault="00CF778F" w:rsidP="00CF778F">
      <w:pPr>
        <w:spacing w:before="0"/>
        <w:ind w:right="-1"/>
        <w:rPr>
          <w:szCs w:val="24"/>
        </w:rPr>
      </w:pPr>
      <w:r>
        <w:rPr>
          <w:color w:val="000000"/>
        </w:rPr>
        <w:t>This item inserts a transitional provision to provide that the amendments made by Schedule 1 of the amending Regulations apply in relation to reports under Part 3, 3E, 3F or 3G of the NGER Act for the 2024-25 and subsequent financial years. This ensures that reports for the 2023-24 financial year to be submitted by 31 October 2024 are not impacted by the changes.</w:t>
      </w:r>
    </w:p>
    <w:p w14:paraId="1A4438A1" w14:textId="77777777" w:rsidR="00CF778F" w:rsidRDefault="00CF778F" w:rsidP="004E682F">
      <w:pPr>
        <w:spacing w:before="0" w:after="240"/>
        <w:rPr>
          <w:b/>
          <w:szCs w:val="24"/>
        </w:rPr>
      </w:pPr>
      <w:r>
        <w:rPr>
          <w:b/>
          <w:szCs w:val="24"/>
        </w:rPr>
        <w:br w:type="page"/>
      </w:r>
    </w:p>
    <w:p w14:paraId="2DD99D1D" w14:textId="77777777" w:rsidR="005821C0" w:rsidRPr="00E649F4" w:rsidRDefault="005821C0" w:rsidP="004E682F">
      <w:pPr>
        <w:spacing w:before="0" w:after="240"/>
        <w:rPr>
          <w:szCs w:val="24"/>
        </w:rPr>
      </w:pPr>
    </w:p>
    <w:p w14:paraId="55580449" w14:textId="77777777" w:rsidR="005B17D1" w:rsidRPr="00E649F4" w:rsidRDefault="00723C9D" w:rsidP="004E682F">
      <w:pPr>
        <w:tabs>
          <w:tab w:val="right" w:pos="9072"/>
        </w:tabs>
        <w:spacing w:after="240"/>
        <w:ind w:right="91"/>
        <w:jc w:val="right"/>
        <w:rPr>
          <w:b/>
          <w:szCs w:val="24"/>
          <w:u w:val="single"/>
        </w:rPr>
      </w:pPr>
      <w:r w:rsidRPr="00E649F4">
        <w:rPr>
          <w:b/>
          <w:szCs w:val="24"/>
          <w:u w:val="single"/>
        </w:rPr>
        <w:t>ATTACHMENT B</w:t>
      </w:r>
    </w:p>
    <w:p w14:paraId="2CA93EB2" w14:textId="77777777" w:rsidR="005B17D1" w:rsidRPr="00E649F4" w:rsidRDefault="005B17D1" w:rsidP="004E682F">
      <w:pPr>
        <w:pStyle w:val="Heading3"/>
        <w:spacing w:before="0" w:after="240"/>
        <w:jc w:val="center"/>
        <w:rPr>
          <w:rFonts w:ascii="Times New Roman" w:hAnsi="Times New Roman"/>
          <w:sz w:val="28"/>
          <w:szCs w:val="24"/>
        </w:rPr>
      </w:pPr>
      <w:r w:rsidRPr="00E649F4">
        <w:rPr>
          <w:rFonts w:ascii="Times New Roman" w:hAnsi="Times New Roman"/>
          <w:sz w:val="28"/>
          <w:szCs w:val="24"/>
        </w:rPr>
        <w:t>Statement of Compatibility with Human Rights</w:t>
      </w:r>
    </w:p>
    <w:p w14:paraId="73D71079" w14:textId="77777777" w:rsidR="00342B03" w:rsidRPr="00E649F4" w:rsidRDefault="005B17D1" w:rsidP="004E682F">
      <w:pPr>
        <w:spacing w:after="240"/>
        <w:jc w:val="center"/>
        <w:rPr>
          <w:i/>
          <w:szCs w:val="24"/>
        </w:rPr>
      </w:pPr>
      <w:r w:rsidRPr="00E649F4">
        <w:rPr>
          <w:i/>
          <w:szCs w:val="24"/>
        </w:rPr>
        <w:t>Prep</w:t>
      </w:r>
      <w:r w:rsidR="00342B03" w:rsidRPr="00E649F4">
        <w:rPr>
          <w:i/>
          <w:szCs w:val="24"/>
        </w:rPr>
        <w:t>ared in accordance with Part 3 o</w:t>
      </w:r>
      <w:r w:rsidRPr="00E649F4">
        <w:rPr>
          <w:i/>
          <w:szCs w:val="24"/>
        </w:rPr>
        <w:t>f the Human Rights (Parliamentary Scrutiny) Act 2011</w:t>
      </w:r>
    </w:p>
    <w:p w14:paraId="1C9FDBAF" w14:textId="2724B938" w:rsidR="00342B03" w:rsidRPr="00E649F4" w:rsidRDefault="0092527E" w:rsidP="004E682F">
      <w:pPr>
        <w:spacing w:after="240"/>
        <w:jc w:val="center"/>
        <w:rPr>
          <w:b/>
          <w:i/>
        </w:rPr>
      </w:pPr>
      <w:r w:rsidRPr="00E649F4">
        <w:rPr>
          <w:b/>
          <w:i/>
        </w:rPr>
        <w:t xml:space="preserve">National Greenhouse and Energy Reporting Amendment </w:t>
      </w:r>
      <w:r w:rsidR="00FC2951" w:rsidRPr="00E649F4">
        <w:rPr>
          <w:b/>
          <w:i/>
          <w:szCs w:val="24"/>
          <w:lang w:eastAsia="en-US"/>
        </w:rPr>
        <w:t>(202</w:t>
      </w:r>
      <w:r w:rsidR="00CF778F">
        <w:rPr>
          <w:b/>
          <w:i/>
          <w:szCs w:val="24"/>
          <w:lang w:eastAsia="en-US"/>
        </w:rPr>
        <w:t>4</w:t>
      </w:r>
      <w:r w:rsidR="00FC2951" w:rsidRPr="00E649F4">
        <w:rPr>
          <w:b/>
          <w:i/>
          <w:szCs w:val="24"/>
          <w:lang w:eastAsia="en-US"/>
        </w:rPr>
        <w:t xml:space="preserve"> Measures No. 1)</w:t>
      </w:r>
      <w:r w:rsidR="00FC2951" w:rsidRPr="00E649F4">
        <w:rPr>
          <w:b/>
          <w:i/>
          <w:szCs w:val="24"/>
          <w:u w:val="single"/>
          <w:lang w:eastAsia="en-US"/>
        </w:rPr>
        <w:t xml:space="preserve"> </w:t>
      </w:r>
      <w:r w:rsidRPr="00E649F4">
        <w:rPr>
          <w:b/>
          <w:i/>
        </w:rPr>
        <w:t>Regulations 202</w:t>
      </w:r>
      <w:r w:rsidR="00CF778F">
        <w:rPr>
          <w:b/>
          <w:i/>
        </w:rPr>
        <w:t>4</w:t>
      </w:r>
    </w:p>
    <w:p w14:paraId="3BBB8771" w14:textId="77777777" w:rsidR="005B17D1" w:rsidRPr="00E649F4" w:rsidRDefault="005B17D1" w:rsidP="004E682F">
      <w:pPr>
        <w:spacing w:after="240"/>
        <w:rPr>
          <w:szCs w:val="24"/>
        </w:rPr>
      </w:pPr>
      <w:r w:rsidRPr="00E649F4">
        <w:rPr>
          <w:szCs w:val="24"/>
        </w:rPr>
        <w:t xml:space="preserve">This Legislative Instrument is compatible with the human rights and freedoms recognised or declared in the international instruments listed in section 3 of the </w:t>
      </w:r>
      <w:r w:rsidRPr="00E649F4">
        <w:rPr>
          <w:i/>
          <w:szCs w:val="24"/>
        </w:rPr>
        <w:t>Human Rights (Parliamentary Scrutiny) Act 2011</w:t>
      </w:r>
      <w:r w:rsidRPr="00E649F4">
        <w:rPr>
          <w:szCs w:val="24"/>
        </w:rPr>
        <w:t>.</w:t>
      </w:r>
    </w:p>
    <w:p w14:paraId="2447BCBD" w14:textId="77777777" w:rsidR="005B17D1" w:rsidRPr="00E649F4" w:rsidRDefault="005B17D1" w:rsidP="004E682F">
      <w:pPr>
        <w:pStyle w:val="Heading4"/>
        <w:spacing w:after="240"/>
        <w:rPr>
          <w:szCs w:val="24"/>
        </w:rPr>
      </w:pPr>
      <w:r w:rsidRPr="00E649F4">
        <w:rPr>
          <w:szCs w:val="24"/>
        </w:rPr>
        <w:t>Overview of the Legislative Instrument</w:t>
      </w:r>
    </w:p>
    <w:p w14:paraId="6C799770" w14:textId="2DA6F86B" w:rsidR="00D81132" w:rsidRPr="00E649F4" w:rsidRDefault="00D81132" w:rsidP="004E682F">
      <w:pPr>
        <w:spacing w:after="240"/>
        <w:rPr>
          <w:szCs w:val="24"/>
        </w:rPr>
      </w:pPr>
      <w:r w:rsidRPr="00E649F4">
        <w:rPr>
          <w:iCs/>
        </w:rPr>
        <w:t xml:space="preserve">The National Greenhouse and Energy Reporting (NGER) </w:t>
      </w:r>
      <w:r w:rsidR="00C05DAB">
        <w:rPr>
          <w:iCs/>
        </w:rPr>
        <w:t>s</w:t>
      </w:r>
      <w:r w:rsidRPr="00E649F4">
        <w:rPr>
          <w:iCs/>
        </w:rPr>
        <w:t>cheme provides a framework for the reporting of greenhouse gas emissions, energy production and consumption and other information in Australia.</w:t>
      </w:r>
    </w:p>
    <w:p w14:paraId="74B26B9D" w14:textId="761C5E41" w:rsidR="00E83142" w:rsidRPr="00E649F4" w:rsidRDefault="00E83142" w:rsidP="00E83142">
      <w:pPr>
        <w:pStyle w:val="Bullet"/>
        <w:numPr>
          <w:ilvl w:val="0"/>
          <w:numId w:val="0"/>
        </w:numPr>
        <w:spacing w:before="0" w:after="240"/>
      </w:pPr>
      <w:r w:rsidRPr="00E649F4">
        <w:t xml:space="preserve">The purpose of the </w:t>
      </w:r>
      <w:r w:rsidRPr="00E649F4">
        <w:rPr>
          <w:i/>
        </w:rPr>
        <w:t xml:space="preserve">National Greenhouse and Energy Reporting Amendment </w:t>
      </w:r>
      <w:r w:rsidR="00FC2951" w:rsidRPr="00E649F4">
        <w:rPr>
          <w:bCs/>
          <w:i/>
          <w:szCs w:val="24"/>
          <w:lang w:eastAsia="en-US"/>
        </w:rPr>
        <w:t>(202</w:t>
      </w:r>
      <w:r w:rsidR="008F2131">
        <w:rPr>
          <w:bCs/>
          <w:i/>
          <w:szCs w:val="24"/>
          <w:lang w:eastAsia="en-US"/>
        </w:rPr>
        <w:t>4</w:t>
      </w:r>
      <w:r w:rsidR="00FC2951" w:rsidRPr="00E649F4">
        <w:rPr>
          <w:bCs/>
          <w:i/>
          <w:szCs w:val="24"/>
          <w:lang w:eastAsia="en-US"/>
        </w:rPr>
        <w:t xml:space="preserve"> Measures No. 1) </w:t>
      </w:r>
      <w:r w:rsidRPr="00E649F4">
        <w:rPr>
          <w:i/>
        </w:rPr>
        <w:t>Regulations 202</w:t>
      </w:r>
      <w:r w:rsidR="008F2131">
        <w:rPr>
          <w:i/>
        </w:rPr>
        <w:t>4</w:t>
      </w:r>
      <w:r w:rsidRPr="00E649F4">
        <w:rPr>
          <w:i/>
        </w:rPr>
        <w:t xml:space="preserve"> </w:t>
      </w:r>
      <w:r w:rsidRPr="00E649F4">
        <w:t>is to:</w:t>
      </w:r>
    </w:p>
    <w:p w14:paraId="286E1267" w14:textId="35424E9D" w:rsidR="00CF778F" w:rsidRDefault="00CF778F" w:rsidP="00CF778F">
      <w:pPr>
        <w:pStyle w:val="Bullet"/>
        <w:numPr>
          <w:ilvl w:val="0"/>
          <w:numId w:val="32"/>
        </w:numPr>
        <w:spacing w:after="240"/>
      </w:pPr>
      <w:r>
        <w:t>Create a provision to require the reporting of information associated with estimates of scope 1 emissions from fuel combustion using the blended fuel provisions in Part 2.6 of the Measurement Determination; and</w:t>
      </w:r>
    </w:p>
    <w:p w14:paraId="21C4BC7B" w14:textId="70F4FEAB" w:rsidR="00CF778F" w:rsidRDefault="00CF778F" w:rsidP="00CF778F">
      <w:pPr>
        <w:pStyle w:val="Bullet"/>
        <w:numPr>
          <w:ilvl w:val="0"/>
          <w:numId w:val="32"/>
        </w:numPr>
        <w:spacing w:after="240"/>
      </w:pPr>
      <w:r>
        <w:t>Enable the inclusion of reportable items within Part 7 of Schedule 4 of the Measurement Determination to scope 2 emissions made using the location-based methods in sections 7.2 and 7.3 of the Measurement Determination.</w:t>
      </w:r>
    </w:p>
    <w:p w14:paraId="739512D1" w14:textId="77777777" w:rsidR="005B17D1" w:rsidRPr="00E649F4" w:rsidRDefault="005B17D1" w:rsidP="004E682F">
      <w:pPr>
        <w:pStyle w:val="Heading4"/>
        <w:spacing w:after="240"/>
        <w:rPr>
          <w:szCs w:val="24"/>
        </w:rPr>
      </w:pPr>
      <w:r w:rsidRPr="00E649F4">
        <w:rPr>
          <w:szCs w:val="24"/>
        </w:rPr>
        <w:t>Human rights implications</w:t>
      </w:r>
    </w:p>
    <w:p w14:paraId="38FFCCFF" w14:textId="77777777" w:rsidR="00437BAF" w:rsidRPr="00E649F4" w:rsidRDefault="00437BAF" w:rsidP="004E682F">
      <w:pPr>
        <w:spacing w:after="240"/>
        <w:rPr>
          <w:szCs w:val="24"/>
        </w:rPr>
      </w:pPr>
      <w:r w:rsidRPr="00E649F4">
        <w:rPr>
          <w:szCs w:val="24"/>
        </w:rPr>
        <w:t xml:space="preserve">This Legislative Instrument does not engage any of the applicable human rights or freedoms. </w:t>
      </w:r>
    </w:p>
    <w:p w14:paraId="486820C9" w14:textId="77777777" w:rsidR="004D176A" w:rsidRPr="00E649F4" w:rsidRDefault="004D176A" w:rsidP="004E682F">
      <w:pPr>
        <w:pStyle w:val="Heading4"/>
        <w:spacing w:after="240"/>
        <w:rPr>
          <w:szCs w:val="24"/>
        </w:rPr>
      </w:pPr>
      <w:r w:rsidRPr="00E649F4">
        <w:rPr>
          <w:szCs w:val="24"/>
        </w:rPr>
        <w:t>Conclusion</w:t>
      </w:r>
    </w:p>
    <w:p w14:paraId="5DBEAA2A" w14:textId="77777777" w:rsidR="00437BAF" w:rsidRPr="00E649F4" w:rsidRDefault="00437BAF" w:rsidP="004E682F">
      <w:pPr>
        <w:spacing w:after="240"/>
        <w:rPr>
          <w:szCs w:val="24"/>
        </w:rPr>
      </w:pPr>
      <w:r w:rsidRPr="00E649F4">
        <w:rPr>
          <w:szCs w:val="24"/>
        </w:rPr>
        <w:t xml:space="preserve">This Legislative Instrument is compatible with human rights as it does not raise any human rights issues. </w:t>
      </w:r>
    </w:p>
    <w:p w14:paraId="769303B7" w14:textId="77777777" w:rsidR="007B2B51" w:rsidRPr="00E649F4" w:rsidRDefault="007B2B51" w:rsidP="004E682F">
      <w:pPr>
        <w:spacing w:after="240"/>
        <w:rPr>
          <w:szCs w:val="24"/>
        </w:rPr>
      </w:pPr>
    </w:p>
    <w:p w14:paraId="01028A5B" w14:textId="77777777" w:rsidR="00AC5531" w:rsidRPr="00E649F4" w:rsidRDefault="00AC5531" w:rsidP="004E682F">
      <w:pPr>
        <w:spacing w:before="0" w:after="240"/>
        <w:rPr>
          <w:szCs w:val="24"/>
        </w:rPr>
      </w:pPr>
    </w:p>
    <w:p w14:paraId="598276BC" w14:textId="3C37EDD0" w:rsidR="007B2B51" w:rsidRDefault="007B2B51" w:rsidP="004E682F">
      <w:pPr>
        <w:spacing w:before="0" w:after="240"/>
        <w:jc w:val="center"/>
        <w:rPr>
          <w:szCs w:val="24"/>
        </w:rPr>
      </w:pPr>
      <w:r w:rsidRPr="00E649F4">
        <w:rPr>
          <w:b/>
          <w:szCs w:val="24"/>
        </w:rPr>
        <w:t>The Ho</w:t>
      </w:r>
      <w:r w:rsidR="007E3A2D" w:rsidRPr="00E649F4">
        <w:rPr>
          <w:b/>
          <w:szCs w:val="24"/>
        </w:rPr>
        <w:t>n Chris Bowen MP</w:t>
      </w:r>
      <w:r w:rsidRPr="00E649F4">
        <w:rPr>
          <w:b/>
          <w:szCs w:val="24"/>
        </w:rPr>
        <w:br/>
        <w:t xml:space="preserve">Minister for </w:t>
      </w:r>
      <w:r w:rsidR="007E3A2D" w:rsidRPr="00E649F4">
        <w:rPr>
          <w:b/>
          <w:szCs w:val="24"/>
        </w:rPr>
        <w:t xml:space="preserve">Climate Change and </w:t>
      </w:r>
      <w:r w:rsidRPr="00E649F4">
        <w:rPr>
          <w:b/>
          <w:szCs w:val="24"/>
        </w:rPr>
        <w:t>Energy</w:t>
      </w:r>
      <w:r w:rsidRPr="007E3A2D">
        <w:rPr>
          <w:b/>
          <w:szCs w:val="24"/>
        </w:rPr>
        <w:t xml:space="preserve"> </w:t>
      </w:r>
    </w:p>
    <w:sectPr w:rsidR="007B2B51" w:rsidSect="0050623F">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0505" w14:textId="77777777" w:rsidR="004F4FFC" w:rsidRDefault="004F4FFC" w:rsidP="00CF785C">
      <w:pPr>
        <w:spacing w:before="0" w:after="0"/>
      </w:pPr>
      <w:r>
        <w:separator/>
      </w:r>
    </w:p>
  </w:endnote>
  <w:endnote w:type="continuationSeparator" w:id="0">
    <w:p w14:paraId="696748AA" w14:textId="77777777" w:rsidR="004F4FFC" w:rsidRDefault="004F4FFC" w:rsidP="00CF785C">
      <w:pPr>
        <w:spacing w:before="0" w:after="0"/>
      </w:pPr>
      <w:r>
        <w:continuationSeparator/>
      </w:r>
    </w:p>
  </w:endnote>
  <w:endnote w:type="continuationNotice" w:id="1">
    <w:p w14:paraId="63ACC23A" w14:textId="77777777" w:rsidR="004F4FFC" w:rsidRDefault="004F4F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28613"/>
      <w:docPartObj>
        <w:docPartGallery w:val="Page Numbers (Bottom of Page)"/>
        <w:docPartUnique/>
      </w:docPartObj>
    </w:sdtPr>
    <w:sdtEndPr>
      <w:rPr>
        <w:noProof/>
      </w:rPr>
    </w:sdtEndPr>
    <w:sdtContent>
      <w:p w14:paraId="34DF7388" w14:textId="77777777" w:rsidR="006577D5" w:rsidRDefault="006577D5">
        <w:pPr>
          <w:pStyle w:val="Footer"/>
          <w:jc w:val="right"/>
        </w:pPr>
        <w:r>
          <w:fldChar w:fldCharType="begin"/>
        </w:r>
        <w:r>
          <w:instrText xml:space="preserve"> PAGE   \* MERGEFORMAT </w:instrText>
        </w:r>
        <w:r>
          <w:fldChar w:fldCharType="separate"/>
        </w:r>
        <w:r w:rsidR="00D9489E">
          <w:rPr>
            <w:noProof/>
          </w:rPr>
          <w:t>4</w:t>
        </w:r>
        <w:r>
          <w:rPr>
            <w:noProof/>
          </w:rPr>
          <w:fldChar w:fldCharType="end"/>
        </w:r>
      </w:p>
    </w:sdtContent>
  </w:sdt>
  <w:p w14:paraId="7B5FE5C5" w14:textId="77777777" w:rsidR="006577D5" w:rsidRDefault="0065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068F" w14:textId="77777777" w:rsidR="004F4FFC" w:rsidRDefault="004F4FFC" w:rsidP="00CF785C">
      <w:pPr>
        <w:spacing w:before="0" w:after="0"/>
      </w:pPr>
      <w:r>
        <w:separator/>
      </w:r>
    </w:p>
  </w:footnote>
  <w:footnote w:type="continuationSeparator" w:id="0">
    <w:p w14:paraId="4C530A08" w14:textId="77777777" w:rsidR="004F4FFC" w:rsidRDefault="004F4FFC" w:rsidP="00CF785C">
      <w:pPr>
        <w:spacing w:before="0" w:after="0"/>
      </w:pPr>
      <w:r>
        <w:continuationSeparator/>
      </w:r>
    </w:p>
  </w:footnote>
  <w:footnote w:type="continuationNotice" w:id="1">
    <w:p w14:paraId="362ACC5D" w14:textId="77777777" w:rsidR="004F4FFC" w:rsidRDefault="004F4FF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560BF"/>
    <w:multiLevelType w:val="hybridMultilevel"/>
    <w:tmpl w:val="8624A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1364E"/>
    <w:multiLevelType w:val="multilevel"/>
    <w:tmpl w:val="12B4F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C7E09AD"/>
    <w:multiLevelType w:val="hybridMultilevel"/>
    <w:tmpl w:val="A6F6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7" w15:restartNumberingAfterBreak="0">
    <w:nsid w:val="3201176A"/>
    <w:multiLevelType w:val="hybridMultilevel"/>
    <w:tmpl w:val="0288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12D12"/>
    <w:multiLevelType w:val="hybridMultilevel"/>
    <w:tmpl w:val="9306E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0" w15:restartNumberingAfterBreak="0">
    <w:nsid w:val="4B717578"/>
    <w:multiLevelType w:val="multilevel"/>
    <w:tmpl w:val="B91E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F13B3D"/>
    <w:multiLevelType w:val="hybridMultilevel"/>
    <w:tmpl w:val="FD566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abstractNum w:abstractNumId="15" w15:restartNumberingAfterBreak="0">
    <w:nsid w:val="78CE3E37"/>
    <w:multiLevelType w:val="hybridMultilevel"/>
    <w:tmpl w:val="1406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FB30C0"/>
    <w:multiLevelType w:val="hybridMultilevel"/>
    <w:tmpl w:val="BC9C6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28612462">
    <w:abstractNumId w:val="4"/>
  </w:num>
  <w:num w:numId="2" w16cid:durableId="1217467769">
    <w:abstractNumId w:val="11"/>
  </w:num>
  <w:num w:numId="3" w16cid:durableId="1154758959">
    <w:abstractNumId w:val="12"/>
  </w:num>
  <w:num w:numId="4" w16cid:durableId="1948999550">
    <w:abstractNumId w:val="14"/>
  </w:num>
  <w:num w:numId="5" w16cid:durableId="46421686">
    <w:abstractNumId w:val="9"/>
  </w:num>
  <w:num w:numId="6" w16cid:durableId="158846674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32276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1128285">
    <w:abstractNumId w:val="6"/>
  </w:num>
  <w:num w:numId="9" w16cid:durableId="1344160735">
    <w:abstractNumId w:val="2"/>
  </w:num>
  <w:num w:numId="10" w16cid:durableId="2039815409">
    <w:abstractNumId w:val="0"/>
  </w:num>
  <w:num w:numId="11" w16cid:durableId="994839234">
    <w:abstractNumId w:val="0"/>
  </w:num>
  <w:num w:numId="12" w16cid:durableId="275068548">
    <w:abstractNumId w:val="11"/>
  </w:num>
  <w:num w:numId="13" w16cid:durableId="752556847">
    <w:abstractNumId w:val="11"/>
  </w:num>
  <w:num w:numId="14" w16cid:durableId="518668587">
    <w:abstractNumId w:val="11"/>
  </w:num>
  <w:num w:numId="15" w16cid:durableId="1174611001">
    <w:abstractNumId w:val="11"/>
  </w:num>
  <w:num w:numId="16" w16cid:durableId="1038317230">
    <w:abstractNumId w:val="11"/>
  </w:num>
  <w:num w:numId="17" w16cid:durableId="658726134">
    <w:abstractNumId w:val="11"/>
  </w:num>
  <w:num w:numId="18" w16cid:durableId="2087535921">
    <w:abstractNumId w:val="11"/>
  </w:num>
  <w:num w:numId="19" w16cid:durableId="251936499">
    <w:abstractNumId w:val="0"/>
  </w:num>
  <w:num w:numId="20" w16cid:durableId="1824812472">
    <w:abstractNumId w:val="11"/>
  </w:num>
  <w:num w:numId="21" w16cid:durableId="1685356350">
    <w:abstractNumId w:val="11"/>
  </w:num>
  <w:num w:numId="22" w16cid:durableId="702170487">
    <w:abstractNumId w:val="11"/>
  </w:num>
  <w:num w:numId="23" w16cid:durableId="1165627985">
    <w:abstractNumId w:val="11"/>
  </w:num>
  <w:num w:numId="24" w16cid:durableId="1789735083">
    <w:abstractNumId w:val="11"/>
  </w:num>
  <w:num w:numId="25" w16cid:durableId="1848862378">
    <w:abstractNumId w:val="1"/>
  </w:num>
  <w:num w:numId="26" w16cid:durableId="1284650008">
    <w:abstractNumId w:val="16"/>
  </w:num>
  <w:num w:numId="27" w16cid:durableId="1603370094">
    <w:abstractNumId w:val="7"/>
  </w:num>
  <w:num w:numId="28" w16cid:durableId="417755920">
    <w:abstractNumId w:val="5"/>
  </w:num>
  <w:num w:numId="29" w16cid:durableId="1492213772">
    <w:abstractNumId w:val="3"/>
  </w:num>
  <w:num w:numId="30" w16cid:durableId="1883209515">
    <w:abstractNumId w:val="13"/>
  </w:num>
  <w:num w:numId="31" w16cid:durableId="204560963">
    <w:abstractNumId w:val="8"/>
  </w:num>
  <w:num w:numId="32" w16cid:durableId="662781387">
    <w:abstractNumId w:val="10"/>
  </w:num>
  <w:num w:numId="33" w16cid:durableId="1163282249">
    <w:abstractNumId w:val="15"/>
  </w:num>
  <w:num w:numId="34" w16cid:durableId="1863277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E9"/>
    <w:rsid w:val="00001661"/>
    <w:rsid w:val="00001FDC"/>
    <w:rsid w:val="0000587E"/>
    <w:rsid w:val="00005F55"/>
    <w:rsid w:val="000072BC"/>
    <w:rsid w:val="00010ED3"/>
    <w:rsid w:val="00011BE2"/>
    <w:rsid w:val="00012FFD"/>
    <w:rsid w:val="00013E3A"/>
    <w:rsid w:val="000154D0"/>
    <w:rsid w:val="00016AB4"/>
    <w:rsid w:val="00016EA2"/>
    <w:rsid w:val="00016FC3"/>
    <w:rsid w:val="000212FB"/>
    <w:rsid w:val="00022A12"/>
    <w:rsid w:val="000243BF"/>
    <w:rsid w:val="000250CB"/>
    <w:rsid w:val="000263D6"/>
    <w:rsid w:val="00026576"/>
    <w:rsid w:val="00026BD0"/>
    <w:rsid w:val="00027420"/>
    <w:rsid w:val="00027846"/>
    <w:rsid w:val="000302B9"/>
    <w:rsid w:val="0003038D"/>
    <w:rsid w:val="00030CCB"/>
    <w:rsid w:val="0003196C"/>
    <w:rsid w:val="000321BA"/>
    <w:rsid w:val="00034BAC"/>
    <w:rsid w:val="00035B94"/>
    <w:rsid w:val="000372F4"/>
    <w:rsid w:val="000379C8"/>
    <w:rsid w:val="00040CEC"/>
    <w:rsid w:val="00042357"/>
    <w:rsid w:val="00043104"/>
    <w:rsid w:val="0004434C"/>
    <w:rsid w:val="00046C9F"/>
    <w:rsid w:val="00047613"/>
    <w:rsid w:val="00052038"/>
    <w:rsid w:val="000538F0"/>
    <w:rsid w:val="00055A6B"/>
    <w:rsid w:val="000562DA"/>
    <w:rsid w:val="00056C8F"/>
    <w:rsid w:val="00057627"/>
    <w:rsid w:val="0006170B"/>
    <w:rsid w:val="00061DF4"/>
    <w:rsid w:val="00062180"/>
    <w:rsid w:val="00062FFE"/>
    <w:rsid w:val="00063F1F"/>
    <w:rsid w:val="00064084"/>
    <w:rsid w:val="000663FD"/>
    <w:rsid w:val="000665DB"/>
    <w:rsid w:val="000667CB"/>
    <w:rsid w:val="00067443"/>
    <w:rsid w:val="00070C06"/>
    <w:rsid w:val="00070C3D"/>
    <w:rsid w:val="00074927"/>
    <w:rsid w:val="00075C2D"/>
    <w:rsid w:val="00082011"/>
    <w:rsid w:val="0008224C"/>
    <w:rsid w:val="000832D0"/>
    <w:rsid w:val="00084BFA"/>
    <w:rsid w:val="000858FA"/>
    <w:rsid w:val="00086ADC"/>
    <w:rsid w:val="00086E9A"/>
    <w:rsid w:val="000879AF"/>
    <w:rsid w:val="00087A55"/>
    <w:rsid w:val="000924D7"/>
    <w:rsid w:val="00092980"/>
    <w:rsid w:val="00095211"/>
    <w:rsid w:val="000965CB"/>
    <w:rsid w:val="000966E3"/>
    <w:rsid w:val="0009674E"/>
    <w:rsid w:val="00096DF9"/>
    <w:rsid w:val="00097F6B"/>
    <w:rsid w:val="000A2491"/>
    <w:rsid w:val="000A2BAF"/>
    <w:rsid w:val="000A2C46"/>
    <w:rsid w:val="000A34B4"/>
    <w:rsid w:val="000A5077"/>
    <w:rsid w:val="000A5473"/>
    <w:rsid w:val="000A7375"/>
    <w:rsid w:val="000B05E0"/>
    <w:rsid w:val="000B0950"/>
    <w:rsid w:val="000B0B40"/>
    <w:rsid w:val="000B0E9E"/>
    <w:rsid w:val="000B1F03"/>
    <w:rsid w:val="000B2694"/>
    <w:rsid w:val="000B3E82"/>
    <w:rsid w:val="000B6310"/>
    <w:rsid w:val="000B6571"/>
    <w:rsid w:val="000B696B"/>
    <w:rsid w:val="000B71D8"/>
    <w:rsid w:val="000B791F"/>
    <w:rsid w:val="000C10DF"/>
    <w:rsid w:val="000C2667"/>
    <w:rsid w:val="000C349C"/>
    <w:rsid w:val="000C464A"/>
    <w:rsid w:val="000C4E6B"/>
    <w:rsid w:val="000C6F1A"/>
    <w:rsid w:val="000C76F6"/>
    <w:rsid w:val="000D1E68"/>
    <w:rsid w:val="000D27C0"/>
    <w:rsid w:val="000D37F3"/>
    <w:rsid w:val="000D3E95"/>
    <w:rsid w:val="000D45D5"/>
    <w:rsid w:val="000D5189"/>
    <w:rsid w:val="000D640B"/>
    <w:rsid w:val="000E6055"/>
    <w:rsid w:val="000F0BED"/>
    <w:rsid w:val="000F0ECC"/>
    <w:rsid w:val="000F26C9"/>
    <w:rsid w:val="000F2873"/>
    <w:rsid w:val="000F2D8C"/>
    <w:rsid w:val="000F47F6"/>
    <w:rsid w:val="000F5D1C"/>
    <w:rsid w:val="000F618F"/>
    <w:rsid w:val="000F636A"/>
    <w:rsid w:val="000F6ACE"/>
    <w:rsid w:val="0010030C"/>
    <w:rsid w:val="00101812"/>
    <w:rsid w:val="001037D5"/>
    <w:rsid w:val="00103F1E"/>
    <w:rsid w:val="00104230"/>
    <w:rsid w:val="0010738D"/>
    <w:rsid w:val="001079CE"/>
    <w:rsid w:val="0011089B"/>
    <w:rsid w:val="0011185D"/>
    <w:rsid w:val="00111F32"/>
    <w:rsid w:val="00112387"/>
    <w:rsid w:val="001125D2"/>
    <w:rsid w:val="00112888"/>
    <w:rsid w:val="00112DFC"/>
    <w:rsid w:val="00113B45"/>
    <w:rsid w:val="0011475B"/>
    <w:rsid w:val="001149E0"/>
    <w:rsid w:val="00114F70"/>
    <w:rsid w:val="001154C7"/>
    <w:rsid w:val="00117066"/>
    <w:rsid w:val="00117213"/>
    <w:rsid w:val="00117891"/>
    <w:rsid w:val="00117DBA"/>
    <w:rsid w:val="001202E0"/>
    <w:rsid w:val="00120B5C"/>
    <w:rsid w:val="001218DE"/>
    <w:rsid w:val="0012235E"/>
    <w:rsid w:val="00123D51"/>
    <w:rsid w:val="00126512"/>
    <w:rsid w:val="001268C6"/>
    <w:rsid w:val="00130C93"/>
    <w:rsid w:val="00131714"/>
    <w:rsid w:val="001318AC"/>
    <w:rsid w:val="0013786F"/>
    <w:rsid w:val="00137EF6"/>
    <w:rsid w:val="00140A21"/>
    <w:rsid w:val="00143287"/>
    <w:rsid w:val="0014344B"/>
    <w:rsid w:val="001465CE"/>
    <w:rsid w:val="0014688B"/>
    <w:rsid w:val="00147F5F"/>
    <w:rsid w:val="001500D9"/>
    <w:rsid w:val="00150967"/>
    <w:rsid w:val="00151ABB"/>
    <w:rsid w:val="00154215"/>
    <w:rsid w:val="00155228"/>
    <w:rsid w:val="00157B19"/>
    <w:rsid w:val="00160725"/>
    <w:rsid w:val="001623AD"/>
    <w:rsid w:val="00164612"/>
    <w:rsid w:val="001716D8"/>
    <w:rsid w:val="00172C66"/>
    <w:rsid w:val="001735A1"/>
    <w:rsid w:val="00175EF5"/>
    <w:rsid w:val="00176294"/>
    <w:rsid w:val="00176A1C"/>
    <w:rsid w:val="001807C7"/>
    <w:rsid w:val="001807E5"/>
    <w:rsid w:val="001822A1"/>
    <w:rsid w:val="001826FD"/>
    <w:rsid w:val="00183E82"/>
    <w:rsid w:val="00184B1C"/>
    <w:rsid w:val="00185207"/>
    <w:rsid w:val="001855A0"/>
    <w:rsid w:val="00185DAB"/>
    <w:rsid w:val="0018656F"/>
    <w:rsid w:val="001866AE"/>
    <w:rsid w:val="00187130"/>
    <w:rsid w:val="00191E55"/>
    <w:rsid w:val="001927FF"/>
    <w:rsid w:val="00193F22"/>
    <w:rsid w:val="0019416B"/>
    <w:rsid w:val="001955F8"/>
    <w:rsid w:val="0019583B"/>
    <w:rsid w:val="00196ABF"/>
    <w:rsid w:val="0019788A"/>
    <w:rsid w:val="001A0106"/>
    <w:rsid w:val="001A0EF2"/>
    <w:rsid w:val="001A1C60"/>
    <w:rsid w:val="001A2194"/>
    <w:rsid w:val="001A22B4"/>
    <w:rsid w:val="001A31C5"/>
    <w:rsid w:val="001A3A58"/>
    <w:rsid w:val="001A64D9"/>
    <w:rsid w:val="001A6C0C"/>
    <w:rsid w:val="001B0EC8"/>
    <w:rsid w:val="001B1332"/>
    <w:rsid w:val="001B64F7"/>
    <w:rsid w:val="001B65D8"/>
    <w:rsid w:val="001C1E11"/>
    <w:rsid w:val="001C2159"/>
    <w:rsid w:val="001C32DA"/>
    <w:rsid w:val="001C399E"/>
    <w:rsid w:val="001C3A02"/>
    <w:rsid w:val="001C54F0"/>
    <w:rsid w:val="001C6A81"/>
    <w:rsid w:val="001D1F44"/>
    <w:rsid w:val="001D2A02"/>
    <w:rsid w:val="001D2BD6"/>
    <w:rsid w:val="001D6ED0"/>
    <w:rsid w:val="001D7CEE"/>
    <w:rsid w:val="001E4E0B"/>
    <w:rsid w:val="001E510E"/>
    <w:rsid w:val="001E5B50"/>
    <w:rsid w:val="001E6A74"/>
    <w:rsid w:val="001E765C"/>
    <w:rsid w:val="001E772E"/>
    <w:rsid w:val="001F0026"/>
    <w:rsid w:val="001F1215"/>
    <w:rsid w:val="001F1C48"/>
    <w:rsid w:val="001F343B"/>
    <w:rsid w:val="001F41D0"/>
    <w:rsid w:val="001F4509"/>
    <w:rsid w:val="001F4833"/>
    <w:rsid w:val="001F5A3D"/>
    <w:rsid w:val="001F6752"/>
    <w:rsid w:val="002010A8"/>
    <w:rsid w:val="00201FFF"/>
    <w:rsid w:val="0020433D"/>
    <w:rsid w:val="002050B1"/>
    <w:rsid w:val="00205AB9"/>
    <w:rsid w:val="002069C7"/>
    <w:rsid w:val="00210F96"/>
    <w:rsid w:val="00211259"/>
    <w:rsid w:val="00211DB4"/>
    <w:rsid w:val="00212CEF"/>
    <w:rsid w:val="0021388D"/>
    <w:rsid w:val="002143AB"/>
    <w:rsid w:val="002154D3"/>
    <w:rsid w:val="0021614B"/>
    <w:rsid w:val="002177CD"/>
    <w:rsid w:val="00217897"/>
    <w:rsid w:val="002206B8"/>
    <w:rsid w:val="00220F16"/>
    <w:rsid w:val="00221281"/>
    <w:rsid w:val="00221988"/>
    <w:rsid w:val="00223642"/>
    <w:rsid w:val="002241D0"/>
    <w:rsid w:val="00224554"/>
    <w:rsid w:val="002250CC"/>
    <w:rsid w:val="00226D26"/>
    <w:rsid w:val="00230D9D"/>
    <w:rsid w:val="00230DF7"/>
    <w:rsid w:val="0023138A"/>
    <w:rsid w:val="00231A16"/>
    <w:rsid w:val="00232591"/>
    <w:rsid w:val="0023283C"/>
    <w:rsid w:val="002367D2"/>
    <w:rsid w:val="00236E66"/>
    <w:rsid w:val="00236F04"/>
    <w:rsid w:val="00237DBC"/>
    <w:rsid w:val="002403F3"/>
    <w:rsid w:val="00240536"/>
    <w:rsid w:val="00241264"/>
    <w:rsid w:val="002415FC"/>
    <w:rsid w:val="0024239E"/>
    <w:rsid w:val="0024351C"/>
    <w:rsid w:val="002457E5"/>
    <w:rsid w:val="0024774F"/>
    <w:rsid w:val="00250F86"/>
    <w:rsid w:val="0025112C"/>
    <w:rsid w:val="00252815"/>
    <w:rsid w:val="00254C5B"/>
    <w:rsid w:val="00257FE6"/>
    <w:rsid w:val="00260C11"/>
    <w:rsid w:val="00262EB1"/>
    <w:rsid w:val="00262ECB"/>
    <w:rsid w:val="0026628B"/>
    <w:rsid w:val="00266811"/>
    <w:rsid w:val="002668FC"/>
    <w:rsid w:val="0027074E"/>
    <w:rsid w:val="00271380"/>
    <w:rsid w:val="00271E33"/>
    <w:rsid w:val="00273465"/>
    <w:rsid w:val="00273892"/>
    <w:rsid w:val="00276046"/>
    <w:rsid w:val="002805A4"/>
    <w:rsid w:val="00280E5F"/>
    <w:rsid w:val="00280F03"/>
    <w:rsid w:val="00281840"/>
    <w:rsid w:val="00284867"/>
    <w:rsid w:val="002868CE"/>
    <w:rsid w:val="00286C5B"/>
    <w:rsid w:val="00286D32"/>
    <w:rsid w:val="002912FC"/>
    <w:rsid w:val="00291E75"/>
    <w:rsid w:val="00291ECB"/>
    <w:rsid w:val="0029209D"/>
    <w:rsid w:val="00292712"/>
    <w:rsid w:val="002950B6"/>
    <w:rsid w:val="00295270"/>
    <w:rsid w:val="00295958"/>
    <w:rsid w:val="00295B17"/>
    <w:rsid w:val="002967CB"/>
    <w:rsid w:val="002A2063"/>
    <w:rsid w:val="002A309E"/>
    <w:rsid w:val="002A3988"/>
    <w:rsid w:val="002A3B00"/>
    <w:rsid w:val="002A44E0"/>
    <w:rsid w:val="002A562F"/>
    <w:rsid w:val="002A58C7"/>
    <w:rsid w:val="002B1A4C"/>
    <w:rsid w:val="002B2608"/>
    <w:rsid w:val="002B2DD7"/>
    <w:rsid w:val="002B42DD"/>
    <w:rsid w:val="002B6A65"/>
    <w:rsid w:val="002B6B02"/>
    <w:rsid w:val="002B764F"/>
    <w:rsid w:val="002C12DE"/>
    <w:rsid w:val="002C1916"/>
    <w:rsid w:val="002C3183"/>
    <w:rsid w:val="002C695A"/>
    <w:rsid w:val="002D0C0C"/>
    <w:rsid w:val="002D1CF9"/>
    <w:rsid w:val="002D1D73"/>
    <w:rsid w:val="002D2AF2"/>
    <w:rsid w:val="002D2B2B"/>
    <w:rsid w:val="002D2E26"/>
    <w:rsid w:val="002D7338"/>
    <w:rsid w:val="002E0BB9"/>
    <w:rsid w:val="002E18B4"/>
    <w:rsid w:val="002E335E"/>
    <w:rsid w:val="002E3883"/>
    <w:rsid w:val="002E4C12"/>
    <w:rsid w:val="002E53A7"/>
    <w:rsid w:val="002E58F3"/>
    <w:rsid w:val="002E63F8"/>
    <w:rsid w:val="002E6570"/>
    <w:rsid w:val="002E7BE7"/>
    <w:rsid w:val="002F011E"/>
    <w:rsid w:val="002F175E"/>
    <w:rsid w:val="002F24FC"/>
    <w:rsid w:val="002F25C9"/>
    <w:rsid w:val="002F2816"/>
    <w:rsid w:val="002F58BF"/>
    <w:rsid w:val="002F7DEB"/>
    <w:rsid w:val="00300396"/>
    <w:rsid w:val="00301E34"/>
    <w:rsid w:val="003025BA"/>
    <w:rsid w:val="0031132E"/>
    <w:rsid w:val="00312D98"/>
    <w:rsid w:val="003244FA"/>
    <w:rsid w:val="00325864"/>
    <w:rsid w:val="00326F52"/>
    <w:rsid w:val="00326FD4"/>
    <w:rsid w:val="00326FE4"/>
    <w:rsid w:val="00331DB4"/>
    <w:rsid w:val="00331F0C"/>
    <w:rsid w:val="00331F89"/>
    <w:rsid w:val="003342CD"/>
    <w:rsid w:val="00335042"/>
    <w:rsid w:val="00337C3A"/>
    <w:rsid w:val="0034011A"/>
    <w:rsid w:val="00342492"/>
    <w:rsid w:val="00342B03"/>
    <w:rsid w:val="00343673"/>
    <w:rsid w:val="00343B96"/>
    <w:rsid w:val="003440EB"/>
    <w:rsid w:val="00345257"/>
    <w:rsid w:val="00346F24"/>
    <w:rsid w:val="00347973"/>
    <w:rsid w:val="00350833"/>
    <w:rsid w:val="003515C5"/>
    <w:rsid w:val="00352DFD"/>
    <w:rsid w:val="003534EF"/>
    <w:rsid w:val="00353530"/>
    <w:rsid w:val="0035409D"/>
    <w:rsid w:val="00354478"/>
    <w:rsid w:val="0035469B"/>
    <w:rsid w:val="0035681A"/>
    <w:rsid w:val="00356B48"/>
    <w:rsid w:val="00356E31"/>
    <w:rsid w:val="003579FD"/>
    <w:rsid w:val="0036170D"/>
    <w:rsid w:val="00361912"/>
    <w:rsid w:val="00361C58"/>
    <w:rsid w:val="00364464"/>
    <w:rsid w:val="0036570A"/>
    <w:rsid w:val="003670B8"/>
    <w:rsid w:val="003676D5"/>
    <w:rsid w:val="003678A8"/>
    <w:rsid w:val="0036799A"/>
    <w:rsid w:val="003706F5"/>
    <w:rsid w:val="00370929"/>
    <w:rsid w:val="00372360"/>
    <w:rsid w:val="00372800"/>
    <w:rsid w:val="00375618"/>
    <w:rsid w:val="00377BEE"/>
    <w:rsid w:val="003805B6"/>
    <w:rsid w:val="0038271E"/>
    <w:rsid w:val="003833E9"/>
    <w:rsid w:val="00383A5F"/>
    <w:rsid w:val="00385170"/>
    <w:rsid w:val="003855E0"/>
    <w:rsid w:val="00386E5D"/>
    <w:rsid w:val="00386F76"/>
    <w:rsid w:val="003919A0"/>
    <w:rsid w:val="00392BBA"/>
    <w:rsid w:val="00393EEB"/>
    <w:rsid w:val="00394700"/>
    <w:rsid w:val="00396719"/>
    <w:rsid w:val="00396AA4"/>
    <w:rsid w:val="00397036"/>
    <w:rsid w:val="0039795F"/>
    <w:rsid w:val="00397B8E"/>
    <w:rsid w:val="003A2330"/>
    <w:rsid w:val="003A3EE3"/>
    <w:rsid w:val="003A5DE0"/>
    <w:rsid w:val="003A612B"/>
    <w:rsid w:val="003A6329"/>
    <w:rsid w:val="003B3732"/>
    <w:rsid w:val="003B409B"/>
    <w:rsid w:val="003B5B37"/>
    <w:rsid w:val="003B6048"/>
    <w:rsid w:val="003B7A0A"/>
    <w:rsid w:val="003C3846"/>
    <w:rsid w:val="003C392B"/>
    <w:rsid w:val="003C3D01"/>
    <w:rsid w:val="003C456B"/>
    <w:rsid w:val="003C5C6B"/>
    <w:rsid w:val="003C70C7"/>
    <w:rsid w:val="003D039F"/>
    <w:rsid w:val="003D0A33"/>
    <w:rsid w:val="003D1EF2"/>
    <w:rsid w:val="003D1F05"/>
    <w:rsid w:val="003D1F2D"/>
    <w:rsid w:val="003E090D"/>
    <w:rsid w:val="003E14CE"/>
    <w:rsid w:val="003E1622"/>
    <w:rsid w:val="003E1888"/>
    <w:rsid w:val="003E1CCD"/>
    <w:rsid w:val="003E26B2"/>
    <w:rsid w:val="003E285E"/>
    <w:rsid w:val="003E3936"/>
    <w:rsid w:val="003E460C"/>
    <w:rsid w:val="003E527B"/>
    <w:rsid w:val="003E5E25"/>
    <w:rsid w:val="003E6A52"/>
    <w:rsid w:val="003E7563"/>
    <w:rsid w:val="003F22E7"/>
    <w:rsid w:val="003F3283"/>
    <w:rsid w:val="003F3C2F"/>
    <w:rsid w:val="003F414F"/>
    <w:rsid w:val="003F6649"/>
    <w:rsid w:val="004001DD"/>
    <w:rsid w:val="00401D67"/>
    <w:rsid w:val="00402605"/>
    <w:rsid w:val="004026D9"/>
    <w:rsid w:val="004028A4"/>
    <w:rsid w:val="00402F66"/>
    <w:rsid w:val="00406042"/>
    <w:rsid w:val="00406895"/>
    <w:rsid w:val="00407BBF"/>
    <w:rsid w:val="0041437A"/>
    <w:rsid w:val="0041495E"/>
    <w:rsid w:val="004153C7"/>
    <w:rsid w:val="00415A00"/>
    <w:rsid w:val="00416A0F"/>
    <w:rsid w:val="00420244"/>
    <w:rsid w:val="00420346"/>
    <w:rsid w:val="0042499A"/>
    <w:rsid w:val="00431010"/>
    <w:rsid w:val="00432EF8"/>
    <w:rsid w:val="00433B35"/>
    <w:rsid w:val="00434CF8"/>
    <w:rsid w:val="0043650C"/>
    <w:rsid w:val="004369A8"/>
    <w:rsid w:val="00437BAF"/>
    <w:rsid w:val="00443C1E"/>
    <w:rsid w:val="00445A03"/>
    <w:rsid w:val="00446544"/>
    <w:rsid w:val="00447D0B"/>
    <w:rsid w:val="00450549"/>
    <w:rsid w:val="004554E9"/>
    <w:rsid w:val="004562A6"/>
    <w:rsid w:val="00457E99"/>
    <w:rsid w:val="00460A9B"/>
    <w:rsid w:val="00460D26"/>
    <w:rsid w:val="004629E6"/>
    <w:rsid w:val="00466C47"/>
    <w:rsid w:val="00471D19"/>
    <w:rsid w:val="00471DAF"/>
    <w:rsid w:val="004727FF"/>
    <w:rsid w:val="00472EAB"/>
    <w:rsid w:val="004747AC"/>
    <w:rsid w:val="004752C4"/>
    <w:rsid w:val="00475B2B"/>
    <w:rsid w:val="00476549"/>
    <w:rsid w:val="00476DF8"/>
    <w:rsid w:val="00477B76"/>
    <w:rsid w:val="004845BF"/>
    <w:rsid w:val="00484D65"/>
    <w:rsid w:val="004876B0"/>
    <w:rsid w:val="00487B5B"/>
    <w:rsid w:val="00491AEA"/>
    <w:rsid w:val="0049209C"/>
    <w:rsid w:val="004926E5"/>
    <w:rsid w:val="00493374"/>
    <w:rsid w:val="00493990"/>
    <w:rsid w:val="00493B9D"/>
    <w:rsid w:val="0049430B"/>
    <w:rsid w:val="00496334"/>
    <w:rsid w:val="004A0370"/>
    <w:rsid w:val="004A03EF"/>
    <w:rsid w:val="004A051E"/>
    <w:rsid w:val="004A2617"/>
    <w:rsid w:val="004A2624"/>
    <w:rsid w:val="004A49EE"/>
    <w:rsid w:val="004A4D33"/>
    <w:rsid w:val="004A73D3"/>
    <w:rsid w:val="004B0819"/>
    <w:rsid w:val="004B2249"/>
    <w:rsid w:val="004B3171"/>
    <w:rsid w:val="004B3FF5"/>
    <w:rsid w:val="004B4AE8"/>
    <w:rsid w:val="004B4EF7"/>
    <w:rsid w:val="004B5194"/>
    <w:rsid w:val="004B5B59"/>
    <w:rsid w:val="004B7388"/>
    <w:rsid w:val="004C0149"/>
    <w:rsid w:val="004C3186"/>
    <w:rsid w:val="004C3DE6"/>
    <w:rsid w:val="004C3F85"/>
    <w:rsid w:val="004C6BED"/>
    <w:rsid w:val="004C71D0"/>
    <w:rsid w:val="004C78AD"/>
    <w:rsid w:val="004D176A"/>
    <w:rsid w:val="004D38C9"/>
    <w:rsid w:val="004D41FC"/>
    <w:rsid w:val="004D4467"/>
    <w:rsid w:val="004D5858"/>
    <w:rsid w:val="004D5CA8"/>
    <w:rsid w:val="004D6CE5"/>
    <w:rsid w:val="004D7AFE"/>
    <w:rsid w:val="004E0423"/>
    <w:rsid w:val="004E077C"/>
    <w:rsid w:val="004E09E7"/>
    <w:rsid w:val="004E0F7C"/>
    <w:rsid w:val="004E1833"/>
    <w:rsid w:val="004E19AC"/>
    <w:rsid w:val="004E2255"/>
    <w:rsid w:val="004E36B7"/>
    <w:rsid w:val="004E39E1"/>
    <w:rsid w:val="004E475C"/>
    <w:rsid w:val="004E4FD3"/>
    <w:rsid w:val="004E5B0C"/>
    <w:rsid w:val="004E5D88"/>
    <w:rsid w:val="004E65A0"/>
    <w:rsid w:val="004E682F"/>
    <w:rsid w:val="004E6A9C"/>
    <w:rsid w:val="004E7915"/>
    <w:rsid w:val="004E7EDA"/>
    <w:rsid w:val="004F0195"/>
    <w:rsid w:val="004F4FFC"/>
    <w:rsid w:val="004F7D72"/>
    <w:rsid w:val="00503E44"/>
    <w:rsid w:val="0050623F"/>
    <w:rsid w:val="0050647C"/>
    <w:rsid w:val="005068B1"/>
    <w:rsid w:val="00514A60"/>
    <w:rsid w:val="00515283"/>
    <w:rsid w:val="005156FB"/>
    <w:rsid w:val="00520F46"/>
    <w:rsid w:val="005221AB"/>
    <w:rsid w:val="00523768"/>
    <w:rsid w:val="00523CDE"/>
    <w:rsid w:val="00524916"/>
    <w:rsid w:val="00524D35"/>
    <w:rsid w:val="00525756"/>
    <w:rsid w:val="00525AB0"/>
    <w:rsid w:val="005326EC"/>
    <w:rsid w:val="00534C53"/>
    <w:rsid w:val="00536F0C"/>
    <w:rsid w:val="005372EE"/>
    <w:rsid w:val="00540ACA"/>
    <w:rsid w:val="00541143"/>
    <w:rsid w:val="00543697"/>
    <w:rsid w:val="005443FB"/>
    <w:rsid w:val="00544811"/>
    <w:rsid w:val="00545293"/>
    <w:rsid w:val="00546C73"/>
    <w:rsid w:val="005500D0"/>
    <w:rsid w:val="00554100"/>
    <w:rsid w:val="00554A15"/>
    <w:rsid w:val="00554FBB"/>
    <w:rsid w:val="0055675D"/>
    <w:rsid w:val="00562D29"/>
    <w:rsid w:val="00565C6D"/>
    <w:rsid w:val="005669F8"/>
    <w:rsid w:val="00566E17"/>
    <w:rsid w:val="00570080"/>
    <w:rsid w:val="00571A35"/>
    <w:rsid w:val="0057280E"/>
    <w:rsid w:val="0057281A"/>
    <w:rsid w:val="00575F59"/>
    <w:rsid w:val="00576982"/>
    <w:rsid w:val="005769F4"/>
    <w:rsid w:val="00576F9B"/>
    <w:rsid w:val="005821C0"/>
    <w:rsid w:val="00582298"/>
    <w:rsid w:val="0058253F"/>
    <w:rsid w:val="00582CB6"/>
    <w:rsid w:val="005833BE"/>
    <w:rsid w:val="005843E1"/>
    <w:rsid w:val="00584DAC"/>
    <w:rsid w:val="00587B81"/>
    <w:rsid w:val="005908BD"/>
    <w:rsid w:val="00590EC7"/>
    <w:rsid w:val="00590EE5"/>
    <w:rsid w:val="00592403"/>
    <w:rsid w:val="00597334"/>
    <w:rsid w:val="00597552"/>
    <w:rsid w:val="00597CDB"/>
    <w:rsid w:val="005A05A8"/>
    <w:rsid w:val="005A09FB"/>
    <w:rsid w:val="005A1655"/>
    <w:rsid w:val="005A1E57"/>
    <w:rsid w:val="005A2EA6"/>
    <w:rsid w:val="005A349F"/>
    <w:rsid w:val="005B17D1"/>
    <w:rsid w:val="005B18EF"/>
    <w:rsid w:val="005B3CA2"/>
    <w:rsid w:val="005B4365"/>
    <w:rsid w:val="005B5BF3"/>
    <w:rsid w:val="005C0D0D"/>
    <w:rsid w:val="005C10B9"/>
    <w:rsid w:val="005C1F2C"/>
    <w:rsid w:val="005C3161"/>
    <w:rsid w:val="005C407C"/>
    <w:rsid w:val="005C482E"/>
    <w:rsid w:val="005C62E5"/>
    <w:rsid w:val="005C7417"/>
    <w:rsid w:val="005C7779"/>
    <w:rsid w:val="005C7C06"/>
    <w:rsid w:val="005D133C"/>
    <w:rsid w:val="005D2703"/>
    <w:rsid w:val="005D3032"/>
    <w:rsid w:val="005D3B39"/>
    <w:rsid w:val="005D3D74"/>
    <w:rsid w:val="005D71B1"/>
    <w:rsid w:val="005D7D5A"/>
    <w:rsid w:val="005E2A44"/>
    <w:rsid w:val="005E2ADF"/>
    <w:rsid w:val="005E3235"/>
    <w:rsid w:val="005E55DD"/>
    <w:rsid w:val="005E5EC7"/>
    <w:rsid w:val="005F0A31"/>
    <w:rsid w:val="005F2439"/>
    <w:rsid w:val="005F34B6"/>
    <w:rsid w:val="005F521D"/>
    <w:rsid w:val="005F6666"/>
    <w:rsid w:val="005F7673"/>
    <w:rsid w:val="005F76E3"/>
    <w:rsid w:val="0060130D"/>
    <w:rsid w:val="00601B43"/>
    <w:rsid w:val="00606251"/>
    <w:rsid w:val="00606ED8"/>
    <w:rsid w:val="00607362"/>
    <w:rsid w:val="00607870"/>
    <w:rsid w:val="00607FC8"/>
    <w:rsid w:val="006102B4"/>
    <w:rsid w:val="00610426"/>
    <w:rsid w:val="00610E44"/>
    <w:rsid w:val="00611E56"/>
    <w:rsid w:val="00613A28"/>
    <w:rsid w:val="006148E4"/>
    <w:rsid w:val="006154E7"/>
    <w:rsid w:val="006157CC"/>
    <w:rsid w:val="006168C3"/>
    <w:rsid w:val="00620CE3"/>
    <w:rsid w:val="00620DA1"/>
    <w:rsid w:val="0062178F"/>
    <w:rsid w:val="0062255C"/>
    <w:rsid w:val="00622EF5"/>
    <w:rsid w:val="0062581B"/>
    <w:rsid w:val="00625CFC"/>
    <w:rsid w:val="006269B0"/>
    <w:rsid w:val="00627502"/>
    <w:rsid w:val="00627886"/>
    <w:rsid w:val="00627B34"/>
    <w:rsid w:val="00633F3D"/>
    <w:rsid w:val="00634B56"/>
    <w:rsid w:val="00634F7B"/>
    <w:rsid w:val="006351EA"/>
    <w:rsid w:val="006354FA"/>
    <w:rsid w:val="00635FE0"/>
    <w:rsid w:val="006361DF"/>
    <w:rsid w:val="00637DC8"/>
    <w:rsid w:val="0064100E"/>
    <w:rsid w:val="0064129F"/>
    <w:rsid w:val="006419D1"/>
    <w:rsid w:val="0064268C"/>
    <w:rsid w:val="006438B5"/>
    <w:rsid w:val="00644A7A"/>
    <w:rsid w:val="006454EC"/>
    <w:rsid w:val="006462BF"/>
    <w:rsid w:val="00650FE5"/>
    <w:rsid w:val="00652C91"/>
    <w:rsid w:val="00655A80"/>
    <w:rsid w:val="00655D7D"/>
    <w:rsid w:val="00655F3C"/>
    <w:rsid w:val="006577D5"/>
    <w:rsid w:val="006579E0"/>
    <w:rsid w:val="0066090C"/>
    <w:rsid w:val="006616B9"/>
    <w:rsid w:val="00662B8C"/>
    <w:rsid w:val="006657BF"/>
    <w:rsid w:val="00666424"/>
    <w:rsid w:val="00667045"/>
    <w:rsid w:val="00670A4F"/>
    <w:rsid w:val="00672936"/>
    <w:rsid w:val="0067378E"/>
    <w:rsid w:val="0067514C"/>
    <w:rsid w:val="0067615F"/>
    <w:rsid w:val="0067634A"/>
    <w:rsid w:val="00676F4F"/>
    <w:rsid w:val="00677386"/>
    <w:rsid w:val="00677877"/>
    <w:rsid w:val="00680975"/>
    <w:rsid w:val="00681E5A"/>
    <w:rsid w:val="0068581B"/>
    <w:rsid w:val="00685D2F"/>
    <w:rsid w:val="006866E9"/>
    <w:rsid w:val="00686AFA"/>
    <w:rsid w:val="00690CAB"/>
    <w:rsid w:val="0069198F"/>
    <w:rsid w:val="0069426A"/>
    <w:rsid w:val="00696828"/>
    <w:rsid w:val="006A02A1"/>
    <w:rsid w:val="006A2753"/>
    <w:rsid w:val="006A2997"/>
    <w:rsid w:val="006A39D2"/>
    <w:rsid w:val="006A50D2"/>
    <w:rsid w:val="006A5160"/>
    <w:rsid w:val="006A51A2"/>
    <w:rsid w:val="006A5B46"/>
    <w:rsid w:val="006A6A8A"/>
    <w:rsid w:val="006A739A"/>
    <w:rsid w:val="006A7670"/>
    <w:rsid w:val="006A7C7F"/>
    <w:rsid w:val="006B0944"/>
    <w:rsid w:val="006B3AB0"/>
    <w:rsid w:val="006B3CDA"/>
    <w:rsid w:val="006B6F5A"/>
    <w:rsid w:val="006C0B35"/>
    <w:rsid w:val="006C332F"/>
    <w:rsid w:val="006C368B"/>
    <w:rsid w:val="006C451E"/>
    <w:rsid w:val="006C4EA9"/>
    <w:rsid w:val="006C4FD1"/>
    <w:rsid w:val="006C636C"/>
    <w:rsid w:val="006C679D"/>
    <w:rsid w:val="006C7C0C"/>
    <w:rsid w:val="006C7CC5"/>
    <w:rsid w:val="006D11C1"/>
    <w:rsid w:val="006D2BF5"/>
    <w:rsid w:val="006D3653"/>
    <w:rsid w:val="006D4DEB"/>
    <w:rsid w:val="006D5F6C"/>
    <w:rsid w:val="006D7303"/>
    <w:rsid w:val="006E1335"/>
    <w:rsid w:val="006E3589"/>
    <w:rsid w:val="006E4520"/>
    <w:rsid w:val="006E770B"/>
    <w:rsid w:val="006F1005"/>
    <w:rsid w:val="006F2591"/>
    <w:rsid w:val="006F317D"/>
    <w:rsid w:val="006F7F3A"/>
    <w:rsid w:val="00700222"/>
    <w:rsid w:val="007025D4"/>
    <w:rsid w:val="00702664"/>
    <w:rsid w:val="00705D34"/>
    <w:rsid w:val="00710233"/>
    <w:rsid w:val="00712DFD"/>
    <w:rsid w:val="00714B37"/>
    <w:rsid w:val="00714C8F"/>
    <w:rsid w:val="00714D6A"/>
    <w:rsid w:val="00715C57"/>
    <w:rsid w:val="007165EF"/>
    <w:rsid w:val="00716ED1"/>
    <w:rsid w:val="00717609"/>
    <w:rsid w:val="007200E3"/>
    <w:rsid w:val="00722A48"/>
    <w:rsid w:val="00723720"/>
    <w:rsid w:val="00723C9D"/>
    <w:rsid w:val="00724ACE"/>
    <w:rsid w:val="00724DB6"/>
    <w:rsid w:val="00726CE7"/>
    <w:rsid w:val="00727047"/>
    <w:rsid w:val="00727596"/>
    <w:rsid w:val="0073175F"/>
    <w:rsid w:val="00731D16"/>
    <w:rsid w:val="00735731"/>
    <w:rsid w:val="00735A47"/>
    <w:rsid w:val="00737F8F"/>
    <w:rsid w:val="0074190C"/>
    <w:rsid w:val="007429BD"/>
    <w:rsid w:val="00742F0C"/>
    <w:rsid w:val="00743D82"/>
    <w:rsid w:val="00744B63"/>
    <w:rsid w:val="00744C1D"/>
    <w:rsid w:val="0074614E"/>
    <w:rsid w:val="0074648C"/>
    <w:rsid w:val="00750312"/>
    <w:rsid w:val="00750FA6"/>
    <w:rsid w:val="00751ED7"/>
    <w:rsid w:val="00755C46"/>
    <w:rsid w:val="00756DAB"/>
    <w:rsid w:val="00757797"/>
    <w:rsid w:val="00760A76"/>
    <w:rsid w:val="007621EE"/>
    <w:rsid w:val="0076331D"/>
    <w:rsid w:val="007657A8"/>
    <w:rsid w:val="00765803"/>
    <w:rsid w:val="00765E69"/>
    <w:rsid w:val="00766FC4"/>
    <w:rsid w:val="007677ED"/>
    <w:rsid w:val="00771BCF"/>
    <w:rsid w:val="00773527"/>
    <w:rsid w:val="00773782"/>
    <w:rsid w:val="00774346"/>
    <w:rsid w:val="0077436D"/>
    <w:rsid w:val="0077437F"/>
    <w:rsid w:val="00774399"/>
    <w:rsid w:val="0077528A"/>
    <w:rsid w:val="00775624"/>
    <w:rsid w:val="007758E3"/>
    <w:rsid w:val="00776B98"/>
    <w:rsid w:val="00777094"/>
    <w:rsid w:val="007807C7"/>
    <w:rsid w:val="00780B9C"/>
    <w:rsid w:val="00780FF9"/>
    <w:rsid w:val="00781686"/>
    <w:rsid w:val="00784198"/>
    <w:rsid w:val="007876D2"/>
    <w:rsid w:val="007901D3"/>
    <w:rsid w:val="00793941"/>
    <w:rsid w:val="00795925"/>
    <w:rsid w:val="00795C26"/>
    <w:rsid w:val="00795DD0"/>
    <w:rsid w:val="00796285"/>
    <w:rsid w:val="00796B53"/>
    <w:rsid w:val="0079757D"/>
    <w:rsid w:val="00797C9F"/>
    <w:rsid w:val="007A0FF3"/>
    <w:rsid w:val="007A2AC8"/>
    <w:rsid w:val="007A33D5"/>
    <w:rsid w:val="007A4336"/>
    <w:rsid w:val="007A4725"/>
    <w:rsid w:val="007A4BE7"/>
    <w:rsid w:val="007B01DA"/>
    <w:rsid w:val="007B161D"/>
    <w:rsid w:val="007B2B51"/>
    <w:rsid w:val="007B2E69"/>
    <w:rsid w:val="007B33C0"/>
    <w:rsid w:val="007B484D"/>
    <w:rsid w:val="007C23BF"/>
    <w:rsid w:val="007C2839"/>
    <w:rsid w:val="007C4F4B"/>
    <w:rsid w:val="007C5A1A"/>
    <w:rsid w:val="007C666C"/>
    <w:rsid w:val="007C7D06"/>
    <w:rsid w:val="007D0AD0"/>
    <w:rsid w:val="007D0CC1"/>
    <w:rsid w:val="007D233B"/>
    <w:rsid w:val="007D31A9"/>
    <w:rsid w:val="007D32D9"/>
    <w:rsid w:val="007D4F2C"/>
    <w:rsid w:val="007D67A7"/>
    <w:rsid w:val="007D74D0"/>
    <w:rsid w:val="007D776C"/>
    <w:rsid w:val="007D7F72"/>
    <w:rsid w:val="007E018D"/>
    <w:rsid w:val="007E15D6"/>
    <w:rsid w:val="007E1D41"/>
    <w:rsid w:val="007E1E38"/>
    <w:rsid w:val="007E25F5"/>
    <w:rsid w:val="007E3A2D"/>
    <w:rsid w:val="007E3B31"/>
    <w:rsid w:val="007E3BD0"/>
    <w:rsid w:val="007E4966"/>
    <w:rsid w:val="007E75E1"/>
    <w:rsid w:val="007F239B"/>
    <w:rsid w:val="007F2DF4"/>
    <w:rsid w:val="007F3642"/>
    <w:rsid w:val="007F3852"/>
    <w:rsid w:val="007F3DF7"/>
    <w:rsid w:val="007F51F3"/>
    <w:rsid w:val="007F541E"/>
    <w:rsid w:val="007F6ED9"/>
    <w:rsid w:val="007F756F"/>
    <w:rsid w:val="008019CF"/>
    <w:rsid w:val="00802575"/>
    <w:rsid w:val="008026D6"/>
    <w:rsid w:val="0080321D"/>
    <w:rsid w:val="00803581"/>
    <w:rsid w:val="0080419E"/>
    <w:rsid w:val="00805685"/>
    <w:rsid w:val="0080714C"/>
    <w:rsid w:val="00807DB4"/>
    <w:rsid w:val="00807E7D"/>
    <w:rsid w:val="00810243"/>
    <w:rsid w:val="00810E43"/>
    <w:rsid w:val="00811AAF"/>
    <w:rsid w:val="00812B83"/>
    <w:rsid w:val="00813CEA"/>
    <w:rsid w:val="00814D0E"/>
    <w:rsid w:val="00815F14"/>
    <w:rsid w:val="00817C9B"/>
    <w:rsid w:val="0082028E"/>
    <w:rsid w:val="0082144B"/>
    <w:rsid w:val="00822144"/>
    <w:rsid w:val="008221BA"/>
    <w:rsid w:val="00822ADA"/>
    <w:rsid w:val="00822CCA"/>
    <w:rsid w:val="00823128"/>
    <w:rsid w:val="00823618"/>
    <w:rsid w:val="008272A9"/>
    <w:rsid w:val="008273EC"/>
    <w:rsid w:val="00830534"/>
    <w:rsid w:val="008308A4"/>
    <w:rsid w:val="008309BF"/>
    <w:rsid w:val="00831188"/>
    <w:rsid w:val="00831675"/>
    <w:rsid w:val="00834029"/>
    <w:rsid w:val="00834677"/>
    <w:rsid w:val="00834A07"/>
    <w:rsid w:val="00834DD4"/>
    <w:rsid w:val="00834DF7"/>
    <w:rsid w:val="008359B5"/>
    <w:rsid w:val="00836176"/>
    <w:rsid w:val="0083693E"/>
    <w:rsid w:val="008369A7"/>
    <w:rsid w:val="0083772D"/>
    <w:rsid w:val="00837A71"/>
    <w:rsid w:val="00845AF1"/>
    <w:rsid w:val="00845B2E"/>
    <w:rsid w:val="00852690"/>
    <w:rsid w:val="00852C36"/>
    <w:rsid w:val="00852D1C"/>
    <w:rsid w:val="0085314F"/>
    <w:rsid w:val="00853CF5"/>
    <w:rsid w:val="0085448E"/>
    <w:rsid w:val="00854645"/>
    <w:rsid w:val="00856C94"/>
    <w:rsid w:val="00857682"/>
    <w:rsid w:val="00857FD7"/>
    <w:rsid w:val="00857FFE"/>
    <w:rsid w:val="00860977"/>
    <w:rsid w:val="00860DB7"/>
    <w:rsid w:val="00861DC8"/>
    <w:rsid w:val="00862122"/>
    <w:rsid w:val="0086230E"/>
    <w:rsid w:val="008655B5"/>
    <w:rsid w:val="00865F8E"/>
    <w:rsid w:val="00866FF5"/>
    <w:rsid w:val="008700B0"/>
    <w:rsid w:val="00870A13"/>
    <w:rsid w:val="00870C86"/>
    <w:rsid w:val="00871221"/>
    <w:rsid w:val="00872AE6"/>
    <w:rsid w:val="00872B1B"/>
    <w:rsid w:val="00874D48"/>
    <w:rsid w:val="0087606C"/>
    <w:rsid w:val="0087687D"/>
    <w:rsid w:val="00877E41"/>
    <w:rsid w:val="008828EB"/>
    <w:rsid w:val="0088337D"/>
    <w:rsid w:val="008837E0"/>
    <w:rsid w:val="0088467C"/>
    <w:rsid w:val="00885BF8"/>
    <w:rsid w:val="0088615C"/>
    <w:rsid w:val="008867FC"/>
    <w:rsid w:val="008869CF"/>
    <w:rsid w:val="008901A0"/>
    <w:rsid w:val="0089421F"/>
    <w:rsid w:val="008967C8"/>
    <w:rsid w:val="00896E58"/>
    <w:rsid w:val="0089776D"/>
    <w:rsid w:val="008A0BE8"/>
    <w:rsid w:val="008A1684"/>
    <w:rsid w:val="008A1964"/>
    <w:rsid w:val="008A251E"/>
    <w:rsid w:val="008A4BF1"/>
    <w:rsid w:val="008A4C4F"/>
    <w:rsid w:val="008A4F3B"/>
    <w:rsid w:val="008A566C"/>
    <w:rsid w:val="008B1B87"/>
    <w:rsid w:val="008B323D"/>
    <w:rsid w:val="008B3A82"/>
    <w:rsid w:val="008B43B3"/>
    <w:rsid w:val="008B549A"/>
    <w:rsid w:val="008C00ED"/>
    <w:rsid w:val="008C3260"/>
    <w:rsid w:val="008C6508"/>
    <w:rsid w:val="008C65D6"/>
    <w:rsid w:val="008C6DFB"/>
    <w:rsid w:val="008C79C6"/>
    <w:rsid w:val="008D03F8"/>
    <w:rsid w:val="008D10F6"/>
    <w:rsid w:val="008D1336"/>
    <w:rsid w:val="008D16F7"/>
    <w:rsid w:val="008D238C"/>
    <w:rsid w:val="008D32B0"/>
    <w:rsid w:val="008D3FD3"/>
    <w:rsid w:val="008D40DE"/>
    <w:rsid w:val="008D66F3"/>
    <w:rsid w:val="008D67AB"/>
    <w:rsid w:val="008D6A23"/>
    <w:rsid w:val="008D6E72"/>
    <w:rsid w:val="008D7AFF"/>
    <w:rsid w:val="008E1E28"/>
    <w:rsid w:val="008E240D"/>
    <w:rsid w:val="008E5397"/>
    <w:rsid w:val="008F1C35"/>
    <w:rsid w:val="008F2131"/>
    <w:rsid w:val="008F3969"/>
    <w:rsid w:val="008F4188"/>
    <w:rsid w:val="008F4229"/>
    <w:rsid w:val="008F4574"/>
    <w:rsid w:val="008F47D8"/>
    <w:rsid w:val="008F59D3"/>
    <w:rsid w:val="008F652D"/>
    <w:rsid w:val="0090036B"/>
    <w:rsid w:val="009004B3"/>
    <w:rsid w:val="00901A9A"/>
    <w:rsid w:val="00903325"/>
    <w:rsid w:val="0090634E"/>
    <w:rsid w:val="0090726C"/>
    <w:rsid w:val="009113FD"/>
    <w:rsid w:val="00911DA8"/>
    <w:rsid w:val="00911DBF"/>
    <w:rsid w:val="00913807"/>
    <w:rsid w:val="0091528F"/>
    <w:rsid w:val="0092039C"/>
    <w:rsid w:val="00920479"/>
    <w:rsid w:val="00921466"/>
    <w:rsid w:val="009225B3"/>
    <w:rsid w:val="00922F8D"/>
    <w:rsid w:val="009231C7"/>
    <w:rsid w:val="00923483"/>
    <w:rsid w:val="00924990"/>
    <w:rsid w:val="0092527E"/>
    <w:rsid w:val="00926F2E"/>
    <w:rsid w:val="009309A8"/>
    <w:rsid w:val="0093364A"/>
    <w:rsid w:val="00933748"/>
    <w:rsid w:val="00934D0E"/>
    <w:rsid w:val="00934F17"/>
    <w:rsid w:val="00935BAA"/>
    <w:rsid w:val="0093745D"/>
    <w:rsid w:val="009379A7"/>
    <w:rsid w:val="00937D90"/>
    <w:rsid w:val="00940126"/>
    <w:rsid w:val="00941218"/>
    <w:rsid w:val="00941C0D"/>
    <w:rsid w:val="00942251"/>
    <w:rsid w:val="009422BE"/>
    <w:rsid w:val="00942CA7"/>
    <w:rsid w:val="00943A67"/>
    <w:rsid w:val="0094501D"/>
    <w:rsid w:val="009461AD"/>
    <w:rsid w:val="00947409"/>
    <w:rsid w:val="00951EE3"/>
    <w:rsid w:val="00955D92"/>
    <w:rsid w:val="00956C03"/>
    <w:rsid w:val="009579A5"/>
    <w:rsid w:val="00961504"/>
    <w:rsid w:val="00963006"/>
    <w:rsid w:val="00970A74"/>
    <w:rsid w:val="00971062"/>
    <w:rsid w:val="0097165A"/>
    <w:rsid w:val="00975D63"/>
    <w:rsid w:val="0097622A"/>
    <w:rsid w:val="00977146"/>
    <w:rsid w:val="00980D13"/>
    <w:rsid w:val="00980F2E"/>
    <w:rsid w:val="009825D6"/>
    <w:rsid w:val="00985056"/>
    <w:rsid w:val="00985FB9"/>
    <w:rsid w:val="00987D29"/>
    <w:rsid w:val="009914C8"/>
    <w:rsid w:val="00991834"/>
    <w:rsid w:val="00991B86"/>
    <w:rsid w:val="00991D3F"/>
    <w:rsid w:val="00992DE0"/>
    <w:rsid w:val="009938ED"/>
    <w:rsid w:val="009965B1"/>
    <w:rsid w:val="009970D7"/>
    <w:rsid w:val="00997A53"/>
    <w:rsid w:val="009A105F"/>
    <w:rsid w:val="009A40EC"/>
    <w:rsid w:val="009A54F8"/>
    <w:rsid w:val="009A5B6C"/>
    <w:rsid w:val="009A5F2E"/>
    <w:rsid w:val="009A604A"/>
    <w:rsid w:val="009B198F"/>
    <w:rsid w:val="009B2647"/>
    <w:rsid w:val="009B3D9C"/>
    <w:rsid w:val="009B4157"/>
    <w:rsid w:val="009B51AE"/>
    <w:rsid w:val="009B6788"/>
    <w:rsid w:val="009B7A83"/>
    <w:rsid w:val="009B7E56"/>
    <w:rsid w:val="009C0D60"/>
    <w:rsid w:val="009C355B"/>
    <w:rsid w:val="009C3801"/>
    <w:rsid w:val="009C3F66"/>
    <w:rsid w:val="009C52A6"/>
    <w:rsid w:val="009C550B"/>
    <w:rsid w:val="009C5A5B"/>
    <w:rsid w:val="009C5EF7"/>
    <w:rsid w:val="009C664C"/>
    <w:rsid w:val="009C6BC9"/>
    <w:rsid w:val="009D1951"/>
    <w:rsid w:val="009D20AB"/>
    <w:rsid w:val="009D2998"/>
    <w:rsid w:val="009D74C8"/>
    <w:rsid w:val="009D775A"/>
    <w:rsid w:val="009E0CD7"/>
    <w:rsid w:val="009E1599"/>
    <w:rsid w:val="009E1677"/>
    <w:rsid w:val="009E1D9C"/>
    <w:rsid w:val="009E2F86"/>
    <w:rsid w:val="009F3B7D"/>
    <w:rsid w:val="009F60A3"/>
    <w:rsid w:val="009F60B6"/>
    <w:rsid w:val="009F6F76"/>
    <w:rsid w:val="00A02A3E"/>
    <w:rsid w:val="00A03285"/>
    <w:rsid w:val="00A03936"/>
    <w:rsid w:val="00A04056"/>
    <w:rsid w:val="00A040B5"/>
    <w:rsid w:val="00A06664"/>
    <w:rsid w:val="00A10F57"/>
    <w:rsid w:val="00A1147B"/>
    <w:rsid w:val="00A12209"/>
    <w:rsid w:val="00A129EC"/>
    <w:rsid w:val="00A12B8D"/>
    <w:rsid w:val="00A133E9"/>
    <w:rsid w:val="00A136ED"/>
    <w:rsid w:val="00A138AD"/>
    <w:rsid w:val="00A14E73"/>
    <w:rsid w:val="00A154FE"/>
    <w:rsid w:val="00A1685B"/>
    <w:rsid w:val="00A17134"/>
    <w:rsid w:val="00A174CF"/>
    <w:rsid w:val="00A176B0"/>
    <w:rsid w:val="00A2139A"/>
    <w:rsid w:val="00A22994"/>
    <w:rsid w:val="00A22BE0"/>
    <w:rsid w:val="00A236C9"/>
    <w:rsid w:val="00A23C48"/>
    <w:rsid w:val="00A244F3"/>
    <w:rsid w:val="00A24A78"/>
    <w:rsid w:val="00A27115"/>
    <w:rsid w:val="00A271B4"/>
    <w:rsid w:val="00A27CEA"/>
    <w:rsid w:val="00A30F9F"/>
    <w:rsid w:val="00A33A04"/>
    <w:rsid w:val="00A34805"/>
    <w:rsid w:val="00A368B1"/>
    <w:rsid w:val="00A368C3"/>
    <w:rsid w:val="00A36DF3"/>
    <w:rsid w:val="00A41742"/>
    <w:rsid w:val="00A43A2F"/>
    <w:rsid w:val="00A43C5C"/>
    <w:rsid w:val="00A43C76"/>
    <w:rsid w:val="00A45238"/>
    <w:rsid w:val="00A476F7"/>
    <w:rsid w:val="00A507AA"/>
    <w:rsid w:val="00A52FA1"/>
    <w:rsid w:val="00A532DD"/>
    <w:rsid w:val="00A545C4"/>
    <w:rsid w:val="00A55BF5"/>
    <w:rsid w:val="00A571C6"/>
    <w:rsid w:val="00A61AA2"/>
    <w:rsid w:val="00A6237B"/>
    <w:rsid w:val="00A66944"/>
    <w:rsid w:val="00A66AAC"/>
    <w:rsid w:val="00A707AF"/>
    <w:rsid w:val="00A718EC"/>
    <w:rsid w:val="00A71C6E"/>
    <w:rsid w:val="00A72617"/>
    <w:rsid w:val="00A72A8A"/>
    <w:rsid w:val="00A747CD"/>
    <w:rsid w:val="00A74BFA"/>
    <w:rsid w:val="00A75E2A"/>
    <w:rsid w:val="00A80AF5"/>
    <w:rsid w:val="00A80BCF"/>
    <w:rsid w:val="00A81DEF"/>
    <w:rsid w:val="00A828D6"/>
    <w:rsid w:val="00A8304D"/>
    <w:rsid w:val="00A83762"/>
    <w:rsid w:val="00A84199"/>
    <w:rsid w:val="00A84BA3"/>
    <w:rsid w:val="00A856E6"/>
    <w:rsid w:val="00A85AD2"/>
    <w:rsid w:val="00A85D30"/>
    <w:rsid w:val="00A86EAB"/>
    <w:rsid w:val="00A86F60"/>
    <w:rsid w:val="00A87B86"/>
    <w:rsid w:val="00A90292"/>
    <w:rsid w:val="00A91D55"/>
    <w:rsid w:val="00A91FAE"/>
    <w:rsid w:val="00A93440"/>
    <w:rsid w:val="00A95947"/>
    <w:rsid w:val="00A95F00"/>
    <w:rsid w:val="00AA1C03"/>
    <w:rsid w:val="00AA2002"/>
    <w:rsid w:val="00AA2564"/>
    <w:rsid w:val="00AA43D6"/>
    <w:rsid w:val="00AA4492"/>
    <w:rsid w:val="00AA46FA"/>
    <w:rsid w:val="00AA4710"/>
    <w:rsid w:val="00AA494B"/>
    <w:rsid w:val="00AA5CDC"/>
    <w:rsid w:val="00AB00C7"/>
    <w:rsid w:val="00AB039A"/>
    <w:rsid w:val="00AB3BAF"/>
    <w:rsid w:val="00AB5FF7"/>
    <w:rsid w:val="00AB64FF"/>
    <w:rsid w:val="00AB6B64"/>
    <w:rsid w:val="00AB7EAD"/>
    <w:rsid w:val="00AC0B74"/>
    <w:rsid w:val="00AC214A"/>
    <w:rsid w:val="00AC5531"/>
    <w:rsid w:val="00AD0392"/>
    <w:rsid w:val="00AD044E"/>
    <w:rsid w:val="00AD08C1"/>
    <w:rsid w:val="00AD0E0D"/>
    <w:rsid w:val="00AD30C3"/>
    <w:rsid w:val="00AD3352"/>
    <w:rsid w:val="00AD46F0"/>
    <w:rsid w:val="00AD4D9F"/>
    <w:rsid w:val="00AD4DD9"/>
    <w:rsid w:val="00AD6FE8"/>
    <w:rsid w:val="00AD74E0"/>
    <w:rsid w:val="00AE0BA5"/>
    <w:rsid w:val="00AE2FD3"/>
    <w:rsid w:val="00AE3D7F"/>
    <w:rsid w:val="00AE53F0"/>
    <w:rsid w:val="00AE65E9"/>
    <w:rsid w:val="00AE67EB"/>
    <w:rsid w:val="00AE7090"/>
    <w:rsid w:val="00AF164A"/>
    <w:rsid w:val="00AF351C"/>
    <w:rsid w:val="00AF380D"/>
    <w:rsid w:val="00AF392D"/>
    <w:rsid w:val="00AF3B9F"/>
    <w:rsid w:val="00AF3F53"/>
    <w:rsid w:val="00AF4F90"/>
    <w:rsid w:val="00AF58D1"/>
    <w:rsid w:val="00AF7576"/>
    <w:rsid w:val="00B00A95"/>
    <w:rsid w:val="00B011D5"/>
    <w:rsid w:val="00B02848"/>
    <w:rsid w:val="00B03BDD"/>
    <w:rsid w:val="00B05A08"/>
    <w:rsid w:val="00B062D0"/>
    <w:rsid w:val="00B06597"/>
    <w:rsid w:val="00B06B51"/>
    <w:rsid w:val="00B07B0C"/>
    <w:rsid w:val="00B10746"/>
    <w:rsid w:val="00B10FE5"/>
    <w:rsid w:val="00B1111F"/>
    <w:rsid w:val="00B1126D"/>
    <w:rsid w:val="00B12350"/>
    <w:rsid w:val="00B14D9E"/>
    <w:rsid w:val="00B15923"/>
    <w:rsid w:val="00B15AAF"/>
    <w:rsid w:val="00B16AE4"/>
    <w:rsid w:val="00B20BFE"/>
    <w:rsid w:val="00B210A1"/>
    <w:rsid w:val="00B21A2A"/>
    <w:rsid w:val="00B22874"/>
    <w:rsid w:val="00B24C33"/>
    <w:rsid w:val="00B2584A"/>
    <w:rsid w:val="00B26020"/>
    <w:rsid w:val="00B26F7D"/>
    <w:rsid w:val="00B27F1D"/>
    <w:rsid w:val="00B30E77"/>
    <w:rsid w:val="00B32362"/>
    <w:rsid w:val="00B353EC"/>
    <w:rsid w:val="00B35ACA"/>
    <w:rsid w:val="00B35DC6"/>
    <w:rsid w:val="00B36237"/>
    <w:rsid w:val="00B363DC"/>
    <w:rsid w:val="00B36843"/>
    <w:rsid w:val="00B372D1"/>
    <w:rsid w:val="00B37D0F"/>
    <w:rsid w:val="00B42EE4"/>
    <w:rsid w:val="00B4337C"/>
    <w:rsid w:val="00B44837"/>
    <w:rsid w:val="00B459A6"/>
    <w:rsid w:val="00B460E9"/>
    <w:rsid w:val="00B47C17"/>
    <w:rsid w:val="00B50739"/>
    <w:rsid w:val="00B50D14"/>
    <w:rsid w:val="00B54FD2"/>
    <w:rsid w:val="00B553D6"/>
    <w:rsid w:val="00B55843"/>
    <w:rsid w:val="00B576A5"/>
    <w:rsid w:val="00B57AE0"/>
    <w:rsid w:val="00B649FC"/>
    <w:rsid w:val="00B672D8"/>
    <w:rsid w:val="00B67ED1"/>
    <w:rsid w:val="00B70711"/>
    <w:rsid w:val="00B719D4"/>
    <w:rsid w:val="00B72423"/>
    <w:rsid w:val="00B77492"/>
    <w:rsid w:val="00B80C5E"/>
    <w:rsid w:val="00B82CFD"/>
    <w:rsid w:val="00B83D07"/>
    <w:rsid w:val="00B85B7B"/>
    <w:rsid w:val="00B868E9"/>
    <w:rsid w:val="00B9106D"/>
    <w:rsid w:val="00B9129B"/>
    <w:rsid w:val="00B934FD"/>
    <w:rsid w:val="00B949F2"/>
    <w:rsid w:val="00B96072"/>
    <w:rsid w:val="00B9720E"/>
    <w:rsid w:val="00BA4001"/>
    <w:rsid w:val="00BA4EB2"/>
    <w:rsid w:val="00BA5B86"/>
    <w:rsid w:val="00BA6138"/>
    <w:rsid w:val="00BA65CB"/>
    <w:rsid w:val="00BB317A"/>
    <w:rsid w:val="00BB43B1"/>
    <w:rsid w:val="00BB43C8"/>
    <w:rsid w:val="00BB4A67"/>
    <w:rsid w:val="00BC0E8A"/>
    <w:rsid w:val="00BC43CD"/>
    <w:rsid w:val="00BC54E9"/>
    <w:rsid w:val="00BC6ED8"/>
    <w:rsid w:val="00BD0E68"/>
    <w:rsid w:val="00BD1754"/>
    <w:rsid w:val="00BD4020"/>
    <w:rsid w:val="00BD4167"/>
    <w:rsid w:val="00BD45F2"/>
    <w:rsid w:val="00BD4638"/>
    <w:rsid w:val="00BD53F3"/>
    <w:rsid w:val="00BD5578"/>
    <w:rsid w:val="00BD5625"/>
    <w:rsid w:val="00BD5C6A"/>
    <w:rsid w:val="00BD61A2"/>
    <w:rsid w:val="00BD6806"/>
    <w:rsid w:val="00BD6E26"/>
    <w:rsid w:val="00BD6FFD"/>
    <w:rsid w:val="00BE0210"/>
    <w:rsid w:val="00BE06F5"/>
    <w:rsid w:val="00BE27CB"/>
    <w:rsid w:val="00BE2CAB"/>
    <w:rsid w:val="00BE484D"/>
    <w:rsid w:val="00BE4996"/>
    <w:rsid w:val="00BE4AC2"/>
    <w:rsid w:val="00BE597E"/>
    <w:rsid w:val="00BE5EFB"/>
    <w:rsid w:val="00BF022B"/>
    <w:rsid w:val="00BF05EB"/>
    <w:rsid w:val="00BF0D09"/>
    <w:rsid w:val="00BF1150"/>
    <w:rsid w:val="00BF3F51"/>
    <w:rsid w:val="00BF4201"/>
    <w:rsid w:val="00BF6C98"/>
    <w:rsid w:val="00C00520"/>
    <w:rsid w:val="00C00AFA"/>
    <w:rsid w:val="00C01CF7"/>
    <w:rsid w:val="00C035FA"/>
    <w:rsid w:val="00C05DA9"/>
    <w:rsid w:val="00C05DAB"/>
    <w:rsid w:val="00C108C5"/>
    <w:rsid w:val="00C10CD1"/>
    <w:rsid w:val="00C129C1"/>
    <w:rsid w:val="00C12AF7"/>
    <w:rsid w:val="00C13315"/>
    <w:rsid w:val="00C1474C"/>
    <w:rsid w:val="00C15441"/>
    <w:rsid w:val="00C16778"/>
    <w:rsid w:val="00C2049C"/>
    <w:rsid w:val="00C222A2"/>
    <w:rsid w:val="00C2489F"/>
    <w:rsid w:val="00C26194"/>
    <w:rsid w:val="00C26D48"/>
    <w:rsid w:val="00C2709A"/>
    <w:rsid w:val="00C30325"/>
    <w:rsid w:val="00C36C94"/>
    <w:rsid w:val="00C37E05"/>
    <w:rsid w:val="00C43395"/>
    <w:rsid w:val="00C441CB"/>
    <w:rsid w:val="00C45F3C"/>
    <w:rsid w:val="00C4676D"/>
    <w:rsid w:val="00C47CBA"/>
    <w:rsid w:val="00C503BA"/>
    <w:rsid w:val="00C503BD"/>
    <w:rsid w:val="00C507FD"/>
    <w:rsid w:val="00C51008"/>
    <w:rsid w:val="00C51084"/>
    <w:rsid w:val="00C51152"/>
    <w:rsid w:val="00C51DC3"/>
    <w:rsid w:val="00C52F75"/>
    <w:rsid w:val="00C549FF"/>
    <w:rsid w:val="00C55D29"/>
    <w:rsid w:val="00C563FB"/>
    <w:rsid w:val="00C56A03"/>
    <w:rsid w:val="00C56D78"/>
    <w:rsid w:val="00C6365A"/>
    <w:rsid w:val="00C639C9"/>
    <w:rsid w:val="00C640CA"/>
    <w:rsid w:val="00C7171B"/>
    <w:rsid w:val="00C73073"/>
    <w:rsid w:val="00C74148"/>
    <w:rsid w:val="00C7432A"/>
    <w:rsid w:val="00C75540"/>
    <w:rsid w:val="00C7709E"/>
    <w:rsid w:val="00C809C1"/>
    <w:rsid w:val="00C8145A"/>
    <w:rsid w:val="00C81775"/>
    <w:rsid w:val="00C875AC"/>
    <w:rsid w:val="00C9046E"/>
    <w:rsid w:val="00C90AF9"/>
    <w:rsid w:val="00C9130D"/>
    <w:rsid w:val="00C91E74"/>
    <w:rsid w:val="00C921BA"/>
    <w:rsid w:val="00C94771"/>
    <w:rsid w:val="00C96958"/>
    <w:rsid w:val="00CA0A94"/>
    <w:rsid w:val="00CA4EBD"/>
    <w:rsid w:val="00CA52FD"/>
    <w:rsid w:val="00CA59B4"/>
    <w:rsid w:val="00CA659A"/>
    <w:rsid w:val="00CA788B"/>
    <w:rsid w:val="00CB13B0"/>
    <w:rsid w:val="00CB17B5"/>
    <w:rsid w:val="00CB31F3"/>
    <w:rsid w:val="00CB33BD"/>
    <w:rsid w:val="00CB3F99"/>
    <w:rsid w:val="00CB4A57"/>
    <w:rsid w:val="00CB5F91"/>
    <w:rsid w:val="00CC032A"/>
    <w:rsid w:val="00CC0969"/>
    <w:rsid w:val="00CC13EE"/>
    <w:rsid w:val="00CC336A"/>
    <w:rsid w:val="00CC3E25"/>
    <w:rsid w:val="00CC4A75"/>
    <w:rsid w:val="00CC5D87"/>
    <w:rsid w:val="00CC5E0C"/>
    <w:rsid w:val="00CC6AE7"/>
    <w:rsid w:val="00CC70A3"/>
    <w:rsid w:val="00CC7A5A"/>
    <w:rsid w:val="00CC7D80"/>
    <w:rsid w:val="00CD496A"/>
    <w:rsid w:val="00CD6FE4"/>
    <w:rsid w:val="00CD79DE"/>
    <w:rsid w:val="00CD7B95"/>
    <w:rsid w:val="00CE002C"/>
    <w:rsid w:val="00CE0210"/>
    <w:rsid w:val="00CE0B53"/>
    <w:rsid w:val="00CE0B8D"/>
    <w:rsid w:val="00CE48BC"/>
    <w:rsid w:val="00CF0D0E"/>
    <w:rsid w:val="00CF1B9D"/>
    <w:rsid w:val="00CF1D26"/>
    <w:rsid w:val="00CF5548"/>
    <w:rsid w:val="00CF5BAC"/>
    <w:rsid w:val="00CF778F"/>
    <w:rsid w:val="00CF785C"/>
    <w:rsid w:val="00D00503"/>
    <w:rsid w:val="00D00514"/>
    <w:rsid w:val="00D00C39"/>
    <w:rsid w:val="00D01464"/>
    <w:rsid w:val="00D01D31"/>
    <w:rsid w:val="00D036C0"/>
    <w:rsid w:val="00D05484"/>
    <w:rsid w:val="00D05F80"/>
    <w:rsid w:val="00D10FA5"/>
    <w:rsid w:val="00D12321"/>
    <w:rsid w:val="00D1332D"/>
    <w:rsid w:val="00D14CC0"/>
    <w:rsid w:val="00D15686"/>
    <w:rsid w:val="00D205B8"/>
    <w:rsid w:val="00D20AAB"/>
    <w:rsid w:val="00D21579"/>
    <w:rsid w:val="00D22B0D"/>
    <w:rsid w:val="00D2364C"/>
    <w:rsid w:val="00D2383B"/>
    <w:rsid w:val="00D25A55"/>
    <w:rsid w:val="00D27609"/>
    <w:rsid w:val="00D3122D"/>
    <w:rsid w:val="00D31B88"/>
    <w:rsid w:val="00D32128"/>
    <w:rsid w:val="00D32B2B"/>
    <w:rsid w:val="00D33FA4"/>
    <w:rsid w:val="00D34626"/>
    <w:rsid w:val="00D35618"/>
    <w:rsid w:val="00D40B87"/>
    <w:rsid w:val="00D41327"/>
    <w:rsid w:val="00D4257A"/>
    <w:rsid w:val="00D43ABB"/>
    <w:rsid w:val="00D43DDA"/>
    <w:rsid w:val="00D45C94"/>
    <w:rsid w:val="00D4733F"/>
    <w:rsid w:val="00D47F98"/>
    <w:rsid w:val="00D520DF"/>
    <w:rsid w:val="00D52FDF"/>
    <w:rsid w:val="00D53B6A"/>
    <w:rsid w:val="00D5553F"/>
    <w:rsid w:val="00D55CBC"/>
    <w:rsid w:val="00D56296"/>
    <w:rsid w:val="00D57219"/>
    <w:rsid w:val="00D633FF"/>
    <w:rsid w:val="00D64080"/>
    <w:rsid w:val="00D648B0"/>
    <w:rsid w:val="00D65E68"/>
    <w:rsid w:val="00D676B6"/>
    <w:rsid w:val="00D67A41"/>
    <w:rsid w:val="00D727C4"/>
    <w:rsid w:val="00D75AA0"/>
    <w:rsid w:val="00D7606D"/>
    <w:rsid w:val="00D760C5"/>
    <w:rsid w:val="00D763EB"/>
    <w:rsid w:val="00D77861"/>
    <w:rsid w:val="00D81132"/>
    <w:rsid w:val="00D81868"/>
    <w:rsid w:val="00D81C8B"/>
    <w:rsid w:val="00D82106"/>
    <w:rsid w:val="00D84BBC"/>
    <w:rsid w:val="00D8745F"/>
    <w:rsid w:val="00D91573"/>
    <w:rsid w:val="00D9489E"/>
    <w:rsid w:val="00D94E98"/>
    <w:rsid w:val="00D968AB"/>
    <w:rsid w:val="00D96919"/>
    <w:rsid w:val="00D9789E"/>
    <w:rsid w:val="00DA0573"/>
    <w:rsid w:val="00DA0FC4"/>
    <w:rsid w:val="00DA142F"/>
    <w:rsid w:val="00DA2149"/>
    <w:rsid w:val="00DA23A7"/>
    <w:rsid w:val="00DA4605"/>
    <w:rsid w:val="00DA5432"/>
    <w:rsid w:val="00DA5710"/>
    <w:rsid w:val="00DA58B0"/>
    <w:rsid w:val="00DA724C"/>
    <w:rsid w:val="00DB2F69"/>
    <w:rsid w:val="00DB59CB"/>
    <w:rsid w:val="00DC0CDE"/>
    <w:rsid w:val="00DC0EF8"/>
    <w:rsid w:val="00DC1400"/>
    <w:rsid w:val="00DC1A5F"/>
    <w:rsid w:val="00DC55C9"/>
    <w:rsid w:val="00DC7C8A"/>
    <w:rsid w:val="00DD01C7"/>
    <w:rsid w:val="00DD1D7F"/>
    <w:rsid w:val="00DD2A03"/>
    <w:rsid w:val="00DD2BBF"/>
    <w:rsid w:val="00DD322D"/>
    <w:rsid w:val="00DD4ED3"/>
    <w:rsid w:val="00DD5CFD"/>
    <w:rsid w:val="00DE0467"/>
    <w:rsid w:val="00DE2D45"/>
    <w:rsid w:val="00DE3246"/>
    <w:rsid w:val="00DE5807"/>
    <w:rsid w:val="00DE67B0"/>
    <w:rsid w:val="00DF07F0"/>
    <w:rsid w:val="00DF0D0A"/>
    <w:rsid w:val="00DF1188"/>
    <w:rsid w:val="00DF1E25"/>
    <w:rsid w:val="00DF2389"/>
    <w:rsid w:val="00DF26B8"/>
    <w:rsid w:val="00DF29F5"/>
    <w:rsid w:val="00DF3CD3"/>
    <w:rsid w:val="00DF49BA"/>
    <w:rsid w:val="00DF52CC"/>
    <w:rsid w:val="00DF619D"/>
    <w:rsid w:val="00DF6909"/>
    <w:rsid w:val="00DF6FC6"/>
    <w:rsid w:val="00DF736B"/>
    <w:rsid w:val="00DF777F"/>
    <w:rsid w:val="00E00C80"/>
    <w:rsid w:val="00E0152D"/>
    <w:rsid w:val="00E02D37"/>
    <w:rsid w:val="00E03D1C"/>
    <w:rsid w:val="00E043AE"/>
    <w:rsid w:val="00E0624D"/>
    <w:rsid w:val="00E10CD5"/>
    <w:rsid w:val="00E12EF6"/>
    <w:rsid w:val="00E133E7"/>
    <w:rsid w:val="00E136C1"/>
    <w:rsid w:val="00E13E23"/>
    <w:rsid w:val="00E15D62"/>
    <w:rsid w:val="00E16213"/>
    <w:rsid w:val="00E16482"/>
    <w:rsid w:val="00E17010"/>
    <w:rsid w:val="00E1738E"/>
    <w:rsid w:val="00E223F3"/>
    <w:rsid w:val="00E2649A"/>
    <w:rsid w:val="00E275A3"/>
    <w:rsid w:val="00E302E6"/>
    <w:rsid w:val="00E31F90"/>
    <w:rsid w:val="00E335FF"/>
    <w:rsid w:val="00E33B74"/>
    <w:rsid w:val="00E3601C"/>
    <w:rsid w:val="00E40A5E"/>
    <w:rsid w:val="00E4143D"/>
    <w:rsid w:val="00E4242F"/>
    <w:rsid w:val="00E43503"/>
    <w:rsid w:val="00E436F5"/>
    <w:rsid w:val="00E4438C"/>
    <w:rsid w:val="00E448E0"/>
    <w:rsid w:val="00E457F3"/>
    <w:rsid w:val="00E46534"/>
    <w:rsid w:val="00E46855"/>
    <w:rsid w:val="00E47533"/>
    <w:rsid w:val="00E52180"/>
    <w:rsid w:val="00E52316"/>
    <w:rsid w:val="00E528AA"/>
    <w:rsid w:val="00E52AAF"/>
    <w:rsid w:val="00E54021"/>
    <w:rsid w:val="00E55886"/>
    <w:rsid w:val="00E56D94"/>
    <w:rsid w:val="00E60CB6"/>
    <w:rsid w:val="00E63F53"/>
    <w:rsid w:val="00E64823"/>
    <w:rsid w:val="00E649F4"/>
    <w:rsid w:val="00E70245"/>
    <w:rsid w:val="00E71716"/>
    <w:rsid w:val="00E74F1F"/>
    <w:rsid w:val="00E75BFA"/>
    <w:rsid w:val="00E770CF"/>
    <w:rsid w:val="00E779E1"/>
    <w:rsid w:val="00E77C58"/>
    <w:rsid w:val="00E77CA1"/>
    <w:rsid w:val="00E800C3"/>
    <w:rsid w:val="00E81140"/>
    <w:rsid w:val="00E8184D"/>
    <w:rsid w:val="00E8309B"/>
    <w:rsid w:val="00E83142"/>
    <w:rsid w:val="00E849ED"/>
    <w:rsid w:val="00E860F1"/>
    <w:rsid w:val="00E8687C"/>
    <w:rsid w:val="00E86D21"/>
    <w:rsid w:val="00E86EE8"/>
    <w:rsid w:val="00E87240"/>
    <w:rsid w:val="00E9059F"/>
    <w:rsid w:val="00E90735"/>
    <w:rsid w:val="00E9352E"/>
    <w:rsid w:val="00E9430A"/>
    <w:rsid w:val="00E943F8"/>
    <w:rsid w:val="00E95609"/>
    <w:rsid w:val="00E97B90"/>
    <w:rsid w:val="00EA287B"/>
    <w:rsid w:val="00EA3AA1"/>
    <w:rsid w:val="00EA5660"/>
    <w:rsid w:val="00EA5EF0"/>
    <w:rsid w:val="00EA68FC"/>
    <w:rsid w:val="00EA767C"/>
    <w:rsid w:val="00EB07F9"/>
    <w:rsid w:val="00EB0E72"/>
    <w:rsid w:val="00EB2D4F"/>
    <w:rsid w:val="00EB372A"/>
    <w:rsid w:val="00EB3B72"/>
    <w:rsid w:val="00EB3C30"/>
    <w:rsid w:val="00EB3F46"/>
    <w:rsid w:val="00EB41B0"/>
    <w:rsid w:val="00EB597F"/>
    <w:rsid w:val="00EB62ED"/>
    <w:rsid w:val="00EB668B"/>
    <w:rsid w:val="00EB791E"/>
    <w:rsid w:val="00EB7E71"/>
    <w:rsid w:val="00EC037D"/>
    <w:rsid w:val="00EC14FA"/>
    <w:rsid w:val="00EC6045"/>
    <w:rsid w:val="00ED1DD0"/>
    <w:rsid w:val="00ED26A6"/>
    <w:rsid w:val="00ED33A1"/>
    <w:rsid w:val="00ED601A"/>
    <w:rsid w:val="00ED72AF"/>
    <w:rsid w:val="00ED7FC7"/>
    <w:rsid w:val="00EE0965"/>
    <w:rsid w:val="00EE0ABE"/>
    <w:rsid w:val="00EE1D2C"/>
    <w:rsid w:val="00EE2BCD"/>
    <w:rsid w:val="00EE2F0A"/>
    <w:rsid w:val="00EE2FAF"/>
    <w:rsid w:val="00EE32C7"/>
    <w:rsid w:val="00EE3B65"/>
    <w:rsid w:val="00EE45C6"/>
    <w:rsid w:val="00EE7032"/>
    <w:rsid w:val="00EE7347"/>
    <w:rsid w:val="00EE76B8"/>
    <w:rsid w:val="00EE78A6"/>
    <w:rsid w:val="00EE7F5B"/>
    <w:rsid w:val="00EF168A"/>
    <w:rsid w:val="00EF3347"/>
    <w:rsid w:val="00EF3C79"/>
    <w:rsid w:val="00EF40AC"/>
    <w:rsid w:val="00EF4682"/>
    <w:rsid w:val="00EF476A"/>
    <w:rsid w:val="00EF4BB3"/>
    <w:rsid w:val="00EF4F36"/>
    <w:rsid w:val="00EF77E3"/>
    <w:rsid w:val="00F00AA3"/>
    <w:rsid w:val="00F05745"/>
    <w:rsid w:val="00F05E7F"/>
    <w:rsid w:val="00F06E1E"/>
    <w:rsid w:val="00F07AAA"/>
    <w:rsid w:val="00F109D4"/>
    <w:rsid w:val="00F120FC"/>
    <w:rsid w:val="00F127A0"/>
    <w:rsid w:val="00F146A6"/>
    <w:rsid w:val="00F15975"/>
    <w:rsid w:val="00F17DE5"/>
    <w:rsid w:val="00F2134D"/>
    <w:rsid w:val="00F21CB0"/>
    <w:rsid w:val="00F23459"/>
    <w:rsid w:val="00F23CC0"/>
    <w:rsid w:val="00F24791"/>
    <w:rsid w:val="00F251D1"/>
    <w:rsid w:val="00F2572B"/>
    <w:rsid w:val="00F26B84"/>
    <w:rsid w:val="00F272AB"/>
    <w:rsid w:val="00F30E57"/>
    <w:rsid w:val="00F30E9A"/>
    <w:rsid w:val="00F3319C"/>
    <w:rsid w:val="00F354E5"/>
    <w:rsid w:val="00F35972"/>
    <w:rsid w:val="00F35F02"/>
    <w:rsid w:val="00F36655"/>
    <w:rsid w:val="00F375AC"/>
    <w:rsid w:val="00F417B5"/>
    <w:rsid w:val="00F41E25"/>
    <w:rsid w:val="00F42688"/>
    <w:rsid w:val="00F42803"/>
    <w:rsid w:val="00F44835"/>
    <w:rsid w:val="00F44AF6"/>
    <w:rsid w:val="00F471B9"/>
    <w:rsid w:val="00F47564"/>
    <w:rsid w:val="00F50B42"/>
    <w:rsid w:val="00F5520A"/>
    <w:rsid w:val="00F55A7A"/>
    <w:rsid w:val="00F60887"/>
    <w:rsid w:val="00F618B8"/>
    <w:rsid w:val="00F61EF3"/>
    <w:rsid w:val="00F6625F"/>
    <w:rsid w:val="00F66832"/>
    <w:rsid w:val="00F66A1C"/>
    <w:rsid w:val="00F706B7"/>
    <w:rsid w:val="00F70C08"/>
    <w:rsid w:val="00F70DB1"/>
    <w:rsid w:val="00F71364"/>
    <w:rsid w:val="00F71F27"/>
    <w:rsid w:val="00F7300E"/>
    <w:rsid w:val="00F73ECA"/>
    <w:rsid w:val="00F7422C"/>
    <w:rsid w:val="00F7681C"/>
    <w:rsid w:val="00F77C79"/>
    <w:rsid w:val="00F81E28"/>
    <w:rsid w:val="00F83332"/>
    <w:rsid w:val="00F833B7"/>
    <w:rsid w:val="00F84803"/>
    <w:rsid w:val="00F84F46"/>
    <w:rsid w:val="00F85F1F"/>
    <w:rsid w:val="00F85FD2"/>
    <w:rsid w:val="00F86FC4"/>
    <w:rsid w:val="00F87C1E"/>
    <w:rsid w:val="00F90469"/>
    <w:rsid w:val="00F90D84"/>
    <w:rsid w:val="00F9136F"/>
    <w:rsid w:val="00F91EAF"/>
    <w:rsid w:val="00F921B4"/>
    <w:rsid w:val="00F927C2"/>
    <w:rsid w:val="00F92DE2"/>
    <w:rsid w:val="00F93706"/>
    <w:rsid w:val="00F95998"/>
    <w:rsid w:val="00FA052B"/>
    <w:rsid w:val="00FA19C4"/>
    <w:rsid w:val="00FA25AC"/>
    <w:rsid w:val="00FA4366"/>
    <w:rsid w:val="00FA4FCA"/>
    <w:rsid w:val="00FA54EC"/>
    <w:rsid w:val="00FB1A48"/>
    <w:rsid w:val="00FB26F9"/>
    <w:rsid w:val="00FB58D0"/>
    <w:rsid w:val="00FB7494"/>
    <w:rsid w:val="00FC08FD"/>
    <w:rsid w:val="00FC0DF2"/>
    <w:rsid w:val="00FC122D"/>
    <w:rsid w:val="00FC20DF"/>
    <w:rsid w:val="00FC21B2"/>
    <w:rsid w:val="00FC2951"/>
    <w:rsid w:val="00FC3412"/>
    <w:rsid w:val="00FC36B4"/>
    <w:rsid w:val="00FC45F5"/>
    <w:rsid w:val="00FC6BB9"/>
    <w:rsid w:val="00FC6C7D"/>
    <w:rsid w:val="00FC6CFA"/>
    <w:rsid w:val="00FC6DEC"/>
    <w:rsid w:val="00FC723E"/>
    <w:rsid w:val="00FD1DA2"/>
    <w:rsid w:val="00FD20F5"/>
    <w:rsid w:val="00FD2B24"/>
    <w:rsid w:val="00FD51AF"/>
    <w:rsid w:val="00FD58C5"/>
    <w:rsid w:val="00FD5A2D"/>
    <w:rsid w:val="00FD6FDF"/>
    <w:rsid w:val="00FD700B"/>
    <w:rsid w:val="00FE2DD9"/>
    <w:rsid w:val="00FE333D"/>
    <w:rsid w:val="00FE46C1"/>
    <w:rsid w:val="00FE51AA"/>
    <w:rsid w:val="00FE63F3"/>
    <w:rsid w:val="00FE6F03"/>
    <w:rsid w:val="00FE795E"/>
    <w:rsid w:val="00FF1057"/>
    <w:rsid w:val="00FF133C"/>
    <w:rsid w:val="00FF1B6F"/>
    <w:rsid w:val="00FF3705"/>
    <w:rsid w:val="00FF47A0"/>
    <w:rsid w:val="00FF4D69"/>
    <w:rsid w:val="00FF5F00"/>
    <w:rsid w:val="00FF6229"/>
    <w:rsid w:val="00FF7E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B24BF"/>
  <w15:docId w15:val="{67D91BE2-1800-4EF3-A463-CD5E992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unhideWhenUsed/>
    <w:rsid w:val="005F76E3"/>
    <w:rPr>
      <w:sz w:val="20"/>
    </w:rPr>
  </w:style>
  <w:style w:type="character" w:customStyle="1" w:styleId="CommentTextChar">
    <w:name w:val="Comment Text Char"/>
    <w:basedOn w:val="DefaultParagraphFont"/>
    <w:link w:val="CommentText"/>
    <w:uiPriority w:val="99"/>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10"/>
    <w:pPr>
      <w:tabs>
        <w:tab w:val="center" w:pos="4680"/>
        <w:tab w:val="right" w:pos="9360"/>
      </w:tabs>
      <w:spacing w:before="0" w:after="0"/>
    </w:pPr>
  </w:style>
  <w:style w:type="character" w:customStyle="1" w:styleId="HeaderChar">
    <w:name w:val="Header Char"/>
    <w:basedOn w:val="DefaultParagraphFont"/>
    <w:link w:val="Header"/>
    <w:uiPriority w:val="99"/>
    <w:rsid w:val="00BE0210"/>
    <w:rPr>
      <w:sz w:val="24"/>
    </w:rPr>
  </w:style>
  <w:style w:type="paragraph" w:styleId="Footer">
    <w:name w:val="footer"/>
    <w:basedOn w:val="Normal"/>
    <w:link w:val="FooterChar"/>
    <w:uiPriority w:val="99"/>
    <w:unhideWhenUsed/>
    <w:rsid w:val="00BE0210"/>
    <w:pPr>
      <w:tabs>
        <w:tab w:val="center" w:pos="4680"/>
        <w:tab w:val="right" w:pos="9360"/>
      </w:tabs>
      <w:spacing w:before="0" w:after="0"/>
    </w:pPr>
  </w:style>
  <w:style w:type="character" w:customStyle="1" w:styleId="FooterChar">
    <w:name w:val="Footer Char"/>
    <w:basedOn w:val="DefaultParagraphFont"/>
    <w:link w:val="Footer"/>
    <w:uiPriority w:val="99"/>
    <w:rsid w:val="00BE0210"/>
    <w:rPr>
      <w:sz w:val="24"/>
    </w:rPr>
  </w:style>
  <w:style w:type="paragraph" w:customStyle="1" w:styleId="Definition">
    <w:name w:val="Definition"/>
    <w:aliases w:val="dd,t_Defn"/>
    <w:basedOn w:val="Normal"/>
    <w:rsid w:val="00C8145A"/>
    <w:pPr>
      <w:spacing w:before="180" w:after="0"/>
      <w:ind w:left="1134"/>
    </w:pPr>
    <w:rPr>
      <w:rFonts w:eastAsiaTheme="minorHAnsi"/>
      <w:sz w:val="22"/>
      <w:szCs w:val="22"/>
    </w:rPr>
  </w:style>
  <w:style w:type="character" w:customStyle="1" w:styleId="paragraphChar">
    <w:name w:val="paragraph Char"/>
    <w:aliases w:val="a Char"/>
    <w:basedOn w:val="DefaultParagraphFont"/>
    <w:link w:val="paragraph"/>
    <w:locked/>
    <w:rsid w:val="00C8145A"/>
  </w:style>
  <w:style w:type="paragraph" w:customStyle="1" w:styleId="paragraph">
    <w:name w:val="paragraph"/>
    <w:aliases w:val="a,t_Para"/>
    <w:basedOn w:val="Normal"/>
    <w:link w:val="paragraphChar"/>
    <w:rsid w:val="00C8145A"/>
    <w:pPr>
      <w:spacing w:before="40" w:after="0"/>
      <w:ind w:left="1644" w:hanging="1644"/>
    </w:pPr>
    <w:rPr>
      <w:sz w:val="20"/>
    </w:rPr>
  </w:style>
  <w:style w:type="paragraph" w:styleId="Revision">
    <w:name w:val="Revision"/>
    <w:hidden/>
    <w:uiPriority w:val="99"/>
    <w:semiHidden/>
    <w:rsid w:val="00980F2E"/>
    <w:rPr>
      <w:sz w:val="24"/>
    </w:rPr>
  </w:style>
  <w:style w:type="character" w:customStyle="1" w:styleId="normaltextrun">
    <w:name w:val="normaltextrun"/>
    <w:basedOn w:val="DefaultParagraphFont"/>
    <w:rsid w:val="004A03EF"/>
  </w:style>
  <w:style w:type="character" w:customStyle="1" w:styleId="eop">
    <w:name w:val="eop"/>
    <w:basedOn w:val="DefaultParagraphFont"/>
    <w:rsid w:val="004A03EF"/>
  </w:style>
  <w:style w:type="character" w:styleId="UnresolvedMention">
    <w:name w:val="Unresolved Mention"/>
    <w:basedOn w:val="DefaultParagraphFont"/>
    <w:uiPriority w:val="99"/>
    <w:semiHidden/>
    <w:unhideWhenUsed/>
    <w:rsid w:val="00934F17"/>
    <w:rPr>
      <w:color w:val="605E5C"/>
      <w:shd w:val="clear" w:color="auto" w:fill="E1DFDD"/>
    </w:rPr>
  </w:style>
  <w:style w:type="character" w:customStyle="1" w:styleId="CharAmSchText">
    <w:name w:val="CharAmSchText"/>
    <w:basedOn w:val="DefaultParagraphFont"/>
    <w:qFormat/>
    <w:rsid w:val="00C73073"/>
  </w:style>
  <w:style w:type="paragraph" w:styleId="TOC2">
    <w:name w:val="toc 2"/>
    <w:basedOn w:val="Normal"/>
    <w:next w:val="Normal"/>
    <w:uiPriority w:val="39"/>
    <w:rsid w:val="00E770CF"/>
    <w:pPr>
      <w:ind w:left="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3692">
      <w:bodyDiv w:val="1"/>
      <w:marLeft w:val="0"/>
      <w:marRight w:val="0"/>
      <w:marTop w:val="0"/>
      <w:marBottom w:val="0"/>
      <w:divBdr>
        <w:top w:val="none" w:sz="0" w:space="0" w:color="auto"/>
        <w:left w:val="none" w:sz="0" w:space="0" w:color="auto"/>
        <w:bottom w:val="none" w:sz="0" w:space="0" w:color="auto"/>
        <w:right w:val="none" w:sz="0" w:space="0" w:color="auto"/>
      </w:divBdr>
    </w:div>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615214112">
      <w:bodyDiv w:val="1"/>
      <w:marLeft w:val="0"/>
      <w:marRight w:val="0"/>
      <w:marTop w:val="0"/>
      <w:marBottom w:val="0"/>
      <w:divBdr>
        <w:top w:val="none" w:sz="0" w:space="0" w:color="auto"/>
        <w:left w:val="none" w:sz="0" w:space="0" w:color="auto"/>
        <w:bottom w:val="none" w:sz="0" w:space="0" w:color="auto"/>
        <w:right w:val="none" w:sz="0" w:space="0" w:color="auto"/>
      </w:divBdr>
    </w:div>
    <w:div w:id="634990977">
      <w:bodyDiv w:val="1"/>
      <w:marLeft w:val="0"/>
      <w:marRight w:val="0"/>
      <w:marTop w:val="0"/>
      <w:marBottom w:val="0"/>
      <w:divBdr>
        <w:top w:val="none" w:sz="0" w:space="0" w:color="auto"/>
        <w:left w:val="none" w:sz="0" w:space="0" w:color="auto"/>
        <w:bottom w:val="none" w:sz="0" w:space="0" w:color="auto"/>
        <w:right w:val="none" w:sz="0" w:space="0" w:color="auto"/>
      </w:divBdr>
    </w:div>
    <w:div w:id="655648334">
      <w:bodyDiv w:val="1"/>
      <w:marLeft w:val="0"/>
      <w:marRight w:val="0"/>
      <w:marTop w:val="0"/>
      <w:marBottom w:val="0"/>
      <w:divBdr>
        <w:top w:val="none" w:sz="0" w:space="0" w:color="auto"/>
        <w:left w:val="none" w:sz="0" w:space="0" w:color="auto"/>
        <w:bottom w:val="none" w:sz="0" w:space="0" w:color="auto"/>
        <w:right w:val="none" w:sz="0" w:space="0" w:color="auto"/>
      </w:divBdr>
    </w:div>
    <w:div w:id="702941648">
      <w:bodyDiv w:val="1"/>
      <w:marLeft w:val="0"/>
      <w:marRight w:val="0"/>
      <w:marTop w:val="0"/>
      <w:marBottom w:val="0"/>
      <w:divBdr>
        <w:top w:val="none" w:sz="0" w:space="0" w:color="auto"/>
        <w:left w:val="none" w:sz="0" w:space="0" w:color="auto"/>
        <w:bottom w:val="none" w:sz="0" w:space="0" w:color="auto"/>
        <w:right w:val="none" w:sz="0" w:space="0" w:color="auto"/>
      </w:divBdr>
    </w:div>
    <w:div w:id="1050960124">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 w:id="1467629040">
      <w:bodyDiv w:val="1"/>
      <w:marLeft w:val="0"/>
      <w:marRight w:val="0"/>
      <w:marTop w:val="0"/>
      <w:marBottom w:val="0"/>
      <w:divBdr>
        <w:top w:val="none" w:sz="0" w:space="0" w:color="auto"/>
        <w:left w:val="none" w:sz="0" w:space="0" w:color="auto"/>
        <w:bottom w:val="none" w:sz="0" w:space="0" w:color="auto"/>
        <w:right w:val="none" w:sz="0" w:space="0" w:color="auto"/>
      </w:divBdr>
    </w:div>
    <w:div w:id="1510480988">
      <w:bodyDiv w:val="1"/>
      <w:marLeft w:val="0"/>
      <w:marRight w:val="0"/>
      <w:marTop w:val="0"/>
      <w:marBottom w:val="0"/>
      <w:divBdr>
        <w:top w:val="none" w:sz="0" w:space="0" w:color="auto"/>
        <w:left w:val="none" w:sz="0" w:space="0" w:color="auto"/>
        <w:bottom w:val="none" w:sz="0" w:space="0" w:color="auto"/>
        <w:right w:val="none" w:sz="0" w:space="0" w:color="auto"/>
      </w:divBdr>
    </w:div>
    <w:div w:id="1719233252">
      <w:bodyDiv w:val="1"/>
      <w:marLeft w:val="0"/>
      <w:marRight w:val="0"/>
      <w:marTop w:val="0"/>
      <w:marBottom w:val="0"/>
      <w:divBdr>
        <w:top w:val="none" w:sz="0" w:space="0" w:color="auto"/>
        <w:left w:val="none" w:sz="0" w:space="0" w:color="auto"/>
        <w:bottom w:val="none" w:sz="0" w:space="0" w:color="auto"/>
        <w:right w:val="none" w:sz="0" w:space="0" w:color="auto"/>
      </w:divBdr>
    </w:div>
    <w:div w:id="2009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76042D96A02744A894AF2576DB7A2C" ma:contentTypeVersion="" ma:contentTypeDescription="PDMS Document Site Content Type" ma:contentTypeScope="" ma:versionID="01fc9cedafe51e7997c6cd4b696241ec">
  <xsd:schema xmlns:xsd="http://www.w3.org/2001/XMLSchema" xmlns:xs="http://www.w3.org/2001/XMLSchema" xmlns:p="http://schemas.microsoft.com/office/2006/metadata/properties" xmlns:ns2="9C2D971A-9C5C-4425-8091-F1CB66FBF454" targetNamespace="http://schemas.microsoft.com/office/2006/metadata/properties" ma:root="true" ma:fieldsID="f5898a16aedee8bf2918ee739dcbb15c" ns2:_="">
    <xsd:import namespace="9C2D971A-9C5C-4425-8091-F1CB66FBF4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971A-9C5C-4425-8091-F1CB66FBF4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C2D971A-9C5C-4425-8091-F1CB66FBF454" xsi:nil="true"/>
  </documentManagement>
</p:properties>
</file>

<file path=customXml/itemProps1.xml><?xml version="1.0" encoding="utf-8"?>
<ds:datastoreItem xmlns:ds="http://schemas.openxmlformats.org/officeDocument/2006/customXml" ds:itemID="{7DE298D8-3D1C-427E-8BB5-B8761A4BCBA6}">
  <ds:schemaRefs>
    <ds:schemaRef ds:uri="http://schemas.openxmlformats.org/officeDocument/2006/bibliography"/>
  </ds:schemaRefs>
</ds:datastoreItem>
</file>

<file path=customXml/itemProps2.xml><?xml version="1.0" encoding="utf-8"?>
<ds:datastoreItem xmlns:ds="http://schemas.openxmlformats.org/officeDocument/2006/customXml" ds:itemID="{0037AC33-A771-4CC4-A8CC-DF635F20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971A-9C5C-4425-8091-F1CB66FB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8E563-BB11-47BD-8441-48B500B5EEF8}">
  <ds:schemaRefs>
    <ds:schemaRef ds:uri="http://schemas.microsoft.com/sharepoint/v3/contenttype/forms"/>
  </ds:schemaRefs>
</ds:datastoreItem>
</file>

<file path=customXml/itemProps4.xml><?xml version="1.0" encoding="utf-8"?>
<ds:datastoreItem xmlns:ds="http://schemas.openxmlformats.org/officeDocument/2006/customXml" ds:itemID="{87047537-93EE-495E-A89D-59D863606F14}">
  <ds:schemaRefs>
    <ds:schemaRef ds:uri="http://schemas.microsoft.com/office/2006/documentManagement/types"/>
    <ds:schemaRef ds:uri="http://purl.org/dc/terms/"/>
    <ds:schemaRef ds:uri="http://schemas.openxmlformats.org/package/2006/metadata/core-properties"/>
    <ds:schemaRef ds:uri="9C2D971A-9C5C-4425-8091-F1CB66FBF454"/>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1425</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2019-08 Regs package ES</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 Regs package ES</dc:title>
  <dc:subject/>
  <dc:creator>Mark Straton</dc:creator>
  <cp:keywords/>
  <dc:description/>
  <cp:lastModifiedBy>Nicholas, Peter</cp:lastModifiedBy>
  <cp:revision>22</cp:revision>
  <dcterms:created xsi:type="dcterms:W3CDTF">2024-05-28T07:16:00Z</dcterms:created>
  <dcterms:modified xsi:type="dcterms:W3CDTF">2024-06-05T00:09:00Z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0x010100266966F133664895A6EE3632470D45F5008776042D96A02744A894AF2576DB7A2C</vt:lpwstr>
  </property>
  <property fmtid="{D5CDD505-2E9C-101B-9397-08002B2CF9AE}" pid="3" name="CER_Scheme">
    <vt:lpwstr/>
  </property>
  <property fmtid="{D5CDD505-2E9C-101B-9397-08002B2CF9AE}" pid="4" name="CER_FileKeywords">
    <vt:lpwstr/>
  </property>
  <property fmtid="{D5CDD505-2E9C-101B-9397-08002B2CF9AE}" pid="5" name="CER_Client">
    <vt:lpwstr/>
  </property>
  <property fmtid="{D5CDD505-2E9C-101B-9397-08002B2CF9AE}" pid="6" name="CER_State">
    <vt:lpwstr/>
  </property>
  <property fmtid="{D5CDD505-2E9C-101B-9397-08002B2CF9AE}" pid="7" name="_dlc_DocIdItemGuid">
    <vt:lpwstr>bcc283d7-75f9-47dc-8d07-f286806d4580</vt:lpwstr>
  </property>
  <property fmtid="{D5CDD505-2E9C-101B-9397-08002B2CF9AE}" pid="8" name="EDi_DocumentKeywords">
    <vt:lpwstr/>
  </property>
  <property fmtid="{D5CDD505-2E9C-101B-9397-08002B2CF9AE}" pid="9" name="CER_Agency">
    <vt:lpwstr/>
  </property>
  <property fmtid="{D5CDD505-2E9C-101B-9397-08002B2CF9AE}" pid="10" name="RecordPoint_WorkflowType">
    <vt:lpwstr>ActiveSubmitStub</vt:lpwstr>
  </property>
  <property fmtid="{D5CDD505-2E9C-101B-9397-08002B2CF9AE}" pid="11" name="RecordPoint_ActiveItemSiteId">
    <vt:lpwstr>{22ddc83e-3d55-4f4b-84b0-b8f29513b89f}</vt:lpwstr>
  </property>
  <property fmtid="{D5CDD505-2E9C-101B-9397-08002B2CF9AE}" pid="12" name="RecordPoint_ActiveItemListId">
    <vt:lpwstr>{e6c83a4c-6c4c-4890-af15-8d1f7414f297}</vt:lpwstr>
  </property>
  <property fmtid="{D5CDD505-2E9C-101B-9397-08002B2CF9AE}" pid="13" name="RecordPoint_ActiveItemUniqueId">
    <vt:lpwstr>{562d091c-63b7-4d34-bf39-3a827f69ca74}</vt:lpwstr>
  </property>
  <property fmtid="{D5CDD505-2E9C-101B-9397-08002B2CF9AE}" pid="14" name="RecordPoint_ActiveItemWebId">
    <vt:lpwstr>{2059673b-20f6-40c5-8fb8-ce838aef26a0}</vt:lpwstr>
  </property>
  <property fmtid="{D5CDD505-2E9C-101B-9397-08002B2CF9AE}" pid="15" name="RecordPoint_RecordNumberSubmitted">
    <vt:lpwstr>002886752</vt:lpwstr>
  </property>
  <property fmtid="{D5CDD505-2E9C-101B-9397-08002B2CF9AE}" pid="16" name="IconOverlay">
    <vt:lpwstr/>
  </property>
  <property fmtid="{D5CDD505-2E9C-101B-9397-08002B2CF9AE}" pid="17" name="RecordPoint_SubmissionCompleted">
    <vt:lpwstr>2019-09-08T17:52:30.8299272+10:00</vt:lpwstr>
  </property>
  <property fmtid="{D5CDD505-2E9C-101B-9397-08002B2CF9AE}" pid="18" name="TitusGUID">
    <vt:lpwstr>eddfd429-dd12-447b-a05c-65ab8b95fb6e</vt:lpwstr>
  </property>
  <property fmtid="{D5CDD505-2E9C-101B-9397-08002B2CF9AE}" pid="19" name="DocHub_Year">
    <vt:lpwstr>166;#2020-21|fc8bd51e-588a-4169-a977-a72f113edbe3</vt:lpwstr>
  </property>
  <property fmtid="{D5CDD505-2E9C-101B-9397-08002B2CF9AE}" pid="20" name="DocHub_DocumentType">
    <vt:lpwstr>183;#Legislative Instrument|edbe159b-95f5-40e7-bf23-9dfb62f2e7f0</vt:lpwstr>
  </property>
  <property fmtid="{D5CDD505-2E9C-101B-9397-08002B2CF9AE}" pid="21" name="DocHub_SecurityClassification">
    <vt:lpwstr>26;#OFFICIAL:Sensitive|11f6fb0b-52ce-4109-8f7f-521b2a62f692</vt:lpwstr>
  </property>
  <property fmtid="{D5CDD505-2E9C-101B-9397-08002B2CF9AE}" pid="22" name="DocHub_WorkActivity">
    <vt:lpwstr/>
  </property>
  <property fmtid="{D5CDD505-2E9C-101B-9397-08002B2CF9AE}" pid="23" name="DocHub_RegulatoryFrameworksLegislationType">
    <vt:lpwstr/>
  </property>
  <property fmtid="{D5CDD505-2E9C-101B-9397-08002B2CF9AE}" pid="24" name="DocHub_Keywords">
    <vt:lpwstr/>
  </property>
</Properties>
</file>