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3CB8" w14:textId="38D9FD6A" w:rsidR="00324670" w:rsidRPr="00EC2648" w:rsidRDefault="025162F0" w:rsidP="67939FCF">
      <w:pPr>
        <w:spacing w:line="257" w:lineRule="auto"/>
        <w:jc w:val="center"/>
        <w:rPr>
          <w:rFonts w:ascii="Times New Roman" w:eastAsia="Times New Roman" w:hAnsi="Times New Roman" w:cs="Times New Roman"/>
          <w:b/>
          <w:bCs/>
          <w:sz w:val="28"/>
          <w:szCs w:val="28"/>
          <w:u w:val="single"/>
        </w:rPr>
      </w:pPr>
      <w:r w:rsidRPr="00EC2648">
        <w:rPr>
          <w:rFonts w:ascii="Times New Roman" w:eastAsia="Times New Roman" w:hAnsi="Times New Roman" w:cs="Times New Roman"/>
          <w:b/>
          <w:bCs/>
          <w:sz w:val="28"/>
          <w:szCs w:val="28"/>
          <w:u w:val="single"/>
        </w:rPr>
        <w:t>WORK HEALTH AND SAFETY AMENDMENT (</w:t>
      </w:r>
      <w:r w:rsidR="0079227C" w:rsidRPr="00EC2648">
        <w:rPr>
          <w:rFonts w:ascii="Times New Roman" w:eastAsia="Times New Roman" w:hAnsi="Times New Roman" w:cs="Times New Roman"/>
          <w:b/>
          <w:bCs/>
          <w:sz w:val="28"/>
          <w:szCs w:val="28"/>
          <w:u w:val="single"/>
          <w:lang w:val="en-GB"/>
        </w:rPr>
        <w:t>PENALTIES AND ENGINEERED STONE AND CRYSTALLINE SILICA SUBSTANCES</w:t>
      </w:r>
      <w:r w:rsidRPr="00EC2648">
        <w:rPr>
          <w:rFonts w:ascii="Times New Roman" w:eastAsia="Times New Roman" w:hAnsi="Times New Roman" w:cs="Times New Roman"/>
          <w:b/>
          <w:bCs/>
          <w:sz w:val="28"/>
          <w:szCs w:val="28"/>
          <w:u w:val="single"/>
        </w:rPr>
        <w:t>) REGULATIONS 2024</w:t>
      </w:r>
    </w:p>
    <w:p w14:paraId="241BA473" w14:textId="2676BD7F" w:rsidR="00324670" w:rsidRPr="00EC2648" w:rsidRDefault="025162F0" w:rsidP="358883A3">
      <w:pPr>
        <w:spacing w:line="257" w:lineRule="auto"/>
        <w:jc w:val="center"/>
      </w:pPr>
      <w:r w:rsidRPr="00EC2648">
        <w:rPr>
          <w:rFonts w:ascii="Times New Roman" w:eastAsia="Times New Roman" w:hAnsi="Times New Roman" w:cs="Times New Roman"/>
          <w:b/>
          <w:bCs/>
          <w:sz w:val="28"/>
          <w:szCs w:val="28"/>
          <w:u w:val="single"/>
        </w:rPr>
        <w:t>EXPLANATORY STATEMENT</w:t>
      </w:r>
      <w:r w:rsidRPr="00EC2648">
        <w:rPr>
          <w:rFonts w:ascii="Times New Roman" w:eastAsia="Times New Roman" w:hAnsi="Times New Roman" w:cs="Times New Roman"/>
          <w:b/>
          <w:bCs/>
          <w:sz w:val="28"/>
          <w:szCs w:val="28"/>
        </w:rPr>
        <w:t xml:space="preserve"> </w:t>
      </w:r>
    </w:p>
    <w:p w14:paraId="613CA349" w14:textId="2676BD7F" w:rsidR="00324670" w:rsidRPr="00EC2648" w:rsidRDefault="025162F0" w:rsidP="358883A3">
      <w:pPr>
        <w:spacing w:line="257" w:lineRule="auto"/>
        <w:jc w:val="center"/>
      </w:pPr>
      <w:r w:rsidRPr="00EC2648">
        <w:rPr>
          <w:rFonts w:ascii="Times New Roman" w:eastAsia="Times New Roman" w:hAnsi="Times New Roman" w:cs="Times New Roman"/>
        </w:rPr>
        <w:t>Issued by the authority of the Minister for Employment and Workplace Relations</w:t>
      </w:r>
    </w:p>
    <w:p w14:paraId="7C269460" w14:textId="2676BD7F" w:rsidR="00324670" w:rsidRPr="00EC2648" w:rsidRDefault="025162F0" w:rsidP="358883A3">
      <w:pPr>
        <w:spacing w:line="257" w:lineRule="auto"/>
        <w:jc w:val="center"/>
      </w:pPr>
      <w:r w:rsidRPr="00EC2648">
        <w:rPr>
          <w:rFonts w:ascii="Times New Roman" w:eastAsia="Times New Roman" w:hAnsi="Times New Roman" w:cs="Times New Roman"/>
        </w:rPr>
        <w:t xml:space="preserve">under section 276 of the </w:t>
      </w:r>
      <w:r w:rsidRPr="00EC2648">
        <w:rPr>
          <w:rFonts w:ascii="Times New Roman" w:eastAsia="Times New Roman" w:hAnsi="Times New Roman" w:cs="Times New Roman"/>
          <w:i/>
          <w:iCs/>
        </w:rPr>
        <w:t xml:space="preserve">Work Health and Safety Act 2011 </w:t>
      </w:r>
      <w:r w:rsidRPr="00EC2648">
        <w:rPr>
          <w:rFonts w:ascii="Times New Roman" w:eastAsia="Times New Roman" w:hAnsi="Times New Roman" w:cs="Times New Roman"/>
        </w:rPr>
        <w:t>(Cth)</w:t>
      </w:r>
    </w:p>
    <w:p w14:paraId="6785E4CF" w14:textId="2676BD7F" w:rsidR="00324670" w:rsidRPr="00EC2648" w:rsidRDefault="025162F0" w:rsidP="358883A3">
      <w:pPr>
        <w:spacing w:line="278" w:lineRule="auto"/>
      </w:pPr>
      <w:r w:rsidRPr="00EC2648">
        <w:rPr>
          <w:rFonts w:ascii="Times New Roman" w:eastAsia="Times New Roman" w:hAnsi="Times New Roman" w:cs="Times New Roman"/>
          <w:b/>
          <w:bCs/>
        </w:rPr>
        <w:t>PURPOSE AND OPERATION OF THE INSTRUMENT</w:t>
      </w:r>
    </w:p>
    <w:p w14:paraId="128A22AD" w14:textId="0132B82D" w:rsidR="00324670" w:rsidRPr="00EC2648" w:rsidRDefault="025162F0" w:rsidP="358883A3">
      <w:pPr>
        <w:spacing w:line="257" w:lineRule="auto"/>
      </w:pPr>
      <w:r w:rsidRPr="00EC2648">
        <w:rPr>
          <w:rFonts w:ascii="Times New Roman" w:eastAsia="Times New Roman" w:hAnsi="Times New Roman" w:cs="Times New Roman"/>
        </w:rPr>
        <w:t xml:space="preserve">The </w:t>
      </w:r>
      <w:r w:rsidRPr="00EC2648">
        <w:rPr>
          <w:rFonts w:ascii="Times New Roman" w:eastAsia="Times New Roman" w:hAnsi="Times New Roman" w:cs="Times New Roman"/>
          <w:i/>
          <w:iCs/>
        </w:rPr>
        <w:t>Work Health and Safety Amendment (</w:t>
      </w:r>
      <w:r w:rsidR="00DB4480" w:rsidRPr="00EC2648">
        <w:rPr>
          <w:rFonts w:ascii="Times New Roman" w:eastAsia="Times New Roman" w:hAnsi="Times New Roman" w:cs="Times New Roman"/>
          <w:i/>
          <w:iCs/>
          <w:color w:val="000000" w:themeColor="text1"/>
        </w:rPr>
        <w:t>Penalties and Engineered Stone and Crystalline Silica Substances</w:t>
      </w:r>
      <w:r w:rsidRPr="00EC2648">
        <w:rPr>
          <w:rFonts w:ascii="Times New Roman" w:eastAsia="Times New Roman" w:hAnsi="Times New Roman" w:cs="Times New Roman"/>
          <w:i/>
          <w:iCs/>
        </w:rPr>
        <w:t xml:space="preserve">) Regulations 2024 </w:t>
      </w:r>
      <w:r w:rsidRPr="00EC2648">
        <w:rPr>
          <w:rFonts w:ascii="Times New Roman" w:eastAsia="Times New Roman" w:hAnsi="Times New Roman" w:cs="Times New Roman"/>
        </w:rPr>
        <w:t xml:space="preserve">(Amendment Regulations) amend the </w:t>
      </w:r>
      <w:r w:rsidRPr="00EC2648">
        <w:rPr>
          <w:rFonts w:ascii="Times New Roman" w:eastAsia="Times New Roman" w:hAnsi="Times New Roman" w:cs="Times New Roman"/>
          <w:i/>
          <w:iCs/>
        </w:rPr>
        <w:t xml:space="preserve">Work Health and Safety Regulations 2011 </w:t>
      </w:r>
      <w:r w:rsidRPr="00EC2648">
        <w:rPr>
          <w:rFonts w:ascii="Times New Roman" w:eastAsia="Times New Roman" w:hAnsi="Times New Roman" w:cs="Times New Roman"/>
        </w:rPr>
        <w:t xml:space="preserve">(Cth) (Principal Regulations) to adopt recent amendments to the Model Work Health and Safety </w:t>
      </w:r>
      <w:r w:rsidR="003E3D93" w:rsidRPr="00EC2648">
        <w:rPr>
          <w:rFonts w:ascii="Times New Roman" w:eastAsia="Times New Roman" w:hAnsi="Times New Roman" w:cs="Times New Roman"/>
        </w:rPr>
        <w:t>R</w:t>
      </w:r>
      <w:r w:rsidRPr="00EC2648">
        <w:rPr>
          <w:rFonts w:ascii="Times New Roman" w:eastAsia="Times New Roman" w:hAnsi="Times New Roman" w:cs="Times New Roman"/>
        </w:rPr>
        <w:t>egulations (model Regulations) to:</w:t>
      </w:r>
    </w:p>
    <w:p w14:paraId="6B6C8DDB" w14:textId="1B42C84B" w:rsidR="00324670" w:rsidRPr="00EC2648" w:rsidRDefault="025162F0" w:rsidP="00E1337D">
      <w:pPr>
        <w:pStyle w:val="ListParagraph"/>
        <w:numPr>
          <w:ilvl w:val="0"/>
          <w:numId w:val="21"/>
        </w:numPr>
        <w:spacing w:after="0" w:line="257" w:lineRule="auto"/>
        <w:ind w:left="360"/>
        <w:rPr>
          <w:rFonts w:ascii="Times New Roman" w:eastAsia="Times New Roman" w:hAnsi="Times New Roman" w:cs="Times New Roman"/>
          <w:color w:val="000000" w:themeColor="text1"/>
          <w:lang w:val="en-GB"/>
        </w:rPr>
      </w:pPr>
      <w:r w:rsidRPr="00EC2648">
        <w:rPr>
          <w:rFonts w:ascii="Times New Roman" w:eastAsia="Times New Roman" w:hAnsi="Times New Roman" w:cs="Times New Roman"/>
          <w:color w:val="000000" w:themeColor="text1"/>
        </w:rPr>
        <w:t>increase mon</w:t>
      </w:r>
      <w:r w:rsidR="006745A4" w:rsidRPr="00EC2648">
        <w:rPr>
          <w:rFonts w:ascii="Times New Roman" w:eastAsia="Times New Roman" w:hAnsi="Times New Roman" w:cs="Times New Roman"/>
          <w:color w:val="000000" w:themeColor="text1"/>
        </w:rPr>
        <w:t>etar</w:t>
      </w:r>
      <w:r w:rsidRPr="00EC2648">
        <w:rPr>
          <w:rFonts w:ascii="Times New Roman" w:eastAsia="Times New Roman" w:hAnsi="Times New Roman" w:cs="Times New Roman"/>
          <w:color w:val="000000" w:themeColor="text1"/>
        </w:rPr>
        <w:t>y penalty levels</w:t>
      </w:r>
      <w:r w:rsidR="006745A4" w:rsidRPr="00EC2648">
        <w:rPr>
          <w:rFonts w:ascii="Times New Roman" w:eastAsia="Times New Roman" w:hAnsi="Times New Roman" w:cs="Times New Roman"/>
          <w:color w:val="000000" w:themeColor="text1"/>
        </w:rPr>
        <w:t>,</w:t>
      </w:r>
    </w:p>
    <w:p w14:paraId="6FEBED84" w14:textId="2676BD7F" w:rsidR="00324670" w:rsidRPr="00EC2648" w:rsidRDefault="025162F0" w:rsidP="00E1337D">
      <w:pPr>
        <w:pStyle w:val="ListParagraph"/>
        <w:numPr>
          <w:ilvl w:val="0"/>
          <w:numId w:val="21"/>
        </w:numPr>
        <w:spacing w:after="0" w:line="257" w:lineRule="auto"/>
        <w:ind w:left="360"/>
        <w:rPr>
          <w:rFonts w:ascii="Times New Roman" w:eastAsia="Times New Roman" w:hAnsi="Times New Roman" w:cs="Times New Roman"/>
          <w:color w:val="000000" w:themeColor="text1"/>
          <w:lang w:val="en-GB"/>
        </w:rPr>
      </w:pPr>
      <w:r w:rsidRPr="00EC2648">
        <w:rPr>
          <w:rFonts w:ascii="Times New Roman" w:eastAsia="Times New Roman" w:hAnsi="Times New Roman" w:cs="Times New Roman"/>
          <w:color w:val="000000" w:themeColor="text1"/>
        </w:rPr>
        <w:t>prohibit the use of engineered stone benchtops, panels and slabs, and</w:t>
      </w:r>
    </w:p>
    <w:p w14:paraId="29195631" w14:textId="2676BD7F" w:rsidR="00324670" w:rsidRPr="00EC2648" w:rsidRDefault="025162F0" w:rsidP="00E1337D">
      <w:pPr>
        <w:pStyle w:val="ListParagraph"/>
        <w:numPr>
          <w:ilvl w:val="0"/>
          <w:numId w:val="21"/>
        </w:numPr>
        <w:spacing w:after="0" w:line="257" w:lineRule="auto"/>
        <w:ind w:left="360"/>
        <w:rPr>
          <w:rFonts w:ascii="Times New Roman" w:eastAsia="Times New Roman" w:hAnsi="Times New Roman" w:cs="Times New Roman"/>
          <w:color w:val="000000" w:themeColor="text1"/>
          <w:lang w:val="en-GB"/>
        </w:rPr>
      </w:pPr>
      <w:r w:rsidRPr="00EC2648">
        <w:rPr>
          <w:rFonts w:ascii="Times New Roman" w:eastAsia="Times New Roman" w:hAnsi="Times New Roman" w:cs="Times New Roman"/>
          <w:color w:val="000000" w:themeColor="text1"/>
        </w:rPr>
        <w:t xml:space="preserve">provide for stronger regulation of the processing of materials containing crystalline silica across all industries. </w:t>
      </w:r>
    </w:p>
    <w:p w14:paraId="2AF02801" w14:textId="2676BD7F" w:rsidR="00324670" w:rsidRPr="00EC2648" w:rsidRDefault="025162F0" w:rsidP="358883A3">
      <w:pPr>
        <w:spacing w:after="0" w:line="257" w:lineRule="auto"/>
      </w:pPr>
      <w:r w:rsidRPr="00EC2648">
        <w:rPr>
          <w:rFonts w:ascii="Times New Roman" w:eastAsia="Times New Roman" w:hAnsi="Times New Roman" w:cs="Times New Roman"/>
          <w:color w:val="000000" w:themeColor="text1"/>
        </w:rPr>
        <w:t xml:space="preserve"> </w:t>
      </w:r>
    </w:p>
    <w:p w14:paraId="06F6FB8B" w14:textId="37DD7D19" w:rsidR="3C8204B6" w:rsidRPr="00EC2648" w:rsidRDefault="025162F0" w:rsidP="056E173D">
      <w:pPr>
        <w:spacing w:line="257" w:lineRule="auto"/>
        <w:rPr>
          <w:rFonts w:ascii="Times New Roman" w:eastAsia="Times New Roman" w:hAnsi="Times New Roman" w:cs="Times New Roman"/>
          <w:color w:val="000000" w:themeColor="text1"/>
          <w:lang w:val="en-GB"/>
        </w:rPr>
      </w:pPr>
      <w:r w:rsidRPr="00EC2648">
        <w:rPr>
          <w:rFonts w:ascii="Times New Roman" w:eastAsia="Times New Roman" w:hAnsi="Times New Roman" w:cs="Times New Roman"/>
          <w:color w:val="000000" w:themeColor="text1"/>
        </w:rPr>
        <w:t xml:space="preserve">Subsection 276(1) of the </w:t>
      </w:r>
      <w:r w:rsidRPr="00EC2648">
        <w:rPr>
          <w:rFonts w:ascii="Times New Roman" w:eastAsia="Times New Roman" w:hAnsi="Times New Roman" w:cs="Times New Roman"/>
          <w:i/>
          <w:iCs/>
          <w:color w:val="000000" w:themeColor="text1"/>
        </w:rPr>
        <w:t xml:space="preserve">Work Health and Safety Act 2011 </w:t>
      </w:r>
      <w:r w:rsidRPr="00EC2648">
        <w:rPr>
          <w:rFonts w:ascii="Times New Roman" w:eastAsia="Times New Roman" w:hAnsi="Times New Roman" w:cs="Times New Roman"/>
          <w:color w:val="000000" w:themeColor="text1"/>
        </w:rPr>
        <w:t>(Cth)</w:t>
      </w:r>
      <w:r w:rsidRPr="00EC2648">
        <w:rPr>
          <w:rFonts w:ascii="Times New Roman" w:eastAsia="Times New Roman" w:hAnsi="Times New Roman" w:cs="Times New Roman"/>
          <w:i/>
          <w:iCs/>
          <w:color w:val="000000" w:themeColor="text1"/>
        </w:rPr>
        <w:t xml:space="preserve"> </w:t>
      </w:r>
      <w:r w:rsidRPr="00EC2648">
        <w:rPr>
          <w:rFonts w:ascii="Times New Roman" w:eastAsia="Times New Roman" w:hAnsi="Times New Roman" w:cs="Times New Roman"/>
          <w:color w:val="000000" w:themeColor="text1"/>
        </w:rPr>
        <w:t>(WHS Act) provides that the Governor-General may make regulations in relation to any matter relating to work health and safety, and any matter or thing required or permitted by the WHS Act to be prescribed or that is necessary or convenient to be prescribed to give effect to the WHS Act. In addition</w:t>
      </w:r>
      <w:r w:rsidR="23991FD4" w:rsidRPr="00EC2648">
        <w:rPr>
          <w:rFonts w:ascii="Times New Roman" w:eastAsia="Times New Roman" w:hAnsi="Times New Roman" w:cs="Times New Roman"/>
          <w:color w:val="000000" w:themeColor="text1"/>
        </w:rPr>
        <w:t>,</w:t>
      </w:r>
      <w:r w:rsidR="00F54477" w:rsidRPr="00EC2648">
        <w:rPr>
          <w:rFonts w:ascii="Times New Roman" w:eastAsia="Times New Roman" w:hAnsi="Times New Roman" w:cs="Times New Roman"/>
          <w:color w:val="000000" w:themeColor="text1"/>
        </w:rPr>
        <w:t xml:space="preserve"> </w:t>
      </w:r>
      <w:r w:rsidR="000B5807">
        <w:rPr>
          <w:rFonts w:ascii="Times New Roman" w:eastAsia="Times New Roman" w:hAnsi="Times New Roman" w:cs="Times New Roman"/>
          <w:color w:val="000000" w:themeColor="text1"/>
        </w:rPr>
        <w:t>sub</w:t>
      </w:r>
      <w:r w:rsidR="3E6C5D62" w:rsidRPr="00EC2648">
        <w:rPr>
          <w:rFonts w:ascii="Times New Roman" w:eastAsia="Times New Roman" w:hAnsi="Times New Roman" w:cs="Times New Roman"/>
        </w:rPr>
        <w:t>paragraph</w:t>
      </w:r>
      <w:r w:rsidR="0017559D" w:rsidRPr="00EC2648">
        <w:rPr>
          <w:rFonts w:ascii="Times New Roman" w:eastAsia="Times New Roman" w:hAnsi="Times New Roman" w:cs="Times New Roman"/>
        </w:rPr>
        <w:t>s</w:t>
      </w:r>
      <w:r w:rsidR="3E6C5D62" w:rsidRPr="00EC2648">
        <w:rPr>
          <w:rFonts w:ascii="Times New Roman" w:eastAsia="Times New Roman" w:hAnsi="Times New Roman" w:cs="Times New Roman"/>
        </w:rPr>
        <w:t xml:space="preserve"> 276(3)(h)</w:t>
      </w:r>
      <w:r w:rsidR="2CA2A137" w:rsidRPr="00EC2648">
        <w:rPr>
          <w:rFonts w:ascii="Times New Roman" w:eastAsia="Times New Roman" w:hAnsi="Times New Roman" w:cs="Times New Roman"/>
        </w:rPr>
        <w:t>(i)-(v)</w:t>
      </w:r>
      <w:r w:rsidR="3E6C5D62" w:rsidRPr="00EC2648">
        <w:rPr>
          <w:rFonts w:ascii="Times New Roman" w:eastAsia="Times New Roman" w:hAnsi="Times New Roman" w:cs="Times New Roman"/>
        </w:rPr>
        <w:t xml:space="preserve"> provide that the regulations </w:t>
      </w:r>
      <w:r w:rsidR="000B5807">
        <w:rPr>
          <w:rFonts w:ascii="Times New Roman" w:eastAsia="Times New Roman" w:hAnsi="Times New Roman" w:cs="Times New Roman"/>
        </w:rPr>
        <w:t>may</w:t>
      </w:r>
      <w:r w:rsidR="3E6C5D62" w:rsidRPr="00EC2648">
        <w:rPr>
          <w:rFonts w:ascii="Times New Roman" w:eastAsia="Times New Roman" w:hAnsi="Times New Roman" w:cs="Times New Roman"/>
        </w:rPr>
        <w:t xml:space="preserve"> </w:t>
      </w:r>
      <w:r w:rsidR="3E6C5D62" w:rsidRPr="00EC2648">
        <w:rPr>
          <w:rFonts w:ascii="Times New Roman" w:eastAsia="Times New Roman" w:hAnsi="Times New Roman" w:cs="Times New Roman"/>
          <w:color w:val="000000" w:themeColor="text1"/>
        </w:rPr>
        <w:t>prescribe a tier E to I monetary penalty as the penalty for an offence under the regulations.</w:t>
      </w:r>
    </w:p>
    <w:p w14:paraId="795B219F" w14:textId="70C398BC" w:rsidR="00324670" w:rsidRPr="00EC2648" w:rsidRDefault="025162F0" w:rsidP="33F151C8">
      <w:pPr>
        <w:spacing w:after="0" w:line="257" w:lineRule="auto"/>
        <w:rPr>
          <w:rFonts w:ascii="Times New Roman" w:eastAsia="Times New Roman" w:hAnsi="Times New Roman" w:cs="Times New Roman"/>
          <w:lang w:val="en-GB"/>
        </w:rPr>
      </w:pPr>
      <w:r w:rsidRPr="00EC2648">
        <w:rPr>
          <w:rFonts w:ascii="Times New Roman" w:eastAsia="Times New Roman" w:hAnsi="Times New Roman" w:cs="Times New Roman"/>
          <w:color w:val="000000" w:themeColor="text1"/>
        </w:rPr>
        <w:t xml:space="preserve">The WHS Act and the Principal Regulations provide the primary WHS legislation for the Commonwealth jurisdiction and are based on </w:t>
      </w:r>
      <w:r w:rsidR="00CF39F2">
        <w:rPr>
          <w:rFonts w:ascii="Times New Roman" w:eastAsia="Times New Roman" w:hAnsi="Times New Roman" w:cs="Times New Roman"/>
          <w:color w:val="000000" w:themeColor="text1"/>
        </w:rPr>
        <w:t>m</w:t>
      </w:r>
      <w:r w:rsidRPr="00EC2648">
        <w:rPr>
          <w:rFonts w:ascii="Times New Roman" w:eastAsia="Times New Roman" w:hAnsi="Times New Roman" w:cs="Times New Roman"/>
          <w:color w:val="000000" w:themeColor="text1"/>
        </w:rPr>
        <w:t>odel WHS laws (</w:t>
      </w:r>
      <w:r w:rsidR="00CF39F2">
        <w:rPr>
          <w:rFonts w:ascii="Times New Roman" w:eastAsia="Times New Roman" w:hAnsi="Times New Roman" w:cs="Times New Roman"/>
          <w:color w:val="000000" w:themeColor="text1"/>
        </w:rPr>
        <w:t>m</w:t>
      </w:r>
      <w:r w:rsidRPr="00EC2648">
        <w:rPr>
          <w:rFonts w:ascii="Times New Roman" w:eastAsia="Times New Roman" w:hAnsi="Times New Roman" w:cs="Times New Roman"/>
          <w:color w:val="000000" w:themeColor="text1"/>
        </w:rPr>
        <w:t xml:space="preserve">odel laws) developed by Safe Work Australia (SWA) under the </w:t>
      </w:r>
      <w:r w:rsidRPr="00EC2648">
        <w:rPr>
          <w:rFonts w:ascii="Times New Roman" w:eastAsia="Times New Roman" w:hAnsi="Times New Roman" w:cs="Times New Roman"/>
          <w:i/>
          <w:iCs/>
          <w:color w:val="000000" w:themeColor="text1"/>
        </w:rPr>
        <w:t>Intergovernmental Agreement for Regulatory and Operational Reform in Occupational Health and Safety</w:t>
      </w:r>
      <w:r w:rsidRPr="00EC2648">
        <w:rPr>
          <w:rFonts w:ascii="Times New Roman" w:eastAsia="Times New Roman" w:hAnsi="Times New Roman" w:cs="Times New Roman"/>
          <w:color w:val="000000" w:themeColor="text1"/>
        </w:rPr>
        <w:t xml:space="preserve">. The model laws have been </w:t>
      </w:r>
      <w:r w:rsidRPr="00EC2648">
        <w:rPr>
          <w:rFonts w:ascii="Times New Roman" w:eastAsia="Times New Roman" w:hAnsi="Times New Roman" w:cs="Times New Roman"/>
        </w:rPr>
        <w:t>implemented in all jurisdictions across Australia, except for Victoria which has laws that are very similar.</w:t>
      </w:r>
    </w:p>
    <w:p w14:paraId="6A9853DF" w14:textId="2676BD7F" w:rsidR="00324670" w:rsidRPr="00EC2648" w:rsidRDefault="025162F0" w:rsidP="358883A3">
      <w:pPr>
        <w:spacing w:after="0" w:line="257" w:lineRule="auto"/>
      </w:pPr>
      <w:r w:rsidRPr="00EC2648">
        <w:rPr>
          <w:rFonts w:ascii="Times New Roman" w:eastAsia="Times New Roman" w:hAnsi="Times New Roman" w:cs="Times New Roman"/>
        </w:rPr>
        <w:t xml:space="preserve"> </w:t>
      </w:r>
    </w:p>
    <w:p w14:paraId="23EC2DE6" w14:textId="4A4391C6" w:rsidR="00324670" w:rsidRPr="00EC2648" w:rsidRDefault="007145CB" w:rsidP="001B4148">
      <w:pPr>
        <w:spacing w:after="0" w:line="257" w:lineRule="auto"/>
        <w:rPr>
          <w:rFonts w:ascii="Times New Roman" w:eastAsia="Times New Roman" w:hAnsi="Times New Roman" w:cs="Times New Roman"/>
          <w:color w:val="000000" w:themeColor="text1"/>
          <w:u w:val="single"/>
          <w:lang w:val="en-GB"/>
        </w:rPr>
      </w:pPr>
      <w:r w:rsidRPr="00EC2648">
        <w:rPr>
          <w:rFonts w:ascii="Times New Roman" w:eastAsia="Times New Roman" w:hAnsi="Times New Roman" w:cs="Times New Roman"/>
          <w:color w:val="000000" w:themeColor="text1"/>
          <w:u w:val="single"/>
        </w:rPr>
        <w:t>Schedule 1</w:t>
      </w:r>
      <w:r w:rsidR="00113D99" w:rsidRPr="00EC2648">
        <w:rPr>
          <w:rFonts w:ascii="Times New Roman" w:eastAsia="Times New Roman" w:hAnsi="Times New Roman" w:cs="Times New Roman"/>
          <w:color w:val="000000" w:themeColor="text1"/>
          <w:u w:val="single"/>
        </w:rPr>
        <w:t xml:space="preserve"> </w:t>
      </w:r>
      <w:r w:rsidRPr="00EC2648">
        <w:rPr>
          <w:rFonts w:ascii="Times New Roman" w:eastAsia="Times New Roman" w:hAnsi="Times New Roman" w:cs="Times New Roman"/>
          <w:color w:val="000000" w:themeColor="text1"/>
          <w:u w:val="single"/>
        </w:rPr>
        <w:t xml:space="preserve">- </w:t>
      </w:r>
      <w:r w:rsidR="025162F0" w:rsidRPr="00EC2648">
        <w:rPr>
          <w:rFonts w:ascii="Times New Roman" w:eastAsia="Times New Roman" w:hAnsi="Times New Roman" w:cs="Times New Roman"/>
          <w:color w:val="000000" w:themeColor="text1"/>
          <w:u w:val="single"/>
        </w:rPr>
        <w:t>Penalties</w:t>
      </w:r>
      <w:r w:rsidRPr="00EC2648">
        <w:rPr>
          <w:rFonts w:ascii="Times New Roman" w:eastAsia="Times New Roman" w:hAnsi="Times New Roman" w:cs="Times New Roman"/>
          <w:color w:val="000000" w:themeColor="text1"/>
          <w:u w:val="single"/>
        </w:rPr>
        <w:t xml:space="preserve"> and miscellaneous amendments</w:t>
      </w:r>
    </w:p>
    <w:p w14:paraId="6B211703" w14:textId="77777777" w:rsidR="001B4148" w:rsidRPr="00EC2648" w:rsidRDefault="001B4148" w:rsidP="001B4148">
      <w:pPr>
        <w:spacing w:after="0" w:line="257" w:lineRule="auto"/>
      </w:pPr>
    </w:p>
    <w:p w14:paraId="79C7AD0D" w14:textId="010E70E9" w:rsidR="009A2107" w:rsidRPr="00EC2648" w:rsidRDefault="025162F0" w:rsidP="17187F2A">
      <w:pPr>
        <w:spacing w:after="0" w:line="257" w:lineRule="auto"/>
        <w:rPr>
          <w:rFonts w:ascii="Times New Roman" w:eastAsia="Times New Roman" w:hAnsi="Times New Roman" w:cs="Times New Roman"/>
        </w:rPr>
      </w:pPr>
      <w:r w:rsidRPr="00EC2648">
        <w:rPr>
          <w:rFonts w:ascii="Times New Roman" w:eastAsia="Times New Roman" w:hAnsi="Times New Roman" w:cs="Times New Roman"/>
        </w:rPr>
        <w:t xml:space="preserve">The Amendment Regulations amend penalty provisions to </w:t>
      </w:r>
      <w:r w:rsidR="00AC291B" w:rsidRPr="00EC2648">
        <w:rPr>
          <w:rFonts w:ascii="Times New Roman" w:eastAsia="Times New Roman" w:hAnsi="Times New Roman" w:cs="Times New Roman"/>
        </w:rPr>
        <w:t xml:space="preserve">align with recent model amendments. The Amendment Regulations </w:t>
      </w:r>
      <w:r w:rsidRPr="00EC2648">
        <w:rPr>
          <w:rFonts w:ascii="Times New Roman" w:eastAsia="Times New Roman" w:hAnsi="Times New Roman" w:cs="Times New Roman"/>
        </w:rPr>
        <w:t xml:space="preserve">replace monetary penalty amounts with references to </w:t>
      </w:r>
      <w:r w:rsidR="00FA379F" w:rsidRPr="00EC2648">
        <w:rPr>
          <w:rFonts w:ascii="Times New Roman" w:eastAsia="Times New Roman" w:hAnsi="Times New Roman" w:cs="Times New Roman"/>
        </w:rPr>
        <w:t>a</w:t>
      </w:r>
      <w:r w:rsidRPr="00EC2648">
        <w:rPr>
          <w:rFonts w:ascii="Times New Roman" w:eastAsia="Times New Roman" w:hAnsi="Times New Roman" w:cs="Times New Roman"/>
        </w:rPr>
        <w:t xml:space="preserve"> penalty tier. This ensures indexing applies to all monetary penalties in the Commonwealth WHS legislation.</w:t>
      </w:r>
      <w:r w:rsidR="00DC0B55" w:rsidRPr="00EC2648">
        <w:rPr>
          <w:rFonts w:ascii="Times New Roman" w:eastAsia="Times New Roman" w:hAnsi="Times New Roman" w:cs="Times New Roman"/>
        </w:rPr>
        <w:t xml:space="preserve"> The Amendment Regulations also make </w:t>
      </w:r>
      <w:r w:rsidR="00864F16" w:rsidRPr="00EC2648">
        <w:rPr>
          <w:rFonts w:ascii="Times New Roman" w:eastAsia="Times New Roman" w:hAnsi="Times New Roman" w:cs="Times New Roman"/>
        </w:rPr>
        <w:t xml:space="preserve">several </w:t>
      </w:r>
      <w:r w:rsidR="00DC0B55" w:rsidRPr="00EC2648">
        <w:rPr>
          <w:rFonts w:ascii="Times New Roman" w:eastAsia="Times New Roman" w:hAnsi="Times New Roman" w:cs="Times New Roman"/>
        </w:rPr>
        <w:t xml:space="preserve">technical amendments to </w:t>
      </w:r>
      <w:r w:rsidR="00621AA2" w:rsidRPr="00EC2648">
        <w:rPr>
          <w:rFonts w:ascii="Times New Roman" w:eastAsia="Times New Roman" w:hAnsi="Times New Roman" w:cs="Times New Roman"/>
        </w:rPr>
        <w:t>move existing notes and examples for consistency with current drafting practice.</w:t>
      </w:r>
      <w:r w:rsidR="21CB82CB" w:rsidRPr="00EC2648">
        <w:rPr>
          <w:rFonts w:ascii="Times New Roman" w:eastAsia="Times New Roman" w:hAnsi="Times New Roman" w:cs="Times New Roman"/>
        </w:rPr>
        <w:t xml:space="preserve"> </w:t>
      </w:r>
    </w:p>
    <w:p w14:paraId="708CE7A4" w14:textId="77777777" w:rsidR="009A2107" w:rsidRPr="00EC2648" w:rsidRDefault="009A2107" w:rsidP="17187F2A">
      <w:pPr>
        <w:spacing w:after="0" w:line="257" w:lineRule="auto"/>
        <w:rPr>
          <w:rFonts w:ascii="Times New Roman" w:eastAsia="Times New Roman" w:hAnsi="Times New Roman" w:cs="Times New Roman"/>
        </w:rPr>
      </w:pPr>
    </w:p>
    <w:p w14:paraId="55BCCE6A" w14:textId="220E3A2C" w:rsidR="007145CB" w:rsidRPr="00EC2648" w:rsidRDefault="007145CB" w:rsidP="17187F2A">
      <w:pPr>
        <w:spacing w:after="0" w:line="257" w:lineRule="auto"/>
        <w:rPr>
          <w:rFonts w:ascii="Times New Roman" w:eastAsia="Times New Roman" w:hAnsi="Times New Roman" w:cs="Times New Roman"/>
          <w:lang w:val="en-GB"/>
        </w:rPr>
      </w:pPr>
      <w:r w:rsidRPr="00EC2648">
        <w:rPr>
          <w:rFonts w:ascii="Times New Roman" w:eastAsia="Times New Roman" w:hAnsi="Times New Roman" w:cs="Times New Roman"/>
        </w:rPr>
        <w:t xml:space="preserve">A technical amendment is </w:t>
      </w:r>
      <w:r w:rsidR="0031555A" w:rsidRPr="00EC2648">
        <w:rPr>
          <w:rFonts w:ascii="Times New Roman" w:eastAsia="Times New Roman" w:hAnsi="Times New Roman" w:cs="Times New Roman"/>
        </w:rPr>
        <w:t xml:space="preserve">also </w:t>
      </w:r>
      <w:r w:rsidRPr="00EC2648">
        <w:rPr>
          <w:rFonts w:ascii="Times New Roman" w:eastAsia="Times New Roman" w:hAnsi="Times New Roman" w:cs="Times New Roman"/>
        </w:rPr>
        <w:t xml:space="preserve">made to regulation 55C to </w:t>
      </w:r>
      <w:r w:rsidR="00300AEF" w:rsidRPr="00EC2648">
        <w:rPr>
          <w:rFonts w:ascii="Times New Roman" w:eastAsia="Times New Roman" w:hAnsi="Times New Roman" w:cs="Times New Roman"/>
        </w:rPr>
        <w:t>clarify</w:t>
      </w:r>
      <w:r w:rsidRPr="00EC2648">
        <w:rPr>
          <w:rFonts w:ascii="Times New Roman" w:eastAsia="Times New Roman" w:hAnsi="Times New Roman" w:cs="Times New Roman"/>
        </w:rPr>
        <w:t xml:space="preserve"> that where identified, psychosocial controls must be implemented by a </w:t>
      </w:r>
      <w:r w:rsidR="007612E2" w:rsidRPr="00EC2648">
        <w:rPr>
          <w:rFonts w:ascii="Times New Roman" w:eastAsia="Times New Roman" w:hAnsi="Times New Roman" w:cs="Times New Roman"/>
        </w:rPr>
        <w:t>person conducting a business or undertaking (</w:t>
      </w:r>
      <w:r w:rsidRPr="00EC2648">
        <w:rPr>
          <w:rFonts w:ascii="Times New Roman" w:eastAsia="Times New Roman" w:hAnsi="Times New Roman" w:cs="Times New Roman"/>
        </w:rPr>
        <w:t>PCBU</w:t>
      </w:r>
      <w:r w:rsidR="007612E2" w:rsidRPr="00EC2648">
        <w:rPr>
          <w:rFonts w:ascii="Times New Roman" w:eastAsia="Times New Roman" w:hAnsi="Times New Roman" w:cs="Times New Roman"/>
        </w:rPr>
        <w:t>)</w:t>
      </w:r>
      <w:r w:rsidRPr="00EC2648">
        <w:rPr>
          <w:rFonts w:ascii="Times New Roman" w:eastAsia="Times New Roman" w:hAnsi="Times New Roman" w:cs="Times New Roman"/>
        </w:rPr>
        <w:t>.</w:t>
      </w:r>
    </w:p>
    <w:p w14:paraId="65F50E1E" w14:textId="2676BD7F" w:rsidR="00324670" w:rsidRPr="00EC2648" w:rsidRDefault="025162F0" w:rsidP="358883A3">
      <w:pPr>
        <w:spacing w:after="0" w:line="257" w:lineRule="auto"/>
      </w:pPr>
      <w:r w:rsidRPr="00EC2648">
        <w:rPr>
          <w:rFonts w:ascii="Times New Roman" w:eastAsia="Times New Roman" w:hAnsi="Times New Roman" w:cs="Times New Roman"/>
        </w:rPr>
        <w:lastRenderedPageBreak/>
        <w:t xml:space="preserve"> </w:t>
      </w:r>
    </w:p>
    <w:p w14:paraId="03C2A941" w14:textId="780B4304" w:rsidR="00324670" w:rsidRPr="00EC2648" w:rsidRDefault="007145CB" w:rsidP="056E173D">
      <w:pPr>
        <w:spacing w:after="0" w:line="257" w:lineRule="auto"/>
        <w:rPr>
          <w:rFonts w:ascii="Times New Roman" w:eastAsia="Times New Roman" w:hAnsi="Times New Roman" w:cs="Times New Roman"/>
          <w:u w:val="single"/>
          <w:lang w:val="en-GB"/>
        </w:rPr>
      </w:pPr>
      <w:r w:rsidRPr="00EC2648">
        <w:rPr>
          <w:rFonts w:ascii="Times New Roman" w:eastAsia="Times New Roman" w:hAnsi="Times New Roman" w:cs="Times New Roman"/>
          <w:color w:val="000000" w:themeColor="text1"/>
          <w:u w:val="single"/>
        </w:rPr>
        <w:t>Schedules 2 and 3</w:t>
      </w:r>
      <w:r w:rsidR="0FE6FD0B" w:rsidRPr="00EC2648">
        <w:rPr>
          <w:rFonts w:ascii="Times New Roman" w:eastAsia="Times New Roman" w:hAnsi="Times New Roman" w:cs="Times New Roman"/>
          <w:color w:val="000000" w:themeColor="text1"/>
          <w:u w:val="single"/>
        </w:rPr>
        <w:t xml:space="preserve"> </w:t>
      </w:r>
      <w:r w:rsidRPr="00EC2648">
        <w:rPr>
          <w:rFonts w:ascii="Times New Roman" w:eastAsia="Times New Roman" w:hAnsi="Times New Roman" w:cs="Times New Roman"/>
          <w:color w:val="000000" w:themeColor="text1"/>
          <w:u w:val="single"/>
        </w:rPr>
        <w:t xml:space="preserve">- </w:t>
      </w:r>
      <w:r w:rsidR="13BC5E3D" w:rsidRPr="00EC2648">
        <w:rPr>
          <w:rFonts w:ascii="Times New Roman" w:eastAsia="Times New Roman" w:hAnsi="Times New Roman" w:cs="Times New Roman"/>
          <w:u w:val="single"/>
        </w:rPr>
        <w:t>the p</w:t>
      </w:r>
      <w:r w:rsidR="025162F0" w:rsidRPr="00EC2648">
        <w:rPr>
          <w:rFonts w:ascii="Times New Roman" w:eastAsia="Times New Roman" w:hAnsi="Times New Roman" w:cs="Times New Roman"/>
          <w:u w:val="single"/>
        </w:rPr>
        <w:t>rohibition on the use of engineered stone benchtops, panels and slabs</w:t>
      </w:r>
      <w:r w:rsidRPr="00EC2648">
        <w:rPr>
          <w:rFonts w:ascii="Times New Roman" w:eastAsia="Times New Roman" w:hAnsi="Times New Roman" w:cs="Times New Roman"/>
          <w:u w:val="single"/>
        </w:rPr>
        <w:t>,</w:t>
      </w:r>
      <w:r w:rsidR="328E7DC9" w:rsidRPr="00EC2648">
        <w:rPr>
          <w:rFonts w:ascii="Times New Roman" w:eastAsia="Times New Roman" w:hAnsi="Times New Roman" w:cs="Times New Roman"/>
          <w:u w:val="single"/>
        </w:rPr>
        <w:t xml:space="preserve"> </w:t>
      </w:r>
      <w:r w:rsidR="371A2365" w:rsidRPr="00EC2648">
        <w:rPr>
          <w:rFonts w:ascii="Times New Roman" w:eastAsia="Times New Roman" w:hAnsi="Times New Roman" w:cs="Times New Roman"/>
          <w:u w:val="single"/>
        </w:rPr>
        <w:t>and regulation of</w:t>
      </w:r>
      <w:r w:rsidRPr="00EC2648">
        <w:rPr>
          <w:rFonts w:ascii="Times New Roman" w:eastAsia="Times New Roman" w:hAnsi="Times New Roman" w:cs="Times New Roman"/>
          <w:u w:val="single"/>
        </w:rPr>
        <w:t xml:space="preserve"> crystalline silica substances</w:t>
      </w:r>
    </w:p>
    <w:p w14:paraId="6BDDE6AF" w14:textId="77777777" w:rsidR="00A5164E" w:rsidRPr="00EC2648" w:rsidRDefault="00A5164E" w:rsidP="056E173D">
      <w:pPr>
        <w:spacing w:after="0" w:line="257" w:lineRule="auto"/>
        <w:rPr>
          <w:rFonts w:ascii="Times New Roman" w:eastAsia="Times New Roman" w:hAnsi="Times New Roman" w:cs="Times New Roman"/>
        </w:rPr>
      </w:pPr>
    </w:p>
    <w:p w14:paraId="6350C9C6" w14:textId="78A41466" w:rsidR="00324670" w:rsidRPr="00EC2648" w:rsidRDefault="0015186A" w:rsidP="056E173D">
      <w:pPr>
        <w:spacing w:after="0" w:line="257" w:lineRule="auto"/>
        <w:rPr>
          <w:rFonts w:ascii="Times New Roman" w:eastAsia="Times New Roman" w:hAnsi="Times New Roman" w:cs="Times New Roman"/>
          <w:u w:val="single"/>
          <w:lang w:val="en-GB"/>
        </w:rPr>
      </w:pPr>
      <w:r w:rsidRPr="00EC2648">
        <w:rPr>
          <w:rFonts w:ascii="Times New Roman" w:eastAsia="Times New Roman" w:hAnsi="Times New Roman" w:cs="Times New Roman"/>
        </w:rPr>
        <w:t>The Amendment Regulations implement the</w:t>
      </w:r>
      <w:r w:rsidR="1EF8CD28" w:rsidRPr="00EC2648">
        <w:rPr>
          <w:rFonts w:ascii="Times New Roman" w:eastAsia="Times New Roman" w:hAnsi="Times New Roman" w:cs="Times New Roman"/>
        </w:rPr>
        <w:t xml:space="preserve"> prohibition </w:t>
      </w:r>
      <w:r w:rsidRPr="00EC2648">
        <w:rPr>
          <w:rFonts w:ascii="Times New Roman" w:eastAsia="Times New Roman" w:hAnsi="Times New Roman" w:cs="Times New Roman"/>
        </w:rPr>
        <w:t>on the use</w:t>
      </w:r>
      <w:r w:rsidR="4D7E7B06" w:rsidRPr="00EC2648">
        <w:rPr>
          <w:rFonts w:ascii="Times New Roman" w:eastAsia="Times New Roman" w:hAnsi="Times New Roman" w:cs="Times New Roman"/>
        </w:rPr>
        <w:t>, supply and manufacture</w:t>
      </w:r>
      <w:r w:rsidRPr="00EC2648">
        <w:rPr>
          <w:rFonts w:ascii="Times New Roman" w:eastAsia="Times New Roman" w:hAnsi="Times New Roman" w:cs="Times New Roman"/>
        </w:rPr>
        <w:t xml:space="preserve"> of engineered stone in the Commonwealth work health and safety jurisdiction and introduce a stronger regulatory framework for </w:t>
      </w:r>
      <w:r w:rsidR="000277C6" w:rsidRPr="00EC2648">
        <w:rPr>
          <w:rFonts w:ascii="Times New Roman" w:eastAsia="Times New Roman" w:hAnsi="Times New Roman" w:cs="Times New Roman"/>
        </w:rPr>
        <w:t xml:space="preserve">work with </w:t>
      </w:r>
      <w:r w:rsidRPr="00EC2648">
        <w:rPr>
          <w:rFonts w:ascii="Times New Roman" w:eastAsia="Times New Roman" w:hAnsi="Times New Roman" w:cs="Times New Roman"/>
        </w:rPr>
        <w:t xml:space="preserve">all crystalline silica </w:t>
      </w:r>
      <w:r w:rsidR="000277C6" w:rsidRPr="00EC2648">
        <w:rPr>
          <w:rFonts w:ascii="Times New Roman" w:eastAsia="Times New Roman" w:hAnsi="Times New Roman" w:cs="Times New Roman"/>
        </w:rPr>
        <w:t xml:space="preserve">substances (CSS) </w:t>
      </w:r>
      <w:r w:rsidRPr="00EC2648">
        <w:rPr>
          <w:rFonts w:ascii="Times New Roman" w:eastAsia="Times New Roman" w:hAnsi="Times New Roman" w:cs="Times New Roman"/>
        </w:rPr>
        <w:t xml:space="preserve">to protect workers from exposure to </w:t>
      </w:r>
      <w:r w:rsidR="009F2151" w:rsidRPr="00EC2648">
        <w:rPr>
          <w:rFonts w:ascii="Times New Roman" w:eastAsia="Times New Roman" w:hAnsi="Times New Roman" w:cs="Times New Roman"/>
        </w:rPr>
        <w:t>respirable crystalline silica (</w:t>
      </w:r>
      <w:r w:rsidRPr="00EC2648">
        <w:rPr>
          <w:rFonts w:ascii="Times New Roman" w:eastAsia="Times New Roman" w:hAnsi="Times New Roman" w:cs="Times New Roman"/>
        </w:rPr>
        <w:t>RCS</w:t>
      </w:r>
      <w:r w:rsidR="009F2151" w:rsidRPr="00EC2648">
        <w:rPr>
          <w:rFonts w:ascii="Times New Roman" w:eastAsia="Times New Roman" w:hAnsi="Times New Roman" w:cs="Times New Roman"/>
        </w:rPr>
        <w:t>)</w:t>
      </w:r>
      <w:r w:rsidRPr="00EC2648">
        <w:rPr>
          <w:rFonts w:ascii="Times New Roman" w:eastAsia="Times New Roman" w:hAnsi="Times New Roman" w:cs="Times New Roman"/>
        </w:rPr>
        <w:t xml:space="preserve"> across all industries.</w:t>
      </w:r>
      <w:r w:rsidR="00AD1BAF" w:rsidRPr="00EC2648">
        <w:rPr>
          <w:rFonts w:ascii="Times New Roman" w:eastAsia="Times New Roman" w:hAnsi="Times New Roman" w:cs="Times New Roman"/>
        </w:rPr>
        <w:t xml:space="preserve"> </w:t>
      </w:r>
    </w:p>
    <w:p w14:paraId="38F8A844" w14:textId="076EE45B" w:rsidR="00324670" w:rsidRPr="00EC2648" w:rsidRDefault="00324670" w:rsidP="33F151C8">
      <w:pPr>
        <w:spacing w:after="0" w:line="257" w:lineRule="auto"/>
        <w:rPr>
          <w:rFonts w:ascii="Times New Roman" w:eastAsia="Times New Roman" w:hAnsi="Times New Roman" w:cs="Times New Roman"/>
          <w:lang w:val="en-GB"/>
        </w:rPr>
      </w:pPr>
    </w:p>
    <w:p w14:paraId="4F82B969" w14:textId="64C4FDAE" w:rsidR="003B40A0" w:rsidRPr="00EC2648" w:rsidRDefault="00A13339" w:rsidP="33F151C8">
      <w:pPr>
        <w:spacing w:after="0" w:line="257" w:lineRule="auto"/>
        <w:rPr>
          <w:rFonts w:ascii="Times New Roman" w:eastAsia="Times New Roman" w:hAnsi="Times New Roman" w:cs="Times New Roman"/>
        </w:rPr>
      </w:pPr>
      <w:r w:rsidRPr="00EC2648">
        <w:rPr>
          <w:rFonts w:ascii="Times New Roman" w:eastAsia="Times New Roman" w:hAnsi="Times New Roman" w:cs="Times New Roman"/>
        </w:rPr>
        <w:t>A substantial rise in silicosis case numbers and other silica-related diseases has led to urgent national action to reduce workers’ exposure to RCS</w:t>
      </w:r>
      <w:r w:rsidRPr="00EC2648">
        <w:rPr>
          <w:rFonts w:ascii="Times New Roman" w:eastAsia="Times New Roman" w:hAnsi="Times New Roman" w:cs="Times New Roman"/>
          <w:lang w:val="en-GB"/>
        </w:rPr>
        <w:t>.</w:t>
      </w:r>
      <w:r w:rsidRPr="00EC2648">
        <w:rPr>
          <w:rStyle w:val="normaltextrun"/>
          <w:color w:val="000000"/>
          <w:shd w:val="clear" w:color="auto" w:fill="FFFFFF"/>
        </w:rPr>
        <w:t xml:space="preserve"> </w:t>
      </w:r>
      <w:r w:rsidR="003B40A0" w:rsidRPr="00EC2648">
        <w:rPr>
          <w:rFonts w:ascii="Times New Roman" w:eastAsia="Times New Roman" w:hAnsi="Times New Roman" w:cs="Times New Roman"/>
          <w:lang w:val="en-GB"/>
        </w:rPr>
        <w:t xml:space="preserve">Dust containing </w:t>
      </w:r>
      <w:r w:rsidR="003B40A0" w:rsidRPr="00EC2648">
        <w:rPr>
          <w:rFonts w:ascii="Times New Roman" w:eastAsia="Times New Roman" w:hAnsi="Times New Roman" w:cs="Times New Roman"/>
        </w:rPr>
        <w:t xml:space="preserve">RCS is generated during mechanical processing of materials containing crystalline silica such as tunnelling, quarrying, crushing, cutting, drilling, grinding or sanding. When inhaled into the lungs, RCS can cause silicosis and other silica-related diseases. </w:t>
      </w:r>
      <w:r w:rsidR="003B40A0" w:rsidRPr="00EC2648">
        <w:rPr>
          <w:rFonts w:ascii="Times New Roman" w:eastAsia="Times New Roman" w:hAnsi="Times New Roman" w:cs="Times New Roman"/>
          <w:lang w:val="en-GB"/>
        </w:rPr>
        <w:t>Silicosis can cause permanent disability and death and has no cure except for lung transplantation.</w:t>
      </w:r>
    </w:p>
    <w:p w14:paraId="1940DDAB" w14:textId="650FD0AD" w:rsidR="00324670" w:rsidRPr="00EC2648" w:rsidRDefault="00324670" w:rsidP="056E173D">
      <w:pPr>
        <w:spacing w:after="0" w:line="257" w:lineRule="auto"/>
        <w:rPr>
          <w:rFonts w:ascii="Times New Roman" w:eastAsia="Times New Roman" w:hAnsi="Times New Roman" w:cs="Times New Roman"/>
        </w:rPr>
      </w:pPr>
    </w:p>
    <w:p w14:paraId="35FC9521" w14:textId="45BF1F08" w:rsidR="00972E3D" w:rsidRPr="00EC2648" w:rsidRDefault="003C08AB" w:rsidP="00E33A6B">
      <w:pPr>
        <w:spacing w:after="0" w:line="257" w:lineRule="auto"/>
        <w:rPr>
          <w:rFonts w:ascii="Times New Roman" w:eastAsia="Times New Roman" w:hAnsi="Times New Roman" w:cs="Times New Roman"/>
        </w:rPr>
      </w:pPr>
      <w:r w:rsidRPr="00EC2648">
        <w:rPr>
          <w:rFonts w:ascii="Times New Roman" w:eastAsia="Times New Roman" w:hAnsi="Times New Roman" w:cs="Times New Roman"/>
        </w:rPr>
        <w:t>The National Dust Diseases Taskforce (NDDT) was established in 2019, and in June 2021 submitted a final report to the then Minister for Health and Aged Care recommending a national approach to the prevention, early identification, control and management of silicosis and other occupational dust diseases in Australia.</w:t>
      </w:r>
      <w:r w:rsidR="00833E53" w:rsidRPr="00EC2648">
        <w:rPr>
          <w:rFonts w:ascii="Times New Roman" w:eastAsia="Times New Roman" w:hAnsi="Times New Roman" w:cs="Times New Roman"/>
        </w:rPr>
        <w:t xml:space="preserve"> </w:t>
      </w:r>
      <w:r w:rsidR="772BDB6C" w:rsidRPr="00EC2648">
        <w:rPr>
          <w:rFonts w:ascii="Times New Roman" w:eastAsia="Times New Roman" w:hAnsi="Times New Roman" w:cs="Times New Roman"/>
        </w:rPr>
        <w:t xml:space="preserve">The NDDT’s </w:t>
      </w:r>
      <w:r w:rsidR="1274F035" w:rsidRPr="00EC2648">
        <w:rPr>
          <w:rFonts w:ascii="Times New Roman" w:eastAsia="Times New Roman" w:hAnsi="Times New Roman" w:cs="Times New Roman"/>
        </w:rPr>
        <w:t>F</w:t>
      </w:r>
      <w:r w:rsidR="772BDB6C" w:rsidRPr="00EC2648">
        <w:rPr>
          <w:rFonts w:ascii="Times New Roman" w:eastAsia="Times New Roman" w:hAnsi="Times New Roman" w:cs="Times New Roman"/>
        </w:rPr>
        <w:t xml:space="preserve">inal </w:t>
      </w:r>
      <w:r w:rsidR="515C7386" w:rsidRPr="00EC2648">
        <w:rPr>
          <w:rFonts w:ascii="Times New Roman" w:eastAsia="Times New Roman" w:hAnsi="Times New Roman" w:cs="Times New Roman"/>
        </w:rPr>
        <w:t>R</w:t>
      </w:r>
      <w:r w:rsidR="772BDB6C" w:rsidRPr="00EC2648">
        <w:rPr>
          <w:rFonts w:ascii="Times New Roman" w:eastAsia="Times New Roman" w:hAnsi="Times New Roman" w:cs="Times New Roman"/>
        </w:rPr>
        <w:t xml:space="preserve">eport </w:t>
      </w:r>
      <w:r w:rsidR="777D5E12" w:rsidRPr="00EC2648">
        <w:rPr>
          <w:rFonts w:ascii="Times New Roman" w:eastAsia="Times New Roman" w:hAnsi="Times New Roman" w:cs="Times New Roman"/>
        </w:rPr>
        <w:t xml:space="preserve">recommended </w:t>
      </w:r>
      <w:r w:rsidR="6DC59BBE" w:rsidRPr="00EC2648">
        <w:rPr>
          <w:rFonts w:ascii="Times New Roman" w:eastAsia="Times New Roman" w:hAnsi="Times New Roman" w:cs="Times New Roman"/>
        </w:rPr>
        <w:t xml:space="preserve">various </w:t>
      </w:r>
      <w:r w:rsidR="41D8BE11" w:rsidRPr="00EC2648">
        <w:rPr>
          <w:rFonts w:ascii="Times New Roman" w:eastAsia="Times New Roman" w:hAnsi="Times New Roman" w:cs="Times New Roman"/>
        </w:rPr>
        <w:t>reforms</w:t>
      </w:r>
      <w:r w:rsidR="6DC59BBE" w:rsidRPr="00EC2648">
        <w:rPr>
          <w:rFonts w:ascii="Times New Roman" w:eastAsia="Times New Roman" w:hAnsi="Times New Roman" w:cs="Times New Roman"/>
        </w:rPr>
        <w:t xml:space="preserve"> </w:t>
      </w:r>
      <w:r w:rsidR="777D5E12" w:rsidRPr="00EC2648">
        <w:rPr>
          <w:rFonts w:ascii="Times New Roman" w:eastAsia="Times New Roman" w:hAnsi="Times New Roman" w:cs="Times New Roman"/>
        </w:rPr>
        <w:t>to better protect people from the risks of working with engineered stone and</w:t>
      </w:r>
      <w:r w:rsidR="760ED1B1" w:rsidRPr="00EC2648">
        <w:rPr>
          <w:rFonts w:ascii="Times New Roman" w:eastAsia="Times New Roman" w:hAnsi="Times New Roman" w:cs="Times New Roman"/>
        </w:rPr>
        <w:t xml:space="preserve"> in</w:t>
      </w:r>
      <w:r w:rsidR="777D5E12" w:rsidRPr="00EC2648">
        <w:rPr>
          <w:rFonts w:ascii="Times New Roman" w:eastAsia="Times New Roman" w:hAnsi="Times New Roman" w:cs="Times New Roman"/>
        </w:rPr>
        <w:t xml:space="preserve"> other </w:t>
      </w:r>
      <w:r w:rsidR="1A97FF0B" w:rsidRPr="00EC2648">
        <w:rPr>
          <w:rFonts w:ascii="Times New Roman" w:eastAsia="Times New Roman" w:hAnsi="Times New Roman" w:cs="Times New Roman"/>
        </w:rPr>
        <w:t xml:space="preserve">silica </w:t>
      </w:r>
      <w:r w:rsidR="777D5E12" w:rsidRPr="00EC2648">
        <w:rPr>
          <w:rFonts w:ascii="Times New Roman" w:eastAsia="Times New Roman" w:hAnsi="Times New Roman" w:cs="Times New Roman"/>
        </w:rPr>
        <w:t xml:space="preserve">dust generating </w:t>
      </w:r>
      <w:r w:rsidR="17F67990" w:rsidRPr="00EC2648">
        <w:rPr>
          <w:rFonts w:ascii="Times New Roman" w:eastAsia="Times New Roman" w:hAnsi="Times New Roman" w:cs="Times New Roman"/>
        </w:rPr>
        <w:t>industries</w:t>
      </w:r>
      <w:r w:rsidR="777D5E12" w:rsidRPr="00EC2648">
        <w:rPr>
          <w:rFonts w:ascii="Times New Roman" w:eastAsia="Times New Roman" w:hAnsi="Times New Roman" w:cs="Times New Roman"/>
        </w:rPr>
        <w:t xml:space="preserve">. </w:t>
      </w:r>
      <w:r w:rsidR="4EAE9F6F" w:rsidRPr="00EC2648">
        <w:rPr>
          <w:rFonts w:ascii="Times New Roman" w:eastAsia="Times New Roman" w:hAnsi="Times New Roman" w:cs="Times New Roman"/>
        </w:rPr>
        <w:t xml:space="preserve">Further, it stated </w:t>
      </w:r>
      <w:r w:rsidR="0ABC9D1D" w:rsidRPr="00EC2648">
        <w:rPr>
          <w:rFonts w:ascii="Times New Roman" w:eastAsia="Times New Roman" w:hAnsi="Times New Roman" w:cs="Times New Roman"/>
        </w:rPr>
        <w:t xml:space="preserve">that if industry and government did not demonstrate that engineered stone can be used </w:t>
      </w:r>
      <w:r w:rsidR="4262C434" w:rsidRPr="00EC2648">
        <w:rPr>
          <w:rFonts w:ascii="Times New Roman" w:eastAsia="Times New Roman" w:hAnsi="Times New Roman" w:cs="Times New Roman"/>
        </w:rPr>
        <w:t>safely</w:t>
      </w:r>
      <w:r w:rsidR="0ABC9D1D" w:rsidRPr="00EC2648">
        <w:rPr>
          <w:rFonts w:ascii="Times New Roman" w:eastAsia="Times New Roman" w:hAnsi="Times New Roman" w:cs="Times New Roman"/>
        </w:rPr>
        <w:t xml:space="preserve"> within the next three years, immediat</w:t>
      </w:r>
      <w:r w:rsidR="3E2C3EC9" w:rsidRPr="00EC2648">
        <w:rPr>
          <w:rFonts w:ascii="Times New Roman" w:eastAsia="Times New Roman" w:hAnsi="Times New Roman" w:cs="Times New Roman"/>
        </w:rPr>
        <w:t>e</w:t>
      </w:r>
      <w:r w:rsidR="0ABC9D1D" w:rsidRPr="00EC2648">
        <w:rPr>
          <w:rFonts w:ascii="Times New Roman" w:eastAsia="Times New Roman" w:hAnsi="Times New Roman" w:cs="Times New Roman"/>
        </w:rPr>
        <w:t xml:space="preserve"> action must be taken to ban the product. </w:t>
      </w:r>
      <w:r w:rsidR="0059093B" w:rsidRPr="00EC2648">
        <w:rPr>
          <w:rFonts w:ascii="Times New Roman" w:eastAsia="Times New Roman" w:hAnsi="Times New Roman" w:cs="Times New Roman"/>
        </w:rPr>
        <w:t>The All of Government’s response</w:t>
      </w:r>
      <w:r w:rsidR="007D04A8" w:rsidRPr="00EC2648">
        <w:rPr>
          <w:rFonts w:ascii="Times New Roman" w:eastAsia="Times New Roman" w:hAnsi="Times New Roman" w:cs="Times New Roman"/>
        </w:rPr>
        <w:t xml:space="preserve">, released in </w:t>
      </w:r>
      <w:r w:rsidR="00A147D2" w:rsidRPr="00EC2648">
        <w:rPr>
          <w:rFonts w:ascii="Times New Roman" w:eastAsia="Times New Roman" w:hAnsi="Times New Roman" w:cs="Times New Roman"/>
        </w:rPr>
        <w:t>April 2022</w:t>
      </w:r>
      <w:r w:rsidR="00CD5F70" w:rsidRPr="00EC2648">
        <w:rPr>
          <w:rFonts w:ascii="Times New Roman" w:eastAsia="Times New Roman" w:hAnsi="Times New Roman" w:cs="Times New Roman"/>
        </w:rPr>
        <w:t>,</w:t>
      </w:r>
      <w:r w:rsidR="0059093B" w:rsidRPr="00EC2648">
        <w:rPr>
          <w:rFonts w:ascii="Times New Roman" w:eastAsia="Times New Roman" w:hAnsi="Times New Roman" w:cs="Times New Roman"/>
        </w:rPr>
        <w:t xml:space="preserve"> noted the recommendation</w:t>
      </w:r>
      <w:r w:rsidR="00A147D2" w:rsidRPr="00EC2648">
        <w:rPr>
          <w:rFonts w:ascii="Times New Roman" w:eastAsia="Times New Roman" w:hAnsi="Times New Roman" w:cs="Times New Roman"/>
        </w:rPr>
        <w:t xml:space="preserve">, </w:t>
      </w:r>
      <w:r w:rsidR="00BD3670" w:rsidRPr="00EC2648">
        <w:rPr>
          <w:rFonts w:ascii="Times New Roman" w:eastAsia="Times New Roman" w:hAnsi="Times New Roman" w:cs="Times New Roman"/>
        </w:rPr>
        <w:t xml:space="preserve">reflecting work underway by SWA </w:t>
      </w:r>
      <w:r w:rsidR="00BE7A75" w:rsidRPr="00EC2648">
        <w:rPr>
          <w:rFonts w:ascii="Times New Roman" w:eastAsia="Times New Roman" w:hAnsi="Times New Roman" w:cs="Times New Roman"/>
        </w:rPr>
        <w:t>on</w:t>
      </w:r>
      <w:r w:rsidR="0059093B" w:rsidRPr="00EC2648">
        <w:rPr>
          <w:rFonts w:ascii="Times New Roman" w:eastAsia="Times New Roman" w:hAnsi="Times New Roman" w:cs="Times New Roman"/>
        </w:rPr>
        <w:t xml:space="preserve"> </w:t>
      </w:r>
      <w:r w:rsidR="5C88A559" w:rsidRPr="00EC2648">
        <w:rPr>
          <w:rFonts w:ascii="Times New Roman" w:eastAsia="Times New Roman" w:hAnsi="Times New Roman" w:cs="Times New Roman"/>
        </w:rPr>
        <w:t>policies</w:t>
      </w:r>
      <w:r w:rsidR="618DBE9E" w:rsidRPr="00EC2648">
        <w:rPr>
          <w:rFonts w:ascii="Times New Roman" w:eastAsia="Times New Roman" w:hAnsi="Times New Roman" w:cs="Times New Roman"/>
        </w:rPr>
        <w:t xml:space="preserve"> to improve worker safety</w:t>
      </w:r>
      <w:r w:rsidR="234ADF32" w:rsidRPr="00EC2648">
        <w:rPr>
          <w:rFonts w:ascii="Times New Roman" w:eastAsia="Times New Roman" w:hAnsi="Times New Roman" w:cs="Times New Roman"/>
        </w:rPr>
        <w:t xml:space="preserve"> </w:t>
      </w:r>
      <w:r w:rsidR="49A1715F" w:rsidRPr="00EC2648">
        <w:rPr>
          <w:rFonts w:ascii="Times New Roman" w:eastAsia="Times New Roman" w:hAnsi="Times New Roman" w:cs="Times New Roman"/>
        </w:rPr>
        <w:t xml:space="preserve">in affected industries </w:t>
      </w:r>
      <w:r w:rsidR="234ADF32" w:rsidRPr="00EC2648">
        <w:rPr>
          <w:rFonts w:ascii="Times New Roman" w:eastAsia="Times New Roman" w:hAnsi="Times New Roman" w:cs="Times New Roman"/>
        </w:rPr>
        <w:t>and conducted</w:t>
      </w:r>
      <w:r w:rsidR="618DBE9E" w:rsidRPr="00EC2648">
        <w:rPr>
          <w:rFonts w:ascii="Times New Roman" w:eastAsia="Times New Roman" w:hAnsi="Times New Roman" w:cs="Times New Roman"/>
        </w:rPr>
        <w:t xml:space="preserve"> extensive public consultation on managing </w:t>
      </w:r>
      <w:r w:rsidR="00E85A07" w:rsidRPr="00EC2648">
        <w:rPr>
          <w:rFonts w:ascii="Times New Roman" w:eastAsia="Times New Roman" w:hAnsi="Times New Roman" w:cs="Times New Roman"/>
        </w:rPr>
        <w:t xml:space="preserve">the </w:t>
      </w:r>
      <w:r w:rsidR="618DBE9E" w:rsidRPr="00EC2648">
        <w:rPr>
          <w:rFonts w:ascii="Times New Roman" w:eastAsia="Times New Roman" w:hAnsi="Times New Roman" w:cs="Times New Roman"/>
        </w:rPr>
        <w:t xml:space="preserve">risks of RCS at </w:t>
      </w:r>
      <w:r w:rsidR="30BA4941" w:rsidRPr="00EC2648">
        <w:rPr>
          <w:rFonts w:ascii="Times New Roman" w:eastAsia="Times New Roman" w:hAnsi="Times New Roman" w:cs="Times New Roman"/>
        </w:rPr>
        <w:t>work</w:t>
      </w:r>
      <w:r w:rsidR="08D0D6F7" w:rsidRPr="00EC2648">
        <w:rPr>
          <w:rFonts w:ascii="Times New Roman" w:eastAsia="Times New Roman" w:hAnsi="Times New Roman" w:cs="Times New Roman"/>
        </w:rPr>
        <w:t>. In August 2022</w:t>
      </w:r>
      <w:r w:rsidR="00735494" w:rsidRPr="00EC2648">
        <w:rPr>
          <w:rFonts w:ascii="Times New Roman" w:eastAsia="Times New Roman" w:hAnsi="Times New Roman" w:cs="Times New Roman"/>
        </w:rPr>
        <w:t>,</w:t>
      </w:r>
      <w:r w:rsidR="08D0D6F7" w:rsidRPr="00EC2648">
        <w:rPr>
          <w:rFonts w:ascii="Times New Roman" w:eastAsia="Times New Roman" w:hAnsi="Times New Roman" w:cs="Times New Roman"/>
        </w:rPr>
        <w:t xml:space="preserve"> SWA published the </w:t>
      </w:r>
      <w:r w:rsidR="08D0D6F7" w:rsidRPr="00EC2648">
        <w:rPr>
          <w:rFonts w:ascii="Times New Roman" w:eastAsia="Times New Roman" w:hAnsi="Times New Roman" w:cs="Times New Roman"/>
          <w:i/>
        </w:rPr>
        <w:t>Dec</w:t>
      </w:r>
      <w:r w:rsidR="30BA4941" w:rsidRPr="00EC2648">
        <w:rPr>
          <w:rFonts w:ascii="Times New Roman" w:eastAsia="Times New Roman" w:hAnsi="Times New Roman" w:cs="Times New Roman"/>
          <w:i/>
        </w:rPr>
        <w:t>ision Regulation Impact Statement:</w:t>
      </w:r>
      <w:r w:rsidR="30BA4941" w:rsidRPr="00EC2648">
        <w:rPr>
          <w:rFonts w:ascii="Times New Roman" w:eastAsia="Times New Roman" w:hAnsi="Times New Roman" w:cs="Times New Roman"/>
        </w:rPr>
        <w:t xml:space="preserve"> </w:t>
      </w:r>
      <w:r w:rsidR="30BA4941" w:rsidRPr="00EC2648">
        <w:rPr>
          <w:rFonts w:ascii="Times New Roman" w:eastAsia="Times New Roman" w:hAnsi="Times New Roman" w:cs="Times New Roman"/>
          <w:i/>
          <w:iCs/>
        </w:rPr>
        <w:t>Managing respirable crystalline silica at work</w:t>
      </w:r>
      <w:r w:rsidR="486BC73D" w:rsidRPr="00EC2648">
        <w:rPr>
          <w:rFonts w:ascii="Times New Roman" w:eastAsia="Times New Roman" w:hAnsi="Times New Roman" w:cs="Times New Roman"/>
          <w:i/>
          <w:iCs/>
        </w:rPr>
        <w:t xml:space="preserve"> </w:t>
      </w:r>
      <w:r w:rsidR="486BC73D" w:rsidRPr="00EC2648">
        <w:rPr>
          <w:rFonts w:ascii="Times New Roman" w:eastAsia="Times New Roman" w:hAnsi="Times New Roman" w:cs="Times New Roman"/>
        </w:rPr>
        <w:t>(Silica DRIS)</w:t>
      </w:r>
      <w:r w:rsidR="48CB7382" w:rsidRPr="00EC2648">
        <w:rPr>
          <w:rFonts w:ascii="Times New Roman" w:eastAsia="Times New Roman" w:hAnsi="Times New Roman" w:cs="Times New Roman"/>
          <w:i/>
          <w:iCs/>
        </w:rPr>
        <w:t>.</w:t>
      </w:r>
      <w:r w:rsidR="2B3E5394" w:rsidRPr="00EC2648">
        <w:rPr>
          <w:rFonts w:ascii="Times New Roman" w:eastAsia="Times New Roman" w:hAnsi="Times New Roman" w:cs="Times New Roman"/>
          <w:i/>
          <w:iCs/>
        </w:rPr>
        <w:t xml:space="preserve"> </w:t>
      </w:r>
      <w:r w:rsidR="2B3E5394" w:rsidRPr="00EC2648">
        <w:rPr>
          <w:rFonts w:ascii="Times New Roman" w:eastAsia="Times New Roman" w:hAnsi="Times New Roman" w:cs="Times New Roman"/>
        </w:rPr>
        <w:t xml:space="preserve">The Silica DRIS recommended </w:t>
      </w:r>
      <w:r w:rsidR="1CE79E84" w:rsidRPr="00EC2648">
        <w:rPr>
          <w:rFonts w:ascii="Times New Roman" w:eastAsia="Times New Roman" w:hAnsi="Times New Roman" w:cs="Times New Roman"/>
        </w:rPr>
        <w:t xml:space="preserve">stronger regulations for </w:t>
      </w:r>
      <w:r w:rsidR="6691C4E0" w:rsidRPr="00EC2648">
        <w:rPr>
          <w:rFonts w:ascii="Times New Roman" w:eastAsia="Times New Roman" w:hAnsi="Times New Roman" w:cs="Times New Roman"/>
        </w:rPr>
        <w:t>high-risk</w:t>
      </w:r>
      <w:r w:rsidR="2BBD343F" w:rsidRPr="00EC2648">
        <w:rPr>
          <w:rFonts w:ascii="Times New Roman" w:eastAsia="Times New Roman" w:hAnsi="Times New Roman" w:cs="Times New Roman"/>
        </w:rPr>
        <w:t xml:space="preserve"> crystalline silica process</w:t>
      </w:r>
      <w:r w:rsidR="5B8D7810" w:rsidRPr="00EC2648">
        <w:rPr>
          <w:rFonts w:ascii="Times New Roman" w:eastAsia="Times New Roman" w:hAnsi="Times New Roman" w:cs="Times New Roman"/>
        </w:rPr>
        <w:t>es</w:t>
      </w:r>
      <w:r w:rsidR="06597354" w:rsidRPr="00EC2648">
        <w:rPr>
          <w:rFonts w:ascii="Times New Roman" w:eastAsia="Times New Roman" w:hAnsi="Times New Roman" w:cs="Times New Roman"/>
        </w:rPr>
        <w:t xml:space="preserve"> (CSP) </w:t>
      </w:r>
      <w:r w:rsidR="0218649E" w:rsidRPr="00EC2648">
        <w:rPr>
          <w:rFonts w:ascii="Times New Roman" w:eastAsia="Times New Roman" w:hAnsi="Times New Roman" w:cs="Times New Roman"/>
        </w:rPr>
        <w:t xml:space="preserve">for all materials (including </w:t>
      </w:r>
      <w:r w:rsidR="00CE0101" w:rsidRPr="00EC2648">
        <w:rPr>
          <w:rFonts w:ascii="Times New Roman" w:eastAsia="Times New Roman" w:hAnsi="Times New Roman" w:cs="Times New Roman"/>
        </w:rPr>
        <w:t xml:space="preserve">legacy </w:t>
      </w:r>
      <w:r w:rsidR="0218649E" w:rsidRPr="00EC2648">
        <w:rPr>
          <w:rFonts w:ascii="Times New Roman" w:eastAsia="Times New Roman" w:hAnsi="Times New Roman" w:cs="Times New Roman"/>
        </w:rPr>
        <w:t>engineered stone) across all industries</w:t>
      </w:r>
      <w:r w:rsidR="75E272DC" w:rsidRPr="00EC2648">
        <w:rPr>
          <w:rFonts w:ascii="Times New Roman" w:eastAsia="Times New Roman" w:hAnsi="Times New Roman" w:cs="Times New Roman"/>
        </w:rPr>
        <w:t xml:space="preserve">. </w:t>
      </w:r>
    </w:p>
    <w:p w14:paraId="0D21E31C" w14:textId="77777777" w:rsidR="000733B1" w:rsidRPr="00EC2648" w:rsidRDefault="000733B1" w:rsidP="00E33A6B">
      <w:pPr>
        <w:spacing w:after="0" w:line="257" w:lineRule="auto"/>
        <w:rPr>
          <w:rFonts w:ascii="Times New Roman" w:eastAsia="Times New Roman" w:hAnsi="Times New Roman" w:cs="Times New Roman"/>
        </w:rPr>
      </w:pPr>
    </w:p>
    <w:p w14:paraId="6EBE0CE2" w14:textId="7335E34A" w:rsidR="00324670" w:rsidRPr="00EC2648" w:rsidRDefault="00866EF0" w:rsidP="00E33A6B">
      <w:pPr>
        <w:spacing w:after="0" w:line="257" w:lineRule="auto"/>
        <w:rPr>
          <w:rFonts w:ascii="Times New Roman" w:eastAsia="Times New Roman" w:hAnsi="Times New Roman" w:cs="Times New Roman"/>
        </w:rPr>
      </w:pPr>
      <w:r w:rsidRPr="00EC2648">
        <w:rPr>
          <w:rFonts w:ascii="Times New Roman" w:eastAsia="Times New Roman" w:hAnsi="Times New Roman" w:cs="Times New Roman"/>
        </w:rPr>
        <w:t xml:space="preserve">The Amendment Regulations </w:t>
      </w:r>
      <w:r w:rsidR="00E33A6B" w:rsidRPr="00EC2648">
        <w:rPr>
          <w:rFonts w:ascii="Times New Roman" w:eastAsia="Times New Roman" w:hAnsi="Times New Roman" w:cs="Times New Roman"/>
        </w:rPr>
        <w:t xml:space="preserve">implement this recommendation </w:t>
      </w:r>
      <w:r w:rsidR="007630BC" w:rsidRPr="00EC2648">
        <w:rPr>
          <w:rFonts w:ascii="Times New Roman" w:eastAsia="Times New Roman" w:hAnsi="Times New Roman" w:cs="Times New Roman"/>
        </w:rPr>
        <w:t xml:space="preserve">by establishing </w:t>
      </w:r>
      <w:r w:rsidR="4020822B" w:rsidRPr="00EC2648">
        <w:rPr>
          <w:rFonts w:ascii="Times New Roman" w:eastAsia="Times New Roman" w:hAnsi="Times New Roman" w:cs="Times New Roman"/>
        </w:rPr>
        <w:t xml:space="preserve">a stronger regulatory framework for all </w:t>
      </w:r>
      <w:r w:rsidR="00900AF4" w:rsidRPr="00EC2648">
        <w:rPr>
          <w:rFonts w:ascii="Times New Roman" w:eastAsia="Times New Roman" w:hAnsi="Times New Roman" w:cs="Times New Roman"/>
        </w:rPr>
        <w:t>CSS</w:t>
      </w:r>
      <w:r w:rsidR="4020822B" w:rsidRPr="00EC2648">
        <w:rPr>
          <w:rFonts w:ascii="Times New Roman" w:eastAsia="Times New Roman" w:hAnsi="Times New Roman" w:cs="Times New Roman"/>
        </w:rPr>
        <w:t xml:space="preserve">. The Amendment Regulations include a prohibition on uncontrolled processing of </w:t>
      </w:r>
      <w:r w:rsidR="510DD81F" w:rsidRPr="00EC2648">
        <w:rPr>
          <w:rFonts w:ascii="Times New Roman" w:eastAsia="Times New Roman" w:hAnsi="Times New Roman" w:cs="Times New Roman"/>
        </w:rPr>
        <w:t>CSS</w:t>
      </w:r>
      <w:r w:rsidR="4020822B" w:rsidRPr="00EC2648">
        <w:rPr>
          <w:rFonts w:ascii="Times New Roman" w:eastAsia="Times New Roman" w:hAnsi="Times New Roman" w:cs="Times New Roman"/>
        </w:rPr>
        <w:t xml:space="preserve"> within the workplace and requirements for </w:t>
      </w:r>
      <w:r w:rsidR="007612E2" w:rsidRPr="00EC2648">
        <w:rPr>
          <w:rFonts w:ascii="Times New Roman" w:eastAsia="Times New Roman" w:hAnsi="Times New Roman" w:cs="Times New Roman"/>
        </w:rPr>
        <w:t>PCBUs</w:t>
      </w:r>
      <w:r w:rsidR="4020822B" w:rsidRPr="00EC2648">
        <w:rPr>
          <w:rFonts w:ascii="Times New Roman" w:eastAsia="Times New Roman" w:hAnsi="Times New Roman" w:cs="Times New Roman"/>
        </w:rPr>
        <w:t xml:space="preserve"> carrying out </w:t>
      </w:r>
      <w:r w:rsidR="05461088" w:rsidRPr="00EC2648">
        <w:rPr>
          <w:rFonts w:ascii="Times New Roman" w:eastAsia="Times New Roman" w:hAnsi="Times New Roman" w:cs="Times New Roman"/>
        </w:rPr>
        <w:t>CSP</w:t>
      </w:r>
      <w:r w:rsidR="007708E6" w:rsidRPr="00EC2648">
        <w:rPr>
          <w:rFonts w:ascii="Times New Roman" w:eastAsia="Times New Roman" w:hAnsi="Times New Roman" w:cs="Times New Roman"/>
        </w:rPr>
        <w:t xml:space="preserve"> </w:t>
      </w:r>
      <w:r w:rsidR="00580204" w:rsidRPr="00EC2648">
        <w:rPr>
          <w:rFonts w:ascii="Times New Roman" w:eastAsia="Times New Roman" w:hAnsi="Times New Roman" w:cs="Times New Roman"/>
        </w:rPr>
        <w:t>processing of CSS</w:t>
      </w:r>
      <w:r w:rsidR="4020822B" w:rsidRPr="00EC2648">
        <w:rPr>
          <w:rFonts w:ascii="Times New Roman" w:eastAsia="Times New Roman" w:hAnsi="Times New Roman" w:cs="Times New Roman"/>
        </w:rPr>
        <w:t xml:space="preserve"> to: </w:t>
      </w:r>
    </w:p>
    <w:p w14:paraId="177D2690" w14:textId="72E49AFD" w:rsidR="00324670" w:rsidRPr="00EC2648" w:rsidRDefault="4020822B" w:rsidP="056E173D">
      <w:pPr>
        <w:pStyle w:val="ListParagraph"/>
        <w:numPr>
          <w:ilvl w:val="0"/>
          <w:numId w:val="9"/>
        </w:numPr>
        <w:rPr>
          <w:rFonts w:ascii="Times New Roman" w:eastAsia="Times New Roman" w:hAnsi="Times New Roman" w:cs="Times New Roman"/>
          <w:color w:val="212529"/>
        </w:rPr>
      </w:pPr>
      <w:r w:rsidRPr="00EC2648">
        <w:rPr>
          <w:rFonts w:ascii="Times New Roman" w:eastAsia="Times New Roman" w:hAnsi="Times New Roman" w:cs="Times New Roman"/>
          <w:color w:val="212529"/>
        </w:rPr>
        <w:t xml:space="preserve">develop a Silica Risk Control Plan; </w:t>
      </w:r>
    </w:p>
    <w:p w14:paraId="207B103D" w14:textId="5EAC65B8" w:rsidR="00324670" w:rsidRPr="00EC2648" w:rsidRDefault="4020822B" w:rsidP="056E173D">
      <w:pPr>
        <w:pStyle w:val="ListParagraph"/>
        <w:numPr>
          <w:ilvl w:val="0"/>
          <w:numId w:val="9"/>
        </w:numPr>
        <w:rPr>
          <w:rFonts w:ascii="Times New Roman" w:eastAsia="Times New Roman" w:hAnsi="Times New Roman" w:cs="Times New Roman"/>
          <w:color w:val="212529"/>
        </w:rPr>
      </w:pPr>
      <w:r w:rsidRPr="00EC2648">
        <w:rPr>
          <w:rFonts w:ascii="Times New Roman" w:eastAsia="Times New Roman" w:hAnsi="Times New Roman" w:cs="Times New Roman"/>
          <w:color w:val="212529"/>
        </w:rPr>
        <w:t xml:space="preserve">provide additional training for workers; </w:t>
      </w:r>
    </w:p>
    <w:p w14:paraId="2F46E11D" w14:textId="6E763A1D" w:rsidR="00324670" w:rsidRPr="00EC2648" w:rsidRDefault="4020822B" w:rsidP="056E173D">
      <w:pPr>
        <w:pStyle w:val="ListParagraph"/>
        <w:numPr>
          <w:ilvl w:val="0"/>
          <w:numId w:val="9"/>
        </w:numPr>
        <w:rPr>
          <w:rFonts w:ascii="Times New Roman" w:eastAsia="Times New Roman" w:hAnsi="Times New Roman" w:cs="Times New Roman"/>
          <w:color w:val="212529"/>
        </w:rPr>
      </w:pPr>
      <w:r w:rsidRPr="00EC2648">
        <w:rPr>
          <w:rFonts w:ascii="Times New Roman" w:eastAsia="Times New Roman" w:hAnsi="Times New Roman" w:cs="Times New Roman"/>
          <w:color w:val="212529"/>
        </w:rPr>
        <w:t xml:space="preserve">undertake air and health monitoring for workers; and </w:t>
      </w:r>
    </w:p>
    <w:p w14:paraId="1D527EFA" w14:textId="3D431E6D" w:rsidR="00324670" w:rsidRPr="00EC2648" w:rsidRDefault="4020822B" w:rsidP="056E173D">
      <w:pPr>
        <w:pStyle w:val="ListParagraph"/>
        <w:numPr>
          <w:ilvl w:val="0"/>
          <w:numId w:val="9"/>
        </w:numPr>
        <w:rPr>
          <w:rFonts w:ascii="Times New Roman" w:eastAsia="Times New Roman" w:hAnsi="Times New Roman" w:cs="Times New Roman"/>
          <w:color w:val="212529"/>
        </w:rPr>
      </w:pPr>
      <w:r w:rsidRPr="00EC2648">
        <w:rPr>
          <w:rFonts w:ascii="Times New Roman" w:eastAsia="Times New Roman" w:hAnsi="Times New Roman" w:cs="Times New Roman"/>
          <w:color w:val="212529"/>
        </w:rPr>
        <w:t>report exceedances of the workplace exposure standard for RCS to the relevant WHS regulator.</w:t>
      </w:r>
      <w:r w:rsidR="025162F0" w:rsidRPr="00EC2648">
        <w:rPr>
          <w:rFonts w:ascii="Times New Roman" w:eastAsia="Times New Roman" w:hAnsi="Times New Roman" w:cs="Times New Roman"/>
          <w:color w:val="000000" w:themeColor="text1"/>
        </w:rPr>
        <w:t xml:space="preserve"> </w:t>
      </w:r>
    </w:p>
    <w:p w14:paraId="094F14EE" w14:textId="3FA76CA8" w:rsidR="025162F0" w:rsidRPr="00EC2648" w:rsidRDefault="025162F0" w:rsidP="0098391B">
      <w:pPr>
        <w:pStyle w:val="ListParagraph"/>
        <w:spacing w:after="0" w:line="257" w:lineRule="auto"/>
        <w:rPr>
          <w:rFonts w:ascii="Times New Roman" w:eastAsia="Times New Roman" w:hAnsi="Times New Roman" w:cs="Times New Roman"/>
          <w:color w:val="262626" w:themeColor="text1" w:themeTint="D9"/>
          <w:lang w:val="en-GB"/>
        </w:rPr>
      </w:pPr>
    </w:p>
    <w:p w14:paraId="3AEE24BA" w14:textId="7982F38D" w:rsidR="00BD6317" w:rsidRPr="00EC2648" w:rsidRDefault="00E33A6B" w:rsidP="64341CC3">
      <w:pPr>
        <w:pStyle w:val="NormalWeb"/>
        <w:shd w:val="clear" w:color="auto" w:fill="FFFFFF" w:themeFill="background1"/>
        <w:spacing w:before="0" w:beforeAutospacing="0" w:after="300" w:afterAutospacing="0"/>
        <w:rPr>
          <w:lang w:val="en-US"/>
        </w:rPr>
      </w:pPr>
      <w:r w:rsidRPr="00EC2648">
        <w:rPr>
          <w:lang w:val="en-US"/>
        </w:rPr>
        <w:t xml:space="preserve">The Silica DRIS also led to further analysis of options to prohibit the use of engineered stone. </w:t>
      </w:r>
      <w:r w:rsidR="00BD6317" w:rsidRPr="00EC2648">
        <w:rPr>
          <w:lang w:val="en-US" w:eastAsia="ja-JP"/>
        </w:rPr>
        <w:t xml:space="preserve">The vast majority of silicosis cases identified in recent years are in engineered stone workers. </w:t>
      </w:r>
      <w:r w:rsidR="00BD6317" w:rsidRPr="00EC2648">
        <w:rPr>
          <w:lang w:val="en-US" w:eastAsia="ja-JP"/>
        </w:rPr>
        <w:lastRenderedPageBreak/>
        <w:t>These workers get sick sooner, and experience faster disease progression and higher mortality than other workers exposed to respirable crystalline silica or silica dust.</w:t>
      </w:r>
      <w:r w:rsidR="00BD6317" w:rsidRPr="00EC2648">
        <w:rPr>
          <w:lang w:val="en-US"/>
        </w:rPr>
        <w:t xml:space="preserve"> </w:t>
      </w:r>
      <w:r w:rsidRPr="00EC2648">
        <w:rPr>
          <w:lang w:val="en-US"/>
        </w:rPr>
        <w:t xml:space="preserve">In </w:t>
      </w:r>
      <w:r w:rsidR="00721C95" w:rsidRPr="00EC2648">
        <w:rPr>
          <w:lang w:val="en-US"/>
        </w:rPr>
        <w:t xml:space="preserve">October </w:t>
      </w:r>
      <w:r w:rsidRPr="00EC2648">
        <w:rPr>
          <w:lang w:val="en-US"/>
        </w:rPr>
        <w:t>2023</w:t>
      </w:r>
      <w:r w:rsidR="001842D4" w:rsidRPr="00EC2648">
        <w:rPr>
          <w:lang w:val="en-US"/>
        </w:rPr>
        <w:t>,</w:t>
      </w:r>
      <w:r w:rsidRPr="00EC2648">
        <w:rPr>
          <w:lang w:val="en-US"/>
        </w:rPr>
        <w:t xml:space="preserve"> SWA published the </w:t>
      </w:r>
      <w:r w:rsidRPr="00EC2648">
        <w:rPr>
          <w:i/>
          <w:lang w:val="en-US"/>
        </w:rPr>
        <w:t>Decision Regulation Impact Statement:</w:t>
      </w:r>
      <w:r w:rsidRPr="00EC2648">
        <w:rPr>
          <w:lang w:val="en-US"/>
        </w:rPr>
        <w:t xml:space="preserve"> </w:t>
      </w:r>
      <w:r w:rsidRPr="00EC2648">
        <w:rPr>
          <w:i/>
          <w:lang w:val="en-US"/>
        </w:rPr>
        <w:t xml:space="preserve">Prohibition on the use of Engineered Stone </w:t>
      </w:r>
      <w:r w:rsidR="00A33B23" w:rsidRPr="00EC2648">
        <w:rPr>
          <w:lang w:val="en-US"/>
        </w:rPr>
        <w:t xml:space="preserve">(Engineered Stone DRIS) </w:t>
      </w:r>
      <w:r w:rsidRPr="00EC2648">
        <w:rPr>
          <w:lang w:val="en-US"/>
        </w:rPr>
        <w:t xml:space="preserve">and recommended banning the use, supply and manufacture of all engineered stone under the model laws, with limited exceptions, to protect engineered stone workers from the risk of preventable and devastating disease. </w:t>
      </w:r>
    </w:p>
    <w:p w14:paraId="0ADB46E3" w14:textId="47B4ADAD" w:rsidR="00BD6317" w:rsidRPr="00EC2648" w:rsidRDefault="00BD6317" w:rsidP="066AD437">
      <w:pPr>
        <w:pStyle w:val="NormalWeb"/>
        <w:shd w:val="clear" w:color="auto" w:fill="FFFFFF" w:themeFill="background1"/>
        <w:spacing w:before="0" w:beforeAutospacing="0" w:after="300" w:afterAutospacing="0"/>
      </w:pPr>
      <w:r w:rsidRPr="00EC2648">
        <w:t>A</w:t>
      </w:r>
      <w:r w:rsidR="00A33B23" w:rsidRPr="00EC2648">
        <w:t xml:space="preserve"> range of options </w:t>
      </w:r>
      <w:r w:rsidRPr="00EC2648">
        <w:t xml:space="preserve">were considered in the Engineered Stone DRIS </w:t>
      </w:r>
      <w:r w:rsidR="00A33B23" w:rsidRPr="00EC2648">
        <w:t xml:space="preserve">including the status quo, a prohibition on high silica content engineered stone, and licencing schemes. </w:t>
      </w:r>
      <w:r w:rsidR="00F55A62" w:rsidRPr="00EC2648">
        <w:t xml:space="preserve">These options were evaluated </w:t>
      </w:r>
      <w:r w:rsidRPr="00EC2648">
        <w:t>with reference to</w:t>
      </w:r>
      <w:r w:rsidR="00F55A62" w:rsidRPr="00EC2648">
        <w:t xml:space="preserve"> evidence about the scope of the problem, </w:t>
      </w:r>
      <w:r w:rsidRPr="00EC2648">
        <w:t xml:space="preserve">scientific evidence, </w:t>
      </w:r>
      <w:r w:rsidR="00F55A62" w:rsidRPr="00EC2648">
        <w:t xml:space="preserve">and consideration </w:t>
      </w:r>
      <w:r w:rsidRPr="00EC2648">
        <w:t>of</w:t>
      </w:r>
      <w:r w:rsidR="00F55A62" w:rsidRPr="00EC2648">
        <w:t xml:space="preserve"> measures taken to date in Australia</w:t>
      </w:r>
      <w:r w:rsidRPr="00EC2648">
        <w:t>,</w:t>
      </w:r>
      <w:r w:rsidR="00F55A62" w:rsidRPr="00EC2648">
        <w:t xml:space="preserve"> including increased compliance and enforcement activity. </w:t>
      </w:r>
      <w:r w:rsidRPr="00EC2648">
        <w:t xml:space="preserve">The Engineered Stone DRIS found that less restrictive options would not be effective in protecting workers and the only way to ensure another generation of engineered stone workers do not go on to develop silicosis is a complete prohibition. </w:t>
      </w:r>
      <w:r w:rsidR="00521695" w:rsidRPr="00EC2648">
        <w:t>In particular:</w:t>
      </w:r>
    </w:p>
    <w:p w14:paraId="0E210D4A" w14:textId="77777777" w:rsidR="00BD6317" w:rsidRPr="00EC2648" w:rsidRDefault="00BD6317" w:rsidP="00C333DE">
      <w:pPr>
        <w:pStyle w:val="NormalWeb"/>
        <w:numPr>
          <w:ilvl w:val="0"/>
          <w:numId w:val="36"/>
        </w:numPr>
        <w:shd w:val="clear" w:color="auto" w:fill="FFFFFF" w:themeFill="background1"/>
        <w:spacing w:before="0" w:beforeAutospacing="0" w:after="300" w:afterAutospacing="0"/>
      </w:pPr>
      <w:r w:rsidRPr="00EC2648">
        <w:rPr>
          <w:lang w:eastAsia="ja-JP"/>
        </w:rPr>
        <w:t>Expert analysis shows dust from engineered stone poses unique </w:t>
      </w:r>
      <w:hyperlink r:id="rId11" w:anchor="hazards">
        <w:r w:rsidRPr="00EC2648">
          <w:rPr>
            <w:rStyle w:val="Hyperlink"/>
            <w:rFonts w:eastAsiaTheme="majorEastAsia"/>
            <w:color w:val="auto"/>
            <w:u w:val="none"/>
            <w:lang w:eastAsia="ja-JP"/>
          </w:rPr>
          <w:t>hazards</w:t>
        </w:r>
      </w:hyperlink>
      <w:r w:rsidRPr="00EC2648">
        <w:rPr>
          <w:lang w:eastAsia="ja-JP"/>
        </w:rPr>
        <w:t>, and there is no evidence that engineered stone with a lower silica content (e.g. 40% or 10%) is safer to work with.</w:t>
      </w:r>
      <w:r w:rsidRPr="00EC2648">
        <w:t xml:space="preserve"> There were also concerns that permitting work with lower silica products may encourage greater non-compliance because products may be viewed as ‘safe’.</w:t>
      </w:r>
    </w:p>
    <w:p w14:paraId="3D7D2DFB" w14:textId="04A1C906" w:rsidR="00BD6317" w:rsidRPr="00EC2648" w:rsidRDefault="00BD6317" w:rsidP="00C333DE">
      <w:pPr>
        <w:pStyle w:val="NormalWeb"/>
        <w:numPr>
          <w:ilvl w:val="0"/>
          <w:numId w:val="36"/>
        </w:numPr>
        <w:shd w:val="clear" w:color="auto" w:fill="FFFFFF" w:themeFill="background1"/>
        <w:spacing w:before="0" w:beforeAutospacing="0" w:after="300" w:afterAutospacing="0"/>
      </w:pPr>
      <w:r w:rsidRPr="00EC2648">
        <w:t>There is evidence of continued non-compliance with WHS laws by PCBUs and workers in the engineered stone industry, despite significant education and awareness-raising activities as well as compliance and enforcement action by WHS regulators.</w:t>
      </w:r>
    </w:p>
    <w:p w14:paraId="16E3175E" w14:textId="082F1F91" w:rsidR="007630BC" w:rsidRPr="00EC2648" w:rsidRDefault="00960311" w:rsidP="00C333DE">
      <w:pPr>
        <w:pStyle w:val="NormalWeb"/>
        <w:shd w:val="clear" w:color="auto" w:fill="FFFFFF" w:themeFill="background1"/>
        <w:spacing w:before="0" w:beforeAutospacing="0" w:after="300" w:afterAutospacing="0"/>
      </w:pPr>
      <w:r w:rsidRPr="00EC2648">
        <w:rPr>
          <w:lang w:eastAsia="ja-JP"/>
        </w:rPr>
        <w:t xml:space="preserve">All Australian governments agreed to Safe Work Australia’s recommendation to ban the use of all engineered stone due to the unacceptable risk it poses to workers. </w:t>
      </w:r>
      <w:r w:rsidR="00E33A6B" w:rsidRPr="00EC2648">
        <w:t xml:space="preserve">The ban will be implemented in the laws of all states and territories and is mirrored in the Commonwealth work health and safety jurisdiction in these Amendment Regulations. This national ban will be the first of its kind in the world. </w:t>
      </w:r>
    </w:p>
    <w:p w14:paraId="7D2692F3" w14:textId="66C461A6" w:rsidR="7692D8BC" w:rsidRPr="00EC2648" w:rsidRDefault="7692D8BC" w:rsidP="00E33A6B">
      <w:pPr>
        <w:spacing w:after="0" w:line="257" w:lineRule="auto"/>
        <w:rPr>
          <w:rFonts w:ascii="Times New Roman" w:eastAsia="Times New Roman" w:hAnsi="Times New Roman" w:cs="Times New Roman"/>
          <w:color w:val="262626" w:themeColor="text1" w:themeTint="D9"/>
          <w:lang w:val="en-GB"/>
        </w:rPr>
      </w:pPr>
      <w:r w:rsidRPr="00EC2648">
        <w:rPr>
          <w:rFonts w:ascii="Times New Roman" w:eastAsia="Times New Roman" w:hAnsi="Times New Roman" w:cs="Times New Roman"/>
          <w:color w:val="262626" w:themeColor="text1" w:themeTint="D9"/>
        </w:rPr>
        <w:t xml:space="preserve">These amendments would align the Commonwealth WHS laws with the model WHS laws and protect the health and safety of </w:t>
      </w:r>
      <w:r w:rsidR="2656A424" w:rsidRPr="00EC2648">
        <w:rPr>
          <w:rFonts w:ascii="Times New Roman" w:eastAsia="Times New Roman" w:hAnsi="Times New Roman" w:cs="Times New Roman"/>
          <w:color w:val="262626" w:themeColor="text1" w:themeTint="D9"/>
        </w:rPr>
        <w:t xml:space="preserve">all </w:t>
      </w:r>
      <w:r w:rsidRPr="00EC2648">
        <w:rPr>
          <w:rFonts w:ascii="Times New Roman" w:eastAsia="Times New Roman" w:hAnsi="Times New Roman" w:cs="Times New Roman"/>
          <w:color w:val="262626" w:themeColor="text1" w:themeTint="D9"/>
        </w:rPr>
        <w:t xml:space="preserve">workers </w:t>
      </w:r>
      <w:r w:rsidR="4C7EB84A" w:rsidRPr="00EC2648">
        <w:rPr>
          <w:rFonts w:ascii="Times New Roman" w:eastAsia="Times New Roman" w:hAnsi="Times New Roman" w:cs="Times New Roman"/>
          <w:color w:val="262626" w:themeColor="text1" w:themeTint="D9"/>
        </w:rPr>
        <w:t xml:space="preserve">who </w:t>
      </w:r>
      <w:r w:rsidRPr="00EC2648">
        <w:rPr>
          <w:rFonts w:ascii="Times New Roman" w:eastAsia="Times New Roman" w:hAnsi="Times New Roman" w:cs="Times New Roman"/>
          <w:color w:val="262626" w:themeColor="text1" w:themeTint="D9"/>
        </w:rPr>
        <w:t>carries out work with CSS</w:t>
      </w:r>
      <w:r w:rsidR="6915DD71" w:rsidRPr="00EC2648">
        <w:rPr>
          <w:rFonts w:ascii="Times New Roman" w:eastAsia="Times New Roman" w:hAnsi="Times New Roman" w:cs="Times New Roman"/>
          <w:color w:val="262626" w:themeColor="text1" w:themeTint="D9"/>
        </w:rPr>
        <w:t xml:space="preserve">. </w:t>
      </w:r>
    </w:p>
    <w:p w14:paraId="511F2802" w14:textId="1433635D" w:rsidR="056E173D" w:rsidRPr="00EC2648" w:rsidRDefault="056E173D" w:rsidP="33F151C8">
      <w:pPr>
        <w:spacing w:after="0" w:line="257" w:lineRule="auto"/>
        <w:rPr>
          <w:rFonts w:ascii="Times New Roman" w:eastAsia="Times New Roman" w:hAnsi="Times New Roman" w:cs="Times New Roman"/>
          <w:color w:val="262626" w:themeColor="text1" w:themeTint="D9"/>
          <w:lang w:val="en-GB"/>
        </w:rPr>
      </w:pPr>
    </w:p>
    <w:p w14:paraId="723F0D95" w14:textId="14E8D29C" w:rsidR="00324670" w:rsidRPr="00EC2648" w:rsidRDefault="025162F0" w:rsidP="1E0D23C5">
      <w:pPr>
        <w:spacing w:after="0" w:line="257" w:lineRule="auto"/>
        <w:rPr>
          <w:rFonts w:ascii="Times New Roman" w:eastAsia="Times New Roman" w:hAnsi="Times New Roman" w:cs="Times New Roman"/>
          <w:i/>
          <w:iCs/>
          <w:color w:val="262626" w:themeColor="text1" w:themeTint="D9"/>
          <w:lang w:val="en-GB"/>
        </w:rPr>
      </w:pPr>
      <w:r w:rsidRPr="00EC2648">
        <w:rPr>
          <w:rFonts w:ascii="Times New Roman" w:eastAsia="Times New Roman" w:hAnsi="Times New Roman" w:cs="Times New Roman"/>
          <w:i/>
          <w:iCs/>
          <w:color w:val="262626" w:themeColor="text1" w:themeTint="D9"/>
        </w:rPr>
        <w:t xml:space="preserve">Sunsetting </w:t>
      </w:r>
    </w:p>
    <w:p w14:paraId="72CC439D" w14:textId="2676BD7F" w:rsidR="00324670" w:rsidRPr="00EC2648" w:rsidRDefault="025162F0" w:rsidP="358883A3">
      <w:pPr>
        <w:spacing w:after="0" w:line="257" w:lineRule="auto"/>
      </w:pPr>
      <w:r w:rsidRPr="00EC2648">
        <w:rPr>
          <w:rFonts w:ascii="Times New Roman" w:eastAsia="Times New Roman" w:hAnsi="Times New Roman" w:cs="Times New Roman"/>
          <w:color w:val="262626" w:themeColor="text1" w:themeTint="D9"/>
        </w:rPr>
        <w:t xml:space="preserve"> </w:t>
      </w:r>
    </w:p>
    <w:p w14:paraId="5CBD52C3" w14:textId="2676BD7F" w:rsidR="00324670" w:rsidRPr="00EC2648" w:rsidRDefault="025162F0" w:rsidP="358883A3">
      <w:pPr>
        <w:spacing w:after="0"/>
      </w:pPr>
      <w:r w:rsidRPr="00EC2648">
        <w:rPr>
          <w:rFonts w:ascii="Times New Roman" w:eastAsia="Times New Roman" w:hAnsi="Times New Roman" w:cs="Times New Roman"/>
        </w:rPr>
        <w:t xml:space="preserve">The </w:t>
      </w:r>
      <w:r w:rsidRPr="00EC2648">
        <w:rPr>
          <w:rFonts w:ascii="Times New Roman" w:eastAsia="Times New Roman" w:hAnsi="Times New Roman" w:cs="Times New Roman"/>
          <w:i/>
          <w:iCs/>
        </w:rPr>
        <w:t>Legislation (Exemptions and Other Matters) Regulation 2015</w:t>
      </w:r>
      <w:r w:rsidRPr="00EC2648">
        <w:rPr>
          <w:rFonts w:ascii="Times New Roman" w:eastAsia="Times New Roman" w:hAnsi="Times New Roman" w:cs="Times New Roman"/>
        </w:rPr>
        <w:t xml:space="preserve"> at regulation 12, item 68, provides that a regulation made under WHS Act</w:t>
      </w:r>
      <w:r w:rsidRPr="00EC2648">
        <w:rPr>
          <w:rFonts w:ascii="Times New Roman" w:eastAsia="Times New Roman" w:hAnsi="Times New Roman" w:cs="Times New Roman"/>
          <w:i/>
          <w:iCs/>
        </w:rPr>
        <w:t xml:space="preserve"> </w:t>
      </w:r>
      <w:r w:rsidRPr="00EC2648">
        <w:rPr>
          <w:rFonts w:ascii="Times New Roman" w:eastAsia="Times New Roman" w:hAnsi="Times New Roman" w:cs="Times New Roman"/>
        </w:rPr>
        <w:t xml:space="preserve">is a legislative instrument that is not subject to sunsetting. The Amendment Regulations is a legislative instrument made under the WHS Act and is therefore exempt. </w:t>
      </w:r>
    </w:p>
    <w:p w14:paraId="2D1CA285" w14:textId="00E913C9" w:rsidR="00324670" w:rsidRPr="00EC2648" w:rsidRDefault="00324670" w:rsidP="17187F2A">
      <w:pPr>
        <w:spacing w:after="0"/>
        <w:rPr>
          <w:rFonts w:ascii="Times New Roman" w:eastAsia="Times New Roman" w:hAnsi="Times New Roman" w:cs="Times New Roman"/>
        </w:rPr>
      </w:pPr>
    </w:p>
    <w:p w14:paraId="77CE01E5" w14:textId="4A2FFF56" w:rsidR="00324670" w:rsidRPr="00EC2648" w:rsidRDefault="025162F0" w:rsidP="358883A3">
      <w:pPr>
        <w:spacing w:after="0"/>
      </w:pPr>
      <w:r w:rsidRPr="00EC2648">
        <w:rPr>
          <w:rFonts w:ascii="Times New Roman" w:eastAsia="Times New Roman" w:hAnsi="Times New Roman" w:cs="Times New Roman"/>
        </w:rPr>
        <w:t xml:space="preserve">Commonwealth WHS regulations are exempt from sunsetting because they form part of an intergovernmental scheme for a nationally consistent framework to secure the health and safety of workers and workplaces. They are part of a system of nationally harmonised work health and safety laws. </w:t>
      </w:r>
    </w:p>
    <w:p w14:paraId="685E4917" w14:textId="2676BD7F" w:rsidR="00324670" w:rsidRPr="00EC2648" w:rsidRDefault="025162F0" w:rsidP="358883A3">
      <w:pPr>
        <w:spacing w:after="0" w:line="257" w:lineRule="auto"/>
      </w:pPr>
      <w:r w:rsidRPr="00EC2648">
        <w:rPr>
          <w:rFonts w:ascii="Times New Roman" w:eastAsia="Times New Roman" w:hAnsi="Times New Roman" w:cs="Times New Roman"/>
          <w:color w:val="262626" w:themeColor="text1" w:themeTint="D9"/>
        </w:rPr>
        <w:lastRenderedPageBreak/>
        <w:t xml:space="preserve"> </w:t>
      </w:r>
    </w:p>
    <w:p w14:paraId="3604BC2A" w14:textId="2676BD7F" w:rsidR="00324670" w:rsidRPr="00EC2648" w:rsidRDefault="025162F0" w:rsidP="358883A3">
      <w:pPr>
        <w:spacing w:line="278" w:lineRule="auto"/>
      </w:pPr>
      <w:r w:rsidRPr="00EC2648">
        <w:rPr>
          <w:rFonts w:ascii="Times New Roman" w:eastAsia="Times New Roman" w:hAnsi="Times New Roman" w:cs="Times New Roman"/>
          <w:color w:val="000000" w:themeColor="text1"/>
        </w:rPr>
        <w:t xml:space="preserve">Details of the Amendment Regulations are set out in </w:t>
      </w:r>
      <w:r w:rsidRPr="00EC2648">
        <w:rPr>
          <w:rFonts w:ascii="Times New Roman" w:eastAsia="Times New Roman" w:hAnsi="Times New Roman" w:cs="Times New Roman"/>
          <w:color w:val="000000" w:themeColor="text1"/>
          <w:u w:val="single"/>
        </w:rPr>
        <w:t>Attachment A</w:t>
      </w:r>
      <w:r w:rsidRPr="00EC2648">
        <w:rPr>
          <w:rFonts w:ascii="Times New Roman" w:eastAsia="Times New Roman" w:hAnsi="Times New Roman" w:cs="Times New Roman"/>
          <w:color w:val="000000" w:themeColor="text1"/>
        </w:rPr>
        <w:t>.</w:t>
      </w:r>
    </w:p>
    <w:p w14:paraId="56701DCD" w14:textId="6A05349B" w:rsidR="33F151C8" w:rsidRPr="00EC2648" w:rsidRDefault="33F151C8" w:rsidP="1E0D23C5">
      <w:pPr>
        <w:spacing w:after="0" w:line="257" w:lineRule="auto"/>
        <w:rPr>
          <w:rFonts w:ascii="Times New Roman" w:eastAsia="Times New Roman" w:hAnsi="Times New Roman" w:cs="Times New Roman"/>
          <w:b/>
          <w:bCs/>
          <w:color w:val="262626" w:themeColor="text1" w:themeTint="D9"/>
          <w:lang w:val="en-GB"/>
        </w:rPr>
      </w:pPr>
    </w:p>
    <w:p w14:paraId="094CDF46" w14:textId="2676BD7F" w:rsidR="00324670" w:rsidRPr="00EC2648" w:rsidRDefault="025162F0" w:rsidP="358883A3">
      <w:pPr>
        <w:spacing w:after="0" w:line="257" w:lineRule="auto"/>
      </w:pPr>
      <w:r w:rsidRPr="00EC2648">
        <w:rPr>
          <w:rFonts w:ascii="Times New Roman" w:eastAsia="Times New Roman" w:hAnsi="Times New Roman" w:cs="Times New Roman"/>
          <w:b/>
          <w:bCs/>
          <w:color w:val="262626" w:themeColor="text1" w:themeTint="D9"/>
        </w:rPr>
        <w:t xml:space="preserve">CONSULTATION </w:t>
      </w:r>
    </w:p>
    <w:p w14:paraId="09DFFC1C" w14:textId="2676BD7F" w:rsidR="00324670" w:rsidRPr="00EC2648" w:rsidRDefault="025162F0" w:rsidP="358883A3">
      <w:pPr>
        <w:spacing w:after="0" w:line="257" w:lineRule="auto"/>
      </w:pPr>
      <w:r w:rsidRPr="00EC2648">
        <w:rPr>
          <w:rFonts w:ascii="Times New Roman" w:eastAsia="Times New Roman" w:hAnsi="Times New Roman" w:cs="Times New Roman"/>
          <w:b/>
          <w:bCs/>
          <w:color w:val="262626" w:themeColor="text1" w:themeTint="D9"/>
        </w:rPr>
        <w:t xml:space="preserve"> </w:t>
      </w:r>
    </w:p>
    <w:p w14:paraId="264A1A9C" w14:textId="2E635C43" w:rsidR="00324670" w:rsidRPr="00EC2648" w:rsidRDefault="025162F0" w:rsidP="358883A3">
      <w:pPr>
        <w:spacing w:line="278" w:lineRule="auto"/>
      </w:pPr>
      <w:r w:rsidRPr="00EC2648">
        <w:rPr>
          <w:rFonts w:ascii="Times New Roman" w:eastAsia="Times New Roman" w:hAnsi="Times New Roman" w:cs="Times New Roman"/>
          <w:color w:val="000000" w:themeColor="text1"/>
        </w:rPr>
        <w:t xml:space="preserve">Section 17 of the </w:t>
      </w:r>
      <w:r w:rsidRPr="00EC2648">
        <w:rPr>
          <w:rFonts w:ascii="Times New Roman" w:eastAsia="Times New Roman" w:hAnsi="Times New Roman" w:cs="Times New Roman"/>
          <w:i/>
          <w:iCs/>
          <w:color w:val="000000" w:themeColor="text1"/>
        </w:rPr>
        <w:t>Legislation Act 2003</w:t>
      </w:r>
      <w:r w:rsidRPr="00EC2648">
        <w:rPr>
          <w:rFonts w:ascii="Times New Roman" w:eastAsia="Times New Roman" w:hAnsi="Times New Roman" w:cs="Times New Roman"/>
          <w:color w:val="000000" w:themeColor="text1"/>
        </w:rPr>
        <w:t xml:space="preserve"> requires the Governor General to be satisfied that any consultation considered to be appropriate and that is reasonably practicable to undertake, has been undertaken before making the instrument.</w:t>
      </w:r>
    </w:p>
    <w:p w14:paraId="0A49FEE2" w14:textId="2F0AEB86" w:rsidR="00324670" w:rsidRPr="00EC2648" w:rsidRDefault="025162F0" w:rsidP="1E0D23C5">
      <w:pPr>
        <w:spacing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rPr>
        <w:t>The model amendments were developed by SWA. State and territory regulators, relevant government agencies</w:t>
      </w:r>
      <w:r w:rsidR="00585D6F" w:rsidRPr="00EC2648">
        <w:rPr>
          <w:rFonts w:ascii="Times New Roman" w:eastAsia="Times New Roman" w:hAnsi="Times New Roman" w:cs="Times New Roman"/>
        </w:rPr>
        <w:t>,</w:t>
      </w:r>
      <w:r w:rsidRPr="00EC2648" w:rsidDel="00585D6F">
        <w:rPr>
          <w:rFonts w:ascii="Times New Roman" w:eastAsia="Times New Roman" w:hAnsi="Times New Roman" w:cs="Times New Roman"/>
        </w:rPr>
        <w:t xml:space="preserve"> </w:t>
      </w:r>
      <w:r w:rsidRPr="00EC2648">
        <w:rPr>
          <w:rFonts w:ascii="Times New Roman" w:eastAsia="Times New Roman" w:hAnsi="Times New Roman" w:cs="Times New Roman"/>
        </w:rPr>
        <w:t xml:space="preserve">industry and peak bodies were consulted in the development of these policies. </w:t>
      </w:r>
      <w:r w:rsidRPr="00EC2648">
        <w:rPr>
          <w:rFonts w:ascii="Times New Roman" w:eastAsia="Times New Roman" w:hAnsi="Times New Roman" w:cs="Times New Roman"/>
          <w:color w:val="000000" w:themeColor="text1"/>
        </w:rPr>
        <w:t>SWA also undertook public consultation from 2 March 202</w:t>
      </w:r>
      <w:r w:rsidR="006229C2">
        <w:rPr>
          <w:rFonts w:ascii="Times New Roman" w:eastAsia="Times New Roman" w:hAnsi="Times New Roman" w:cs="Times New Roman"/>
          <w:color w:val="000000" w:themeColor="text1"/>
        </w:rPr>
        <w:t>3</w:t>
      </w:r>
      <w:r w:rsidRPr="00EC2648">
        <w:rPr>
          <w:rFonts w:ascii="Times New Roman" w:eastAsia="Times New Roman" w:hAnsi="Times New Roman" w:cs="Times New Roman"/>
          <w:color w:val="000000" w:themeColor="text1"/>
        </w:rPr>
        <w:t xml:space="preserve"> until 2 April 2023 on the prohibition on the use of engineered stone. Workers, businesses, employer and worker representatives, WHS professionals, medical professionals, academics, government agencies, industry and peak bodies made submissions. </w:t>
      </w:r>
      <w:r w:rsidR="00CF39F2">
        <w:rPr>
          <w:rFonts w:ascii="Times New Roman" w:eastAsia="Times New Roman" w:hAnsi="Times New Roman" w:cs="Times New Roman"/>
          <w:color w:val="000000" w:themeColor="text1"/>
        </w:rPr>
        <w:t>Although some stakeholders argued for the status quo a significant majority supported a prohibition on engineered stone.</w:t>
      </w:r>
    </w:p>
    <w:p w14:paraId="7F76422A" w14:textId="0AE5213A" w:rsidR="00EB2AE5" w:rsidRPr="00EC2648" w:rsidRDefault="00EB2AE5" w:rsidP="1E0D23C5">
      <w:pPr>
        <w:spacing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Comcare</w:t>
      </w:r>
      <w:r w:rsidR="00B06760"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the WHS</w:t>
      </w:r>
      <w:r w:rsidR="002E3AC1" w:rsidRPr="00EC2648">
        <w:rPr>
          <w:rFonts w:ascii="Times New Roman" w:eastAsia="Times New Roman" w:hAnsi="Times New Roman" w:cs="Times New Roman"/>
          <w:color w:val="000000" w:themeColor="text1"/>
        </w:rPr>
        <w:t xml:space="preserve"> </w:t>
      </w:r>
      <w:r w:rsidR="0044420E" w:rsidRPr="00EC2648">
        <w:rPr>
          <w:rFonts w:ascii="Times New Roman" w:eastAsia="Times New Roman" w:hAnsi="Times New Roman" w:cs="Times New Roman"/>
          <w:color w:val="000000" w:themeColor="text1"/>
        </w:rPr>
        <w:t>Regulator</w:t>
      </w:r>
      <w:r w:rsidR="002E3AC1" w:rsidRPr="00EC2648">
        <w:rPr>
          <w:rFonts w:ascii="Times New Roman" w:eastAsia="Times New Roman" w:hAnsi="Times New Roman" w:cs="Times New Roman"/>
          <w:color w:val="000000" w:themeColor="text1"/>
        </w:rPr>
        <w:t xml:space="preserve"> for the Commonwealth jurisdiction</w:t>
      </w:r>
      <w:r w:rsidR="00B06760" w:rsidRPr="00EC2648">
        <w:rPr>
          <w:rFonts w:ascii="Times New Roman" w:eastAsia="Times New Roman" w:hAnsi="Times New Roman" w:cs="Times New Roman"/>
          <w:color w:val="000000" w:themeColor="text1"/>
        </w:rPr>
        <w:t>,</w:t>
      </w:r>
      <w:r w:rsidR="002E3AC1" w:rsidRPr="00EC2648">
        <w:rPr>
          <w:rFonts w:ascii="Times New Roman" w:eastAsia="Times New Roman" w:hAnsi="Times New Roman" w:cs="Times New Roman"/>
          <w:color w:val="000000" w:themeColor="text1"/>
        </w:rPr>
        <w:t xml:space="preserve"> was </w:t>
      </w:r>
      <w:r w:rsidR="0044420E" w:rsidRPr="00EC2648">
        <w:rPr>
          <w:rFonts w:ascii="Times New Roman" w:eastAsia="Times New Roman" w:hAnsi="Times New Roman" w:cs="Times New Roman"/>
          <w:color w:val="000000" w:themeColor="text1"/>
        </w:rPr>
        <w:t xml:space="preserve">also </w:t>
      </w:r>
      <w:r w:rsidR="002E3AC1" w:rsidRPr="00EC2648">
        <w:rPr>
          <w:rFonts w:ascii="Times New Roman" w:eastAsia="Times New Roman" w:hAnsi="Times New Roman" w:cs="Times New Roman"/>
          <w:color w:val="000000" w:themeColor="text1"/>
        </w:rPr>
        <w:t>consulted</w:t>
      </w:r>
      <w:r w:rsidR="0044420E" w:rsidRPr="00EC2648">
        <w:rPr>
          <w:rFonts w:ascii="Times New Roman" w:eastAsia="Times New Roman" w:hAnsi="Times New Roman" w:cs="Times New Roman"/>
          <w:color w:val="000000" w:themeColor="text1"/>
        </w:rPr>
        <w:t xml:space="preserve"> during the development of the model measures and about the </w:t>
      </w:r>
      <w:r w:rsidR="00EC45A0" w:rsidRPr="00EC2648">
        <w:rPr>
          <w:rFonts w:ascii="Times New Roman" w:eastAsia="Times New Roman" w:hAnsi="Times New Roman" w:cs="Times New Roman"/>
          <w:color w:val="000000" w:themeColor="text1"/>
        </w:rPr>
        <w:t>approach to transitional arrangements in the Commonwealth.</w:t>
      </w:r>
    </w:p>
    <w:p w14:paraId="2595CE47" w14:textId="2676BD7F" w:rsidR="00324670" w:rsidRPr="00EC2648" w:rsidRDefault="025162F0" w:rsidP="358883A3">
      <w:pPr>
        <w:spacing w:line="278" w:lineRule="auto"/>
      </w:pPr>
      <w:r w:rsidRPr="00EC2648">
        <w:rPr>
          <w:rFonts w:ascii="Times New Roman" w:eastAsia="Times New Roman" w:hAnsi="Times New Roman" w:cs="Times New Roman"/>
          <w:color w:val="000000" w:themeColor="text1"/>
        </w:rPr>
        <w:t>The WHS Act specifies no conditions that need to be satisfied before the power to make the proposed Regulations may be exercised.</w:t>
      </w:r>
    </w:p>
    <w:p w14:paraId="126171F0" w14:textId="2676BD7F" w:rsidR="00324670" w:rsidRPr="00EC2648" w:rsidRDefault="025162F0" w:rsidP="358883A3">
      <w:pPr>
        <w:spacing w:line="278" w:lineRule="auto"/>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REGULATION IMPACT STATEMENT</w:t>
      </w:r>
    </w:p>
    <w:p w14:paraId="66A62119" w14:textId="6CA17E82" w:rsidR="002E7122" w:rsidRPr="00EC2648" w:rsidRDefault="002E7122" w:rsidP="358883A3">
      <w:pPr>
        <w:spacing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Office of Impact Analysis (OIA) advised that a Regulation Impact Statement is not required for the Amendment Regulations</w:t>
      </w:r>
      <w:r w:rsidRPr="00EC2648">
        <w:rPr>
          <w:rFonts w:ascii="Times New Roman" w:eastAsia="Times New Roman" w:hAnsi="Times New Roman" w:cs="Times New Roman"/>
          <w:color w:val="FF0000"/>
        </w:rPr>
        <w:t xml:space="preserve"> </w:t>
      </w:r>
      <w:r w:rsidRPr="00EC2648">
        <w:rPr>
          <w:rFonts w:ascii="Times New Roman" w:eastAsia="Times New Roman" w:hAnsi="Times New Roman" w:cs="Times New Roman"/>
          <w:color w:val="000000" w:themeColor="text1"/>
        </w:rPr>
        <w:t>(Reference Number OIA24-</w:t>
      </w:r>
      <w:r w:rsidR="00593D33" w:rsidRPr="00EC2648">
        <w:rPr>
          <w:rFonts w:ascii="Times New Roman" w:eastAsia="Times New Roman" w:hAnsi="Times New Roman" w:cs="Times New Roman"/>
          <w:color w:val="000000" w:themeColor="text1"/>
        </w:rPr>
        <w:t>07547</w:t>
      </w:r>
      <w:r w:rsidRPr="00EC2648">
        <w:rPr>
          <w:rFonts w:ascii="Times New Roman" w:eastAsia="Times New Roman" w:hAnsi="Times New Roman" w:cs="Times New Roman"/>
          <w:color w:val="000000" w:themeColor="text1"/>
        </w:rPr>
        <w:t>).</w:t>
      </w:r>
    </w:p>
    <w:p w14:paraId="09D7AD3E" w14:textId="17FB8108" w:rsidR="00324670" w:rsidRPr="00EC2648" w:rsidRDefault="025162F0" w:rsidP="1E0D23C5">
      <w:pPr>
        <w:spacing w:after="0" w:line="278" w:lineRule="auto"/>
        <w:rPr>
          <w:rFonts w:ascii="Times New Roman" w:eastAsia="Times New Roman" w:hAnsi="Times New Roman" w:cs="Times New Roman"/>
          <w:color w:val="FF0000"/>
        </w:rPr>
      </w:pPr>
      <w:r w:rsidRPr="00EC2648">
        <w:rPr>
          <w:rFonts w:ascii="Times New Roman" w:eastAsia="Times New Roman" w:hAnsi="Times New Roman" w:cs="Times New Roman"/>
          <w:b/>
          <w:bCs/>
          <w:color w:val="262626" w:themeColor="text1" w:themeTint="D9"/>
        </w:rPr>
        <w:t>STATEMENT OF COMPATIBILITY WITH HUMAN RIGHTS</w:t>
      </w:r>
    </w:p>
    <w:p w14:paraId="0359EE1D" w14:textId="6EEFECDC" w:rsidR="00324670" w:rsidRPr="00EC2648" w:rsidRDefault="00324670" w:rsidP="358883A3">
      <w:pPr>
        <w:spacing w:after="0" w:line="257" w:lineRule="auto"/>
      </w:pPr>
    </w:p>
    <w:p w14:paraId="78B04BC0" w14:textId="2B4726D7" w:rsidR="00324670" w:rsidRPr="00EC2648" w:rsidRDefault="025162F0" w:rsidP="00EC2648">
      <w:pPr>
        <w:spacing w:after="0" w:line="276" w:lineRule="auto"/>
      </w:pPr>
      <w:r w:rsidRPr="00EC2648">
        <w:rPr>
          <w:rFonts w:ascii="Times New Roman" w:eastAsia="Times New Roman" w:hAnsi="Times New Roman" w:cs="Times New Roman"/>
          <w:color w:val="262626" w:themeColor="text1" w:themeTint="D9"/>
        </w:rPr>
        <w:t>The Amendment Regulations are compatible with the human rights and freedoms recognised or declared in the international instruments listed in Part 3 of the</w:t>
      </w:r>
      <w:r w:rsidRPr="00EC2648">
        <w:rPr>
          <w:rFonts w:ascii="Times New Roman" w:eastAsia="Times New Roman" w:hAnsi="Times New Roman" w:cs="Times New Roman"/>
          <w:i/>
          <w:iCs/>
          <w:color w:val="262626" w:themeColor="text1" w:themeTint="D9"/>
        </w:rPr>
        <w:t xml:space="preserve"> Human Rights (Parliamentary Scrutiny) Act 2011</w:t>
      </w:r>
      <w:r w:rsidRPr="00EC2648">
        <w:rPr>
          <w:rFonts w:ascii="Times New Roman" w:eastAsia="Times New Roman" w:hAnsi="Times New Roman" w:cs="Times New Roman"/>
          <w:color w:val="262626" w:themeColor="text1" w:themeTint="D9"/>
        </w:rPr>
        <w:t xml:space="preserve">. A Statement of Compatibility with Human Rights is set out in </w:t>
      </w:r>
      <w:r w:rsidRPr="00EC2648">
        <w:rPr>
          <w:rFonts w:ascii="Times New Roman" w:eastAsia="Times New Roman" w:hAnsi="Times New Roman" w:cs="Times New Roman"/>
          <w:color w:val="262626" w:themeColor="text1" w:themeTint="D9"/>
          <w:u w:val="single"/>
        </w:rPr>
        <w:t>Attachment B</w:t>
      </w:r>
      <w:r w:rsidRPr="00EC2648">
        <w:rPr>
          <w:rFonts w:ascii="Times New Roman" w:eastAsia="Times New Roman" w:hAnsi="Times New Roman" w:cs="Times New Roman"/>
          <w:color w:val="262626" w:themeColor="text1" w:themeTint="D9"/>
        </w:rPr>
        <w:t>.</w:t>
      </w:r>
    </w:p>
    <w:p w14:paraId="0360A25D" w14:textId="77777777" w:rsidR="001B4148" w:rsidRPr="00EC2648" w:rsidRDefault="001B4148" w:rsidP="358883A3">
      <w:pPr>
        <w:spacing w:after="0" w:line="257" w:lineRule="auto"/>
      </w:pPr>
    </w:p>
    <w:p w14:paraId="42EFBE65" w14:textId="1EF7EEA0" w:rsidR="67939FCF" w:rsidRPr="00EC2648" w:rsidRDefault="67939FCF" w:rsidP="67939FCF">
      <w:pPr>
        <w:spacing w:after="0" w:line="257" w:lineRule="auto"/>
        <w:jc w:val="right"/>
        <w:rPr>
          <w:rFonts w:ascii="Times New Roman" w:eastAsia="Times New Roman" w:hAnsi="Times New Roman" w:cs="Times New Roman"/>
          <w:color w:val="262626" w:themeColor="text1" w:themeTint="D9"/>
          <w:u w:val="single"/>
        </w:rPr>
      </w:pPr>
    </w:p>
    <w:p w14:paraId="4127A343" w14:textId="77777777" w:rsidR="00852087" w:rsidRPr="00EC2648" w:rsidRDefault="00852087">
      <w:pPr>
        <w:rPr>
          <w:rFonts w:ascii="Times New Roman" w:eastAsia="Times New Roman" w:hAnsi="Times New Roman" w:cs="Times New Roman"/>
          <w:color w:val="262626" w:themeColor="text1" w:themeTint="D9"/>
          <w:u w:val="single"/>
        </w:rPr>
      </w:pPr>
      <w:r w:rsidRPr="00EC2648">
        <w:rPr>
          <w:rFonts w:ascii="Times New Roman" w:eastAsia="Times New Roman" w:hAnsi="Times New Roman" w:cs="Times New Roman"/>
          <w:color w:val="262626" w:themeColor="text1" w:themeTint="D9"/>
          <w:u w:val="single"/>
        </w:rPr>
        <w:br w:type="page"/>
      </w:r>
    </w:p>
    <w:p w14:paraId="5C91762C" w14:textId="5BAAC3D5" w:rsidR="00324670" w:rsidRPr="00EC2648" w:rsidRDefault="025162F0" w:rsidP="358883A3">
      <w:pPr>
        <w:spacing w:after="0" w:line="257" w:lineRule="auto"/>
        <w:jc w:val="right"/>
      </w:pPr>
      <w:r w:rsidRPr="00EC2648">
        <w:rPr>
          <w:rFonts w:ascii="Times New Roman" w:eastAsia="Times New Roman" w:hAnsi="Times New Roman" w:cs="Times New Roman"/>
          <w:color w:val="262626" w:themeColor="text1" w:themeTint="D9"/>
          <w:u w:val="single"/>
        </w:rPr>
        <w:lastRenderedPageBreak/>
        <w:t>ATTACHMENT A</w:t>
      </w:r>
    </w:p>
    <w:p w14:paraId="3955B789" w14:textId="2676BD7F" w:rsidR="00324670" w:rsidRPr="00EC2648" w:rsidRDefault="025162F0" w:rsidP="358883A3">
      <w:pPr>
        <w:spacing w:after="0" w:line="257" w:lineRule="auto"/>
      </w:pPr>
      <w:r w:rsidRPr="00EC2648">
        <w:rPr>
          <w:rFonts w:ascii="Times New Roman" w:eastAsia="Times New Roman" w:hAnsi="Times New Roman" w:cs="Times New Roman"/>
          <w:b/>
          <w:bCs/>
          <w:color w:val="262626" w:themeColor="text1" w:themeTint="D9"/>
        </w:rPr>
        <w:t>NOTES ON SECTIONS</w:t>
      </w:r>
    </w:p>
    <w:p w14:paraId="518EB01B" w14:textId="2676BD7F" w:rsidR="00324670" w:rsidRPr="00EC2648" w:rsidRDefault="025162F0" w:rsidP="358883A3">
      <w:pPr>
        <w:spacing w:after="0" w:line="257" w:lineRule="auto"/>
      </w:pPr>
      <w:r w:rsidRPr="00EC2648">
        <w:rPr>
          <w:rFonts w:ascii="Times New Roman" w:eastAsia="Times New Roman" w:hAnsi="Times New Roman" w:cs="Times New Roman"/>
          <w:b/>
          <w:bCs/>
          <w:color w:val="262626" w:themeColor="text1" w:themeTint="D9"/>
        </w:rPr>
        <w:t xml:space="preserve"> </w:t>
      </w:r>
    </w:p>
    <w:p w14:paraId="70E31505" w14:textId="2676BD7F" w:rsidR="00324670" w:rsidRPr="00EC2648" w:rsidRDefault="025162F0" w:rsidP="358883A3">
      <w:pPr>
        <w:spacing w:after="0" w:line="257" w:lineRule="auto"/>
      </w:pPr>
      <w:r w:rsidRPr="00EC2648">
        <w:rPr>
          <w:rFonts w:ascii="Times New Roman" w:eastAsia="Times New Roman" w:hAnsi="Times New Roman" w:cs="Times New Roman"/>
          <w:color w:val="262626" w:themeColor="text1" w:themeTint="D9"/>
        </w:rPr>
        <w:t>In these notes on sections, the following abbreviations are used.</w:t>
      </w:r>
    </w:p>
    <w:p w14:paraId="337E90CF" w14:textId="2676BD7F" w:rsidR="00324670" w:rsidRPr="00EC2648" w:rsidRDefault="025162F0" w:rsidP="358883A3">
      <w:pPr>
        <w:spacing w:after="0" w:line="257" w:lineRule="auto"/>
      </w:pPr>
      <w:r w:rsidRPr="00EC2648">
        <w:rPr>
          <w:rFonts w:ascii="Times New Roman" w:eastAsia="Times New Roman" w:hAnsi="Times New Roman" w:cs="Times New Roman"/>
          <w:color w:val="262626" w:themeColor="text1" w:themeTint="D9"/>
        </w:rPr>
        <w:t xml:space="preserve"> </w:t>
      </w:r>
    </w:p>
    <w:tbl>
      <w:tblPr>
        <w:tblStyle w:val="TableGrid"/>
        <w:tblW w:w="0" w:type="auto"/>
        <w:tblLayout w:type="fixed"/>
        <w:tblLook w:val="04A0" w:firstRow="1" w:lastRow="0" w:firstColumn="1" w:lastColumn="0" w:noHBand="0" w:noVBand="1"/>
      </w:tblPr>
      <w:tblGrid>
        <w:gridCol w:w="4675"/>
        <w:gridCol w:w="4675"/>
      </w:tblGrid>
      <w:tr w:rsidR="358883A3" w:rsidRPr="00EC2648" w14:paraId="0817F47D"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40AFE02F" w14:textId="0A2E2EF2" w:rsidR="358883A3" w:rsidRPr="00EC2648" w:rsidRDefault="005637B8" w:rsidP="358883A3">
            <w:pPr>
              <w:spacing w:line="257" w:lineRule="auto"/>
            </w:pPr>
            <w:r w:rsidRPr="00EC2648">
              <w:rPr>
                <w:rFonts w:ascii="Times New Roman" w:eastAsia="Times New Roman" w:hAnsi="Times New Roman" w:cs="Times New Roman"/>
                <w:b/>
                <w:bCs/>
                <w:color w:val="262626" w:themeColor="text1" w:themeTint="D9"/>
              </w:rPr>
              <w:t>Abbreviation</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7D770F6D" w14:textId="0A28CDF7" w:rsidR="358883A3" w:rsidRPr="00EC2648" w:rsidRDefault="005637B8" w:rsidP="358883A3">
            <w:pPr>
              <w:spacing w:line="257" w:lineRule="auto"/>
            </w:pPr>
            <w:r w:rsidRPr="00EC2648">
              <w:rPr>
                <w:rFonts w:ascii="Times New Roman" w:eastAsia="Times New Roman" w:hAnsi="Times New Roman" w:cs="Times New Roman"/>
                <w:b/>
                <w:bCs/>
                <w:color w:val="262626" w:themeColor="text1" w:themeTint="D9"/>
              </w:rPr>
              <w:t>Definition</w:t>
            </w:r>
          </w:p>
        </w:tc>
      </w:tr>
      <w:tr w:rsidR="5602C6F0" w:rsidRPr="00EC2648" w14:paraId="56376361"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3D343F19" w14:textId="41D3C4D3" w:rsidR="475CE60A" w:rsidRPr="00EC2648" w:rsidRDefault="475CE60A" w:rsidP="5602C6F0">
            <w:pPr>
              <w:spacing w:line="257" w:lineRule="auto"/>
              <w:rPr>
                <w:rFonts w:ascii="Times New Roman" w:eastAsia="Times New Roman" w:hAnsi="Times New Roman" w:cs="Times New Roman"/>
                <w:color w:val="262626" w:themeColor="text1" w:themeTint="D9"/>
              </w:rPr>
            </w:pPr>
            <w:r w:rsidRPr="00EC2648">
              <w:rPr>
                <w:rFonts w:ascii="Times New Roman" w:eastAsia="Times New Roman" w:hAnsi="Times New Roman" w:cs="Times New Roman"/>
                <w:color w:val="262626" w:themeColor="text1" w:themeTint="D9"/>
              </w:rPr>
              <w:t>Closing Loopholes</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0C35533D" w14:textId="09800D66" w:rsidR="475CE60A" w:rsidRPr="00EC2648" w:rsidRDefault="475CE60A" w:rsidP="5602C6F0">
            <w:pPr>
              <w:spacing w:line="257" w:lineRule="auto"/>
              <w:rPr>
                <w:rFonts w:ascii="Times New Roman" w:eastAsia="Times New Roman" w:hAnsi="Times New Roman" w:cs="Times New Roman"/>
                <w:color w:val="000000" w:themeColor="text1"/>
                <w:lang w:val="en-US"/>
              </w:rPr>
            </w:pPr>
            <w:r w:rsidRPr="00EC2648">
              <w:rPr>
                <w:rFonts w:ascii="Times New Roman" w:eastAsia="Times New Roman" w:hAnsi="Times New Roman" w:cs="Times New Roman"/>
                <w:i/>
                <w:iCs/>
                <w:color w:val="000000" w:themeColor="text1"/>
                <w:lang w:val="en-US"/>
              </w:rPr>
              <w:t>Fair Work Amendment (Closing Loopholes) Act 2023</w:t>
            </w:r>
            <w:r w:rsidRPr="00EC2648">
              <w:rPr>
                <w:rFonts w:ascii="Times New Roman" w:eastAsia="Times New Roman" w:hAnsi="Times New Roman" w:cs="Times New Roman"/>
                <w:color w:val="000000" w:themeColor="text1"/>
                <w:lang w:val="en-US"/>
              </w:rPr>
              <w:t xml:space="preserve"> </w:t>
            </w:r>
          </w:p>
        </w:tc>
      </w:tr>
      <w:tr w:rsidR="358883A3" w:rsidRPr="00EC2648" w14:paraId="013AC5E1"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458C21C8" w14:textId="61E09B29" w:rsidR="358883A3" w:rsidRPr="00EC2648" w:rsidRDefault="005637B8" w:rsidP="358883A3">
            <w:pPr>
              <w:spacing w:line="257" w:lineRule="auto"/>
            </w:pPr>
            <w:r w:rsidRPr="00EC2648">
              <w:rPr>
                <w:rFonts w:ascii="Times New Roman" w:eastAsia="Times New Roman" w:hAnsi="Times New Roman" w:cs="Times New Roman"/>
                <w:color w:val="262626" w:themeColor="text1" w:themeTint="D9"/>
              </w:rPr>
              <w:t>WHS</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01CE709F" w14:textId="3018622B" w:rsidR="358883A3" w:rsidRPr="00EC2648" w:rsidRDefault="00AB27AE" w:rsidP="358883A3">
            <w:pPr>
              <w:spacing w:line="257" w:lineRule="auto"/>
            </w:pPr>
            <w:r w:rsidRPr="00EC2648">
              <w:rPr>
                <w:rFonts w:ascii="Times New Roman" w:eastAsia="Times New Roman" w:hAnsi="Times New Roman" w:cs="Times New Roman"/>
                <w:color w:val="262626" w:themeColor="text1" w:themeTint="D9"/>
              </w:rPr>
              <w:t>w</w:t>
            </w:r>
            <w:r w:rsidR="005637B8" w:rsidRPr="00EC2648">
              <w:rPr>
                <w:rFonts w:ascii="Times New Roman" w:eastAsia="Times New Roman" w:hAnsi="Times New Roman" w:cs="Times New Roman"/>
                <w:color w:val="262626" w:themeColor="text1" w:themeTint="D9"/>
              </w:rPr>
              <w:t xml:space="preserve">ork health and safety </w:t>
            </w:r>
          </w:p>
        </w:tc>
      </w:tr>
      <w:tr w:rsidR="358883A3" w:rsidRPr="00EC2648" w14:paraId="4D573189"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42FB1AF9" w14:textId="2B0275E4" w:rsidR="358883A3" w:rsidRPr="00EC2648" w:rsidRDefault="005637B8" w:rsidP="358883A3">
            <w:pPr>
              <w:spacing w:line="257" w:lineRule="auto"/>
            </w:pPr>
            <w:r w:rsidRPr="00EC2648">
              <w:rPr>
                <w:rFonts w:ascii="Times New Roman" w:eastAsia="Times New Roman" w:hAnsi="Times New Roman" w:cs="Times New Roman"/>
                <w:color w:val="262626" w:themeColor="text1" w:themeTint="D9"/>
              </w:rPr>
              <w:t>WHS Act</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3B51C17F" w14:textId="161409E3" w:rsidR="358883A3" w:rsidRPr="00EC2648" w:rsidRDefault="358883A3" w:rsidP="358883A3">
            <w:pPr>
              <w:spacing w:line="257" w:lineRule="auto"/>
            </w:pPr>
            <w:r w:rsidRPr="00EC2648">
              <w:rPr>
                <w:rFonts w:ascii="Times New Roman" w:eastAsia="Times New Roman" w:hAnsi="Times New Roman" w:cs="Times New Roman"/>
                <w:i/>
                <w:iCs/>
                <w:color w:val="000000" w:themeColor="text1"/>
              </w:rPr>
              <w:t>Work Health and Safety Act 2011</w:t>
            </w:r>
          </w:p>
        </w:tc>
      </w:tr>
      <w:tr w:rsidR="358883A3" w:rsidRPr="00EC2648" w14:paraId="215BEFDB"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0EE70D4B" w14:textId="1D0218A8" w:rsidR="358883A3" w:rsidRPr="00EC2648" w:rsidRDefault="005637B8" w:rsidP="358883A3">
            <w:pPr>
              <w:spacing w:line="257" w:lineRule="auto"/>
            </w:pPr>
            <w:r w:rsidRPr="00EC2648">
              <w:rPr>
                <w:rFonts w:ascii="Times New Roman" w:eastAsia="Times New Roman" w:hAnsi="Times New Roman" w:cs="Times New Roman"/>
                <w:color w:val="262626" w:themeColor="text1" w:themeTint="D9"/>
              </w:rPr>
              <w:t>WHS Amendment Act</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341F12AA" w14:textId="1D612ADE" w:rsidR="358883A3" w:rsidRPr="00EC2648" w:rsidRDefault="358883A3" w:rsidP="358883A3">
            <w:pPr>
              <w:spacing w:line="257" w:lineRule="auto"/>
            </w:pPr>
            <w:r w:rsidRPr="00EC2648">
              <w:rPr>
                <w:rFonts w:ascii="Times New Roman" w:eastAsia="Times New Roman" w:hAnsi="Times New Roman" w:cs="Times New Roman"/>
                <w:i/>
                <w:iCs/>
                <w:color w:val="000000" w:themeColor="text1"/>
              </w:rPr>
              <w:t>Work Health and Safety Amendment Act 2023</w:t>
            </w:r>
          </w:p>
        </w:tc>
      </w:tr>
      <w:tr w:rsidR="358883A3" w:rsidRPr="00EC2648" w14:paraId="222D3B9C"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10912300" w14:textId="30E31E0D" w:rsidR="358883A3" w:rsidRPr="00EC2648" w:rsidRDefault="005637B8" w:rsidP="358883A3">
            <w:pPr>
              <w:spacing w:line="257" w:lineRule="auto"/>
            </w:pPr>
            <w:r w:rsidRPr="00EC2648">
              <w:rPr>
                <w:rFonts w:ascii="Times New Roman" w:eastAsia="Times New Roman" w:hAnsi="Times New Roman" w:cs="Times New Roman"/>
                <w:color w:val="262626" w:themeColor="text1" w:themeTint="D9"/>
              </w:rPr>
              <w:t>Principal Regulations</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34E6C3BB" w14:textId="1128A817" w:rsidR="358883A3" w:rsidRPr="00EC2648" w:rsidRDefault="358883A3" w:rsidP="358883A3">
            <w:pPr>
              <w:spacing w:line="257" w:lineRule="auto"/>
            </w:pPr>
            <w:r w:rsidRPr="00EC2648">
              <w:rPr>
                <w:rFonts w:ascii="Times New Roman" w:eastAsia="Times New Roman" w:hAnsi="Times New Roman" w:cs="Times New Roman"/>
                <w:i/>
                <w:iCs/>
                <w:color w:val="000000" w:themeColor="text1"/>
              </w:rPr>
              <w:t>Work Health and Safety Regulations 2011</w:t>
            </w:r>
          </w:p>
        </w:tc>
      </w:tr>
      <w:tr w:rsidR="358883A3" w:rsidRPr="00EC2648" w14:paraId="527CC1A2"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2AE9A517" w14:textId="30F612EE" w:rsidR="358883A3" w:rsidRPr="00EC2648" w:rsidRDefault="005637B8" w:rsidP="358883A3">
            <w:pPr>
              <w:spacing w:line="257" w:lineRule="auto"/>
            </w:pPr>
            <w:r w:rsidRPr="00EC2648">
              <w:rPr>
                <w:rFonts w:ascii="Times New Roman" w:eastAsia="Times New Roman" w:hAnsi="Times New Roman" w:cs="Times New Roman"/>
                <w:color w:val="262626" w:themeColor="text1" w:themeTint="D9"/>
              </w:rPr>
              <w:t>Amendment Regulations</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73FCE21A" w14:textId="5A82355B" w:rsidR="358883A3" w:rsidRPr="00EC2648" w:rsidRDefault="358883A3" w:rsidP="358883A3">
            <w:pPr>
              <w:spacing w:line="257" w:lineRule="auto"/>
            </w:pPr>
            <w:r w:rsidRPr="00EC2648">
              <w:rPr>
                <w:rFonts w:ascii="Times New Roman" w:eastAsia="Times New Roman" w:hAnsi="Times New Roman" w:cs="Times New Roman"/>
                <w:i/>
                <w:iCs/>
                <w:color w:val="000000" w:themeColor="text1"/>
              </w:rPr>
              <w:t>Work Health and Safety Amendments (</w:t>
            </w:r>
            <w:r w:rsidR="0019367D" w:rsidRPr="00EC2648">
              <w:rPr>
                <w:rFonts w:ascii="Times New Roman" w:eastAsia="Times New Roman" w:hAnsi="Times New Roman" w:cs="Times New Roman"/>
                <w:i/>
                <w:iCs/>
                <w:color w:val="000000" w:themeColor="text1"/>
              </w:rPr>
              <w:t>Penalties and Engineered Stone and Crystalline Silica Substances</w:t>
            </w:r>
            <w:r w:rsidRPr="00EC2648">
              <w:rPr>
                <w:rFonts w:ascii="Times New Roman" w:eastAsia="Times New Roman" w:hAnsi="Times New Roman" w:cs="Times New Roman"/>
                <w:i/>
                <w:iCs/>
                <w:color w:val="000000" w:themeColor="text1"/>
              </w:rPr>
              <w:t>) Regulations 2024</w:t>
            </w:r>
          </w:p>
        </w:tc>
      </w:tr>
      <w:tr w:rsidR="358883A3" w:rsidRPr="00EC2648" w14:paraId="65C23D2B" w14:textId="77777777" w:rsidTr="5602C6F0">
        <w:trPr>
          <w:trHeight w:val="300"/>
        </w:trPr>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6DC60035" w14:textId="305BCEE6" w:rsidR="358883A3" w:rsidRPr="00EC2648" w:rsidRDefault="005637B8" w:rsidP="358883A3">
            <w:pPr>
              <w:spacing w:line="257" w:lineRule="auto"/>
            </w:pPr>
            <w:r w:rsidRPr="00EC2648">
              <w:rPr>
                <w:rFonts w:ascii="Times New Roman" w:eastAsia="Times New Roman" w:hAnsi="Times New Roman" w:cs="Times New Roman"/>
                <w:color w:val="262626" w:themeColor="text1" w:themeTint="D9"/>
              </w:rPr>
              <w:t>PCBU</w:t>
            </w:r>
          </w:p>
        </w:tc>
        <w:tc>
          <w:tcPr>
            <w:tcW w:w="4675" w:type="dxa"/>
            <w:tcBorders>
              <w:top w:val="single" w:sz="8" w:space="0" w:color="auto"/>
              <w:left w:val="single" w:sz="8" w:space="0" w:color="auto"/>
              <w:bottom w:val="single" w:sz="8" w:space="0" w:color="auto"/>
              <w:right w:val="single" w:sz="8" w:space="0" w:color="auto"/>
            </w:tcBorders>
            <w:tcMar>
              <w:left w:w="108" w:type="dxa"/>
              <w:right w:w="108" w:type="dxa"/>
            </w:tcMar>
          </w:tcPr>
          <w:p w14:paraId="47D70848" w14:textId="6B2B8AF4" w:rsidR="358883A3" w:rsidRPr="00EC2648" w:rsidRDefault="78505087" w:rsidP="358883A3">
            <w:pPr>
              <w:spacing w:line="257" w:lineRule="auto"/>
            </w:pPr>
            <w:r w:rsidRPr="00EC2648">
              <w:rPr>
                <w:rFonts w:ascii="Times New Roman" w:eastAsia="Times New Roman" w:hAnsi="Times New Roman" w:cs="Times New Roman"/>
                <w:color w:val="262626" w:themeColor="text1" w:themeTint="D9"/>
              </w:rPr>
              <w:t>p</w:t>
            </w:r>
            <w:r w:rsidR="722CE2F0" w:rsidRPr="00EC2648">
              <w:rPr>
                <w:rFonts w:ascii="Times New Roman" w:eastAsia="Times New Roman" w:hAnsi="Times New Roman" w:cs="Times New Roman"/>
                <w:color w:val="262626" w:themeColor="text1" w:themeTint="D9"/>
              </w:rPr>
              <w:t>erson</w:t>
            </w:r>
            <w:r w:rsidR="005637B8" w:rsidRPr="00EC2648">
              <w:rPr>
                <w:rFonts w:ascii="Times New Roman" w:eastAsia="Times New Roman" w:hAnsi="Times New Roman" w:cs="Times New Roman"/>
                <w:color w:val="262626" w:themeColor="text1" w:themeTint="D9"/>
              </w:rPr>
              <w:t xml:space="preserve"> conducting a business or undertaking </w:t>
            </w:r>
          </w:p>
        </w:tc>
      </w:tr>
    </w:tbl>
    <w:p w14:paraId="292981D9" w14:textId="028EFF72" w:rsidR="00324670" w:rsidRPr="00EC2648" w:rsidRDefault="00324670" w:rsidP="358883A3">
      <w:pPr>
        <w:spacing w:after="0" w:line="257" w:lineRule="auto"/>
      </w:pPr>
    </w:p>
    <w:p w14:paraId="4F1254B2" w14:textId="2676BD7F" w:rsidR="00324670" w:rsidRPr="00EC2648" w:rsidRDefault="025162F0" w:rsidP="358883A3">
      <w:pPr>
        <w:spacing w:after="0" w:line="257" w:lineRule="auto"/>
      </w:pPr>
      <w:r w:rsidRPr="00EC2648">
        <w:rPr>
          <w:rFonts w:ascii="Times New Roman" w:eastAsia="Times New Roman" w:hAnsi="Times New Roman" w:cs="Times New Roman"/>
          <w:color w:val="262626" w:themeColor="text1" w:themeTint="D9"/>
          <w:u w:val="single"/>
        </w:rPr>
        <w:t>Section 1 – Name</w:t>
      </w:r>
      <w:r w:rsidRPr="00EC2648">
        <w:rPr>
          <w:rFonts w:ascii="Times New Roman" w:eastAsia="Times New Roman" w:hAnsi="Times New Roman" w:cs="Times New Roman"/>
          <w:color w:val="262626" w:themeColor="text1" w:themeTint="D9"/>
        </w:rPr>
        <w:t xml:space="preserve"> </w:t>
      </w:r>
    </w:p>
    <w:p w14:paraId="687462F5" w14:textId="2676BD7F" w:rsidR="00324670" w:rsidRPr="00EC2648" w:rsidRDefault="025162F0" w:rsidP="358883A3">
      <w:pPr>
        <w:spacing w:after="0" w:line="257" w:lineRule="auto"/>
      </w:pPr>
      <w:r w:rsidRPr="00EC2648">
        <w:rPr>
          <w:rFonts w:ascii="Times New Roman" w:eastAsia="Times New Roman" w:hAnsi="Times New Roman" w:cs="Times New Roman"/>
          <w:color w:val="262626" w:themeColor="text1" w:themeTint="D9"/>
        </w:rPr>
        <w:t xml:space="preserve"> </w:t>
      </w:r>
    </w:p>
    <w:p w14:paraId="68C12229" w14:textId="2247878D" w:rsidR="00324670" w:rsidRPr="00EC2648" w:rsidRDefault="025162F0" w:rsidP="1E0D23C5">
      <w:pPr>
        <w:pStyle w:val="ListParagraph"/>
        <w:numPr>
          <w:ilvl w:val="0"/>
          <w:numId w:val="16"/>
        </w:numPr>
        <w:spacing w:after="0" w:line="257" w:lineRule="auto"/>
        <w:ind w:left="360"/>
        <w:rPr>
          <w:rFonts w:ascii="Times New Roman" w:eastAsia="Times New Roman" w:hAnsi="Times New Roman" w:cs="Times New Roman"/>
          <w:i/>
          <w:iCs/>
          <w:color w:val="000000" w:themeColor="text1"/>
        </w:rPr>
      </w:pPr>
      <w:r w:rsidRPr="00EC2648">
        <w:rPr>
          <w:rFonts w:ascii="Times New Roman" w:eastAsia="Times New Roman" w:hAnsi="Times New Roman" w:cs="Times New Roman"/>
          <w:color w:val="262626" w:themeColor="text1" w:themeTint="D9"/>
        </w:rPr>
        <w:t xml:space="preserve">This section provides that the title of the instrument is </w:t>
      </w:r>
      <w:r w:rsidRPr="00EC2648">
        <w:rPr>
          <w:rFonts w:ascii="Times New Roman" w:eastAsia="Times New Roman" w:hAnsi="Times New Roman" w:cs="Times New Roman"/>
          <w:i/>
          <w:iCs/>
          <w:color w:val="000000" w:themeColor="text1"/>
        </w:rPr>
        <w:t>Work Health and Safety Amendment (</w:t>
      </w:r>
      <w:r w:rsidR="005B3044" w:rsidRPr="00EC2648">
        <w:rPr>
          <w:rFonts w:ascii="Times New Roman" w:eastAsia="Times New Roman" w:hAnsi="Times New Roman" w:cs="Times New Roman"/>
          <w:i/>
          <w:iCs/>
          <w:color w:val="000000" w:themeColor="text1"/>
        </w:rPr>
        <w:t>Penalties and Engineered Stone and Crystalline Silica Substances</w:t>
      </w:r>
      <w:r w:rsidRPr="00EC2648">
        <w:rPr>
          <w:rFonts w:ascii="Times New Roman" w:eastAsia="Times New Roman" w:hAnsi="Times New Roman" w:cs="Times New Roman"/>
          <w:i/>
          <w:iCs/>
          <w:color w:val="000000" w:themeColor="text1"/>
        </w:rPr>
        <w:t xml:space="preserve">) Regulations 2024. </w:t>
      </w:r>
    </w:p>
    <w:p w14:paraId="418D7C8E" w14:textId="16703E44" w:rsidR="54BAB3B3" w:rsidRPr="00EC2648" w:rsidRDefault="54BAB3B3" w:rsidP="1E0D23C5">
      <w:pPr>
        <w:spacing w:after="0" w:line="257" w:lineRule="auto"/>
        <w:rPr>
          <w:rFonts w:ascii="Times New Roman" w:eastAsia="Times New Roman" w:hAnsi="Times New Roman" w:cs="Times New Roman"/>
          <w:i/>
          <w:iCs/>
          <w:color w:val="000000" w:themeColor="text1"/>
        </w:rPr>
      </w:pPr>
    </w:p>
    <w:p w14:paraId="66C934DB" w14:textId="2676BD7F" w:rsidR="00324670" w:rsidRPr="00EC2648" w:rsidRDefault="025162F0" w:rsidP="358883A3">
      <w:pPr>
        <w:spacing w:line="278" w:lineRule="auto"/>
      </w:pPr>
      <w:r w:rsidRPr="00EC2648">
        <w:rPr>
          <w:rFonts w:ascii="Times New Roman" w:eastAsia="Times New Roman" w:hAnsi="Times New Roman" w:cs="Times New Roman"/>
          <w:color w:val="000000" w:themeColor="text1"/>
          <w:u w:val="single"/>
        </w:rPr>
        <w:t>Section 2 – Commencement</w:t>
      </w:r>
    </w:p>
    <w:p w14:paraId="48365381" w14:textId="2676BD7F" w:rsidR="00324670" w:rsidRPr="00EC2648" w:rsidRDefault="025162F0" w:rsidP="00E1337D">
      <w:pPr>
        <w:pStyle w:val="ListParagraph"/>
        <w:numPr>
          <w:ilvl w:val="0"/>
          <w:numId w:val="16"/>
        </w:numPr>
        <w:spacing w:after="0" w:line="276"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table in this section sets out when the provisions of the instrument commence. The instrument commences on the day after registration on the Federal Register of Legislation.</w:t>
      </w:r>
    </w:p>
    <w:p w14:paraId="2AAAF185" w14:textId="1800D610" w:rsidR="00324670" w:rsidRPr="00EC2648" w:rsidRDefault="00324670" w:rsidP="54BAB3B3">
      <w:pPr>
        <w:spacing w:after="120" w:line="276" w:lineRule="auto"/>
        <w:rPr>
          <w:rFonts w:ascii="Times New Roman" w:eastAsia="Times New Roman" w:hAnsi="Times New Roman" w:cs="Times New Roman"/>
          <w:color w:val="000000" w:themeColor="text1"/>
          <w:u w:val="single"/>
        </w:rPr>
      </w:pPr>
    </w:p>
    <w:p w14:paraId="20955241" w14:textId="31CA50D7" w:rsidR="00324670" w:rsidRPr="00EC2648" w:rsidRDefault="025162F0" w:rsidP="358883A3">
      <w:pPr>
        <w:spacing w:after="120" w:line="276" w:lineRule="auto"/>
        <w:rPr>
          <w:rFonts w:ascii="Times New Roman" w:eastAsia="Times New Roman" w:hAnsi="Times New Roman" w:cs="Times New Roman"/>
          <w:color w:val="000000" w:themeColor="text1"/>
          <w:u w:val="single"/>
        </w:rPr>
      </w:pPr>
      <w:r w:rsidRPr="00EC2648">
        <w:rPr>
          <w:rFonts w:ascii="Times New Roman" w:eastAsia="Times New Roman" w:hAnsi="Times New Roman" w:cs="Times New Roman"/>
          <w:color w:val="000000" w:themeColor="text1"/>
          <w:u w:val="single"/>
        </w:rPr>
        <w:t>Section 3 – Authority</w:t>
      </w:r>
      <w:r w:rsidRPr="00EC2648">
        <w:rPr>
          <w:rFonts w:ascii="Times New Roman" w:eastAsia="Times New Roman" w:hAnsi="Times New Roman" w:cs="Times New Roman"/>
          <w:color w:val="000000" w:themeColor="text1"/>
        </w:rPr>
        <w:t xml:space="preserve"> </w:t>
      </w:r>
    </w:p>
    <w:p w14:paraId="6DECA695" w14:textId="2676BD7F" w:rsidR="00324670" w:rsidRPr="00EC2648" w:rsidRDefault="025162F0" w:rsidP="1E0D23C5">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section provides that the instrument is made under the </w:t>
      </w:r>
      <w:r w:rsidRPr="00EC2648">
        <w:rPr>
          <w:rFonts w:ascii="Times New Roman" w:eastAsia="Times New Roman" w:hAnsi="Times New Roman" w:cs="Times New Roman"/>
          <w:i/>
          <w:iCs/>
          <w:color w:val="000000" w:themeColor="text1"/>
        </w:rPr>
        <w:t>Work Health and Safety Act 2011.</w:t>
      </w:r>
    </w:p>
    <w:p w14:paraId="5479C587" w14:textId="43BD9023" w:rsidR="54BAB3B3" w:rsidRPr="00EC2648" w:rsidRDefault="54BAB3B3" w:rsidP="54BAB3B3">
      <w:pPr>
        <w:spacing w:line="278" w:lineRule="auto"/>
        <w:rPr>
          <w:rFonts w:ascii="Times New Roman" w:eastAsia="Times New Roman" w:hAnsi="Times New Roman" w:cs="Times New Roman"/>
          <w:color w:val="000000" w:themeColor="text1"/>
          <w:u w:val="single"/>
        </w:rPr>
      </w:pPr>
    </w:p>
    <w:p w14:paraId="1DFE1B10" w14:textId="2676BD7F" w:rsidR="00324670" w:rsidRPr="00EC2648" w:rsidRDefault="025162F0" w:rsidP="358883A3">
      <w:pPr>
        <w:spacing w:line="278" w:lineRule="auto"/>
      </w:pPr>
      <w:r w:rsidRPr="00EC2648">
        <w:rPr>
          <w:rFonts w:ascii="Times New Roman" w:eastAsia="Times New Roman" w:hAnsi="Times New Roman" w:cs="Times New Roman"/>
          <w:color w:val="000000" w:themeColor="text1"/>
          <w:u w:val="single"/>
        </w:rPr>
        <w:t>Section 4 – Schedules</w:t>
      </w:r>
    </w:p>
    <w:p w14:paraId="303DCD69" w14:textId="2676BD7F" w:rsidR="00324670" w:rsidRPr="00EC2648" w:rsidRDefault="025162F0" w:rsidP="00E1337D">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6D585A9D" w14:textId="3C636351" w:rsidR="54BAB3B3" w:rsidRPr="00EC2648" w:rsidRDefault="54BAB3B3" w:rsidP="54BAB3B3">
      <w:pPr>
        <w:spacing w:after="0" w:line="278" w:lineRule="auto"/>
        <w:rPr>
          <w:rFonts w:ascii="Times New Roman" w:eastAsia="Times New Roman" w:hAnsi="Times New Roman" w:cs="Times New Roman"/>
          <w:color w:val="000000" w:themeColor="text1"/>
          <w:u w:val="single"/>
        </w:rPr>
      </w:pPr>
    </w:p>
    <w:p w14:paraId="36D576A4" w14:textId="2676BD7F" w:rsidR="00324670" w:rsidRPr="00EC2648" w:rsidRDefault="025162F0" w:rsidP="358883A3">
      <w:pPr>
        <w:spacing w:after="0" w:line="278" w:lineRule="auto"/>
      </w:pPr>
      <w:r w:rsidRPr="00EC2648">
        <w:rPr>
          <w:rFonts w:ascii="Times New Roman" w:eastAsia="Times New Roman" w:hAnsi="Times New Roman" w:cs="Times New Roman"/>
          <w:color w:val="000000" w:themeColor="text1"/>
          <w:u w:val="single"/>
        </w:rPr>
        <w:t>Schedule 1 – Amendments</w:t>
      </w:r>
      <w:r w:rsidRPr="00EC2648">
        <w:rPr>
          <w:rFonts w:ascii="Times New Roman" w:eastAsia="Times New Roman" w:hAnsi="Times New Roman" w:cs="Times New Roman"/>
          <w:color w:val="000000" w:themeColor="text1"/>
        </w:rPr>
        <w:t xml:space="preserve"> </w:t>
      </w:r>
    </w:p>
    <w:p w14:paraId="7173F335" w14:textId="4B4CF908" w:rsidR="00324670" w:rsidRPr="00EC2648" w:rsidRDefault="00324670" w:rsidP="17187F2A">
      <w:pPr>
        <w:spacing w:after="0" w:line="278" w:lineRule="auto"/>
        <w:rPr>
          <w:rFonts w:ascii="Times New Roman" w:eastAsia="Times New Roman" w:hAnsi="Times New Roman" w:cs="Times New Roman"/>
          <w:color w:val="000000" w:themeColor="text1"/>
          <w:lang w:val="en-US"/>
        </w:rPr>
      </w:pPr>
    </w:p>
    <w:p w14:paraId="0C60E6E8" w14:textId="10C0BABF" w:rsidR="007866C9" w:rsidRPr="00EC2648" w:rsidRDefault="4992BB5D" w:rsidP="007866C9">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Schedule 1 make</w:t>
      </w:r>
      <w:r w:rsidR="552B2FEB"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two classes of amendments across penalty provisions in the Principal Regulations. Penalt</w:t>
      </w:r>
      <w:r w:rsidR="00CF39F2">
        <w:rPr>
          <w:rFonts w:ascii="Times New Roman" w:eastAsia="Times New Roman" w:hAnsi="Times New Roman" w:cs="Times New Roman"/>
          <w:color w:val="000000" w:themeColor="text1"/>
        </w:rPr>
        <w:t>y</w:t>
      </w:r>
      <w:r w:rsidRPr="00EC2648">
        <w:rPr>
          <w:rFonts w:ascii="Times New Roman" w:eastAsia="Times New Roman" w:hAnsi="Times New Roman" w:cs="Times New Roman"/>
          <w:color w:val="000000" w:themeColor="text1"/>
        </w:rPr>
        <w:t xml:space="preserve"> levels </w:t>
      </w:r>
      <w:r w:rsidR="51D8BB01" w:rsidRPr="00EC2648">
        <w:rPr>
          <w:rFonts w:ascii="Times New Roman" w:eastAsia="Times New Roman" w:hAnsi="Times New Roman" w:cs="Times New Roman"/>
          <w:color w:val="000000" w:themeColor="text1"/>
        </w:rPr>
        <w:t>are</w:t>
      </w:r>
      <w:r w:rsidRPr="00EC2648">
        <w:rPr>
          <w:rFonts w:ascii="Times New Roman" w:eastAsia="Times New Roman" w:hAnsi="Times New Roman" w:cs="Times New Roman"/>
          <w:color w:val="000000" w:themeColor="text1"/>
        </w:rPr>
        <w:t xml:space="preserve"> updated in line with model amendments </w:t>
      </w:r>
      <w:r w:rsidR="001D53B5" w:rsidRPr="00EC2648">
        <w:rPr>
          <w:rFonts w:ascii="Times New Roman" w:eastAsia="Times New Roman" w:hAnsi="Times New Roman" w:cs="Times New Roman"/>
          <w:color w:val="000000" w:themeColor="text1"/>
        </w:rPr>
        <w:t xml:space="preserve">by replacing </w:t>
      </w:r>
      <w:r w:rsidRPr="00EC2648">
        <w:rPr>
          <w:rFonts w:ascii="Times New Roman" w:eastAsia="Times New Roman" w:hAnsi="Times New Roman" w:cs="Times New Roman"/>
          <w:color w:val="000000" w:themeColor="text1"/>
        </w:rPr>
        <w:t xml:space="preserve">monetary penalties with tiers to allow for future indexing. The location of existing notes and examples within penalty provisions </w:t>
      </w:r>
      <w:r w:rsidR="32EE7F93" w:rsidRPr="00EC2648">
        <w:rPr>
          <w:rFonts w:ascii="Times New Roman" w:eastAsia="Times New Roman" w:hAnsi="Times New Roman" w:cs="Times New Roman"/>
          <w:color w:val="000000" w:themeColor="text1"/>
        </w:rPr>
        <w:t>ar</w:t>
      </w:r>
      <w:r w:rsidRPr="00EC2648">
        <w:rPr>
          <w:rFonts w:ascii="Times New Roman" w:eastAsia="Times New Roman" w:hAnsi="Times New Roman" w:cs="Times New Roman"/>
          <w:color w:val="000000" w:themeColor="text1"/>
        </w:rPr>
        <w:t>e moved to align with current drafting practice.</w:t>
      </w:r>
    </w:p>
    <w:p w14:paraId="0F830344" w14:textId="77777777" w:rsidR="007866C9" w:rsidRPr="00EC2648" w:rsidRDefault="007866C9" w:rsidP="00C333DE">
      <w:pPr>
        <w:pStyle w:val="ListParagraph"/>
        <w:spacing w:after="0" w:line="257" w:lineRule="auto"/>
        <w:ind w:left="360"/>
        <w:rPr>
          <w:rFonts w:ascii="Times New Roman" w:eastAsia="Times New Roman" w:hAnsi="Times New Roman" w:cs="Times New Roman"/>
          <w:color w:val="000000" w:themeColor="text1"/>
        </w:rPr>
      </w:pPr>
    </w:p>
    <w:p w14:paraId="6DD27578" w14:textId="293807DC" w:rsidR="00324670" w:rsidRPr="00EC2648" w:rsidRDefault="4992BB5D" w:rsidP="00C333DE">
      <w:pPr>
        <w:pStyle w:val="ListParagraph"/>
        <w:numPr>
          <w:ilvl w:val="0"/>
          <w:numId w:val="16"/>
        </w:numPr>
        <w:spacing w:after="0" w:line="257" w:lineRule="auto"/>
        <w:ind w:left="360"/>
        <w:rPr>
          <w:lang w:val="en-US"/>
        </w:rPr>
      </w:pPr>
      <w:r w:rsidRPr="00EC2648">
        <w:rPr>
          <w:rFonts w:ascii="Times New Roman" w:hAnsi="Times New Roman" w:cs="Times New Roman"/>
          <w:lang w:val="en-US"/>
        </w:rPr>
        <w:t xml:space="preserve">The Model Work Health and Safety Legislation Amendment (Offences and Penalties) 2023 developed by SWA amended the penalties scheme in both the </w:t>
      </w:r>
      <w:r w:rsidR="00CF39F2">
        <w:rPr>
          <w:rFonts w:ascii="Times New Roman" w:hAnsi="Times New Roman" w:cs="Times New Roman"/>
          <w:lang w:val="en-US"/>
        </w:rPr>
        <w:t>m</w:t>
      </w:r>
      <w:r w:rsidRPr="00EC2648">
        <w:rPr>
          <w:rFonts w:ascii="Times New Roman" w:hAnsi="Times New Roman" w:cs="Times New Roman"/>
          <w:lang w:val="en-US"/>
        </w:rPr>
        <w:t xml:space="preserve">odel </w:t>
      </w:r>
      <w:r w:rsidRPr="00CF39F2">
        <w:rPr>
          <w:rFonts w:ascii="Times New Roman" w:hAnsi="Times New Roman" w:cs="Times New Roman"/>
          <w:i/>
          <w:iCs/>
          <w:lang w:val="en-US"/>
        </w:rPr>
        <w:t>W</w:t>
      </w:r>
      <w:r w:rsidR="00CF39F2" w:rsidRPr="00CF39F2">
        <w:rPr>
          <w:rFonts w:ascii="Times New Roman" w:hAnsi="Times New Roman" w:cs="Times New Roman"/>
          <w:i/>
          <w:iCs/>
          <w:lang w:val="en-US"/>
        </w:rPr>
        <w:t>ork Health and Safety</w:t>
      </w:r>
      <w:r w:rsidRPr="00CF39F2">
        <w:rPr>
          <w:rFonts w:ascii="Times New Roman" w:hAnsi="Times New Roman" w:cs="Times New Roman"/>
          <w:i/>
          <w:iCs/>
          <w:lang w:val="en-US"/>
        </w:rPr>
        <w:t xml:space="preserve"> Act </w:t>
      </w:r>
      <w:r w:rsidRPr="00EC2648">
        <w:rPr>
          <w:rFonts w:ascii="Times New Roman" w:hAnsi="Times New Roman" w:cs="Times New Roman"/>
          <w:lang w:val="en-US"/>
        </w:rPr>
        <w:t>(model Act) and model</w:t>
      </w:r>
      <w:r w:rsidR="00CF39F2">
        <w:rPr>
          <w:rFonts w:ascii="Times New Roman" w:hAnsi="Times New Roman" w:cs="Times New Roman"/>
          <w:lang w:val="en-US"/>
        </w:rPr>
        <w:t xml:space="preserve"> </w:t>
      </w:r>
      <w:r w:rsidR="00CF39F2" w:rsidRPr="00CF39F2">
        <w:rPr>
          <w:rFonts w:ascii="Times New Roman" w:hAnsi="Times New Roman" w:cs="Times New Roman"/>
          <w:i/>
          <w:iCs/>
          <w:lang w:val="en-US"/>
        </w:rPr>
        <w:t>Work Health and Safety</w:t>
      </w:r>
      <w:r w:rsidRPr="00CF39F2">
        <w:rPr>
          <w:rFonts w:ascii="Times New Roman" w:hAnsi="Times New Roman" w:cs="Times New Roman"/>
          <w:i/>
          <w:iCs/>
          <w:lang w:val="en-US"/>
        </w:rPr>
        <w:t xml:space="preserve"> Regulations</w:t>
      </w:r>
      <w:r w:rsidRPr="00EC2648">
        <w:rPr>
          <w:rFonts w:ascii="Times New Roman" w:hAnsi="Times New Roman" w:cs="Times New Roman"/>
          <w:lang w:val="en-US"/>
        </w:rPr>
        <w:t xml:space="preserve">. </w:t>
      </w:r>
      <w:r w:rsidR="00FB5261" w:rsidRPr="00EC2648">
        <w:rPr>
          <w:rFonts w:ascii="Times New Roman" w:hAnsi="Times New Roman" w:cs="Times New Roman"/>
          <w:lang w:val="en-US"/>
        </w:rPr>
        <w:t xml:space="preserve">Recommendation 22 of the </w:t>
      </w:r>
      <w:r w:rsidR="00FB5261" w:rsidRPr="00EC2648">
        <w:rPr>
          <w:rFonts w:ascii="Times New Roman" w:hAnsi="Times New Roman" w:cs="Times New Roman"/>
          <w:i/>
          <w:iCs/>
          <w:lang w:val="en-US"/>
        </w:rPr>
        <w:t>Review of the model Work Health and Safety laws: Final report</w:t>
      </w:r>
      <w:r w:rsidR="00FB5261" w:rsidRPr="00EC2648">
        <w:rPr>
          <w:rFonts w:ascii="Times New Roman" w:hAnsi="Times New Roman" w:cs="Times New Roman"/>
          <w:lang w:val="en-US"/>
        </w:rPr>
        <w:t xml:space="preserve"> </w:t>
      </w:r>
      <w:r w:rsidR="00DC6F40" w:rsidRPr="00EC2648">
        <w:rPr>
          <w:rFonts w:ascii="Times New Roman" w:hAnsi="Times New Roman" w:cs="Times New Roman"/>
          <w:lang w:val="en-US"/>
        </w:rPr>
        <w:t>found that penalties in the model laws h</w:t>
      </w:r>
      <w:r w:rsidR="006C377D" w:rsidRPr="00EC2648">
        <w:rPr>
          <w:rFonts w:ascii="Times New Roman" w:hAnsi="Times New Roman" w:cs="Times New Roman"/>
          <w:lang w:val="en-US"/>
        </w:rPr>
        <w:t>ad not increased since publication and needed to be increased to maintain relative value</w:t>
      </w:r>
      <w:r w:rsidR="00FB5261" w:rsidRPr="00EC2648">
        <w:rPr>
          <w:rFonts w:ascii="Times New Roman" w:hAnsi="Times New Roman" w:cs="Times New Roman"/>
          <w:lang w:val="en-US"/>
        </w:rPr>
        <w:t xml:space="preserve"> to ensure they remain effective and appropriate.</w:t>
      </w:r>
      <w:r w:rsidR="006C377D" w:rsidRPr="00EC2648">
        <w:rPr>
          <w:rFonts w:ascii="Times New Roman" w:hAnsi="Times New Roman" w:cs="Times New Roman"/>
          <w:lang w:val="en-US"/>
        </w:rPr>
        <w:t xml:space="preserve"> </w:t>
      </w:r>
      <w:r w:rsidRPr="00EC2648">
        <w:rPr>
          <w:rFonts w:ascii="Times New Roman" w:hAnsi="Times New Roman" w:cs="Times New Roman"/>
          <w:lang w:val="en-US"/>
        </w:rPr>
        <w:t xml:space="preserve">Schedule 4 to the </w:t>
      </w:r>
      <w:r w:rsidRPr="00EC2648">
        <w:rPr>
          <w:rFonts w:ascii="Times New Roman" w:hAnsi="Times New Roman" w:cs="Times New Roman"/>
          <w:i/>
          <w:iCs/>
          <w:lang w:val="en-US"/>
        </w:rPr>
        <w:t xml:space="preserve">Fair Work </w:t>
      </w:r>
      <w:r w:rsidR="000B5807">
        <w:rPr>
          <w:rFonts w:ascii="Times New Roman" w:hAnsi="Times New Roman" w:cs="Times New Roman"/>
          <w:i/>
          <w:iCs/>
          <w:lang w:val="en-US"/>
        </w:rPr>
        <w:t xml:space="preserve">Legislation </w:t>
      </w:r>
      <w:r w:rsidRPr="00EC2648">
        <w:rPr>
          <w:rFonts w:ascii="Times New Roman" w:hAnsi="Times New Roman" w:cs="Times New Roman"/>
          <w:i/>
          <w:iCs/>
          <w:lang w:val="en-US"/>
        </w:rPr>
        <w:t>Amendment (Closing Loopholes) Act 2023</w:t>
      </w:r>
      <w:r w:rsidRPr="00EC2648">
        <w:rPr>
          <w:rFonts w:ascii="Times New Roman" w:hAnsi="Times New Roman" w:cs="Times New Roman"/>
          <w:lang w:val="en-US"/>
        </w:rPr>
        <w:t xml:space="preserve"> (</w:t>
      </w:r>
      <w:r w:rsidR="00CF39F2">
        <w:rPr>
          <w:rFonts w:ascii="Times New Roman" w:hAnsi="Times New Roman" w:cs="Times New Roman"/>
          <w:lang w:val="en-US"/>
        </w:rPr>
        <w:t xml:space="preserve">the </w:t>
      </w:r>
      <w:r w:rsidRPr="00EC2648">
        <w:rPr>
          <w:rFonts w:ascii="Times New Roman" w:hAnsi="Times New Roman" w:cs="Times New Roman"/>
          <w:lang w:val="en-US"/>
        </w:rPr>
        <w:t>Closing Loopholes</w:t>
      </w:r>
      <w:r w:rsidR="00CF39F2">
        <w:rPr>
          <w:rFonts w:ascii="Times New Roman" w:hAnsi="Times New Roman" w:cs="Times New Roman"/>
          <w:lang w:val="en-US"/>
        </w:rPr>
        <w:t xml:space="preserve"> Act</w:t>
      </w:r>
      <w:r w:rsidRPr="00EC2648">
        <w:rPr>
          <w:rFonts w:ascii="Times New Roman" w:hAnsi="Times New Roman" w:cs="Times New Roman"/>
          <w:lang w:val="en-US"/>
        </w:rPr>
        <w:t xml:space="preserve">) adopted and implemented those </w:t>
      </w:r>
      <w:r w:rsidR="00A503FA" w:rsidRPr="00EC2648">
        <w:rPr>
          <w:rFonts w:ascii="Times New Roman" w:hAnsi="Times New Roman" w:cs="Times New Roman"/>
          <w:lang w:val="en-US"/>
        </w:rPr>
        <w:t xml:space="preserve">model </w:t>
      </w:r>
      <w:r w:rsidRPr="00EC2648">
        <w:rPr>
          <w:rFonts w:ascii="Times New Roman" w:hAnsi="Times New Roman" w:cs="Times New Roman"/>
          <w:lang w:val="en-US"/>
        </w:rPr>
        <w:t>amendments to the</w:t>
      </w:r>
      <w:r w:rsidR="00A503FA" w:rsidRPr="00EC2648">
        <w:rPr>
          <w:rFonts w:ascii="Times New Roman" w:hAnsi="Times New Roman" w:cs="Times New Roman"/>
          <w:lang w:val="en-US"/>
        </w:rPr>
        <w:t xml:space="preserve"> WHS Act</w:t>
      </w:r>
      <w:r w:rsidRPr="00EC2648">
        <w:rPr>
          <w:rFonts w:ascii="Times New Roman" w:hAnsi="Times New Roman" w:cs="Times New Roman"/>
          <w:lang w:val="en-US"/>
        </w:rPr>
        <w:t xml:space="preserve">. The </w:t>
      </w:r>
      <w:r w:rsidR="00CF39F2" w:rsidRPr="06219498">
        <w:rPr>
          <w:rFonts w:ascii="Times New Roman" w:eastAsia="Times New Roman" w:hAnsi="Times New Roman" w:cs="Times New Roman"/>
          <w:i/>
          <w:iCs/>
          <w:color w:val="000000" w:themeColor="text1"/>
        </w:rPr>
        <w:t>Work Health and Safety Amendment (</w:t>
      </w:r>
      <w:r w:rsidR="00CF39F2" w:rsidRPr="00ED5404">
        <w:rPr>
          <w:rFonts w:ascii="Times New Roman" w:eastAsia="Times New Roman" w:hAnsi="Times New Roman" w:cs="Times New Roman"/>
          <w:i/>
          <w:iCs/>
          <w:color w:val="000000" w:themeColor="text1"/>
        </w:rPr>
        <w:t>Penalties and Engineered Stone and Crystalline Silica Substances</w:t>
      </w:r>
      <w:r w:rsidR="00CF39F2" w:rsidRPr="06219498">
        <w:rPr>
          <w:rFonts w:ascii="Times New Roman" w:eastAsia="Times New Roman" w:hAnsi="Times New Roman" w:cs="Times New Roman"/>
          <w:i/>
          <w:iCs/>
          <w:color w:val="000000" w:themeColor="text1"/>
        </w:rPr>
        <w:t xml:space="preserve">) Regulations </w:t>
      </w:r>
      <w:r w:rsidR="00CF39F2" w:rsidRPr="00504D6A">
        <w:rPr>
          <w:rFonts w:ascii="Times New Roman" w:eastAsia="Times New Roman" w:hAnsi="Times New Roman" w:cs="Times New Roman"/>
          <w:i/>
          <w:iCs/>
          <w:color w:val="000000" w:themeColor="text1"/>
        </w:rPr>
        <w:t>2024</w:t>
      </w:r>
      <w:r w:rsidR="00CF39F2">
        <w:rPr>
          <w:rFonts w:ascii="Times New Roman" w:eastAsia="Times New Roman" w:hAnsi="Times New Roman" w:cs="Times New Roman"/>
          <w:iCs/>
          <w:color w:val="000000" w:themeColor="text1"/>
        </w:rPr>
        <w:t xml:space="preserve"> (the </w:t>
      </w:r>
      <w:r w:rsidR="00CF39F2" w:rsidRPr="00371E60">
        <w:rPr>
          <w:rFonts w:ascii="Times New Roman" w:eastAsia="Times New Roman" w:hAnsi="Times New Roman" w:cs="Times New Roman"/>
        </w:rPr>
        <w:t>Amendment</w:t>
      </w:r>
      <w:r w:rsidR="00CF39F2" w:rsidRPr="50CB6689">
        <w:rPr>
          <w:rFonts w:ascii="Times New Roman" w:eastAsia="Times New Roman" w:hAnsi="Times New Roman" w:cs="Times New Roman"/>
        </w:rPr>
        <w:t xml:space="preserve"> Regulations</w:t>
      </w:r>
      <w:r w:rsidR="00CF39F2">
        <w:rPr>
          <w:rFonts w:ascii="Times New Roman" w:eastAsia="Times New Roman" w:hAnsi="Times New Roman" w:cs="Times New Roman"/>
        </w:rPr>
        <w:t>)</w:t>
      </w:r>
      <w:r w:rsidR="00CF39F2" w:rsidRPr="50CB6689">
        <w:rPr>
          <w:rFonts w:ascii="Times New Roman" w:eastAsia="Times New Roman" w:hAnsi="Times New Roman" w:cs="Times New Roman"/>
        </w:rPr>
        <w:t xml:space="preserve"> </w:t>
      </w:r>
      <w:r w:rsidRPr="00EC2648">
        <w:rPr>
          <w:rFonts w:ascii="Times New Roman" w:hAnsi="Times New Roman" w:cs="Times New Roman"/>
          <w:lang w:val="en-US"/>
        </w:rPr>
        <w:t xml:space="preserve">adopt and implement the model amendments to the </w:t>
      </w:r>
      <w:r w:rsidR="00CF39F2" w:rsidRPr="00CF39F2">
        <w:rPr>
          <w:rFonts w:ascii="Times New Roman" w:hAnsi="Times New Roman" w:cs="Times New Roman"/>
          <w:i/>
          <w:iCs/>
          <w:lang w:val="en-US"/>
        </w:rPr>
        <w:t>Work Health and Safety Regulations 2011</w:t>
      </w:r>
      <w:r w:rsidR="00CF39F2">
        <w:rPr>
          <w:rFonts w:ascii="Times New Roman" w:hAnsi="Times New Roman" w:cs="Times New Roman"/>
          <w:lang w:val="en-US"/>
        </w:rPr>
        <w:t xml:space="preserve"> (</w:t>
      </w:r>
      <w:r w:rsidRPr="00EC2648">
        <w:rPr>
          <w:rFonts w:ascii="Times New Roman" w:hAnsi="Times New Roman" w:cs="Times New Roman"/>
          <w:lang w:val="en-US"/>
        </w:rPr>
        <w:t>Principal Regulations</w:t>
      </w:r>
      <w:r w:rsidR="00CF39F2">
        <w:rPr>
          <w:rFonts w:ascii="Times New Roman" w:hAnsi="Times New Roman" w:cs="Times New Roman"/>
          <w:lang w:val="en-US"/>
        </w:rPr>
        <w:t>)</w:t>
      </w:r>
      <w:r w:rsidRPr="00EC2648">
        <w:rPr>
          <w:rFonts w:ascii="Times New Roman" w:hAnsi="Times New Roman" w:cs="Times New Roman"/>
          <w:lang w:val="en-US"/>
        </w:rPr>
        <w:t>.</w:t>
      </w:r>
      <w:r w:rsidRPr="00EC2648">
        <w:rPr>
          <w:lang w:val="en-US"/>
        </w:rPr>
        <w:t xml:space="preserve"> </w:t>
      </w:r>
    </w:p>
    <w:p w14:paraId="2190B9D8" w14:textId="12372998" w:rsidR="00324670" w:rsidRPr="00EC2648" w:rsidRDefault="00324670" w:rsidP="00C333DE">
      <w:pPr>
        <w:spacing w:after="0" w:line="276" w:lineRule="auto"/>
        <w:ind w:firstLine="60"/>
        <w:rPr>
          <w:rFonts w:ascii="Times New Roman" w:eastAsia="Times New Roman" w:hAnsi="Times New Roman" w:cs="Times New Roman"/>
          <w:color w:val="000000" w:themeColor="text1"/>
          <w:lang w:val="en-US"/>
        </w:rPr>
      </w:pPr>
    </w:p>
    <w:p w14:paraId="05E709A1" w14:textId="7CD2E16D" w:rsidR="4992BB5D" w:rsidRPr="00EC2648" w:rsidRDefault="4992BB5D" w:rsidP="00CA1039">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Part 6 of Schedule 4 to </w:t>
      </w:r>
      <w:r w:rsidR="00CF39F2">
        <w:rPr>
          <w:rFonts w:ascii="Times New Roman" w:eastAsia="Times New Roman" w:hAnsi="Times New Roman" w:cs="Times New Roman"/>
          <w:color w:val="000000" w:themeColor="text1"/>
        </w:rPr>
        <w:t xml:space="preserve">the </w:t>
      </w:r>
      <w:r w:rsidRPr="00EC2648">
        <w:rPr>
          <w:rFonts w:ascii="Times New Roman" w:eastAsia="Times New Roman" w:hAnsi="Times New Roman" w:cs="Times New Roman"/>
          <w:color w:val="000000" w:themeColor="text1"/>
        </w:rPr>
        <w:t>Closing Loopholes</w:t>
      </w:r>
      <w:r w:rsidR="00CF39F2">
        <w:rPr>
          <w:rFonts w:ascii="Times New Roman" w:eastAsia="Times New Roman" w:hAnsi="Times New Roman" w:cs="Times New Roman"/>
          <w:color w:val="000000" w:themeColor="text1"/>
        </w:rPr>
        <w:t xml:space="preserve"> Act</w:t>
      </w:r>
      <w:r w:rsidRPr="00EC2648">
        <w:rPr>
          <w:rFonts w:ascii="Times New Roman" w:eastAsia="Times New Roman" w:hAnsi="Times New Roman" w:cs="Times New Roman"/>
          <w:color w:val="000000" w:themeColor="text1"/>
        </w:rPr>
        <w:t xml:space="preserve"> added a new Schedule 4 to the WHS Act setting out new monetary penalty tiers and an annual indexing mechanism. The number of monetary penalty provisions in the WHS Act and </w:t>
      </w:r>
      <w:r w:rsidR="00CF39F2">
        <w:rPr>
          <w:rFonts w:ascii="Times New Roman" w:eastAsia="Times New Roman" w:hAnsi="Times New Roman" w:cs="Times New Roman"/>
          <w:color w:val="000000" w:themeColor="text1"/>
        </w:rPr>
        <w:t>the Principal</w:t>
      </w:r>
      <w:r w:rsidRPr="00EC2648">
        <w:rPr>
          <w:rFonts w:ascii="Times New Roman" w:eastAsia="Times New Roman" w:hAnsi="Times New Roman" w:cs="Times New Roman"/>
          <w:color w:val="000000" w:themeColor="text1"/>
        </w:rPr>
        <w:t xml:space="preserve"> Regulations meant it was considered impractical to modify each penalty provision annually. The Amendment Regulations amend penalty provisions to replace monetary penalty amounts with references to the relevant penalty tier. This ensures indexing applies to all monetary penalties in the </w:t>
      </w:r>
      <w:r w:rsidR="00E9653C" w:rsidRPr="00EC2648">
        <w:rPr>
          <w:rFonts w:ascii="Times New Roman" w:eastAsia="Times New Roman" w:hAnsi="Times New Roman" w:cs="Times New Roman"/>
          <w:color w:val="000000" w:themeColor="text1"/>
        </w:rPr>
        <w:t>WHS Act and Principal Regulations</w:t>
      </w:r>
      <w:r w:rsidRPr="00EC2648">
        <w:rPr>
          <w:rFonts w:ascii="Times New Roman" w:eastAsia="Times New Roman" w:hAnsi="Times New Roman" w:cs="Times New Roman"/>
          <w:color w:val="000000" w:themeColor="text1"/>
        </w:rPr>
        <w:t>.</w:t>
      </w:r>
    </w:p>
    <w:p w14:paraId="0B4CE1BE" w14:textId="77777777" w:rsidR="00CA1039" w:rsidRPr="00EC2648" w:rsidRDefault="00CA1039" w:rsidP="00C333DE">
      <w:pPr>
        <w:pStyle w:val="ListParagraph"/>
        <w:spacing w:after="0" w:line="257" w:lineRule="auto"/>
        <w:ind w:left="360"/>
        <w:rPr>
          <w:rFonts w:ascii="Times New Roman" w:eastAsia="Times New Roman" w:hAnsi="Times New Roman" w:cs="Times New Roman"/>
          <w:color w:val="000000" w:themeColor="text1"/>
        </w:rPr>
      </w:pPr>
    </w:p>
    <w:p w14:paraId="3F5D35C3" w14:textId="641C2099" w:rsidR="5EEDA770" w:rsidRPr="00EC2648" w:rsidRDefault="5EEDA77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009A2706" w:rsidRPr="00EC2648">
        <w:rPr>
          <w:rFonts w:ascii="Times New Roman" w:eastAsia="Times New Roman" w:hAnsi="Times New Roman" w:cs="Times New Roman"/>
          <w:color w:val="000000" w:themeColor="text1"/>
        </w:rPr>
        <w:t>pre-existing notes which are relocated by amendments in Schedule 1 identify the operation of section 12F of the WHS Act for the reader</w:t>
      </w:r>
      <w:r w:rsidR="006834DC"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w:t>
      </w:r>
      <w:r w:rsidR="00DD76AF"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ection 12F of the WHS Act provides that strict liability applies to each physical element of each offence under the WHS Act, unless otherwise stated</w:t>
      </w:r>
      <w:r w:rsidR="003856A2" w:rsidRPr="00EC2648">
        <w:rPr>
          <w:rFonts w:ascii="Times New Roman" w:eastAsia="Times New Roman" w:hAnsi="Times New Roman" w:cs="Times New Roman"/>
          <w:color w:val="000000" w:themeColor="text1"/>
        </w:rPr>
        <w:t>. T</w:t>
      </w:r>
      <w:r w:rsidRPr="00EC2648">
        <w:rPr>
          <w:rFonts w:ascii="Times New Roman" w:eastAsia="Times New Roman" w:hAnsi="Times New Roman" w:cs="Times New Roman"/>
          <w:color w:val="000000" w:themeColor="text1"/>
        </w:rPr>
        <w:t xml:space="preserve">he reference in section 12F </w:t>
      </w:r>
      <w:r w:rsidR="003856A2" w:rsidRPr="00EC2648">
        <w:rPr>
          <w:rFonts w:ascii="Times New Roman" w:eastAsia="Times New Roman" w:hAnsi="Times New Roman" w:cs="Times New Roman"/>
          <w:color w:val="000000" w:themeColor="text1"/>
        </w:rPr>
        <w:t>to</w:t>
      </w:r>
      <w:r w:rsidRPr="00EC2648">
        <w:rPr>
          <w:rFonts w:ascii="Times New Roman" w:eastAsia="Times New Roman" w:hAnsi="Times New Roman" w:cs="Times New Roman"/>
          <w:color w:val="000000" w:themeColor="text1"/>
        </w:rPr>
        <w:t xml:space="preserve"> the Act includes </w:t>
      </w:r>
      <w:r w:rsidR="003856A2" w:rsidRPr="00EC2648">
        <w:rPr>
          <w:rFonts w:ascii="Times New Roman" w:eastAsia="Times New Roman" w:hAnsi="Times New Roman" w:cs="Times New Roman"/>
          <w:color w:val="000000" w:themeColor="text1"/>
        </w:rPr>
        <w:t xml:space="preserve">the Principal </w:t>
      </w:r>
      <w:r w:rsidRPr="00EC2648">
        <w:rPr>
          <w:rFonts w:ascii="Times New Roman" w:eastAsia="Times New Roman" w:hAnsi="Times New Roman" w:cs="Times New Roman"/>
          <w:color w:val="000000" w:themeColor="text1"/>
        </w:rPr>
        <w:t>Regulations.</w:t>
      </w:r>
      <w:r w:rsidR="00372D47" w:rsidRPr="00EC2648">
        <w:rPr>
          <w:rFonts w:ascii="Times New Roman" w:eastAsia="Times New Roman" w:hAnsi="Times New Roman" w:cs="Times New Roman"/>
          <w:color w:val="000000" w:themeColor="text1"/>
        </w:rPr>
        <w:t xml:space="preserve"> These notes do not introduce new offences with strict liability.</w:t>
      </w:r>
    </w:p>
    <w:p w14:paraId="346A80FE" w14:textId="6A2692EC" w:rsidR="00EC17BF" w:rsidRPr="00EC2648" w:rsidRDefault="00EC17BF" w:rsidP="00C03580">
      <w:pPr>
        <w:spacing w:before="240" w:after="240" w:line="257" w:lineRule="auto"/>
        <w:jc w:val="both"/>
        <w:rPr>
          <w:rFonts w:ascii="Times New Roman" w:eastAsia="Times New Roman" w:hAnsi="Times New Roman" w:cs="Times New Roman"/>
          <w:i/>
          <w:iCs/>
          <w:lang w:val="en-US"/>
        </w:rPr>
      </w:pPr>
      <w:r w:rsidRPr="00EC2648">
        <w:rPr>
          <w:rFonts w:ascii="Times New Roman" w:eastAsia="Times New Roman" w:hAnsi="Times New Roman" w:cs="Times New Roman"/>
          <w:i/>
          <w:iCs/>
        </w:rPr>
        <w:t xml:space="preserve">Explanation </w:t>
      </w:r>
      <w:r w:rsidR="000E6E45" w:rsidRPr="00EC2648">
        <w:rPr>
          <w:rFonts w:ascii="Times New Roman" w:eastAsia="Times New Roman" w:hAnsi="Times New Roman" w:cs="Times New Roman"/>
          <w:i/>
          <w:iCs/>
        </w:rPr>
        <w:t>about strict liability in the Principal Regulations</w:t>
      </w:r>
    </w:p>
    <w:p w14:paraId="65A8BE57" w14:textId="68CCC5F3" w:rsidR="5EEDA770" w:rsidRPr="00EC2648" w:rsidRDefault="5EEDA770" w:rsidP="00CA1039">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Due to the operation of subsection 12F(2) of the WHS Act, strict liability applies to the offences in the Amendment Regulations. Most offences in the WHS Act </w:t>
      </w:r>
      <w:r w:rsidR="009412BB" w:rsidRPr="00EC2648">
        <w:rPr>
          <w:rFonts w:ascii="Times New Roman" w:eastAsia="Times New Roman" w:hAnsi="Times New Roman" w:cs="Times New Roman"/>
          <w:color w:val="000000" w:themeColor="text1"/>
        </w:rPr>
        <w:t xml:space="preserve">and Principal Regulations </w:t>
      </w:r>
      <w:r w:rsidRPr="00EC2648">
        <w:rPr>
          <w:rFonts w:ascii="Times New Roman" w:eastAsia="Times New Roman" w:hAnsi="Times New Roman" w:cs="Times New Roman"/>
          <w:color w:val="000000" w:themeColor="text1"/>
        </w:rPr>
        <w:t xml:space="preserve">include strict liability elements or are strict liability. Including strict liability as a feature of offences was carefully considered when the WHS Act was first introduced as the presumption of innocence can be seen to be impinged by removing the requirement for the prosecution to prove fault in relation to one or more physical elements of an offence. </w:t>
      </w:r>
    </w:p>
    <w:p w14:paraId="52866F08" w14:textId="77777777" w:rsidR="00CA1039" w:rsidRPr="00EC2648" w:rsidRDefault="00CA1039" w:rsidP="00C333DE">
      <w:pPr>
        <w:pStyle w:val="ListParagraph"/>
        <w:spacing w:after="0" w:line="257" w:lineRule="auto"/>
        <w:ind w:left="360"/>
        <w:rPr>
          <w:rFonts w:ascii="Times New Roman" w:eastAsia="Times New Roman" w:hAnsi="Times New Roman" w:cs="Times New Roman"/>
          <w:color w:val="000000" w:themeColor="text1"/>
        </w:rPr>
      </w:pPr>
    </w:p>
    <w:p w14:paraId="073D16AD" w14:textId="261B7057" w:rsidR="5EEDA770" w:rsidRPr="00EC2648" w:rsidRDefault="5EEDA77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WHS offences arise in a regulatory context where, for reasons such as public safety, and the public interest in ensuring that regulatory schemes are observed, the sanction of criminal penalties is justified. The offences also arise in a context where a defendant can reasonably be expected, because of their professional involvement, to know the requirements of the law, </w:t>
      </w:r>
      <w:r w:rsidRPr="00EC2648">
        <w:rPr>
          <w:rFonts w:ascii="Times New Roman" w:eastAsia="Times New Roman" w:hAnsi="Times New Roman" w:cs="Times New Roman"/>
          <w:color w:val="000000" w:themeColor="text1"/>
        </w:rPr>
        <w:lastRenderedPageBreak/>
        <w:t>and the mental, or fault, element can justifiably be excluded. The rationale is that people who owe WHS duties such as employers, persons in control of aspects of work, and designers and manufacturers of work structures and products, as opposed to members of the general public, can be expected to be aware of their duties and obligations to workers and the wider public.</w:t>
      </w:r>
    </w:p>
    <w:p w14:paraId="538807B9" w14:textId="0605B09D" w:rsidR="5602C6F0" w:rsidRPr="00EC2648" w:rsidRDefault="5602C6F0" w:rsidP="00C03580">
      <w:pPr>
        <w:spacing w:after="0" w:line="276" w:lineRule="auto"/>
        <w:rPr>
          <w:rFonts w:ascii="Times New Roman" w:eastAsia="Times New Roman" w:hAnsi="Times New Roman" w:cs="Times New Roman"/>
          <w:lang w:val="en-US"/>
        </w:rPr>
      </w:pPr>
    </w:p>
    <w:p w14:paraId="7C71618A" w14:textId="652C7F11" w:rsidR="5EEDA770" w:rsidRPr="00EC2648" w:rsidRDefault="5EEDA77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application of strict liability to a particular element means that the prosecution is not required to prove fault in relation to that matter. However, as per paragraph 6.1(2)(b) of the </w:t>
      </w:r>
      <w:r w:rsidRPr="00EC2648">
        <w:rPr>
          <w:rFonts w:ascii="Times New Roman" w:eastAsia="Times New Roman" w:hAnsi="Times New Roman" w:cs="Times New Roman"/>
          <w:i/>
          <w:iCs/>
          <w:color w:val="000000" w:themeColor="text1"/>
        </w:rPr>
        <w:t>Criminal Code</w:t>
      </w:r>
      <w:r w:rsidR="00EB72AD" w:rsidRPr="00EC2648">
        <w:rPr>
          <w:rFonts w:ascii="Times New Roman" w:eastAsia="Times New Roman" w:hAnsi="Times New Roman" w:cs="Times New Roman"/>
          <w:i/>
          <w:iCs/>
          <w:color w:val="000000" w:themeColor="text1"/>
        </w:rPr>
        <w:t xml:space="preserve"> Act 19</w:t>
      </w:r>
      <w:r w:rsidR="00EA04BA" w:rsidRPr="00EC2648">
        <w:rPr>
          <w:rFonts w:ascii="Times New Roman" w:eastAsia="Times New Roman" w:hAnsi="Times New Roman" w:cs="Times New Roman"/>
          <w:i/>
          <w:iCs/>
          <w:color w:val="000000" w:themeColor="text1"/>
        </w:rPr>
        <w:t>95</w:t>
      </w:r>
      <w:r w:rsidR="00EA04BA" w:rsidRPr="00EC2648">
        <w:rPr>
          <w:rFonts w:ascii="Times New Roman" w:eastAsia="Times New Roman" w:hAnsi="Times New Roman" w:cs="Times New Roman"/>
          <w:color w:val="000000" w:themeColor="text1"/>
        </w:rPr>
        <w:t xml:space="preserve"> (Criminal Code)</w:t>
      </w:r>
      <w:r w:rsidRPr="00EC2648">
        <w:rPr>
          <w:rFonts w:ascii="Times New Roman" w:eastAsia="Times New Roman" w:hAnsi="Times New Roman" w:cs="Times New Roman"/>
          <w:color w:val="000000" w:themeColor="text1"/>
        </w:rPr>
        <w:t>, the defence of mistake of fact under section 9.2 of the Criminal Code would be available in relation to these elements. This means where the accused produced evidence of an honest and reasonable, but mistaken, belief in the existence of certain facts which, if true, the conduct would not have constituted the offence, it will be incumbent on the prosecution to establish that there was not an honest and reasonable mistake of fact.</w:t>
      </w:r>
    </w:p>
    <w:p w14:paraId="1FE8F9DE" w14:textId="62C7D515" w:rsidR="5602C6F0" w:rsidRPr="00EC2648" w:rsidRDefault="5602C6F0" w:rsidP="5602C6F0">
      <w:pPr>
        <w:spacing w:after="0" w:line="276" w:lineRule="auto"/>
        <w:rPr>
          <w:rFonts w:ascii="Times New Roman" w:eastAsia="Times New Roman" w:hAnsi="Times New Roman" w:cs="Times New Roman"/>
        </w:rPr>
      </w:pPr>
    </w:p>
    <w:p w14:paraId="5CC13D57" w14:textId="3B03DA3B" w:rsidR="5EEDA770" w:rsidRPr="00EC2648" w:rsidRDefault="5EEDA77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legitimate aim of strict liability for WHS offences, is to ensure defendants operating in the WHS regulatory context are held accountable for breaches of their positive duties to ensure a safe and healthy workplace, is proportionate to any limitation it places on the presumption of innocence.</w:t>
      </w:r>
    </w:p>
    <w:p w14:paraId="278479EE" w14:textId="0872C2AC" w:rsidR="00324670" w:rsidRPr="00EC2648" w:rsidRDefault="00324670" w:rsidP="17187F2A">
      <w:pPr>
        <w:spacing w:after="0" w:line="257" w:lineRule="auto"/>
        <w:rPr>
          <w:rFonts w:ascii="Times New Roman" w:eastAsia="Times New Roman" w:hAnsi="Times New Roman" w:cs="Times New Roman"/>
          <w:lang w:val="en-US"/>
        </w:rPr>
      </w:pPr>
    </w:p>
    <w:p w14:paraId="7EAE4AA9" w14:textId="39C25735" w:rsidR="7A3B2589" w:rsidRPr="00EC2648" w:rsidRDefault="7A3B2589" w:rsidP="449A4E7C">
      <w:pPr>
        <w:spacing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u w:val="single"/>
          <w:lang w:val="en-US"/>
        </w:rPr>
        <w:t>Part 1– Tier G monetary penalty offences</w:t>
      </w:r>
    </w:p>
    <w:p w14:paraId="31BE730C" w14:textId="7BE220E3" w:rsidR="7A3B2589" w:rsidRPr="00EC2648" w:rsidRDefault="7A3B2589" w:rsidP="449A4E7C">
      <w:pPr>
        <w:spacing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u w:val="single"/>
          <w:lang w:val="en-US"/>
        </w:rPr>
        <w:t>Division 1 – Amendments of listed provisions</w:t>
      </w:r>
    </w:p>
    <w:p w14:paraId="3F477E6F" w14:textId="7755A1BB"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Part 1 amends several penalty provisions in the Principal Regulations to replace the existing monetary amount with the tier G monetary penalty. The location of existing notes and examples within these provisions are moved for consistency with current drafting practice.</w:t>
      </w:r>
    </w:p>
    <w:p w14:paraId="18197B1B" w14:textId="77777777" w:rsidR="00D841D3" w:rsidRPr="00EC2648" w:rsidRDefault="00D841D3" w:rsidP="00C333DE">
      <w:pPr>
        <w:pStyle w:val="ListParagraph"/>
        <w:spacing w:after="0" w:line="257" w:lineRule="auto"/>
        <w:ind w:left="360"/>
        <w:rPr>
          <w:rFonts w:ascii="Times New Roman" w:eastAsia="Times New Roman" w:hAnsi="Times New Roman" w:cs="Times New Roman"/>
          <w:color w:val="000000" w:themeColor="text1"/>
        </w:rPr>
      </w:pPr>
    </w:p>
    <w:p w14:paraId="6419B7F3" w14:textId="48E4A205"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provides that section 12F of the WHS Act provides that strict liability applies to each physical element of each offence under the WHS Act, unless otherwise stated. The reference in section 12F of the Act includes these Amendment Regulations</w:t>
      </w:r>
      <w:r w:rsidR="00CF39F2">
        <w:rPr>
          <w:rFonts w:ascii="Times New Roman" w:eastAsia="Times New Roman" w:hAnsi="Times New Roman" w:cs="Times New Roman"/>
          <w:color w:val="000000" w:themeColor="text1"/>
        </w:rPr>
        <w:t xml:space="preserve"> and the Principal Regulations</w:t>
      </w:r>
      <w:r w:rsidRPr="00EC2648">
        <w:rPr>
          <w:rFonts w:ascii="Times New Roman" w:eastAsia="Times New Roman" w:hAnsi="Times New Roman" w:cs="Times New Roman"/>
          <w:color w:val="000000" w:themeColor="text1"/>
        </w:rPr>
        <w:t xml:space="preserve">. </w:t>
      </w:r>
    </w:p>
    <w:p w14:paraId="1FB79839" w14:textId="77777777" w:rsidR="00AF2EAD" w:rsidRPr="00EC2648" w:rsidRDefault="00AF2EAD" w:rsidP="00C333DE">
      <w:pPr>
        <w:pStyle w:val="ListParagraph"/>
        <w:spacing w:after="0" w:line="257" w:lineRule="auto"/>
        <w:ind w:left="360"/>
        <w:rPr>
          <w:rFonts w:ascii="Times New Roman" w:eastAsia="Times New Roman" w:hAnsi="Times New Roman" w:cs="Times New Roman"/>
          <w:color w:val="000000" w:themeColor="text1"/>
        </w:rPr>
      </w:pPr>
    </w:p>
    <w:p w14:paraId="611219AF" w14:textId="05B17C85" w:rsidR="1D928CA2" w:rsidRPr="00EC2648" w:rsidRDefault="1D928CA2"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w:t>
      </w:r>
    </w:p>
    <w:p w14:paraId="64179BD6" w14:textId="6789C70E"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Item 1 Amendments to listed provisions- tier G penalties</w:t>
      </w:r>
    </w:p>
    <w:p w14:paraId="1DEEBE32" w14:textId="4B265F86"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amends regulations 19, 22(3), 46(2) to (4), 47, 50(3), 66(2) and (5), 68(1), 70(1) and (2), 77(5), 85(1) to (3), 149(1), 150(1), 151, 162(4), 165(1), 176(2), 182(4)195, 196, 198, 200, 213(1), 224(1) and (2), 235(2), 236(1) to (3), 239(1) and (2), 253, 254, 294(1), 295 (1) and (2),296, 298(1), 301, 302, 303(3), </w:t>
      </w:r>
      <w:r w:rsidR="00FF17AE">
        <w:rPr>
          <w:rFonts w:ascii="Times New Roman" w:eastAsia="Times New Roman" w:hAnsi="Times New Roman" w:cs="Times New Roman"/>
          <w:color w:val="000000" w:themeColor="text1"/>
        </w:rPr>
        <w:t xml:space="preserve">304(2) and (3), </w:t>
      </w:r>
      <w:r w:rsidRPr="00EC2648">
        <w:rPr>
          <w:rFonts w:ascii="Times New Roman" w:eastAsia="Times New Roman" w:hAnsi="Times New Roman" w:cs="Times New Roman"/>
          <w:color w:val="000000" w:themeColor="text1"/>
        </w:rPr>
        <w:t xml:space="preserve">308, 310, 311(1) and (2), 313(3), 316, 317(1), 327, 337(1) and (2), 338(1), 344(3), (5) and (6), 346(3), 347(3), 369, 371(2), 372(1), 373, 385, 387(3), 388(2) and (3), 398(2), 401(1), 403(1) and (3), 409(1), 410, 415(2), 425(1) and (2), 426, 427(1) and (2), 428, 429(5), 430(1), 432(5), 438(1) and (2), 439, 446(1) and (3), 451(5), 454(2) and (3), 455(2) and (3), 464(3), 465(1) to (3), 466(1) and (3), 482(3), 529, </w:t>
      </w:r>
      <w:r w:rsidRPr="00EC2648">
        <w:rPr>
          <w:rFonts w:ascii="Times New Roman" w:eastAsia="Times New Roman" w:hAnsi="Times New Roman" w:cs="Times New Roman"/>
          <w:color w:val="000000" w:themeColor="text1"/>
        </w:rPr>
        <w:lastRenderedPageBreak/>
        <w:t>547(2), 548(2), 551, 553(4) and (5), 555(5), 560, 562(2),567(4), 576(1)</w:t>
      </w:r>
      <w:r w:rsidR="00EC14A2" w:rsidRPr="00EC2648">
        <w:rPr>
          <w:rFonts w:ascii="Times New Roman" w:eastAsia="Times New Roman" w:hAnsi="Times New Roman" w:cs="Times New Roman"/>
          <w:color w:val="000000" w:themeColor="text1"/>
        </w:rPr>
        <w:t>. Each penalty would be amended to provide for a maximum tier G monetary penalty instead of the current monetary amount.  </w:t>
      </w:r>
      <w:r w:rsidRPr="00EC2648">
        <w:rPr>
          <w:rFonts w:ascii="Times New Roman" w:eastAsia="Times New Roman" w:hAnsi="Times New Roman" w:cs="Times New Roman"/>
          <w:color w:val="000000" w:themeColor="text1"/>
        </w:rPr>
        <w:t xml:space="preserve"> </w:t>
      </w:r>
    </w:p>
    <w:p w14:paraId="39D07F21" w14:textId="7E536CF2" w:rsidR="7A3B2589" w:rsidRPr="00EC2648" w:rsidRDefault="7A3B2589" w:rsidP="449A4E7C">
      <w:pPr>
        <w:spacing w:before="240" w:after="240" w:line="278" w:lineRule="auto"/>
        <w:rPr>
          <w:rFonts w:ascii="Times New Roman" w:eastAsia="Times New Roman" w:hAnsi="Times New Roman" w:cs="Times New Roman"/>
          <w:color w:val="000000" w:themeColor="text1"/>
          <w:u w:val="single"/>
        </w:rPr>
      </w:pPr>
      <w:r w:rsidRPr="00EC2648">
        <w:rPr>
          <w:rFonts w:ascii="Times New Roman" w:eastAsia="Times New Roman" w:hAnsi="Times New Roman" w:cs="Times New Roman"/>
          <w:b/>
          <w:bCs/>
          <w:color w:val="000000" w:themeColor="text1"/>
          <w:u w:val="single"/>
          <w:lang w:val="en-US"/>
        </w:rPr>
        <w:t>Division 2 – Other amendments</w:t>
      </w:r>
    </w:p>
    <w:p w14:paraId="29D41041" w14:textId="23D919DF"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150(2) (penalty and notes)</w:t>
      </w:r>
    </w:p>
    <w:p w14:paraId="02B998C9" w14:textId="3A3CF62D"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Regulations 187 and 188 (penalty and notes)</w:t>
      </w:r>
    </w:p>
    <w:p w14:paraId="56482D30" w14:textId="4083B4BC"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304(4) (penalty and notes)</w:t>
      </w:r>
    </w:p>
    <w:p w14:paraId="42787793" w14:textId="6CB9EB60"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5</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312 (penalty and notes)</w:t>
      </w:r>
    </w:p>
    <w:p w14:paraId="1F20FE20" w14:textId="69D952E2"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9</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557(8) (penalty and notes)</w:t>
      </w:r>
    </w:p>
    <w:p w14:paraId="4E98EE08" w14:textId="196D5BB3"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10</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563 (penalty and notes)</w:t>
      </w:r>
    </w:p>
    <w:p w14:paraId="2CD5D1CB" w14:textId="6F8D2884"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11</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570 (penalty and notes)</w:t>
      </w:r>
    </w:p>
    <w:p w14:paraId="4EFB8058" w14:textId="77EB071B"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These items amend several penalty provisions in the Principal Regulations to replace the existing monetary amount with the tier G monetary penalty. The location of existing notes within these provisions are moved for consistency with current drafting practice.</w:t>
      </w:r>
    </w:p>
    <w:p w14:paraId="4A78269B" w14:textId="794409B2"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6</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336 (penalty, examples and note)</w:t>
      </w:r>
    </w:p>
    <w:p w14:paraId="56870966" w14:textId="1B06EE4D"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Item</w:t>
      </w:r>
      <w:r w:rsidR="003E0032" w:rsidRPr="00EC2648">
        <w:rPr>
          <w:rFonts w:ascii="Times New Roman" w:eastAsia="Times New Roman" w:hAnsi="Times New Roman" w:cs="Times New Roman"/>
          <w:b/>
          <w:bCs/>
          <w:color w:val="000000" w:themeColor="text1"/>
          <w:lang w:val="en-US"/>
        </w:rPr>
        <w:t xml:space="preserve"> [</w:t>
      </w:r>
      <w:r w:rsidRPr="00EC2648">
        <w:rPr>
          <w:rFonts w:ascii="Times New Roman" w:eastAsia="Times New Roman" w:hAnsi="Times New Roman" w:cs="Times New Roman"/>
          <w:b/>
          <w:bCs/>
          <w:color w:val="000000" w:themeColor="text1"/>
          <w:lang w:val="en-US"/>
        </w:rPr>
        <w:t>7</w:t>
      </w:r>
      <w:r w:rsidR="003E0032"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433 (penalty, example and note)</w:t>
      </w:r>
    </w:p>
    <w:p w14:paraId="3B5A65B0" w14:textId="71D59308"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7725B"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8</w:t>
      </w:r>
      <w:r w:rsidR="0087725B"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448 (penalty, example and note)</w:t>
      </w:r>
    </w:p>
    <w:p w14:paraId="2083161B" w14:textId="08C227DD"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These items amend several penalty provisions in the Principal Regulations to replace the existing monetary amount with the tier G monetary penalty. The location of existing notes and examples within these provisions are moved for consistency with current drafting practice.</w:t>
      </w:r>
    </w:p>
    <w:p w14:paraId="450A004B" w14:textId="797426BE" w:rsidR="7A3B2589" w:rsidRPr="00EC2648" w:rsidRDefault="7A3B2589" w:rsidP="449A4E7C">
      <w:pPr>
        <w:spacing w:before="240" w:after="240"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u w:val="single"/>
          <w:lang w:val="en-US"/>
        </w:rPr>
        <w:t>Part 2– Tier E monetary penalty offences</w:t>
      </w:r>
    </w:p>
    <w:p w14:paraId="43CA46A6" w14:textId="6E12045C" w:rsidR="7A3B2589" w:rsidRPr="00EC2648" w:rsidRDefault="7A3B2589" w:rsidP="449A4E7C">
      <w:pPr>
        <w:spacing w:before="240" w:after="240"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u w:val="single"/>
          <w:lang w:val="en-US"/>
        </w:rPr>
        <w:t>Division 1 – Amendments of listed provisions</w:t>
      </w:r>
    </w:p>
    <w:p w14:paraId="371F8438" w14:textId="6E1E7DDA" w:rsidR="7A3B2589" w:rsidRPr="00EC2648" w:rsidRDefault="7A3B2589" w:rsidP="002F4141">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Part 2 amend</w:t>
      </w:r>
      <w:r w:rsidR="62727115"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several penalty provisions to replace the existing monetary amount with the tier E monetary penalty. The location of existing notes and examples within these provisions </w:t>
      </w:r>
      <w:r w:rsidR="4C2F531C" w:rsidRPr="00EC2648">
        <w:rPr>
          <w:rFonts w:ascii="Times New Roman" w:eastAsia="Times New Roman" w:hAnsi="Times New Roman" w:cs="Times New Roman"/>
          <w:color w:val="000000" w:themeColor="text1"/>
        </w:rPr>
        <w:t>ar</w:t>
      </w:r>
      <w:r w:rsidRPr="00EC2648">
        <w:rPr>
          <w:rFonts w:ascii="Times New Roman" w:eastAsia="Times New Roman" w:hAnsi="Times New Roman" w:cs="Times New Roman"/>
          <w:color w:val="000000" w:themeColor="text1"/>
        </w:rPr>
        <w:t>e moved for consistency with current drafting practice.</w:t>
      </w:r>
    </w:p>
    <w:p w14:paraId="042B8062" w14:textId="77777777" w:rsidR="002F4141" w:rsidRPr="00EC2648" w:rsidRDefault="002F4141" w:rsidP="00C333DE">
      <w:pPr>
        <w:pStyle w:val="ListParagraph"/>
        <w:spacing w:after="0" w:line="257" w:lineRule="auto"/>
        <w:ind w:left="360"/>
        <w:rPr>
          <w:rFonts w:ascii="Times New Roman" w:eastAsia="Times New Roman" w:hAnsi="Times New Roman" w:cs="Times New Roman"/>
          <w:color w:val="000000" w:themeColor="text1"/>
        </w:rPr>
      </w:pPr>
    </w:p>
    <w:p w14:paraId="14B13E9D" w14:textId="0B7C5082" w:rsidR="7A3B2589" w:rsidRPr="00EC2648" w:rsidRDefault="7A3B2589" w:rsidP="002F4141">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provides that section 12F of the WHS Act provides that strict liability applies to each physical element of each offence under the WHS Act, unless otherwise stated. The reference in section 12F of the Act includes these Amendment Regulations.</w:t>
      </w:r>
    </w:p>
    <w:p w14:paraId="0B5AA7C0" w14:textId="77777777" w:rsidR="002F4141" w:rsidRPr="00EC2648" w:rsidRDefault="002F4141" w:rsidP="00C333DE">
      <w:pPr>
        <w:pStyle w:val="ListParagraph"/>
        <w:rPr>
          <w:rFonts w:ascii="Times New Roman" w:eastAsia="Times New Roman" w:hAnsi="Times New Roman" w:cs="Times New Roman"/>
          <w:color w:val="000000" w:themeColor="text1"/>
        </w:rPr>
      </w:pPr>
    </w:p>
    <w:p w14:paraId="344B6881" w14:textId="6044C149" w:rsidR="4B1C38C4" w:rsidRPr="00EC2648" w:rsidRDefault="4B1C38C4" w:rsidP="002F4141">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w:t>
      </w:r>
    </w:p>
    <w:p w14:paraId="22617663" w14:textId="77777777" w:rsidR="002F4141" w:rsidRPr="00EC2648" w:rsidRDefault="002F4141" w:rsidP="00C333DE">
      <w:pPr>
        <w:pStyle w:val="ListParagraph"/>
        <w:spacing w:after="0" w:line="257" w:lineRule="auto"/>
        <w:ind w:left="360"/>
        <w:rPr>
          <w:rFonts w:ascii="Times New Roman" w:eastAsia="Times New Roman" w:hAnsi="Times New Roman" w:cs="Times New Roman"/>
          <w:color w:val="000000" w:themeColor="text1"/>
        </w:rPr>
      </w:pPr>
    </w:p>
    <w:p w14:paraId="1142F0C8" w14:textId="4597B879" w:rsidR="7A3B2589" w:rsidRPr="00EC2648" w:rsidRDefault="7A3B2589" w:rsidP="449A4E7C">
      <w:pPr>
        <w:spacing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12</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Amendments of listed provisions – tier E penalties</w:t>
      </w:r>
    </w:p>
    <w:p w14:paraId="11298F9F" w14:textId="6A51AC6B" w:rsidR="00C03580"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amend</w:t>
      </w:r>
      <w:r w:rsidR="1310ED88"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regulations 39(2) and (3), 40, 41(1) and (2), 42(1) and (2), 43(1), (2) and (4),45, 48(2), 49, 50(1), 53(1), 55(2), 57(2), 58(2), 59(1) to (6), 61(1) to (8), 64(2), 65, 67(1) and (4), 69, 71(1) and (2), 72(1)( and (2), 73, 74(1), 75(2), 76(1), 78(3) and (4), 79(2), 80(2) to (4) 84(1), 154, 155(2), 156, 157(1), 158(1), 159, 160,161(1) and (2), 163(1), 164(2), 166(1), 168(1) and (2), 178(1), 179(1) and (2), 183(1) and (3), 184A(1), 189(2) to (6), 190(1) and (2), 191(1) and (2), 192(2), 193(1),194(1) and (2), 197, 199(1) and (2), 201(2), 202(2), 204(1) to (5), 205, 206(1) to (3), 207, 208(2) to (5), 209, 210(1) and (2), 211(1) and (2),212(2), 215(2) to (5), 216(1), 218(1) and (2), 219(2) to (7), 222(2) and (3), 223(2) to (6), 225(2) to (4), 231, 232, 233, 234(2), 238(1) and (2), 240(1), 241(1), 299(1), 300(1) and (2), 306(1) and (3), 309(1),329, 330(1), (3) and (4), 331(2), 332(2), 333, 334,335(1), 339(1) and (3), 340(1) and (2), 341, 342(1), (2) and (3),343, 344(1), 347(1), 348(1), (4) and (6), 349(1), 350(1), 352, 353(2), 354(1), 355, 356(1) and (2), 357(1) to (3), 358, 359(1) to (3), 361(2) and (3), 362(2), 363(1), 365(2), 366(2) and (3), 367(3), 370, 371(1), 374(1), 375, 376,377, 379(1), 389(2), 391(2), 395(1) and (2), 396, 397(1) and (2), 398(1), 399(1) and (2), 400(3), 402(1), 405(1) and (2), 406, 407(1) and (2), 408(1) and (2), 411(1), 412, 413, 414, 415(1), 416(2) and (3), 417(2) and (3), 419(1), 420(2), 422(1), 424, 429(2) and (3), 432(2) and (3), 434, 435(1) and (3), 436, 437(1) and (2), 440(1), 441, 442, 443, 445(1), 449, 450, 451(2) and (3), 452(3), 453(1), 456(3), 457, 458(1) and (3), 459, 460(1) and (2), 462, 463(1), 464(1), 467(2) and (3), 468(2) and (3), 469, 470(2) and (5), 471(1) and (2), 472(1), 473(2), 474(2) to (4), 475(1)</w:t>
      </w:r>
      <w:r w:rsidR="007866C9" w:rsidRPr="00EC2648">
        <w:rPr>
          <w:rFonts w:ascii="Times New Roman" w:eastAsia="Times New Roman" w:hAnsi="Times New Roman" w:cs="Times New Roman"/>
          <w:color w:val="000000" w:themeColor="text1"/>
        </w:rPr>
        <w:t xml:space="preserve"> and</w:t>
      </w:r>
      <w:r w:rsidRPr="00EC2648">
        <w:rPr>
          <w:rFonts w:ascii="Times New Roman" w:eastAsia="Times New Roman" w:hAnsi="Times New Roman" w:cs="Times New Roman"/>
          <w:color w:val="000000" w:themeColor="text1"/>
        </w:rPr>
        <w:t xml:space="preserve"> (2) and (4) to (6), 476(1) and (2), 477(1)</w:t>
      </w:r>
      <w:r w:rsidR="007866C9" w:rsidRPr="00EC2648">
        <w:rPr>
          <w:rFonts w:ascii="Times New Roman" w:eastAsia="Times New Roman" w:hAnsi="Times New Roman" w:cs="Times New Roman"/>
          <w:color w:val="000000" w:themeColor="text1"/>
        </w:rPr>
        <w:t xml:space="preserve"> and</w:t>
      </w:r>
      <w:r w:rsidRPr="00EC2648">
        <w:rPr>
          <w:rFonts w:ascii="Times New Roman" w:eastAsia="Times New Roman" w:hAnsi="Times New Roman" w:cs="Times New Roman"/>
          <w:color w:val="000000" w:themeColor="text1"/>
        </w:rPr>
        <w:t xml:space="preserve"> (2) and (4) to (6), 479(1), 480, 481, 482(1) and (2), 483(1) and (2), 484(1), 536(1), 554(1) and (3), 555(1) and (4), 556(2), 557(1)</w:t>
      </w:r>
      <w:r w:rsidR="002C0430" w:rsidRPr="00EC2648">
        <w:rPr>
          <w:rFonts w:ascii="Times New Roman" w:eastAsia="Times New Roman" w:hAnsi="Times New Roman" w:cs="Times New Roman"/>
          <w:color w:val="000000" w:themeColor="text1"/>
        </w:rPr>
        <w:t xml:space="preserve"> and </w:t>
      </w:r>
      <w:r w:rsidRPr="00EC2648">
        <w:rPr>
          <w:rFonts w:ascii="Times New Roman" w:eastAsia="Times New Roman" w:hAnsi="Times New Roman" w:cs="Times New Roman"/>
          <w:color w:val="000000" w:themeColor="text1"/>
        </w:rPr>
        <w:t xml:space="preserve">(5) to (7), 558(1) and (2), 564(1) and (3), </w:t>
      </w:r>
      <w:r w:rsidR="00FF17AE">
        <w:rPr>
          <w:rFonts w:ascii="Times New Roman" w:eastAsia="Times New Roman" w:hAnsi="Times New Roman" w:cs="Times New Roman"/>
          <w:color w:val="000000" w:themeColor="text1"/>
        </w:rPr>
        <w:t xml:space="preserve">565, </w:t>
      </w:r>
      <w:r w:rsidRPr="00EC2648">
        <w:rPr>
          <w:rFonts w:ascii="Times New Roman" w:eastAsia="Times New Roman" w:hAnsi="Times New Roman" w:cs="Times New Roman"/>
          <w:color w:val="000000" w:themeColor="text1"/>
        </w:rPr>
        <w:t>566(2), 567(1) to (3), 568(1), 569(1), 571, 572(1), 573(1), 574(1) and (2), 575(1)</w:t>
      </w:r>
      <w:r w:rsidR="00B5530D"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w:t>
      </w:r>
      <w:r w:rsidR="00B5530D" w:rsidRPr="00EC2648">
        <w:rPr>
          <w:rFonts w:ascii="Times New Roman" w:eastAsia="Times New Roman" w:hAnsi="Times New Roman" w:cs="Times New Roman"/>
          <w:color w:val="000000" w:themeColor="text1"/>
        </w:rPr>
        <w:t>Each penalty would be amended to provide for a maximum tier E monetary penalty instead of the current monetary amount.  </w:t>
      </w:r>
    </w:p>
    <w:p w14:paraId="789725AC" w14:textId="725A66E0" w:rsidR="7A3B2589" w:rsidRPr="00EC2648" w:rsidRDefault="7A3B2589" w:rsidP="449A4E7C">
      <w:pPr>
        <w:spacing w:before="240" w:after="240" w:line="278" w:lineRule="auto"/>
        <w:rPr>
          <w:rFonts w:ascii="Times New Roman" w:eastAsia="Times New Roman" w:hAnsi="Times New Roman" w:cs="Times New Roman"/>
          <w:color w:val="000000" w:themeColor="text1"/>
          <w:u w:val="single"/>
        </w:rPr>
      </w:pPr>
      <w:r w:rsidRPr="00EC2648">
        <w:rPr>
          <w:rFonts w:ascii="Times New Roman" w:eastAsia="Times New Roman" w:hAnsi="Times New Roman" w:cs="Times New Roman"/>
          <w:b/>
          <w:bCs/>
          <w:color w:val="000000" w:themeColor="text1"/>
          <w:u w:val="single"/>
          <w:lang w:val="en-US"/>
        </w:rPr>
        <w:t xml:space="preserve">Division 2 – Other amendments </w:t>
      </w:r>
    </w:p>
    <w:p w14:paraId="76AB0CF4" w14:textId="324A15A6"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13</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44(2) (penalty, example and note)</w:t>
      </w:r>
    </w:p>
    <w:p w14:paraId="1CA857D8" w14:textId="50F3DE32"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22</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225(5) (penalty, example and note)</w:t>
      </w:r>
    </w:p>
    <w:p w14:paraId="127D5A84" w14:textId="360B1597"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26</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354(3) (penalty, examples and note)</w:t>
      </w:r>
    </w:p>
    <w:p w14:paraId="3EAFCD3C" w14:textId="6E2FA301"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28</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363(2) (penalty, example and note)</w:t>
      </w:r>
    </w:p>
    <w:p w14:paraId="25A71B3D" w14:textId="56F42995"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31</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389(1) (penalty, example and note)</w:t>
      </w:r>
    </w:p>
    <w:p w14:paraId="36F4A8C1" w14:textId="08211DC0"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32</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400(1) (penalty, example and note)</w:t>
      </w:r>
    </w:p>
    <w:p w14:paraId="13DD5BCA" w14:textId="5BE61467"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35</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47</w:t>
      </w:r>
      <w:r w:rsidR="00FF17AE">
        <w:rPr>
          <w:rFonts w:ascii="Times New Roman" w:eastAsia="Times New Roman" w:hAnsi="Times New Roman" w:cs="Times New Roman"/>
          <w:b/>
          <w:bCs/>
          <w:color w:val="000000" w:themeColor="text1"/>
          <w:lang w:val="en-US"/>
        </w:rPr>
        <w:t>2</w:t>
      </w:r>
      <w:r w:rsidRPr="00EC2648">
        <w:rPr>
          <w:rFonts w:ascii="Times New Roman" w:eastAsia="Times New Roman" w:hAnsi="Times New Roman" w:cs="Times New Roman"/>
          <w:b/>
          <w:bCs/>
          <w:color w:val="000000" w:themeColor="text1"/>
          <w:lang w:val="en-US"/>
        </w:rPr>
        <w:t>(2) (penalty, example and note)</w:t>
      </w:r>
    </w:p>
    <w:p w14:paraId="1ADDD0E8" w14:textId="17FC32F5"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lastRenderedPageBreak/>
        <w:t xml:space="preserve">Item </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37</w:t>
      </w:r>
      <w:r w:rsidR="003C2764"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484(2) (penalty, example and note)</w:t>
      </w:r>
    </w:p>
    <w:p w14:paraId="752D63B0" w14:textId="6DF79CCB"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These items amend penalty provisions in the Principal Regulations to replace the existing monetary amount with the tier E monetary penalty. The location of existing notes and examples within these provisions </w:t>
      </w:r>
      <w:r w:rsidR="354C79D0" w:rsidRPr="00EC2648">
        <w:rPr>
          <w:rFonts w:ascii="Times New Roman" w:eastAsia="Times New Roman" w:hAnsi="Times New Roman" w:cs="Times New Roman"/>
          <w:color w:val="000000" w:themeColor="text1"/>
        </w:rPr>
        <w:t>ar</w:t>
      </w:r>
      <w:r w:rsidRPr="00EC2648">
        <w:rPr>
          <w:rFonts w:ascii="Times New Roman" w:eastAsia="Times New Roman" w:hAnsi="Times New Roman" w:cs="Times New Roman"/>
          <w:color w:val="000000" w:themeColor="text1"/>
        </w:rPr>
        <w:t>e moved for consistency with current drafting practice.</w:t>
      </w:r>
    </w:p>
    <w:p w14:paraId="08F161EE" w14:textId="4962BB4C"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14</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44(4) (penalty and notes)</w:t>
      </w:r>
    </w:p>
    <w:p w14:paraId="70FBEF94" w14:textId="029C21F5"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16</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74(3) (penalty and notes)</w:t>
      </w:r>
    </w:p>
    <w:p w14:paraId="4EAA4A45" w14:textId="4919F870"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17</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75(3) (penalty and notes)</w:t>
      </w:r>
    </w:p>
    <w:p w14:paraId="4DF309F4" w14:textId="39AE76A9"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18</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155(1) (penalty and notes)</w:t>
      </w:r>
    </w:p>
    <w:p w14:paraId="2BAB94B3" w14:textId="6AB5409E"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19</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166(2) (penalty and notes)</w:t>
      </w:r>
    </w:p>
    <w:p w14:paraId="229FEF3D" w14:textId="69DEAEE7"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20</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177 (penalty and notes)</w:t>
      </w:r>
    </w:p>
    <w:p w14:paraId="77BCCAD2" w14:textId="0B063236"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21</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218(3) (penalty and notes)</w:t>
      </w:r>
    </w:p>
    <w:p w14:paraId="52083EE7" w14:textId="44C8B137"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23</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314 (penalty and notes)</w:t>
      </w:r>
    </w:p>
    <w:p w14:paraId="70F7C048" w14:textId="7FD4354F"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24</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345 (penalty and notes)</w:t>
      </w:r>
    </w:p>
    <w:p w14:paraId="48751ACD" w14:textId="5C8079B7"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27</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360 (penalty and notes)</w:t>
      </w:r>
    </w:p>
    <w:p w14:paraId="248F5C2F" w14:textId="392436E5"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29</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365(3) (penalty and notes)</w:t>
      </w:r>
    </w:p>
    <w:p w14:paraId="086455A6" w14:textId="02E5B014"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30</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368 (penalty and notes)</w:t>
      </w:r>
    </w:p>
    <w:p w14:paraId="67788965" w14:textId="0F80A7C4"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33</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400(2) (penalty and notes)</w:t>
      </w:r>
    </w:p>
    <w:p w14:paraId="75B82C88" w14:textId="169ED741"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34</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407(5) (penalty and notes)</w:t>
      </w:r>
    </w:p>
    <w:p w14:paraId="4B40EAF0" w14:textId="3E95C392"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36</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472(3) (penalty and notes)</w:t>
      </w:r>
    </w:p>
    <w:p w14:paraId="1EE57738" w14:textId="53274608"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38</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484(3) (penalty and notes)</w:t>
      </w:r>
    </w:p>
    <w:p w14:paraId="31951DCE" w14:textId="6703C36B"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40</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575(2) (penalty and notes)</w:t>
      </w:r>
    </w:p>
    <w:p w14:paraId="647CDAB2" w14:textId="4101CFD7"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These items amend penalty provisions in the Principal Regulations to replace the existing monetary amount with the tier E monetary penalty. The location of existing notes within these provisions </w:t>
      </w:r>
      <w:r w:rsidR="1DA00D25" w:rsidRPr="00EC2648">
        <w:rPr>
          <w:rFonts w:ascii="Times New Roman" w:eastAsia="Times New Roman" w:hAnsi="Times New Roman" w:cs="Times New Roman"/>
          <w:color w:val="000000" w:themeColor="text1"/>
        </w:rPr>
        <w:t>ar</w:t>
      </w:r>
      <w:r w:rsidRPr="00EC2648">
        <w:rPr>
          <w:rFonts w:ascii="Times New Roman" w:eastAsia="Times New Roman" w:hAnsi="Times New Roman" w:cs="Times New Roman"/>
          <w:color w:val="000000" w:themeColor="text1"/>
        </w:rPr>
        <w:t>e moved for consistency with current drafting practice.</w:t>
      </w:r>
    </w:p>
    <w:p w14:paraId="240F22B9" w14:textId="1B2DFF4F"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25</w:t>
      </w:r>
      <w:r w:rsidR="008433A6"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At the end of subregulation 346(1)</w:t>
      </w:r>
    </w:p>
    <w:p w14:paraId="28A3ABE0" w14:textId="10F6ECFE"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This item amend</w:t>
      </w:r>
      <w:r w:rsidR="236CBDDF"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this provision by </w:t>
      </w:r>
      <w:r w:rsidR="004335FF" w:rsidRPr="00EC2648">
        <w:rPr>
          <w:rFonts w:ascii="Times New Roman" w:eastAsia="Times New Roman" w:hAnsi="Times New Roman" w:cs="Times New Roman"/>
          <w:color w:val="000000" w:themeColor="text1"/>
        </w:rPr>
        <w:t>introducing a new tier E monetary penalty and a note on strict liability.</w:t>
      </w:r>
    </w:p>
    <w:p w14:paraId="1788C01F" w14:textId="3A2D3E0C"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4335FF"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15</w:t>
      </w:r>
      <w:r w:rsidR="004335FF"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74(2) (penalty)</w:t>
      </w:r>
    </w:p>
    <w:p w14:paraId="070357BA" w14:textId="2FFC5D57"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4335FF"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39</w:t>
      </w:r>
      <w:r w:rsidR="004335FF"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559(1) (penalty)</w:t>
      </w:r>
    </w:p>
    <w:p w14:paraId="25B85246" w14:textId="41928DAB"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These items amend these penalty provisions in the Principal Regulations to replace the existing monetary amount with the tier E monetary penalty.</w:t>
      </w:r>
    </w:p>
    <w:p w14:paraId="37388E91" w14:textId="77777777" w:rsidR="00336AAC" w:rsidRPr="00EC2648" w:rsidRDefault="00336AAC" w:rsidP="449A4E7C">
      <w:pPr>
        <w:spacing w:line="257" w:lineRule="auto"/>
        <w:jc w:val="both"/>
        <w:rPr>
          <w:rFonts w:ascii="Times New Roman" w:eastAsia="Times New Roman" w:hAnsi="Times New Roman" w:cs="Times New Roman"/>
          <w:b/>
          <w:bCs/>
          <w:color w:val="000000" w:themeColor="text1"/>
          <w:u w:val="single"/>
          <w:lang w:val="en-US"/>
        </w:rPr>
      </w:pPr>
    </w:p>
    <w:p w14:paraId="733BB7CA" w14:textId="605BA793" w:rsidR="7A3B2589" w:rsidRPr="00EC2648" w:rsidRDefault="7A3B2589" w:rsidP="449A4E7C">
      <w:pPr>
        <w:spacing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u w:val="single"/>
          <w:lang w:val="en-US"/>
        </w:rPr>
        <w:t>Part 3– Tier I monetary penalty offences</w:t>
      </w:r>
    </w:p>
    <w:p w14:paraId="6760DB59" w14:textId="3F4DA0F7" w:rsidR="7A3B2589" w:rsidRPr="00EC2648" w:rsidRDefault="7A3B2589" w:rsidP="449A4E7C">
      <w:pPr>
        <w:spacing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u w:val="single"/>
          <w:lang w:val="en-US"/>
        </w:rPr>
        <w:t>Division 1 – Amendments of listed provisions</w:t>
      </w:r>
    </w:p>
    <w:p w14:paraId="2628CC68" w14:textId="05762D46" w:rsidR="7A3B2589" w:rsidRPr="00EC2648" w:rsidRDefault="7A3B2589" w:rsidP="00C21CD9">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Part 3 amend</w:t>
      </w:r>
      <w:r w:rsidR="1A2E0F1B"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several penalty provisions to replace the existing monetary amount with the tier I monetary penalty. The location of existing notes and examples within these provisions </w:t>
      </w:r>
      <w:r w:rsidR="249C5C9A" w:rsidRPr="00EC2648">
        <w:rPr>
          <w:rFonts w:ascii="Times New Roman" w:eastAsia="Times New Roman" w:hAnsi="Times New Roman" w:cs="Times New Roman"/>
          <w:color w:val="000000" w:themeColor="text1"/>
        </w:rPr>
        <w:t>ar</w:t>
      </w:r>
      <w:r w:rsidRPr="00EC2648">
        <w:rPr>
          <w:rFonts w:ascii="Times New Roman" w:eastAsia="Times New Roman" w:hAnsi="Times New Roman" w:cs="Times New Roman"/>
          <w:color w:val="000000" w:themeColor="text1"/>
        </w:rPr>
        <w:t>e moved for consistency with current drafting practice.</w:t>
      </w:r>
    </w:p>
    <w:p w14:paraId="1EBA9E20" w14:textId="77777777" w:rsidR="00C21CD9" w:rsidRPr="00EC2648" w:rsidRDefault="00C21CD9" w:rsidP="00C333DE">
      <w:pPr>
        <w:pStyle w:val="ListParagraph"/>
        <w:spacing w:after="0" w:line="257" w:lineRule="auto"/>
        <w:ind w:left="360"/>
        <w:rPr>
          <w:rFonts w:ascii="Times New Roman" w:eastAsia="Times New Roman" w:hAnsi="Times New Roman" w:cs="Times New Roman"/>
          <w:color w:val="000000" w:themeColor="text1"/>
        </w:rPr>
      </w:pPr>
    </w:p>
    <w:p w14:paraId="022D0CC3" w14:textId="2B0AF37A" w:rsidR="00C21CD9" w:rsidRPr="00EC2648" w:rsidRDefault="7A3B2589" w:rsidP="00C21CD9">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provides that section 12F of the WHS Act provides that strict liability applies to each physical element of each offence under the WHS Act, unless otherwise stated. The reference in section 12F of the Act includes these Amendment Regulations</w:t>
      </w:r>
      <w:r w:rsidR="00C21CD9" w:rsidRPr="00EC2648">
        <w:rPr>
          <w:rFonts w:ascii="Times New Roman" w:eastAsia="Times New Roman" w:hAnsi="Times New Roman" w:cs="Times New Roman"/>
          <w:color w:val="000000" w:themeColor="text1"/>
        </w:rPr>
        <w:t>.</w:t>
      </w:r>
    </w:p>
    <w:p w14:paraId="2903D0CC" w14:textId="77777777" w:rsidR="00C21CD9" w:rsidRPr="00EC2648" w:rsidRDefault="00C21CD9" w:rsidP="00C333DE">
      <w:pPr>
        <w:spacing w:after="0" w:line="257" w:lineRule="auto"/>
        <w:rPr>
          <w:rFonts w:ascii="Times New Roman" w:eastAsia="Times New Roman" w:hAnsi="Times New Roman" w:cs="Times New Roman"/>
          <w:color w:val="000000" w:themeColor="text1"/>
        </w:rPr>
      </w:pPr>
    </w:p>
    <w:p w14:paraId="4C387A95" w14:textId="55DCDF76" w:rsidR="23F92306" w:rsidRPr="00EC2648" w:rsidRDefault="23F92306" w:rsidP="00C21CD9">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w:t>
      </w:r>
    </w:p>
    <w:p w14:paraId="63C6834E" w14:textId="77777777" w:rsidR="00C21CD9" w:rsidRPr="00EC2648" w:rsidRDefault="00C21CD9" w:rsidP="00C333DE">
      <w:pPr>
        <w:pStyle w:val="ListParagraph"/>
        <w:rPr>
          <w:rFonts w:ascii="Times New Roman" w:eastAsia="Times New Roman" w:hAnsi="Times New Roman" w:cs="Times New Roman"/>
          <w:color w:val="000000" w:themeColor="text1"/>
        </w:rPr>
      </w:pPr>
    </w:p>
    <w:p w14:paraId="301379A9" w14:textId="3CC55D16" w:rsidR="7A3B2589" w:rsidRPr="00EC2648" w:rsidRDefault="7A3B2589" w:rsidP="449A4E7C">
      <w:pPr>
        <w:spacing w:line="257" w:lineRule="auto"/>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4335FF"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41</w:t>
      </w:r>
      <w:r w:rsidR="004335FF"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Amendments of listed provisions – tier I penalties</w:t>
      </w:r>
    </w:p>
    <w:p w14:paraId="4EB33CDC" w14:textId="72AA3BAC"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amend</w:t>
      </w:r>
      <w:r w:rsidR="153DCAC8"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regulations 50(2), 66(3), 76(2), 77(2) to (4), 85(4), 94(1), 96, 97, 98(1), 111,  150(3), 162(2), (3) and (5), 165(2), 170, 175(1) to (3), 176(3), 180, 181(2)</w:t>
      </w:r>
      <w:r w:rsidR="00FF17AE">
        <w:rPr>
          <w:rFonts w:ascii="Times New Roman" w:eastAsia="Times New Roman" w:hAnsi="Times New Roman" w:cs="Times New Roman"/>
          <w:color w:val="000000" w:themeColor="text1"/>
        </w:rPr>
        <w:t xml:space="preserve"> to </w:t>
      </w:r>
      <w:r w:rsidRPr="00EC2648">
        <w:rPr>
          <w:rFonts w:ascii="Times New Roman" w:eastAsia="Times New Roman" w:hAnsi="Times New Roman" w:cs="Times New Roman"/>
          <w:color w:val="000000" w:themeColor="text1"/>
        </w:rPr>
        <w:t>(4), 182(2), (3) and (5), 226(1), (3) and (4), 228, 229(1) and (2),230(1) to (3), 237(2), (4) and (5), 242(1) and (3), 260(3) and (5), 262(1), 273(3) and (4), 275(1), 282(2), 287, 288(1), 288D, 303(1), (2) and (4), 304(5), 313(1), (2) and (4), 326(1) and (2), 340(3) and (4), 364, 378(1) and (2), 390(2) and (3), 391(3), 404(1) and (2), 418(1) and (2), 423(2), 444(2), 445(3) and (4), 461(1) and (2), 572(4), 587(1), 593, 594(1) and 607</w:t>
      </w:r>
      <w:r w:rsidR="00DF0651"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w:t>
      </w:r>
      <w:r w:rsidR="00DF0651" w:rsidRPr="00EC2648">
        <w:rPr>
          <w:rFonts w:ascii="Times New Roman" w:eastAsia="Times New Roman" w:hAnsi="Times New Roman" w:cs="Times New Roman"/>
          <w:color w:val="000000" w:themeColor="text1"/>
        </w:rPr>
        <w:t>Each penalty would be amended to provide for a maximum tier I monetary penalty instead of the current monetary amoun</w:t>
      </w:r>
      <w:r w:rsidR="00C21CD9" w:rsidRPr="00EC2648">
        <w:rPr>
          <w:rFonts w:ascii="Times New Roman" w:eastAsia="Times New Roman" w:hAnsi="Times New Roman" w:cs="Times New Roman"/>
          <w:color w:val="000000" w:themeColor="text1"/>
        </w:rPr>
        <w:t>t.</w:t>
      </w:r>
    </w:p>
    <w:p w14:paraId="1420DB5E" w14:textId="43E8CDCC" w:rsidR="7A3B2589" w:rsidRPr="00EC2648" w:rsidRDefault="7A3B2589" w:rsidP="449A4E7C">
      <w:pPr>
        <w:spacing w:before="240" w:after="240" w:line="278" w:lineRule="auto"/>
        <w:rPr>
          <w:rFonts w:ascii="Times New Roman" w:eastAsia="Times New Roman" w:hAnsi="Times New Roman" w:cs="Times New Roman"/>
          <w:color w:val="000000" w:themeColor="text1"/>
          <w:u w:val="single"/>
        </w:rPr>
      </w:pPr>
      <w:r w:rsidRPr="00EC2648">
        <w:rPr>
          <w:rFonts w:ascii="Times New Roman" w:eastAsia="Times New Roman" w:hAnsi="Times New Roman" w:cs="Times New Roman"/>
          <w:b/>
          <w:bCs/>
          <w:color w:val="000000" w:themeColor="text1"/>
          <w:u w:val="single"/>
          <w:lang w:val="en-US"/>
        </w:rPr>
        <w:t xml:space="preserve">Division 2 – Other amendments </w:t>
      </w:r>
    </w:p>
    <w:p w14:paraId="6505C577" w14:textId="4F5496BB"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42</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142(1) (penalty and notes) </w:t>
      </w:r>
    </w:p>
    <w:p w14:paraId="5430875A" w14:textId="51DF4ACF"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43</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242(2) (penalty and notes)</w:t>
      </w:r>
    </w:p>
    <w:p w14:paraId="6ECCF440" w14:textId="58371127"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These items amend these penalty provisions to replace the existing monetary amount with the tier I monetary penalty. The location of existing notes within these provisions </w:t>
      </w:r>
      <w:r w:rsidR="246F21EE" w:rsidRPr="00EC2648">
        <w:rPr>
          <w:rFonts w:ascii="Times New Roman" w:eastAsia="Times New Roman" w:hAnsi="Times New Roman" w:cs="Times New Roman"/>
          <w:color w:val="000000" w:themeColor="text1"/>
        </w:rPr>
        <w:t>are</w:t>
      </w:r>
      <w:r w:rsidRPr="00EC2648">
        <w:rPr>
          <w:rFonts w:ascii="Times New Roman" w:eastAsia="Times New Roman" w:hAnsi="Times New Roman" w:cs="Times New Roman"/>
          <w:color w:val="000000" w:themeColor="text1"/>
        </w:rPr>
        <w:t xml:space="preserve"> moved for consistency with current drafting practice. </w:t>
      </w:r>
    </w:p>
    <w:p w14:paraId="7425FD5A" w14:textId="20F91FB8" w:rsidR="000C1E1A" w:rsidRPr="00EC2648" w:rsidRDefault="000C1E1A" w:rsidP="449A4E7C">
      <w:pPr>
        <w:spacing w:before="240" w:after="240" w:line="278" w:lineRule="auto"/>
        <w:rPr>
          <w:rFonts w:ascii="Times New Roman" w:eastAsia="Times New Roman" w:hAnsi="Times New Roman" w:cs="Times New Roman"/>
          <w:b/>
          <w:bCs/>
          <w:color w:val="000000" w:themeColor="text1"/>
          <w:lang w:val="en-US"/>
        </w:rPr>
      </w:pPr>
      <w:r w:rsidRPr="00EC2648">
        <w:rPr>
          <w:rFonts w:ascii="Times New Roman" w:eastAsia="Times New Roman" w:hAnsi="Times New Roman" w:cs="Times New Roman"/>
          <w:b/>
          <w:bCs/>
          <w:color w:val="000000" w:themeColor="text1"/>
          <w:lang w:val="en-US"/>
        </w:rPr>
        <w:lastRenderedPageBreak/>
        <w:t xml:space="preserve">Item [44] </w:t>
      </w:r>
      <w:r w:rsidR="004318DF" w:rsidRPr="00EC2648">
        <w:rPr>
          <w:rFonts w:ascii="Times New Roman" w:eastAsia="Times New Roman" w:hAnsi="Times New Roman" w:cs="Times New Roman"/>
          <w:b/>
          <w:bCs/>
          <w:color w:val="000000" w:themeColor="text1"/>
        </w:rPr>
        <w:t>Subregulation 444(1) (penalty)</w:t>
      </w:r>
    </w:p>
    <w:p w14:paraId="5A74FABA" w14:textId="4AB22889"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w:t>
      </w:r>
      <w:r w:rsidR="004318DF" w:rsidRPr="00EC2648">
        <w:rPr>
          <w:rFonts w:ascii="Times New Roman" w:eastAsia="Times New Roman" w:hAnsi="Times New Roman" w:cs="Times New Roman"/>
          <w:b/>
          <w:bCs/>
          <w:color w:val="000000" w:themeColor="text1"/>
          <w:lang w:val="en-US"/>
        </w:rPr>
        <w:t>5</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505(1) (penalty)</w:t>
      </w:r>
    </w:p>
    <w:p w14:paraId="251CC1A4" w14:textId="2FC9F646"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w:t>
      </w:r>
      <w:r w:rsidR="004318DF" w:rsidRPr="00EC2648">
        <w:rPr>
          <w:rFonts w:ascii="Times New Roman" w:eastAsia="Times New Roman" w:hAnsi="Times New Roman" w:cs="Times New Roman"/>
          <w:b/>
          <w:bCs/>
          <w:color w:val="000000" w:themeColor="text1"/>
          <w:lang w:val="en-US"/>
        </w:rPr>
        <w:t>6</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506(1) (penalty)</w:t>
      </w:r>
    </w:p>
    <w:p w14:paraId="22F09EF8" w14:textId="71F9A17C"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w:t>
      </w:r>
      <w:r w:rsidR="004318DF" w:rsidRPr="00EC2648">
        <w:rPr>
          <w:rFonts w:ascii="Times New Roman" w:eastAsia="Times New Roman" w:hAnsi="Times New Roman" w:cs="Times New Roman"/>
          <w:b/>
          <w:bCs/>
          <w:color w:val="000000" w:themeColor="text1"/>
          <w:lang w:val="en-US"/>
        </w:rPr>
        <w:t>7</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507(1) (penalty)</w:t>
      </w:r>
    </w:p>
    <w:p w14:paraId="2D009347" w14:textId="10B50BE2"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w:t>
      </w:r>
      <w:r w:rsidR="004318DF" w:rsidRPr="00EC2648">
        <w:rPr>
          <w:rFonts w:ascii="Times New Roman" w:eastAsia="Times New Roman" w:hAnsi="Times New Roman" w:cs="Times New Roman"/>
          <w:b/>
          <w:bCs/>
          <w:color w:val="000000" w:themeColor="text1"/>
          <w:lang w:val="en-US"/>
        </w:rPr>
        <w:t>8</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512 (penalty)</w:t>
      </w:r>
    </w:p>
    <w:p w14:paraId="6DD8A803" w14:textId="0C959E11"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4</w:t>
      </w:r>
      <w:r w:rsidR="004318DF" w:rsidRPr="00EC2648">
        <w:rPr>
          <w:rFonts w:ascii="Times New Roman" w:eastAsia="Times New Roman" w:hAnsi="Times New Roman" w:cs="Times New Roman"/>
          <w:b/>
          <w:bCs/>
          <w:color w:val="000000" w:themeColor="text1"/>
          <w:lang w:val="en-US"/>
        </w:rPr>
        <w:t>9</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513(1) (penalty)</w:t>
      </w:r>
    </w:p>
    <w:p w14:paraId="7B8E2B28" w14:textId="62DDB828"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004318DF" w:rsidRPr="00EC2648">
        <w:rPr>
          <w:rFonts w:ascii="Times New Roman" w:eastAsia="Times New Roman" w:hAnsi="Times New Roman" w:cs="Times New Roman"/>
          <w:b/>
          <w:bCs/>
          <w:color w:val="000000" w:themeColor="text1"/>
          <w:lang w:val="en-US"/>
        </w:rPr>
        <w:t>50</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525 (penalty)</w:t>
      </w:r>
    </w:p>
    <w:p w14:paraId="5DEB4BAC" w14:textId="7807EAD1"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These items amend these penalty provisions in the Principal Regulations to replace the existing monetary amount with the tier I monetary penalty.</w:t>
      </w:r>
    </w:p>
    <w:p w14:paraId="010E8EA4" w14:textId="6EEEC965"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5</w:t>
      </w:r>
      <w:r w:rsidR="004318DF" w:rsidRPr="00EC2648">
        <w:rPr>
          <w:rFonts w:ascii="Times New Roman" w:eastAsia="Times New Roman" w:hAnsi="Times New Roman" w:cs="Times New Roman"/>
          <w:b/>
          <w:bCs/>
          <w:color w:val="000000" w:themeColor="text1"/>
          <w:lang w:val="en-US"/>
        </w:rPr>
        <w:t>1</w:t>
      </w:r>
      <w:r w:rsidR="0005000E"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Subregulation 588(1) (penalty, example and note)</w:t>
      </w:r>
    </w:p>
    <w:p w14:paraId="7129F206" w14:textId="7E7EA01D"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amend</w:t>
      </w:r>
      <w:r w:rsidR="1077EEAB"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these penalty provisions to replace the existing monetary amount with the tier I monetary penalty. The location of existing notes within these provisions be moved for consistency with current drafting practice.</w:t>
      </w:r>
    </w:p>
    <w:p w14:paraId="5946A136" w14:textId="0F90A773"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u w:val="single"/>
          <w:lang w:val="en-US"/>
        </w:rPr>
        <w:t>Part 4 – Miscellaneous amendments</w:t>
      </w:r>
    </w:p>
    <w:p w14:paraId="445B11E9" w14:textId="59B112FD" w:rsidR="7A3B2589" w:rsidRPr="00EC2648" w:rsidRDefault="7A3B2589" w:rsidP="449A4E7C">
      <w:pPr>
        <w:spacing w:before="240" w:after="240" w:line="278"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b/>
          <w:bCs/>
          <w:color w:val="000000" w:themeColor="text1"/>
          <w:lang w:val="en-US"/>
        </w:rPr>
        <w:t xml:space="preserve">Item </w:t>
      </w:r>
      <w:r w:rsidR="00F770F5"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5</w:t>
      </w:r>
      <w:r w:rsidR="004318DF" w:rsidRPr="00EC2648">
        <w:rPr>
          <w:rFonts w:ascii="Times New Roman" w:eastAsia="Times New Roman" w:hAnsi="Times New Roman" w:cs="Times New Roman"/>
          <w:b/>
          <w:bCs/>
          <w:color w:val="000000" w:themeColor="text1"/>
          <w:lang w:val="en-US"/>
        </w:rPr>
        <w:t>2</w:t>
      </w:r>
      <w:r w:rsidR="00F770F5" w:rsidRPr="00EC2648">
        <w:rPr>
          <w:rFonts w:ascii="Times New Roman" w:eastAsia="Times New Roman" w:hAnsi="Times New Roman" w:cs="Times New Roman"/>
          <w:b/>
          <w:bCs/>
          <w:color w:val="000000" w:themeColor="text1"/>
          <w:lang w:val="en-US"/>
        </w:rPr>
        <w:t>]</w:t>
      </w:r>
      <w:r w:rsidRPr="00EC2648">
        <w:rPr>
          <w:rFonts w:ascii="Times New Roman" w:eastAsia="Times New Roman" w:hAnsi="Times New Roman" w:cs="Times New Roman"/>
          <w:b/>
          <w:bCs/>
          <w:color w:val="000000" w:themeColor="text1"/>
          <w:lang w:val="en-US"/>
        </w:rPr>
        <w:t xml:space="preserve"> Regulation 55C</w:t>
      </w:r>
    </w:p>
    <w:p w14:paraId="6303029F" w14:textId="25FDCC95" w:rsidR="7A3B2589" w:rsidRPr="00EC2648" w:rsidRDefault="7A3B258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w:t>
      </w:r>
      <w:r w:rsidR="00944393" w:rsidRPr="00EC2648">
        <w:rPr>
          <w:rFonts w:ascii="Times New Roman" w:eastAsia="Times New Roman" w:hAnsi="Times New Roman" w:cs="Times New Roman"/>
          <w:color w:val="000000" w:themeColor="text1"/>
        </w:rPr>
        <w:t xml:space="preserve">repeals and replaces </w:t>
      </w:r>
      <w:r w:rsidRPr="00EC2648">
        <w:rPr>
          <w:rFonts w:ascii="Times New Roman" w:eastAsia="Times New Roman" w:hAnsi="Times New Roman" w:cs="Times New Roman"/>
          <w:color w:val="000000" w:themeColor="text1"/>
        </w:rPr>
        <w:t>regulation 55C</w:t>
      </w:r>
      <w:r w:rsidR="00BE6BF2" w:rsidRPr="00EC2648">
        <w:rPr>
          <w:rFonts w:ascii="Times New Roman" w:eastAsia="Times New Roman" w:hAnsi="Times New Roman" w:cs="Times New Roman"/>
          <w:color w:val="000000" w:themeColor="text1"/>
        </w:rPr>
        <w:t xml:space="preserve">. The amendment </w:t>
      </w:r>
      <w:r w:rsidRPr="00EC2648">
        <w:rPr>
          <w:rFonts w:ascii="Times New Roman" w:eastAsia="Times New Roman" w:hAnsi="Times New Roman" w:cs="Times New Roman"/>
          <w:color w:val="000000" w:themeColor="text1"/>
        </w:rPr>
        <w:t>clarif</w:t>
      </w:r>
      <w:r w:rsidR="00541E2E" w:rsidRPr="00EC2648">
        <w:rPr>
          <w:rFonts w:ascii="Times New Roman" w:eastAsia="Times New Roman" w:hAnsi="Times New Roman" w:cs="Times New Roman"/>
          <w:color w:val="000000" w:themeColor="text1"/>
        </w:rPr>
        <w:t>ies</w:t>
      </w:r>
      <w:r w:rsidRPr="00EC2648">
        <w:rPr>
          <w:rFonts w:ascii="Times New Roman" w:eastAsia="Times New Roman" w:hAnsi="Times New Roman" w:cs="Times New Roman"/>
          <w:color w:val="000000" w:themeColor="text1"/>
        </w:rPr>
        <w:t xml:space="preserve"> that a person conducting a business or undertaking must manage psychosocial risks in accordance with Part 3.1 and implement the control measures required by regulation 55D.</w:t>
      </w:r>
      <w:r w:rsidR="00FF17AE">
        <w:rPr>
          <w:rFonts w:ascii="Times New Roman" w:eastAsia="Times New Roman" w:hAnsi="Times New Roman" w:cs="Times New Roman"/>
          <w:color w:val="000000" w:themeColor="text1"/>
        </w:rPr>
        <w:t xml:space="preserve"> </w:t>
      </w:r>
      <w:r w:rsidR="00FF17AE">
        <w:rPr>
          <w:rFonts w:ascii="Times New Roman" w:eastAsia="Times New Roman" w:hAnsi="Times New Roman" w:cs="Times New Roman"/>
        </w:rPr>
        <w:t>A note would refer to the reader to the WHS Act—section 19 (see regulation 9).</w:t>
      </w:r>
    </w:p>
    <w:p w14:paraId="56DC340B" w14:textId="77777777" w:rsidR="00C21CD9" w:rsidRPr="00EC2648" w:rsidRDefault="00C21CD9" w:rsidP="4C8ACF36">
      <w:pPr>
        <w:spacing w:line="257" w:lineRule="auto"/>
        <w:jc w:val="both"/>
        <w:rPr>
          <w:rFonts w:ascii="Times New Roman" w:eastAsia="Times New Roman" w:hAnsi="Times New Roman" w:cs="Times New Roman"/>
          <w:color w:val="000000" w:themeColor="text1"/>
          <w:u w:val="single"/>
        </w:rPr>
      </w:pPr>
    </w:p>
    <w:p w14:paraId="2AC16416" w14:textId="722EEBB6" w:rsidR="00324670" w:rsidRPr="00EC2648" w:rsidRDefault="52F183AB" w:rsidP="4C8ACF36">
      <w:pPr>
        <w:spacing w:line="257" w:lineRule="auto"/>
        <w:jc w:val="both"/>
        <w:rPr>
          <w:rFonts w:ascii="Times New Roman" w:eastAsia="Times New Roman" w:hAnsi="Times New Roman" w:cs="Times New Roman"/>
          <w:color w:val="000000" w:themeColor="text1"/>
          <w:u w:val="single"/>
        </w:rPr>
      </w:pPr>
      <w:r w:rsidRPr="00EC2648">
        <w:rPr>
          <w:rFonts w:ascii="Times New Roman" w:eastAsia="Times New Roman" w:hAnsi="Times New Roman" w:cs="Times New Roman"/>
          <w:color w:val="000000" w:themeColor="text1"/>
          <w:u w:val="single"/>
        </w:rPr>
        <w:t>Schedule 2</w:t>
      </w:r>
      <w:r w:rsidR="025162F0" w:rsidRPr="00EC2648">
        <w:rPr>
          <w:rFonts w:ascii="Times New Roman" w:eastAsia="Times New Roman" w:hAnsi="Times New Roman" w:cs="Times New Roman"/>
          <w:color w:val="000000" w:themeColor="text1"/>
          <w:u w:val="single"/>
        </w:rPr>
        <w:t xml:space="preserve"> –</w:t>
      </w:r>
      <w:r w:rsidR="00AD4FA6" w:rsidRPr="00EC2648">
        <w:rPr>
          <w:rFonts w:ascii="Times New Roman" w:eastAsia="Times New Roman" w:hAnsi="Times New Roman" w:cs="Times New Roman"/>
          <w:color w:val="000000" w:themeColor="text1"/>
          <w:u w:val="single"/>
        </w:rPr>
        <w:t xml:space="preserve"> </w:t>
      </w:r>
      <w:r w:rsidR="025162F0" w:rsidRPr="00EC2648">
        <w:rPr>
          <w:rFonts w:ascii="Times New Roman" w:eastAsia="Times New Roman" w:hAnsi="Times New Roman" w:cs="Times New Roman"/>
          <w:color w:val="000000" w:themeColor="text1"/>
          <w:u w:val="single"/>
        </w:rPr>
        <w:t>Engineered Stone</w:t>
      </w:r>
    </w:p>
    <w:p w14:paraId="4C1D0616" w14:textId="2676BD7F" w:rsidR="00324670" w:rsidRPr="00EC2648" w:rsidRDefault="025162F0" w:rsidP="358883A3">
      <w:pPr>
        <w:spacing w:after="0" w:line="257" w:lineRule="auto"/>
      </w:pPr>
      <w:r w:rsidRPr="00EC2648">
        <w:rPr>
          <w:rFonts w:ascii="Times New Roman" w:eastAsia="Times New Roman" w:hAnsi="Times New Roman" w:cs="Times New Roman"/>
          <w:i/>
          <w:iCs/>
          <w:color w:val="262626" w:themeColor="text1" w:themeTint="D9"/>
        </w:rPr>
        <w:t xml:space="preserve">Work Health and Safety Regulations 2011 </w:t>
      </w:r>
    </w:p>
    <w:p w14:paraId="18657F5C" w14:textId="2676BD7F" w:rsidR="00324670" w:rsidRPr="00EC2648" w:rsidRDefault="025162F0" w:rsidP="358883A3">
      <w:pPr>
        <w:spacing w:after="0" w:line="257" w:lineRule="auto"/>
      </w:pPr>
      <w:r w:rsidRPr="00EC2648">
        <w:rPr>
          <w:rFonts w:ascii="Times New Roman" w:eastAsia="Times New Roman" w:hAnsi="Times New Roman" w:cs="Times New Roman"/>
          <w:i/>
          <w:iCs/>
          <w:color w:val="262626" w:themeColor="text1" w:themeTint="D9"/>
        </w:rPr>
        <w:t xml:space="preserve"> </w:t>
      </w:r>
    </w:p>
    <w:p w14:paraId="6BFBBB04" w14:textId="4692457F" w:rsidR="00324670" w:rsidRPr="00EC2648" w:rsidRDefault="025162F0" w:rsidP="33F151C8">
      <w:pPr>
        <w:spacing w:after="0" w:line="257" w:lineRule="auto"/>
        <w:rPr>
          <w:rFonts w:ascii="Times New Roman" w:eastAsia="Times New Roman" w:hAnsi="Times New Roman" w:cs="Times New Roman"/>
          <w:b/>
          <w:bCs/>
          <w:color w:val="262626" w:themeColor="text1" w:themeTint="D9"/>
          <w:lang w:val="en-GB"/>
        </w:rPr>
      </w:pPr>
      <w:r w:rsidRPr="00EC2648">
        <w:rPr>
          <w:rFonts w:ascii="Times New Roman" w:eastAsia="Times New Roman" w:hAnsi="Times New Roman" w:cs="Times New Roman"/>
          <w:b/>
          <w:bCs/>
          <w:color w:val="262626" w:themeColor="text1" w:themeTint="D9"/>
        </w:rPr>
        <w:t xml:space="preserve">Item </w:t>
      </w:r>
      <w:r w:rsidR="00F770F5" w:rsidRPr="00EC2648">
        <w:rPr>
          <w:rFonts w:ascii="Times New Roman" w:eastAsia="Times New Roman" w:hAnsi="Times New Roman" w:cs="Times New Roman"/>
          <w:b/>
          <w:bCs/>
          <w:color w:val="262626" w:themeColor="text1" w:themeTint="D9"/>
        </w:rPr>
        <w:t>[</w:t>
      </w:r>
      <w:r w:rsidR="6F09FBDB" w:rsidRPr="00EC2648">
        <w:rPr>
          <w:rFonts w:ascii="Times New Roman" w:eastAsia="Times New Roman" w:hAnsi="Times New Roman" w:cs="Times New Roman"/>
          <w:b/>
          <w:bCs/>
          <w:color w:val="262626" w:themeColor="text1" w:themeTint="D9"/>
        </w:rPr>
        <w:t>1</w:t>
      </w:r>
      <w:r w:rsidR="00F770F5" w:rsidRPr="00EC2648">
        <w:rPr>
          <w:rFonts w:ascii="Times New Roman" w:eastAsia="Times New Roman" w:hAnsi="Times New Roman" w:cs="Times New Roman"/>
          <w:b/>
          <w:bCs/>
          <w:color w:val="262626" w:themeColor="text1" w:themeTint="D9"/>
        </w:rPr>
        <w:t>]</w:t>
      </w:r>
      <w:r w:rsidR="6F09FBDB" w:rsidRPr="00EC2648">
        <w:rPr>
          <w:rFonts w:ascii="Times New Roman" w:eastAsia="Times New Roman" w:hAnsi="Times New Roman" w:cs="Times New Roman"/>
          <w:b/>
          <w:bCs/>
          <w:color w:val="262626" w:themeColor="text1" w:themeTint="D9"/>
        </w:rPr>
        <w:t xml:space="preserve"> </w:t>
      </w:r>
      <w:r w:rsidR="00E35715" w:rsidRPr="00EC2648">
        <w:rPr>
          <w:rFonts w:ascii="Times New Roman" w:eastAsia="Times New Roman" w:hAnsi="Times New Roman" w:cs="Times New Roman"/>
          <w:b/>
          <w:bCs/>
          <w:color w:val="262626" w:themeColor="text1" w:themeTint="D9"/>
        </w:rPr>
        <w:t>Subregulation</w:t>
      </w:r>
      <w:r w:rsidRPr="00EC2648">
        <w:rPr>
          <w:rFonts w:ascii="Times New Roman" w:eastAsia="Times New Roman" w:hAnsi="Times New Roman" w:cs="Times New Roman"/>
          <w:b/>
          <w:bCs/>
          <w:color w:val="262626" w:themeColor="text1" w:themeTint="D9"/>
        </w:rPr>
        <w:t xml:space="preserve"> 5</w:t>
      </w:r>
      <w:r w:rsidR="00E35715" w:rsidRPr="00EC2648">
        <w:rPr>
          <w:rFonts w:ascii="Times New Roman" w:eastAsia="Times New Roman" w:hAnsi="Times New Roman" w:cs="Times New Roman"/>
          <w:b/>
          <w:bCs/>
          <w:color w:val="262626" w:themeColor="text1" w:themeTint="D9"/>
        </w:rPr>
        <w:t>(1)</w:t>
      </w:r>
      <w:r w:rsidR="00E35715" w:rsidRPr="00EC2648">
        <w:rPr>
          <w:rFonts w:ascii="Times New Roman" w:eastAsia="Times New Roman" w:hAnsi="Times New Roman" w:cs="Times New Roman"/>
          <w:color w:val="262626" w:themeColor="text1" w:themeTint="D9"/>
        </w:rPr>
        <w:t xml:space="preserve"> </w:t>
      </w:r>
    </w:p>
    <w:p w14:paraId="4F75999A" w14:textId="2676BD7F"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inserts the following terms into the definition section in regulation 5(1), and signals where the terms are defined in another section of the Regulations:</w:t>
      </w:r>
    </w:p>
    <w:p w14:paraId="26ED4B42" w14:textId="1FDF9E8B" w:rsidR="00324670" w:rsidRPr="00EC2648" w:rsidRDefault="025162F0" w:rsidP="358883A3">
      <w:pPr>
        <w:spacing w:before="179"/>
        <w:ind w:left="792" w:right="504"/>
      </w:pPr>
      <w:r w:rsidRPr="00EC2648">
        <w:rPr>
          <w:rFonts w:ascii="Times New Roman" w:eastAsia="Times New Roman" w:hAnsi="Times New Roman" w:cs="Times New Roman"/>
          <w:b/>
          <w:bCs/>
          <w:i/>
          <w:iCs/>
          <w:color w:val="000000" w:themeColor="text1"/>
        </w:rPr>
        <w:t xml:space="preserve">controlled, </w:t>
      </w:r>
      <w:r w:rsidRPr="00EC2648">
        <w:rPr>
          <w:rFonts w:ascii="Times New Roman" w:eastAsia="Times New Roman" w:hAnsi="Times New Roman" w:cs="Times New Roman"/>
          <w:i/>
          <w:iCs/>
          <w:color w:val="000000" w:themeColor="text1"/>
        </w:rPr>
        <w:t>in relation to work involving processing engineered stone, porcelain products or sintered stone—see regulation 529</w:t>
      </w:r>
      <w:r w:rsidR="00FF17AE">
        <w:rPr>
          <w:rFonts w:ascii="Times New Roman" w:eastAsia="Times New Roman" w:hAnsi="Times New Roman" w:cs="Times New Roman"/>
          <w:i/>
          <w:iCs/>
          <w:color w:val="000000" w:themeColor="text1"/>
        </w:rPr>
        <w:t>B(1)</w:t>
      </w:r>
      <w:r w:rsidRPr="00EC2648">
        <w:rPr>
          <w:rFonts w:ascii="Times New Roman" w:eastAsia="Times New Roman" w:hAnsi="Times New Roman" w:cs="Times New Roman"/>
          <w:i/>
          <w:iCs/>
          <w:color w:val="000000" w:themeColor="text1"/>
        </w:rPr>
        <w:t>.</w:t>
      </w:r>
    </w:p>
    <w:p w14:paraId="4550616F" w14:textId="2676BD7F" w:rsidR="00324670" w:rsidRPr="00EC2648" w:rsidRDefault="025162F0" w:rsidP="358883A3">
      <w:pPr>
        <w:spacing w:before="178"/>
        <w:ind w:left="792"/>
      </w:pPr>
      <w:r w:rsidRPr="00EC2648">
        <w:rPr>
          <w:rFonts w:ascii="Times New Roman" w:eastAsia="Times New Roman" w:hAnsi="Times New Roman" w:cs="Times New Roman"/>
          <w:b/>
          <w:bCs/>
          <w:i/>
          <w:iCs/>
          <w:color w:val="000000" w:themeColor="text1"/>
        </w:rPr>
        <w:t xml:space="preserve">engineered stone—see </w:t>
      </w:r>
      <w:r w:rsidRPr="00EC2648">
        <w:rPr>
          <w:rFonts w:ascii="Times New Roman" w:eastAsia="Times New Roman" w:hAnsi="Times New Roman" w:cs="Times New Roman"/>
          <w:i/>
          <w:iCs/>
          <w:color w:val="000000" w:themeColor="text1"/>
        </w:rPr>
        <w:t>regulation 529A.</w:t>
      </w:r>
    </w:p>
    <w:p w14:paraId="48237A8A" w14:textId="6BBFFC25" w:rsidR="00324670" w:rsidRPr="00EC2648" w:rsidRDefault="025162F0" w:rsidP="3E05CBC5">
      <w:pPr>
        <w:spacing w:before="168" w:line="278" w:lineRule="auto"/>
        <w:ind w:left="792"/>
      </w:pPr>
      <w:r w:rsidRPr="00EC2648">
        <w:rPr>
          <w:rFonts w:ascii="Times New Roman" w:eastAsia="Times New Roman" w:hAnsi="Times New Roman" w:cs="Times New Roman"/>
          <w:b/>
          <w:bCs/>
          <w:i/>
          <w:iCs/>
          <w:color w:val="000000" w:themeColor="text1"/>
        </w:rPr>
        <w:t xml:space="preserve">porcelain product </w:t>
      </w:r>
      <w:r w:rsidRPr="00EC2648">
        <w:rPr>
          <w:rFonts w:ascii="Times New Roman" w:eastAsia="Times New Roman" w:hAnsi="Times New Roman" w:cs="Times New Roman"/>
          <w:i/>
          <w:iCs/>
          <w:color w:val="000000" w:themeColor="text1"/>
        </w:rPr>
        <w:t>does not include a product that contains resin.</w:t>
      </w:r>
    </w:p>
    <w:p w14:paraId="7885FA95" w14:textId="2676BD7F" w:rsidR="00324670" w:rsidRPr="00EC2648" w:rsidRDefault="025162F0" w:rsidP="358883A3">
      <w:pPr>
        <w:ind w:left="720" w:right="432"/>
      </w:pPr>
      <w:r w:rsidRPr="00EC2648">
        <w:rPr>
          <w:rFonts w:ascii="Times New Roman" w:eastAsia="Times New Roman" w:hAnsi="Times New Roman" w:cs="Times New Roman"/>
          <w:b/>
          <w:bCs/>
          <w:i/>
          <w:iCs/>
          <w:color w:val="000000" w:themeColor="text1"/>
        </w:rPr>
        <w:lastRenderedPageBreak/>
        <w:t xml:space="preserve">processing, </w:t>
      </w:r>
      <w:r w:rsidRPr="00EC2648">
        <w:rPr>
          <w:rFonts w:ascii="Times New Roman" w:eastAsia="Times New Roman" w:hAnsi="Times New Roman" w:cs="Times New Roman"/>
          <w:i/>
          <w:iCs/>
          <w:color w:val="000000" w:themeColor="text1"/>
        </w:rPr>
        <w:t>in relation to work involving processing engineered stone, porcelain products or sintered stone — see regulation 529C.</w:t>
      </w:r>
    </w:p>
    <w:p w14:paraId="152E235A" w14:textId="2676BD7F" w:rsidR="00324670" w:rsidRPr="00EC2648" w:rsidRDefault="025162F0" w:rsidP="358883A3">
      <w:pPr>
        <w:ind w:left="720" w:right="432"/>
      </w:pPr>
      <w:r w:rsidRPr="00EC2648">
        <w:rPr>
          <w:rFonts w:ascii="Times New Roman" w:eastAsia="Times New Roman" w:hAnsi="Times New Roman" w:cs="Times New Roman"/>
          <w:b/>
          <w:bCs/>
          <w:i/>
          <w:iCs/>
          <w:color w:val="000000" w:themeColor="text1"/>
        </w:rPr>
        <w:t xml:space="preserve">sintered stone </w:t>
      </w:r>
      <w:r w:rsidRPr="00EC2648">
        <w:rPr>
          <w:rFonts w:ascii="Times New Roman" w:eastAsia="Times New Roman" w:hAnsi="Times New Roman" w:cs="Times New Roman"/>
          <w:i/>
          <w:iCs/>
          <w:color w:val="000000" w:themeColor="text1"/>
        </w:rPr>
        <w:t>does not include a product that contains resin.</w:t>
      </w:r>
    </w:p>
    <w:p w14:paraId="43826688" w14:textId="6A9E04D9" w:rsidR="00324670" w:rsidRPr="00EC2648" w:rsidRDefault="025162F0" w:rsidP="358883A3">
      <w:pPr>
        <w:spacing w:before="2"/>
      </w:pPr>
      <w:r w:rsidRPr="00EC2648">
        <w:rPr>
          <w:rFonts w:ascii="Times New Roman" w:eastAsia="Times New Roman" w:hAnsi="Times New Roman" w:cs="Times New Roman"/>
          <w:b/>
          <w:bCs/>
          <w:color w:val="000000" w:themeColor="text1"/>
        </w:rPr>
        <w:t xml:space="preserve">Item </w:t>
      </w:r>
      <w:r w:rsidR="004E08CB" w:rsidRPr="00EC2648">
        <w:rPr>
          <w:rFonts w:ascii="Times New Roman" w:eastAsia="Times New Roman" w:hAnsi="Times New Roman" w:cs="Times New Roman"/>
          <w:b/>
          <w:bCs/>
          <w:color w:val="000000" w:themeColor="text1"/>
        </w:rPr>
        <w:t>[</w:t>
      </w:r>
      <w:r w:rsidR="6401CCB6" w:rsidRPr="00EC2648">
        <w:rPr>
          <w:rFonts w:ascii="Times New Roman" w:eastAsia="Times New Roman" w:hAnsi="Times New Roman" w:cs="Times New Roman"/>
          <w:b/>
          <w:bCs/>
          <w:color w:val="000000" w:themeColor="text1"/>
        </w:rPr>
        <w:t>2</w:t>
      </w:r>
      <w:r w:rsidR="004E08CB"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Part 4.9</w:t>
      </w:r>
    </w:p>
    <w:p w14:paraId="36D4F187" w14:textId="6698AC68"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w:t>
      </w:r>
      <w:r w:rsidR="004F602C" w:rsidRPr="00EC2648">
        <w:rPr>
          <w:rFonts w:ascii="Times New Roman" w:eastAsia="Times New Roman" w:hAnsi="Times New Roman" w:cs="Times New Roman"/>
          <w:color w:val="000000" w:themeColor="text1"/>
        </w:rPr>
        <w:t xml:space="preserve">repeals </w:t>
      </w:r>
      <w:r w:rsidRPr="00EC2648">
        <w:rPr>
          <w:rFonts w:ascii="Times New Roman" w:eastAsia="Times New Roman" w:hAnsi="Times New Roman" w:cs="Times New Roman"/>
          <w:color w:val="000000" w:themeColor="text1"/>
        </w:rPr>
        <w:t xml:space="preserve">Part 4.9 (Processing engineered stone containing crystalline silica) of the </w:t>
      </w:r>
      <w:r w:rsidR="00FF17AE">
        <w:rPr>
          <w:rFonts w:ascii="Times New Roman" w:eastAsia="Times New Roman" w:hAnsi="Times New Roman" w:cs="Times New Roman"/>
          <w:color w:val="000000" w:themeColor="text1"/>
        </w:rPr>
        <w:t xml:space="preserve">Principal </w:t>
      </w:r>
      <w:r w:rsidRPr="00EC2648">
        <w:rPr>
          <w:rFonts w:ascii="Times New Roman" w:eastAsia="Times New Roman" w:hAnsi="Times New Roman" w:cs="Times New Roman"/>
          <w:color w:val="000000" w:themeColor="text1"/>
        </w:rPr>
        <w:t>Regulations. As the</w:t>
      </w:r>
      <w:r w:rsidR="004F602C" w:rsidRPr="00EC2648">
        <w:rPr>
          <w:rFonts w:ascii="Times New Roman" w:eastAsia="Times New Roman" w:hAnsi="Times New Roman" w:cs="Times New Roman"/>
          <w:color w:val="000000" w:themeColor="text1"/>
        </w:rPr>
        <w:t xml:space="preserve"> </w:t>
      </w:r>
      <w:r w:rsidR="00FF17AE">
        <w:rPr>
          <w:rFonts w:ascii="Times New Roman" w:eastAsia="Times New Roman" w:hAnsi="Times New Roman" w:cs="Times New Roman"/>
          <w:color w:val="000000" w:themeColor="text1"/>
        </w:rPr>
        <w:t>Amendment</w:t>
      </w:r>
      <w:r w:rsidRPr="00EC2648">
        <w:rPr>
          <w:rFonts w:ascii="Times New Roman" w:eastAsia="Times New Roman" w:hAnsi="Times New Roman" w:cs="Times New Roman"/>
          <w:color w:val="000000" w:themeColor="text1"/>
        </w:rPr>
        <w:t xml:space="preserve"> </w:t>
      </w:r>
      <w:r w:rsidR="004F602C" w:rsidRPr="00EC2648">
        <w:rPr>
          <w:rFonts w:ascii="Times New Roman" w:eastAsia="Times New Roman" w:hAnsi="Times New Roman" w:cs="Times New Roman"/>
          <w:color w:val="000000" w:themeColor="text1"/>
        </w:rPr>
        <w:t>R</w:t>
      </w:r>
      <w:r w:rsidRPr="00EC2648">
        <w:rPr>
          <w:rFonts w:ascii="Times New Roman" w:eastAsia="Times New Roman" w:hAnsi="Times New Roman" w:cs="Times New Roman"/>
          <w:color w:val="000000" w:themeColor="text1"/>
        </w:rPr>
        <w:t>egulations make it an offence for a person conducting a business or undertaking (PCBU) to carry out work with engineered stone benchtops, panels and slabs or to carry out uncontrolled processing of other engineered stone products, the offence in regulation 184A</w:t>
      </w:r>
      <w:r w:rsidR="001C07EF" w:rsidRPr="00EC2648">
        <w:rPr>
          <w:rFonts w:ascii="Times New Roman" w:eastAsia="Times New Roman" w:hAnsi="Times New Roman" w:cs="Times New Roman"/>
          <w:color w:val="000000" w:themeColor="text1"/>
        </w:rPr>
        <w:t>, which sits within Part 4.9,</w:t>
      </w:r>
      <w:r w:rsidRPr="00EC2648">
        <w:rPr>
          <w:rFonts w:ascii="Times New Roman" w:eastAsia="Times New Roman" w:hAnsi="Times New Roman" w:cs="Times New Roman"/>
          <w:color w:val="000000" w:themeColor="text1"/>
        </w:rPr>
        <w:t xml:space="preserve"> is no longer required.</w:t>
      </w:r>
    </w:p>
    <w:p w14:paraId="07AA9AF6" w14:textId="56FE172E" w:rsidR="00E35715" w:rsidRPr="00EC2648" w:rsidRDefault="025162F0" w:rsidP="358883A3">
      <w:pPr>
        <w:spacing w:before="174"/>
        <w:ind w:right="864"/>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E02492" w:rsidRPr="00EC2648">
        <w:rPr>
          <w:rFonts w:ascii="Times New Roman" w:eastAsia="Times New Roman" w:hAnsi="Times New Roman" w:cs="Times New Roman"/>
          <w:b/>
          <w:bCs/>
          <w:color w:val="000000" w:themeColor="text1"/>
        </w:rPr>
        <w:t>[</w:t>
      </w:r>
      <w:r w:rsidR="3BFE0C38" w:rsidRPr="00EC2648">
        <w:rPr>
          <w:rFonts w:ascii="Times New Roman" w:eastAsia="Times New Roman" w:hAnsi="Times New Roman" w:cs="Times New Roman"/>
          <w:b/>
          <w:bCs/>
          <w:color w:val="000000" w:themeColor="text1"/>
        </w:rPr>
        <w:t>3</w:t>
      </w:r>
      <w:r w:rsidR="00E02492"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A054EF" w:rsidRPr="00EC2648">
        <w:rPr>
          <w:rFonts w:ascii="Times New Roman" w:eastAsia="Times New Roman" w:hAnsi="Times New Roman" w:cs="Times New Roman"/>
          <w:b/>
          <w:bCs/>
          <w:color w:val="000000" w:themeColor="text1"/>
        </w:rPr>
        <w:t>After</w:t>
      </w:r>
      <w:r w:rsidR="00E35715" w:rsidRPr="00EC2648">
        <w:rPr>
          <w:rFonts w:ascii="Times New Roman" w:eastAsia="Times New Roman" w:hAnsi="Times New Roman" w:cs="Times New Roman"/>
          <w:b/>
          <w:bCs/>
          <w:color w:val="000000" w:themeColor="text1"/>
        </w:rPr>
        <w:t xml:space="preserve"> Chapter 8</w:t>
      </w:r>
    </w:p>
    <w:p w14:paraId="37295CBB" w14:textId="3E408DFF"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inserts a new Chapter 8A</w:t>
      </w:r>
      <w:r w:rsidR="00C35C51" w:rsidRPr="00EC2648">
        <w:rPr>
          <w:rFonts w:ascii="Times New Roman" w:eastAsia="Times New Roman" w:hAnsi="Times New Roman" w:cs="Times New Roman"/>
          <w:color w:val="000000" w:themeColor="text1"/>
        </w:rPr>
        <w:t xml:space="preserve"> – Engineered stone, porcelain products and sintered stone</w:t>
      </w:r>
      <w:r w:rsidRPr="00EC2648">
        <w:rPr>
          <w:rFonts w:ascii="Times New Roman" w:eastAsia="Times New Roman" w:hAnsi="Times New Roman" w:cs="Times New Roman"/>
          <w:color w:val="000000" w:themeColor="text1"/>
        </w:rPr>
        <w:t xml:space="preserve"> which includes Parts 8A.1-8A.5 and regulations 529A-529L.</w:t>
      </w:r>
    </w:p>
    <w:p w14:paraId="09B865BD" w14:textId="54641037" w:rsidR="00324670" w:rsidRPr="00EC2648" w:rsidRDefault="025162F0" w:rsidP="358883A3">
      <w:pPr>
        <w:spacing w:before="178"/>
      </w:pPr>
      <w:r w:rsidRPr="00EC2648">
        <w:rPr>
          <w:rFonts w:ascii="Times New Roman" w:eastAsia="Times New Roman" w:hAnsi="Times New Roman" w:cs="Times New Roman"/>
          <w:b/>
          <w:bCs/>
          <w:color w:val="000000" w:themeColor="text1"/>
        </w:rPr>
        <w:t>Part 8A.1 Preliminary</w:t>
      </w:r>
    </w:p>
    <w:p w14:paraId="315BD955" w14:textId="0A1AEE19" w:rsidR="00324670" w:rsidRPr="00EC2648" w:rsidRDefault="025162F0" w:rsidP="1E0D23C5">
      <w:pPr>
        <w:spacing w:before="181"/>
        <w:rPr>
          <w:rFonts w:ascii="Times New Roman" w:eastAsia="Times New Roman" w:hAnsi="Times New Roman" w:cs="Times New Roman"/>
          <w:b/>
          <w:bCs/>
          <w:i/>
          <w:iCs/>
          <w:color w:val="000000" w:themeColor="text1"/>
        </w:rPr>
      </w:pPr>
      <w:r w:rsidRPr="00EC2648">
        <w:rPr>
          <w:rFonts w:ascii="Times New Roman" w:eastAsia="Times New Roman" w:hAnsi="Times New Roman" w:cs="Times New Roman"/>
          <w:b/>
          <w:bCs/>
          <w:color w:val="000000" w:themeColor="text1"/>
        </w:rPr>
        <w:t xml:space="preserve">529A Meaning of </w:t>
      </w:r>
      <w:r w:rsidRPr="00EC2648">
        <w:rPr>
          <w:rFonts w:ascii="Times New Roman" w:eastAsia="Times New Roman" w:hAnsi="Times New Roman" w:cs="Times New Roman"/>
          <w:b/>
          <w:bCs/>
          <w:i/>
          <w:iCs/>
          <w:color w:val="000000" w:themeColor="text1"/>
        </w:rPr>
        <w:t>engineered stone</w:t>
      </w:r>
    </w:p>
    <w:p w14:paraId="597BCE1A" w14:textId="119C4631" w:rsidR="00324670" w:rsidRPr="00EC2648" w:rsidRDefault="025162F0" w:rsidP="00E450E5">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Paragraph 529A(1)(a) defines </w:t>
      </w:r>
      <w:r w:rsidR="00C35C51"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engineered stone</w:t>
      </w:r>
      <w:r w:rsidR="00C35C51"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as an artificial product that contains 1% or more crystalline silica (determined as a weight/weight (w/w) concentration), is created by combining natural stone materials with other chemical constituents (such as water, resins or pigments) and becomes hardened.</w:t>
      </w:r>
    </w:p>
    <w:p w14:paraId="675D311E" w14:textId="77777777" w:rsidR="00E450E5" w:rsidRPr="00EC2648" w:rsidRDefault="00E450E5" w:rsidP="00C333DE">
      <w:pPr>
        <w:pStyle w:val="ListParagraph"/>
        <w:spacing w:after="0" w:line="257" w:lineRule="auto"/>
        <w:ind w:left="360"/>
        <w:rPr>
          <w:rFonts w:ascii="Times New Roman" w:eastAsia="Times New Roman" w:hAnsi="Times New Roman" w:cs="Times New Roman"/>
          <w:color w:val="000000" w:themeColor="text1"/>
        </w:rPr>
      </w:pPr>
    </w:p>
    <w:p w14:paraId="7E455F6D" w14:textId="54641037" w:rsidR="00324670" w:rsidRPr="00EC2648" w:rsidRDefault="025162F0" w:rsidP="00E450E5">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However, engineered stone does not include concrete and cement products, bricks, pavers and other similar blocks, ceramic wall and floor tiles, grout, mortar and render, plasterboard, porcelain products, sintered stone and roof tiles (paragraph 529A(1)(b)).</w:t>
      </w:r>
    </w:p>
    <w:p w14:paraId="066EC275" w14:textId="77777777" w:rsidR="00E450E5" w:rsidRPr="00EC2648" w:rsidRDefault="00E450E5" w:rsidP="00C333DE">
      <w:pPr>
        <w:pStyle w:val="ListParagraph"/>
        <w:rPr>
          <w:rFonts w:ascii="Times New Roman" w:eastAsia="Times New Roman" w:hAnsi="Times New Roman" w:cs="Times New Roman"/>
          <w:color w:val="000000" w:themeColor="text1"/>
        </w:rPr>
      </w:pPr>
    </w:p>
    <w:p w14:paraId="6D1A4AEE" w14:textId="6F6B53DB" w:rsidR="00324670" w:rsidRPr="00EC2648" w:rsidRDefault="19B116AD"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529A(2) defines 'crystalline silica' for the purpose of regulation 529A to mean crystalline polymorphs of silica, including the substances cristobalite, quartz, tridymite and tripoli.</w:t>
      </w:r>
    </w:p>
    <w:p w14:paraId="75FC65B6" w14:textId="462CE02A" w:rsidR="00324670" w:rsidRPr="00EC2648" w:rsidRDefault="025162F0" w:rsidP="1E0D23C5">
      <w:pPr>
        <w:spacing w:before="164"/>
        <w:ind w:right="792"/>
        <w:rPr>
          <w:rFonts w:ascii="Times New Roman" w:eastAsia="Times New Roman" w:hAnsi="Times New Roman" w:cs="Times New Roman"/>
          <w:b/>
          <w:bCs/>
          <w:i/>
          <w:iCs/>
          <w:color w:val="000000" w:themeColor="text1"/>
        </w:rPr>
      </w:pPr>
      <w:r w:rsidRPr="00EC2648">
        <w:rPr>
          <w:rFonts w:ascii="Times New Roman" w:eastAsia="Times New Roman" w:hAnsi="Times New Roman" w:cs="Times New Roman"/>
          <w:b/>
          <w:bCs/>
          <w:color w:val="000000" w:themeColor="text1"/>
        </w:rPr>
        <w:t xml:space="preserve">529B When work involving processing engineered stone, porcelain products or sintered stone is </w:t>
      </w:r>
      <w:r w:rsidRPr="00EC2648">
        <w:rPr>
          <w:rFonts w:ascii="Times New Roman" w:eastAsia="Times New Roman" w:hAnsi="Times New Roman" w:cs="Times New Roman"/>
          <w:b/>
          <w:bCs/>
          <w:i/>
          <w:iCs/>
          <w:color w:val="000000" w:themeColor="text1"/>
        </w:rPr>
        <w:t>controlled</w:t>
      </w:r>
    </w:p>
    <w:p w14:paraId="6FEF40DC" w14:textId="3B277BFE" w:rsidR="00324670" w:rsidRPr="00EC2648" w:rsidRDefault="19B116AD" w:rsidP="00A3262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529B(1) specifies that the processing of engineered stone, porcelain products or sintered stone will be controlled if control measures to eliminate or minimise risks arising from the processing of the stone or product are implemented so far as is reasonably practicable, and at least one of the following systems is used while the stone or product is processed:</w:t>
      </w:r>
    </w:p>
    <w:p w14:paraId="08D3B546" w14:textId="77777777" w:rsidR="00A3262E" w:rsidRPr="00EC2648" w:rsidRDefault="00A3262E" w:rsidP="00C333DE">
      <w:pPr>
        <w:pStyle w:val="ListParagraph"/>
        <w:spacing w:after="0" w:line="257" w:lineRule="auto"/>
        <w:ind w:left="360"/>
        <w:rPr>
          <w:rFonts w:ascii="Times New Roman" w:eastAsia="Times New Roman" w:hAnsi="Times New Roman" w:cs="Times New Roman"/>
          <w:color w:val="000000" w:themeColor="text1"/>
        </w:rPr>
      </w:pPr>
    </w:p>
    <w:p w14:paraId="667C6E01" w14:textId="54641037" w:rsidR="00324670" w:rsidRPr="00EC2648" w:rsidRDefault="025162F0" w:rsidP="00E1337D">
      <w:pPr>
        <w:pStyle w:val="ListParagraph"/>
        <w:numPr>
          <w:ilvl w:val="0"/>
          <w:numId w:val="15"/>
        </w:numPr>
        <w:spacing w:after="0"/>
        <w:ind w:right="144" w:hanging="288"/>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 effective water delivery system that supplies a continuous feed of water over the stone or product to suppress the generation of dust</w:t>
      </w:r>
    </w:p>
    <w:p w14:paraId="64E7CB70" w14:textId="54641037" w:rsidR="00324670" w:rsidRPr="00EC2648" w:rsidRDefault="025162F0" w:rsidP="00E1337D">
      <w:pPr>
        <w:pStyle w:val="ListParagraph"/>
        <w:numPr>
          <w:ilvl w:val="0"/>
          <w:numId w:val="15"/>
        </w:numPr>
        <w:spacing w:after="0"/>
        <w:ind w:hanging="288"/>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 effective on-tool extraction system, or</w:t>
      </w:r>
    </w:p>
    <w:p w14:paraId="4428472B" w14:textId="54641037" w:rsidR="00324670" w:rsidRPr="00EC2648" w:rsidRDefault="025162F0" w:rsidP="00E1337D">
      <w:pPr>
        <w:pStyle w:val="ListParagraph"/>
        <w:numPr>
          <w:ilvl w:val="0"/>
          <w:numId w:val="15"/>
        </w:numPr>
        <w:spacing w:after="0"/>
        <w:ind w:hanging="288"/>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an effective local exhaust ventilation system.</w:t>
      </w:r>
    </w:p>
    <w:p w14:paraId="5AD0CF81" w14:textId="2379F7F7" w:rsidR="00324670" w:rsidRPr="00EC2648" w:rsidRDefault="025162F0" w:rsidP="00A3262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An effective on-tool extraction system typically includes a shroud, </w:t>
      </w:r>
      <w:r w:rsidR="000976D4" w:rsidRPr="00EC2648">
        <w:rPr>
          <w:rFonts w:ascii="Times New Roman" w:eastAsia="Times New Roman" w:hAnsi="Times New Roman" w:cs="Times New Roman"/>
          <w:color w:val="000000" w:themeColor="text1"/>
        </w:rPr>
        <w:t xml:space="preserve">which is </w:t>
      </w:r>
      <w:r w:rsidRPr="00EC2648">
        <w:rPr>
          <w:rFonts w:ascii="Times New Roman" w:eastAsia="Times New Roman" w:hAnsi="Times New Roman" w:cs="Times New Roman"/>
          <w:color w:val="000000" w:themeColor="text1"/>
        </w:rPr>
        <w:t>an on-tool hose attachment connected to a vacuum extraction system. Guidance on effective local exhaust ventilation is available on the Safe Work Australia website.</w:t>
      </w:r>
    </w:p>
    <w:p w14:paraId="50B35183" w14:textId="77777777" w:rsidR="00A3262E" w:rsidRPr="00EC2648" w:rsidRDefault="00A3262E" w:rsidP="00C333DE">
      <w:pPr>
        <w:pStyle w:val="ListParagraph"/>
        <w:spacing w:after="0" w:line="257" w:lineRule="auto"/>
        <w:ind w:left="360"/>
        <w:rPr>
          <w:rFonts w:ascii="Times New Roman" w:eastAsia="Times New Roman" w:hAnsi="Times New Roman" w:cs="Times New Roman"/>
          <w:color w:val="000000" w:themeColor="text1"/>
        </w:rPr>
      </w:pPr>
    </w:p>
    <w:p w14:paraId="2C20AED5" w14:textId="1872DC49" w:rsidR="00324670" w:rsidRPr="00EC2648" w:rsidRDefault="025162F0" w:rsidP="00A3262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All persons who are at risk from the processing of the stone or product must also be provided with respiratory protective equipment (RPE) and must wear RPE while the work is carried out for the processing to be controlled (paragraph 529B(1)(c)).</w:t>
      </w:r>
    </w:p>
    <w:p w14:paraId="23239CAA" w14:textId="77777777" w:rsidR="00A3262E" w:rsidRPr="00EC2648" w:rsidRDefault="00A3262E" w:rsidP="00C333DE">
      <w:pPr>
        <w:pStyle w:val="ListParagraph"/>
        <w:spacing w:after="0" w:line="257" w:lineRule="auto"/>
        <w:ind w:left="360"/>
        <w:rPr>
          <w:rFonts w:ascii="Times New Roman" w:eastAsia="Times New Roman" w:hAnsi="Times New Roman" w:cs="Times New Roman"/>
          <w:color w:val="000000" w:themeColor="text1"/>
        </w:rPr>
      </w:pPr>
    </w:p>
    <w:p w14:paraId="091EBCE8" w14:textId="19F6E047" w:rsidR="00324670" w:rsidRPr="00EC2648" w:rsidRDefault="025162F0" w:rsidP="00A3262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529B(1) refers to regulation 351, which requires a PCBU to manage the risks to health and safety associated with using, handling, generating or storing a hazardous chemical at a workplace in accordance with Part 3.1 of the </w:t>
      </w:r>
      <w:r w:rsidR="00FF17AE">
        <w:rPr>
          <w:rFonts w:ascii="Times New Roman" w:eastAsia="Times New Roman" w:hAnsi="Times New Roman" w:cs="Times New Roman"/>
          <w:color w:val="000000" w:themeColor="text1"/>
        </w:rPr>
        <w:t xml:space="preserve">Principal </w:t>
      </w:r>
      <w:r w:rsidRPr="00EC2648">
        <w:rPr>
          <w:rFonts w:ascii="Times New Roman" w:eastAsia="Times New Roman" w:hAnsi="Times New Roman" w:cs="Times New Roman"/>
          <w:color w:val="000000" w:themeColor="text1"/>
        </w:rPr>
        <w:t>Regulations. RCS is a hazardous chemical.</w:t>
      </w:r>
    </w:p>
    <w:p w14:paraId="74B38E57" w14:textId="77777777" w:rsidR="00A3262E" w:rsidRPr="00EC2648" w:rsidRDefault="00A3262E" w:rsidP="00C333DE">
      <w:pPr>
        <w:pStyle w:val="ListParagraph"/>
        <w:rPr>
          <w:rFonts w:ascii="Times New Roman" w:eastAsia="Times New Roman" w:hAnsi="Times New Roman" w:cs="Times New Roman"/>
          <w:color w:val="000000" w:themeColor="text1"/>
        </w:rPr>
      </w:pPr>
    </w:p>
    <w:p w14:paraId="7D5CD69B" w14:textId="0973621F" w:rsidR="00324670" w:rsidRPr="00EC2648" w:rsidRDefault="19B116AD" w:rsidP="00A3262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529B(2) defines RPE for the purpose of regulation 529B to mean personal protective equipment (PPE) that is designed to prevent a person wearing the equipment from inhaling airborne contaminants, and complies with the following Australian Standards:</w:t>
      </w:r>
    </w:p>
    <w:p w14:paraId="04B68A9D" w14:textId="77777777" w:rsidR="00A3262E" w:rsidRPr="00EC2648" w:rsidRDefault="00A3262E" w:rsidP="00C333DE">
      <w:pPr>
        <w:pStyle w:val="ListParagraph"/>
        <w:spacing w:after="0" w:line="257" w:lineRule="auto"/>
        <w:ind w:left="360"/>
        <w:rPr>
          <w:rFonts w:ascii="Times New Roman" w:eastAsia="Times New Roman" w:hAnsi="Times New Roman" w:cs="Times New Roman"/>
          <w:color w:val="000000" w:themeColor="text1"/>
        </w:rPr>
      </w:pPr>
    </w:p>
    <w:p w14:paraId="0227A066"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AS/NZS 1716:2012 (Respiratory protective devices), and</w:t>
      </w:r>
    </w:p>
    <w:p w14:paraId="25B32F03" w14:textId="54641037" w:rsidR="00324670" w:rsidRPr="00EC2648" w:rsidRDefault="025162F0" w:rsidP="00E1337D">
      <w:pPr>
        <w:pStyle w:val="ListParagraph"/>
        <w:numPr>
          <w:ilvl w:val="0"/>
          <w:numId w:val="15"/>
        </w:numPr>
        <w:spacing w:after="0"/>
        <w:ind w:right="79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AS/NZS 1715:2009 (Selection, use and maintenance of respiratory protective equipment).</w:t>
      </w:r>
    </w:p>
    <w:p w14:paraId="7DFD55DC" w14:textId="77777777" w:rsidR="00833BA2" w:rsidRPr="00EC2648" w:rsidRDefault="00833BA2" w:rsidP="00C333DE">
      <w:pPr>
        <w:pStyle w:val="ListParagraph"/>
        <w:spacing w:after="0"/>
        <w:ind w:left="786" w:right="792"/>
        <w:rPr>
          <w:rFonts w:ascii="Times New Roman" w:eastAsia="Times New Roman" w:hAnsi="Times New Roman" w:cs="Times New Roman"/>
          <w:color w:val="000000" w:themeColor="text1"/>
        </w:rPr>
      </w:pPr>
    </w:p>
    <w:p w14:paraId="7CA9A3CC" w14:textId="6D3E6E53"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529B(2) sets out that regulations 44</w:t>
      </w:r>
      <w:r w:rsidR="00365F80" w:rsidRPr="00EC2648">
        <w:rPr>
          <w:rFonts w:ascii="Times New Roman" w:eastAsia="Times New Roman" w:hAnsi="Times New Roman" w:cs="Times New Roman"/>
          <w:color w:val="000000" w:themeColor="text1"/>
        </w:rPr>
        <w:t xml:space="preserve"> to </w:t>
      </w:r>
      <w:r w:rsidRPr="00EC2648">
        <w:rPr>
          <w:rFonts w:ascii="Times New Roman" w:eastAsia="Times New Roman" w:hAnsi="Times New Roman" w:cs="Times New Roman"/>
          <w:color w:val="000000" w:themeColor="text1"/>
        </w:rPr>
        <w:t>46 apply to the use of PPE, including the RPE provided under paragraph 529B(1)(c). These regulations deal with the provision by a PCBU of PPE to workers and others (including in relation to its suitability, maintenance and use) and the duties of workers who are provided with PPE.</w:t>
      </w:r>
    </w:p>
    <w:p w14:paraId="21DE3C1D" w14:textId="2F06C7AE" w:rsidR="00324670" w:rsidRPr="00EC2648" w:rsidRDefault="025162F0" w:rsidP="1E0D23C5">
      <w:pPr>
        <w:spacing w:before="170"/>
        <w:ind w:right="504"/>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529C Meaning of </w:t>
      </w:r>
      <w:r w:rsidRPr="00EC2648">
        <w:rPr>
          <w:rFonts w:ascii="Times New Roman" w:eastAsia="Times New Roman" w:hAnsi="Times New Roman" w:cs="Times New Roman"/>
          <w:b/>
          <w:bCs/>
          <w:i/>
          <w:iCs/>
          <w:color w:val="000000" w:themeColor="text1"/>
        </w:rPr>
        <w:t xml:space="preserve">processing </w:t>
      </w:r>
      <w:r w:rsidRPr="00EC2648">
        <w:rPr>
          <w:rFonts w:ascii="Times New Roman" w:eastAsia="Times New Roman" w:hAnsi="Times New Roman" w:cs="Times New Roman"/>
          <w:b/>
          <w:bCs/>
          <w:color w:val="000000" w:themeColor="text1"/>
        </w:rPr>
        <w:t>in relation to engineered stone, porcelain products or sintered stone</w:t>
      </w:r>
    </w:p>
    <w:p w14:paraId="3214D28E" w14:textId="58B203DE"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Regulation 529C defines </w:t>
      </w:r>
      <w:r w:rsidR="00046DFF"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processing</w:t>
      </w:r>
      <w:r w:rsidR="009A7D3E"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in relation to engineered stone, porcelain products or sintered stone to mean using a power tool or other mechanical plant to crush, cut, grind, trim, sand, abrasive polish or drill the stone or product.</w:t>
      </w:r>
    </w:p>
    <w:p w14:paraId="18508407" w14:textId="54641037" w:rsidR="00324670" w:rsidRPr="00EC2648" w:rsidRDefault="025162F0" w:rsidP="1E0D23C5">
      <w:pPr>
        <w:spacing w:before="182"/>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Part 8A.2 Work involving engineered stone benchtops, panels or slabs</w:t>
      </w:r>
    </w:p>
    <w:p w14:paraId="4286A6C5" w14:textId="3227276B" w:rsidR="00324670" w:rsidRPr="00EC2648" w:rsidRDefault="025162F0" w:rsidP="1E0D23C5">
      <w:pPr>
        <w:spacing w:before="162"/>
        <w:ind w:right="72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529D Work involving engineered stone benchtops, panels or slabs —prohibition</w:t>
      </w:r>
    </w:p>
    <w:p w14:paraId="0EA65990" w14:textId="54641037"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529D prohibits a PCBU from carrying out, directing or allowing a worker to carry out, work that involves manufacturing, supplying, processing or installing engineered stone benchtops, panels or slabs.</w:t>
      </w:r>
    </w:p>
    <w:p w14:paraId="3E969016"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2EB8325D" w14:textId="2D9F4F7E" w:rsidR="00851D49" w:rsidRPr="00EC2648" w:rsidRDefault="00851D4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1 to regulation 529D provides that under Part 11.2 Division 3A (Engineered stone), work involving a type of engineered stone may be </w:t>
      </w:r>
      <w:r w:rsidR="00AA4C44" w:rsidRPr="00EC2648">
        <w:rPr>
          <w:rFonts w:ascii="Times New Roman" w:eastAsia="Times New Roman" w:hAnsi="Times New Roman" w:cs="Times New Roman"/>
          <w:color w:val="000000" w:themeColor="text1"/>
        </w:rPr>
        <w:t xml:space="preserve">the </w:t>
      </w:r>
      <w:r w:rsidRPr="00EC2648">
        <w:rPr>
          <w:rFonts w:ascii="Times New Roman" w:eastAsia="Times New Roman" w:hAnsi="Times New Roman" w:cs="Times New Roman"/>
          <w:color w:val="000000" w:themeColor="text1"/>
        </w:rPr>
        <w:t>subject of an exemption from regulation 529D.</w:t>
      </w:r>
    </w:p>
    <w:p w14:paraId="246FB9A6" w14:textId="2B2FCC6B" w:rsidR="00851D49" w:rsidRPr="00EC2648" w:rsidRDefault="00851D49"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bookmarkStart w:id="0" w:name="_Int_mKuidfyE"/>
      <w:r w:rsidRPr="00EC2648">
        <w:rPr>
          <w:rFonts w:ascii="Times New Roman" w:eastAsia="Times New Roman" w:hAnsi="Times New Roman" w:cs="Times New Roman"/>
          <w:color w:val="000000" w:themeColor="text1"/>
        </w:rPr>
        <w:lastRenderedPageBreak/>
        <w:t>The note</w:t>
      </w:r>
      <w:bookmarkEnd w:id="0"/>
      <w:r w:rsidRPr="00EC2648">
        <w:rPr>
          <w:rFonts w:ascii="Times New Roman" w:eastAsia="Times New Roman" w:hAnsi="Times New Roman" w:cs="Times New Roman"/>
          <w:color w:val="000000" w:themeColor="text1"/>
        </w:rPr>
        <w:t xml:space="preserve"> 2 to regulation 529D provides that </w:t>
      </w:r>
      <w:r w:rsidR="054B4DD1"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ection 12F of the WHS Act provides that strict liability applies to each physical element of each offence under the WHS Act, unless otherwise stated. The reference in section 12F of the Act includes these Regulations. </w:t>
      </w:r>
    </w:p>
    <w:p w14:paraId="4569DFA6"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0DB4C8B2" w14:textId="310FC79F" w:rsidR="62417ABE" w:rsidRPr="00EC2648" w:rsidRDefault="62417ABE"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r w:rsidR="00E020A2" w:rsidRPr="00EC2648">
        <w:rPr>
          <w:rFonts w:ascii="Times New Roman" w:eastAsia="Times New Roman" w:hAnsi="Times New Roman" w:cs="Times New Roman"/>
          <w:color w:val="000000" w:themeColor="text1"/>
        </w:rPr>
        <w:t>.</w:t>
      </w:r>
    </w:p>
    <w:p w14:paraId="3F46CE81"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1854D0A3" w14:textId="5F55382F"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regulation 529D is a tier E monetary penalty.</w:t>
      </w:r>
    </w:p>
    <w:p w14:paraId="2C606638" w14:textId="77777777" w:rsidR="00833BA2" w:rsidRPr="00EC2648" w:rsidRDefault="00833BA2" w:rsidP="00C333DE">
      <w:pPr>
        <w:pStyle w:val="ListParagraph"/>
        <w:rPr>
          <w:rFonts w:ascii="Times New Roman" w:eastAsia="Times New Roman" w:hAnsi="Times New Roman" w:cs="Times New Roman"/>
          <w:color w:val="000000" w:themeColor="text1"/>
        </w:rPr>
      </w:pPr>
    </w:p>
    <w:p w14:paraId="5A916931" w14:textId="264A1530"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terms </w:t>
      </w:r>
      <w:r w:rsidR="00FF17AE">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benchtop</w:t>
      </w:r>
      <w:r w:rsidR="00FF17AE">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w:t>
      </w:r>
      <w:r w:rsidR="00FF17AE">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panel</w:t>
      </w:r>
      <w:r w:rsidR="00FF17AE">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and </w:t>
      </w:r>
      <w:r w:rsidR="00FF17AE">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slab</w:t>
      </w:r>
      <w:r w:rsidR="00FF17AE">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are not defined and carry their ordinary meaning. For example, the prohibition on work with engineered stone in regulation 529D applies to engineered stone:</w:t>
      </w:r>
    </w:p>
    <w:p w14:paraId="2AF174BF"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64A734DF"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benchtops, such as those installed in kitchens and bathrooms and outdoor surfaces</w:t>
      </w:r>
    </w:p>
    <w:p w14:paraId="2369D3AB"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panels, such as kitchen splashbacks or floor or wall tiles, and</w:t>
      </w:r>
    </w:p>
    <w:p w14:paraId="672933DF"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slabs, that might need to be cut to fit a variety of different installation settings.</w:t>
      </w:r>
    </w:p>
    <w:p w14:paraId="788C4A39" w14:textId="77777777" w:rsidR="00833BA2" w:rsidRPr="00EC2648" w:rsidRDefault="00833BA2" w:rsidP="00C333DE">
      <w:pPr>
        <w:pStyle w:val="ListParagraph"/>
        <w:spacing w:after="0"/>
        <w:ind w:left="786"/>
        <w:rPr>
          <w:rFonts w:ascii="Times New Roman" w:eastAsia="Times New Roman" w:hAnsi="Times New Roman" w:cs="Times New Roman"/>
          <w:color w:val="000000" w:themeColor="text1"/>
        </w:rPr>
      </w:pPr>
    </w:p>
    <w:p w14:paraId="36F3CAAD" w14:textId="4BA00EB8"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prohibition in this regulation does not apply to benchtops, panels and slabs that are porcelain products or which are manufactured by sintering (sintered stone), provided the product does not contain resin, consistent with the new definitions in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s 5(1). The terms </w:t>
      </w:r>
      <w:r w:rsidR="009A7D3E"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porcelain product</w:t>
      </w:r>
      <w:r w:rsidR="009A7D3E"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and </w:t>
      </w:r>
      <w:r w:rsidR="009A7D3E"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sintered stone</w:t>
      </w:r>
      <w:r w:rsidR="009A7D3E"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otherwise have their ordinary meanings. Additionally, the prohibition does not apply to other artificial products which are excluded from the definition of engineered stone including:</w:t>
      </w:r>
    </w:p>
    <w:p w14:paraId="31C1C1CB"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28A8EA11" w14:textId="54641037" w:rsidR="00F70C78" w:rsidRPr="00EC2648" w:rsidRDefault="025162F0" w:rsidP="00F70C78">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concrete and cement products</w:t>
      </w:r>
    </w:p>
    <w:p w14:paraId="54CD22AD" w14:textId="54641037" w:rsidR="00F70C78" w:rsidRPr="00EC2648" w:rsidRDefault="025162F0" w:rsidP="00F70C78">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bricks, pavers and other similar blocks</w:t>
      </w:r>
    </w:p>
    <w:p w14:paraId="199CFECC" w14:textId="54641037" w:rsidR="00F70C78" w:rsidRPr="00EC2648" w:rsidRDefault="025162F0" w:rsidP="00F70C78">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ceramic wall and floor tiles</w:t>
      </w:r>
    </w:p>
    <w:p w14:paraId="62D515D1" w14:textId="54641037" w:rsidR="00F70C78" w:rsidRPr="00EC2648" w:rsidRDefault="025162F0" w:rsidP="00F70C78">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roof tiles</w:t>
      </w:r>
    </w:p>
    <w:p w14:paraId="62D8B944" w14:textId="54641037" w:rsidR="00F70C78" w:rsidRPr="00EC2648" w:rsidRDefault="025162F0" w:rsidP="00F70C78">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grout, mortar and render</w:t>
      </w:r>
    </w:p>
    <w:p w14:paraId="279D4D37" w14:textId="54641037" w:rsidR="00324670" w:rsidRPr="00EC2648" w:rsidRDefault="025162F0" w:rsidP="00F70C78">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plasterboard.</w:t>
      </w:r>
    </w:p>
    <w:p w14:paraId="59874789" w14:textId="77777777" w:rsidR="00833BA2" w:rsidRPr="00EC2648" w:rsidRDefault="00833BA2" w:rsidP="00C333DE">
      <w:pPr>
        <w:pStyle w:val="ListParagraph"/>
        <w:spacing w:after="0"/>
        <w:ind w:left="786"/>
        <w:rPr>
          <w:rFonts w:ascii="Times New Roman" w:eastAsia="Times New Roman" w:hAnsi="Times New Roman" w:cs="Times New Roman"/>
          <w:color w:val="000000" w:themeColor="text1"/>
        </w:rPr>
      </w:pPr>
    </w:p>
    <w:p w14:paraId="64CD051E" w14:textId="3A1F1D83"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effect of the definition in regulation 529A and the prohibition in new regulation 529D also means that finished engineered stone products that are not in benchtop, panel or slab form (such as jewellery, garden ornaments, sculptures and kitchen sinks) are not prohibited. Because such products do not require processing or modification, they pose minimal risk to the health and safety of workers. However, in the unlikely event that processing of these products is required, it must still be controlled (see regulation 529K).</w:t>
      </w:r>
    </w:p>
    <w:p w14:paraId="6ACC4092"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1DCB8D02" w14:textId="56619590"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prohibition does not apply to natural stone products that have not been combined with other constituents. For example, natural granite that has been quarried, cut, and polished, without being combined with other materials, is not prohibited. Of course, a PCBU that is using natural stone is required to ensure the health and safety of its workers so far as is </w:t>
      </w:r>
      <w:r w:rsidRPr="00EC2648">
        <w:rPr>
          <w:rFonts w:ascii="Times New Roman" w:eastAsia="Times New Roman" w:hAnsi="Times New Roman" w:cs="Times New Roman"/>
          <w:color w:val="000000" w:themeColor="text1"/>
        </w:rPr>
        <w:lastRenderedPageBreak/>
        <w:t>reasonably practicable and must manage the risks from generating RCS in processing natural stone</w:t>
      </w:r>
      <w:r w:rsidR="008E7005"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in accordance with regulation 351.</w:t>
      </w:r>
    </w:p>
    <w:p w14:paraId="54B44407" w14:textId="031BA0AB" w:rsidR="00324670" w:rsidRPr="00EC2648" w:rsidRDefault="025162F0" w:rsidP="1E0D23C5">
      <w:pPr>
        <w:spacing w:before="170"/>
        <w:ind w:right="648"/>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529E Work involving engineered stone benchtops, panels or slabs—exception for particular supply and installation</w:t>
      </w:r>
    </w:p>
    <w:p w14:paraId="5BD2AF41" w14:textId="54641037"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529E provides an exception to regulation 529D for work that involves supplying or installing engineered stone benchtops, panels or slabs if the work is for genuine research and analysis, or to sample and identify engineered stone.</w:t>
      </w:r>
    </w:p>
    <w:p w14:paraId="41EAD854"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5FB1E6D0" w14:textId="55EF6582" w:rsidR="00324670" w:rsidRPr="00EC2648" w:rsidRDefault="025162F0" w:rsidP="1E0D23C5">
      <w:pPr>
        <w:spacing w:before="160"/>
        <w:ind w:right="648"/>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529F Work involving engineered stone benchtops, panels or slabs—exception for particular processing</w:t>
      </w:r>
    </w:p>
    <w:p w14:paraId="63CB047B" w14:textId="54641037"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529F provides an exception to the prohibition in regulation 529D for work that involves processing engineered stone benchtops, panels or slabs if the work is controlled and carried out:</w:t>
      </w:r>
    </w:p>
    <w:p w14:paraId="1DC5806F"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50571DAD" w14:textId="54641037" w:rsidR="00324670" w:rsidRPr="00EC2648" w:rsidRDefault="025162F0" w:rsidP="00C333DE">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for genuine research and analysis, or</w:t>
      </w:r>
    </w:p>
    <w:p w14:paraId="4E2D27C4" w14:textId="54641037" w:rsidR="00324670" w:rsidRPr="00EC2648" w:rsidRDefault="025162F0" w:rsidP="00C333DE">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to sample and identify engineered stone, or</w:t>
      </w:r>
    </w:p>
    <w:p w14:paraId="6CA28FAF" w14:textId="54641037" w:rsidR="00324670" w:rsidRPr="00EC2648" w:rsidRDefault="025162F0" w:rsidP="00C333DE">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to remove, repair or make minor modifications to installed engineered stone, or</w:t>
      </w:r>
    </w:p>
    <w:p w14:paraId="4DC197EC" w14:textId="54641037" w:rsidR="00324670" w:rsidRPr="00EC2648" w:rsidRDefault="025162F0" w:rsidP="00C333DE">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to dispose of the engineered stone, whether it is installed or not.</w:t>
      </w:r>
    </w:p>
    <w:p w14:paraId="2CD615CF" w14:textId="77777777" w:rsidR="00833BA2" w:rsidRPr="00EC2648" w:rsidRDefault="00833BA2" w:rsidP="00C333DE">
      <w:pPr>
        <w:pStyle w:val="ListParagraph"/>
        <w:spacing w:after="0"/>
        <w:ind w:left="360"/>
        <w:rPr>
          <w:rFonts w:ascii="Times New Roman" w:eastAsia="Times New Roman" w:hAnsi="Times New Roman" w:cs="Times New Roman"/>
          <w:color w:val="000000" w:themeColor="text1"/>
        </w:rPr>
      </w:pPr>
    </w:p>
    <w:p w14:paraId="60717C28" w14:textId="1EC097BA"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Regulation 529B explains when processing is controlled. Regulation 529F would allow, for example, a PCBU to use a power tool to remove a damaged engineered stone benchtop in a client's kitchen provided that it has an effective on-tool dust extraction system. The worker removing the benchtop must be given and wear appropriate RPE when carrying out the work. Similarly, a PCBU may repair or modify the client's kitchen benchtop (e.g. cutting to install a new power point) using a power tool, provided it has an effective on-tool dust extraction system and </w:t>
      </w:r>
      <w:r w:rsidR="00C828B9" w:rsidRPr="00EC2648">
        <w:rPr>
          <w:rFonts w:ascii="Times New Roman" w:eastAsia="Times New Roman" w:hAnsi="Times New Roman" w:cs="Times New Roman"/>
          <w:color w:val="000000" w:themeColor="text1"/>
        </w:rPr>
        <w:t xml:space="preserve">the PCBU </w:t>
      </w:r>
      <w:r w:rsidRPr="00EC2648">
        <w:rPr>
          <w:rFonts w:ascii="Times New Roman" w:eastAsia="Times New Roman" w:hAnsi="Times New Roman" w:cs="Times New Roman"/>
          <w:color w:val="000000" w:themeColor="text1"/>
        </w:rPr>
        <w:t>ensure the worker has and wears appropriate RPE.</w:t>
      </w:r>
    </w:p>
    <w:p w14:paraId="270F6CFB"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2DC5D5CA" w14:textId="77777777" w:rsidR="00976C08" w:rsidRPr="00EC2648" w:rsidRDefault="025162F0" w:rsidP="1E0D23C5">
      <w:pPr>
        <w:ind w:right="792"/>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Part 8A.3 Regulator to be notified of particular processing of engineered stone </w:t>
      </w:r>
    </w:p>
    <w:p w14:paraId="4D943E57" w14:textId="5C161E91" w:rsidR="00324670" w:rsidRPr="00EC2648" w:rsidRDefault="025162F0" w:rsidP="1E0D23C5">
      <w:pPr>
        <w:ind w:right="792"/>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529G Notification of particular processing of engineered stone</w:t>
      </w:r>
    </w:p>
    <w:p w14:paraId="6C602800" w14:textId="22FD8E23"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529G applies where work involving processing engineered stone benchtops, panels or slabs is carried out to remove, repair or make minor modifications to installed engineered stone, or to dispose of the engineered stone, whether it is installed or not.</w:t>
      </w:r>
    </w:p>
    <w:p w14:paraId="713C7BB1"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36AAA3D3" w14:textId="41A5E9F4" w:rsidR="00324670" w:rsidRPr="00EC2648" w:rsidRDefault="19B116AD"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529G(2) requires that before the work is carried out, a PCBU carrying out, or directing or allowing a worker to carry out, the work, must give the regulator a written notice in the form approved by the regulator:</w:t>
      </w:r>
    </w:p>
    <w:p w14:paraId="29C0084E" w14:textId="77777777" w:rsidR="00833BA2" w:rsidRPr="00EC2648" w:rsidRDefault="00833BA2" w:rsidP="00C333DE">
      <w:pPr>
        <w:pStyle w:val="ListParagraph"/>
        <w:rPr>
          <w:rFonts w:ascii="Times New Roman" w:eastAsia="Times New Roman" w:hAnsi="Times New Roman" w:cs="Times New Roman"/>
          <w:color w:val="000000" w:themeColor="text1"/>
        </w:rPr>
      </w:pPr>
    </w:p>
    <w:p w14:paraId="38B8A581"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stating the work being carried out, and</w:t>
      </w:r>
    </w:p>
    <w:p w14:paraId="38DC4FE5"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describing the type of the work being carried out, and</w:t>
      </w:r>
    </w:p>
    <w:p w14:paraId="722DE7F8"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stating the frequency and duration of the work, and</w:t>
      </w:r>
    </w:p>
    <w:p w14:paraId="6044569B"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stating the other information in relation to the work required by the form (if any).</w:t>
      </w:r>
    </w:p>
    <w:p w14:paraId="3F963920" w14:textId="77777777" w:rsidR="006A5E56" w:rsidRPr="00EC2648" w:rsidRDefault="006A5E56" w:rsidP="006A5E56">
      <w:pPr>
        <w:spacing w:after="0"/>
        <w:rPr>
          <w:rFonts w:ascii="Times New Roman" w:eastAsia="Times New Roman" w:hAnsi="Times New Roman" w:cs="Times New Roman"/>
          <w:color w:val="000000" w:themeColor="text1"/>
        </w:rPr>
      </w:pPr>
    </w:p>
    <w:p w14:paraId="2539071A" w14:textId="6249A36F" w:rsidR="006A5E56" w:rsidRPr="00EC2648" w:rsidRDefault="006A5E56"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529G(2) provides that section 12F of the WHS Act provides that strict liability applies to each physical element of each offence under the WHS Act, unless otherwise stated. The reference in section 12F of the Act includes these Regulations.</w:t>
      </w:r>
    </w:p>
    <w:p w14:paraId="0F3BD57D" w14:textId="77777777" w:rsidR="00C03580" w:rsidRPr="00EC2648" w:rsidRDefault="00C03580" w:rsidP="00C333DE">
      <w:pPr>
        <w:pStyle w:val="ListParagraph"/>
        <w:spacing w:after="0" w:line="257" w:lineRule="auto"/>
        <w:ind w:left="360"/>
        <w:rPr>
          <w:rFonts w:ascii="Times New Roman" w:eastAsia="Times New Roman" w:hAnsi="Times New Roman" w:cs="Times New Roman"/>
          <w:color w:val="000000" w:themeColor="text1"/>
        </w:rPr>
      </w:pPr>
    </w:p>
    <w:p w14:paraId="45B31216" w14:textId="0579E5FE" w:rsidR="00C03580" w:rsidRPr="00EC2648" w:rsidRDefault="6C793BAA"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r w:rsidR="00756026" w:rsidRPr="00EC2648">
        <w:rPr>
          <w:rFonts w:ascii="Times New Roman" w:eastAsia="Times New Roman" w:hAnsi="Times New Roman" w:cs="Times New Roman"/>
          <w:color w:val="000000" w:themeColor="text1"/>
        </w:rPr>
        <w:t>.</w:t>
      </w:r>
    </w:p>
    <w:p w14:paraId="304BDCFC" w14:textId="77777777" w:rsidR="00C03580" w:rsidRPr="00EC2648" w:rsidRDefault="00C03580" w:rsidP="00C333DE">
      <w:pPr>
        <w:pStyle w:val="ListParagraph"/>
        <w:spacing w:after="0" w:line="257" w:lineRule="auto"/>
        <w:ind w:left="360"/>
        <w:rPr>
          <w:rFonts w:ascii="Times New Roman" w:eastAsia="Times New Roman" w:hAnsi="Times New Roman" w:cs="Times New Roman"/>
          <w:color w:val="000000" w:themeColor="text1"/>
        </w:rPr>
      </w:pPr>
    </w:p>
    <w:p w14:paraId="6E397223" w14:textId="01C9A858"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529G(2) is a tier G monetary penalty.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529G(3) provides that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529G(2) will not apply to a PCBU if:</w:t>
      </w:r>
    </w:p>
    <w:p w14:paraId="72F62EA3" w14:textId="77777777" w:rsidR="00833BA2" w:rsidRPr="00EC2648" w:rsidRDefault="00833BA2" w:rsidP="00C333DE">
      <w:pPr>
        <w:pStyle w:val="ListParagraph"/>
        <w:rPr>
          <w:rFonts w:ascii="Times New Roman" w:eastAsia="Times New Roman" w:hAnsi="Times New Roman" w:cs="Times New Roman"/>
          <w:color w:val="000000" w:themeColor="text1"/>
        </w:rPr>
      </w:pPr>
    </w:p>
    <w:p w14:paraId="11F55A81" w14:textId="54641037" w:rsidR="00324670" w:rsidRPr="00EC2648" w:rsidRDefault="025162F0" w:rsidP="00E1337D">
      <w:pPr>
        <w:pStyle w:val="ListParagraph"/>
        <w:numPr>
          <w:ilvl w:val="0"/>
          <w:numId w:val="15"/>
        </w:numPr>
        <w:spacing w:after="0"/>
        <w:ind w:right="7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PCBU does not know, and could not reasonably be expected to know, before the work is carried out that the work involves processing engineered stone benchtops, panels or slabs, and</w:t>
      </w:r>
    </w:p>
    <w:p w14:paraId="49F492CE" w14:textId="20A27F64" w:rsidR="00833BA2" w:rsidRPr="00EC2648" w:rsidRDefault="025162F0" w:rsidP="00F17154">
      <w:pPr>
        <w:pStyle w:val="ListParagraph"/>
        <w:numPr>
          <w:ilvl w:val="0"/>
          <w:numId w:val="15"/>
        </w:numPr>
        <w:spacing w:after="0"/>
        <w:ind w:right="43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as soon as practicable after the PCBU becomes aware that the work involves processing engineered stone benchtops, panels or slabs, the person gives the regulator a written notice in relation to the work in accordance with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529G(2).</w:t>
      </w:r>
    </w:p>
    <w:p w14:paraId="6A58E5D0" w14:textId="77777777" w:rsidR="00F17154" w:rsidRPr="00EC2648" w:rsidRDefault="00F17154" w:rsidP="00F17154">
      <w:pPr>
        <w:pStyle w:val="ListParagraph"/>
        <w:spacing w:after="0"/>
        <w:ind w:left="786" w:right="432"/>
        <w:rPr>
          <w:rFonts w:ascii="Times New Roman" w:eastAsia="Times New Roman" w:hAnsi="Times New Roman" w:cs="Times New Roman"/>
          <w:color w:val="000000" w:themeColor="text1"/>
        </w:rPr>
      </w:pPr>
    </w:p>
    <w:p w14:paraId="0F33CCE8" w14:textId="0E5A9FFA"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If the regulator receives a notice 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529G(2) or (3), the regulator must give the PCBU an acknowledgement of receipt of the notice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529G(4)).</w:t>
      </w:r>
    </w:p>
    <w:p w14:paraId="2160BC92" w14:textId="579F988F" w:rsidR="00324670" w:rsidRPr="00EC2648" w:rsidRDefault="025162F0" w:rsidP="358883A3">
      <w:pPr>
        <w:spacing w:before="183"/>
      </w:pPr>
      <w:r w:rsidRPr="00EC2648">
        <w:rPr>
          <w:rFonts w:ascii="Times New Roman" w:eastAsia="Times New Roman" w:hAnsi="Times New Roman" w:cs="Times New Roman"/>
          <w:b/>
          <w:bCs/>
          <w:color w:val="000000" w:themeColor="text1"/>
        </w:rPr>
        <w:t>529H Notification of change in information given under Part 8A.3</w:t>
      </w:r>
    </w:p>
    <w:p w14:paraId="7F78A2DF" w14:textId="36E4ABFF"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529H applies where a PCBU has given the regulator a written notice under Part 8A.3 (for example, under regulation 529G to notify of particular processing of engineered stone) and the information in relation to work changes, other than because the work is no longer being carried out. Where this occurs, the PCBU must give the regulator a written notice stating the information has changed, and describing the change to the information, within the period ending 30 days after the day the change occurs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529H(1)).</w:t>
      </w:r>
    </w:p>
    <w:p w14:paraId="347AE433"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611AAA57" w14:textId="59E2062D" w:rsidR="003B4A3C" w:rsidRPr="00EC2648" w:rsidRDefault="003B4A3C"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529H(1) provides that section 12F of the WHS Act provides that strict liability applies to each physical element of each offence under the WHS Act, unless otherwise stated. The reference in section 12F of the Act includes these Regulations.</w:t>
      </w:r>
    </w:p>
    <w:p w14:paraId="04308A0F" w14:textId="77777777" w:rsidR="00833BA2" w:rsidRPr="00EC2648" w:rsidRDefault="00833BA2" w:rsidP="00C333DE">
      <w:pPr>
        <w:pStyle w:val="ListParagraph"/>
        <w:rPr>
          <w:rFonts w:ascii="Times New Roman" w:eastAsia="Times New Roman" w:hAnsi="Times New Roman" w:cs="Times New Roman"/>
          <w:color w:val="000000" w:themeColor="text1"/>
        </w:rPr>
      </w:pPr>
    </w:p>
    <w:p w14:paraId="58DCAAEA" w14:textId="5667C415" w:rsidR="22B0CB1F" w:rsidRPr="00EC2648" w:rsidRDefault="22B0CB1F"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32AC0B11"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48710175" w14:textId="1330B8C5"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529H(1) is a tier G monetary penalty.</w:t>
      </w:r>
    </w:p>
    <w:p w14:paraId="7DD87B11" w14:textId="77777777" w:rsidR="00833BA2" w:rsidRPr="00EC2648" w:rsidRDefault="00833BA2" w:rsidP="00C333DE">
      <w:pPr>
        <w:spacing w:after="0" w:line="257" w:lineRule="auto"/>
        <w:rPr>
          <w:rFonts w:ascii="Times New Roman" w:eastAsia="Times New Roman" w:hAnsi="Times New Roman" w:cs="Times New Roman"/>
          <w:color w:val="000000" w:themeColor="text1"/>
        </w:rPr>
      </w:pPr>
    </w:p>
    <w:p w14:paraId="2D705765" w14:textId="3D1356DF"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If the regulator receives a notice 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529H(1), the regulator must give the PCBU an acknowledgement of receipt of the notice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529H(2)).</w:t>
      </w:r>
    </w:p>
    <w:p w14:paraId="6F66F50E" w14:textId="77777777" w:rsidR="00833BA2" w:rsidRPr="00EC2648" w:rsidRDefault="00833BA2" w:rsidP="00C333DE">
      <w:pPr>
        <w:spacing w:after="0" w:line="257" w:lineRule="auto"/>
        <w:rPr>
          <w:rFonts w:ascii="Times New Roman" w:eastAsia="Times New Roman" w:hAnsi="Times New Roman" w:cs="Times New Roman"/>
          <w:color w:val="000000" w:themeColor="text1"/>
        </w:rPr>
      </w:pPr>
    </w:p>
    <w:p w14:paraId="2E7B315C" w14:textId="20AC97C4" w:rsidR="00324670" w:rsidRPr="00EC2648" w:rsidRDefault="025162F0" w:rsidP="358883A3">
      <w:pPr>
        <w:spacing w:before="163"/>
        <w:ind w:right="504"/>
      </w:pPr>
      <w:r w:rsidRPr="00EC2648">
        <w:rPr>
          <w:rFonts w:ascii="Times New Roman" w:eastAsia="Times New Roman" w:hAnsi="Times New Roman" w:cs="Times New Roman"/>
          <w:b/>
          <w:bCs/>
          <w:color w:val="000000" w:themeColor="text1"/>
        </w:rPr>
        <w:lastRenderedPageBreak/>
        <w:t>529</w:t>
      </w:r>
      <w:r w:rsidR="003B4A3C" w:rsidRPr="00EC2648">
        <w:rPr>
          <w:rFonts w:ascii="Times New Roman" w:eastAsia="Times New Roman" w:hAnsi="Times New Roman" w:cs="Times New Roman"/>
          <w:b/>
          <w:bCs/>
          <w:color w:val="000000" w:themeColor="text1"/>
        </w:rPr>
        <w:t>I</w:t>
      </w:r>
      <w:r w:rsidRPr="00EC2648">
        <w:rPr>
          <w:rFonts w:ascii="Times New Roman" w:eastAsia="Times New Roman" w:hAnsi="Times New Roman" w:cs="Times New Roman"/>
          <w:b/>
          <w:bCs/>
          <w:color w:val="000000" w:themeColor="text1"/>
        </w:rPr>
        <w:t xml:space="preserve"> Notification that work continues 12 months after last notice given under Part 8A.3</w:t>
      </w:r>
    </w:p>
    <w:p w14:paraId="49442A71" w14:textId="69DA8EDC"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w:t>
      </w:r>
      <w:r w:rsidR="003B4A3C" w:rsidRPr="00EC2648">
        <w:rPr>
          <w:rFonts w:ascii="Times New Roman" w:eastAsia="Times New Roman" w:hAnsi="Times New Roman" w:cs="Times New Roman"/>
          <w:color w:val="000000" w:themeColor="text1"/>
        </w:rPr>
        <w:t>I</w:t>
      </w:r>
      <w:r w:rsidRPr="00EC2648">
        <w:rPr>
          <w:rFonts w:ascii="Times New Roman" w:eastAsia="Times New Roman" w:hAnsi="Times New Roman" w:cs="Times New Roman"/>
          <w:color w:val="000000" w:themeColor="text1"/>
        </w:rPr>
        <w:t xml:space="preserve"> applies where a PCBU gives a notice under Part 8A.3 in relation to work, and a period of 12 months (beginning on the day the last notice is given about the work) ends, and the work is still being carried out.</w:t>
      </w:r>
    </w:p>
    <w:p w14:paraId="0515BBDA"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5DD76886" w14:textId="0EC2198F"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Where this occurs,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w:t>
      </w:r>
      <w:r w:rsidR="003B4A3C" w:rsidRPr="00EC2648">
        <w:rPr>
          <w:rFonts w:ascii="Times New Roman" w:eastAsia="Times New Roman" w:hAnsi="Times New Roman" w:cs="Times New Roman"/>
          <w:color w:val="000000" w:themeColor="text1"/>
        </w:rPr>
        <w:t>I</w:t>
      </w:r>
      <w:r w:rsidRPr="00EC2648">
        <w:rPr>
          <w:rFonts w:ascii="Times New Roman" w:eastAsia="Times New Roman" w:hAnsi="Times New Roman" w:cs="Times New Roman"/>
          <w:color w:val="000000" w:themeColor="text1"/>
        </w:rPr>
        <w:t>(2) requires the PCBU to give the regulator a written notice stating that the work is still being carried out, and any information given to the regulator that has changed. The notice must be given to the regulator within the period of 30 days ending after the day the 12-month period ends.</w:t>
      </w:r>
    </w:p>
    <w:p w14:paraId="60D1644D" w14:textId="77777777" w:rsidR="00833BA2" w:rsidRPr="00EC2648" w:rsidRDefault="00833BA2" w:rsidP="00C333DE">
      <w:pPr>
        <w:pStyle w:val="ListParagraph"/>
        <w:rPr>
          <w:rFonts w:ascii="Times New Roman" w:eastAsia="Times New Roman" w:hAnsi="Times New Roman" w:cs="Times New Roman"/>
          <w:color w:val="000000" w:themeColor="text1"/>
        </w:rPr>
      </w:pPr>
    </w:p>
    <w:p w14:paraId="47C60D28" w14:textId="7A119762" w:rsidR="003B4A3C" w:rsidRPr="00EC2648" w:rsidRDefault="003B4A3C"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529I(2) provides that section 12F of the WHS Act provides that strict liability applies to each physical element of each offence under the WHS Act, unless otherwise stated. The reference in section 12F of the Act includes these Regulations.</w:t>
      </w:r>
    </w:p>
    <w:p w14:paraId="1F3BEB54"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7CC9A409" w14:textId="65DA4A2B" w:rsidR="0CAC4B0B" w:rsidRPr="00EC2648" w:rsidRDefault="0CAC4B0B"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r w:rsidR="00756026"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w:t>
      </w:r>
    </w:p>
    <w:p w14:paraId="69CAAFDA" w14:textId="77777777" w:rsidR="00833BA2" w:rsidRPr="00EC2648" w:rsidRDefault="00833BA2" w:rsidP="00C333DE">
      <w:pPr>
        <w:pStyle w:val="ListParagraph"/>
        <w:rPr>
          <w:rFonts w:ascii="Times New Roman" w:eastAsia="Times New Roman" w:hAnsi="Times New Roman" w:cs="Times New Roman"/>
          <w:color w:val="000000" w:themeColor="text1"/>
        </w:rPr>
      </w:pPr>
    </w:p>
    <w:p w14:paraId="7ED36942" w14:textId="5AFBD641"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w:t>
      </w:r>
      <w:r w:rsidR="003B4A3C" w:rsidRPr="00EC2648">
        <w:rPr>
          <w:rFonts w:ascii="Times New Roman" w:eastAsia="Times New Roman" w:hAnsi="Times New Roman" w:cs="Times New Roman"/>
          <w:color w:val="000000" w:themeColor="text1"/>
        </w:rPr>
        <w:t>I</w:t>
      </w:r>
      <w:r w:rsidRPr="00EC2648">
        <w:rPr>
          <w:rFonts w:ascii="Times New Roman" w:eastAsia="Times New Roman" w:hAnsi="Times New Roman" w:cs="Times New Roman"/>
          <w:color w:val="000000" w:themeColor="text1"/>
        </w:rPr>
        <w:t>(2) is a tier G monetary penalty.</w:t>
      </w:r>
    </w:p>
    <w:p w14:paraId="4208E7F0"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32BCA74F" w14:textId="3818E97F" w:rsidR="00833BA2"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If the regulator receives a notice 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w:t>
      </w:r>
      <w:r w:rsidR="003B4A3C" w:rsidRPr="00EC2648">
        <w:rPr>
          <w:rFonts w:ascii="Times New Roman" w:eastAsia="Times New Roman" w:hAnsi="Times New Roman" w:cs="Times New Roman"/>
          <w:color w:val="000000" w:themeColor="text1"/>
        </w:rPr>
        <w:t>I</w:t>
      </w:r>
      <w:r w:rsidRPr="00EC2648">
        <w:rPr>
          <w:rFonts w:ascii="Times New Roman" w:eastAsia="Times New Roman" w:hAnsi="Times New Roman" w:cs="Times New Roman"/>
          <w:color w:val="000000" w:themeColor="text1"/>
        </w:rPr>
        <w:t>(2), the regulator must give the PCBU an acknowledgement of receipt of the notice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w:t>
      </w:r>
      <w:r w:rsidR="003B4A3C" w:rsidRPr="00EC2648">
        <w:rPr>
          <w:rFonts w:ascii="Times New Roman" w:eastAsia="Times New Roman" w:hAnsi="Times New Roman" w:cs="Times New Roman"/>
          <w:color w:val="000000" w:themeColor="text1"/>
        </w:rPr>
        <w:t>I</w:t>
      </w:r>
      <w:r w:rsidRPr="00EC2648">
        <w:rPr>
          <w:rFonts w:ascii="Times New Roman" w:eastAsia="Times New Roman" w:hAnsi="Times New Roman" w:cs="Times New Roman"/>
          <w:color w:val="000000" w:themeColor="text1"/>
        </w:rPr>
        <w:t>(3)).</w:t>
      </w:r>
    </w:p>
    <w:p w14:paraId="43FC0A55" w14:textId="77777777" w:rsidR="00833BA2" w:rsidRPr="00EC2648" w:rsidRDefault="00833BA2" w:rsidP="00C333DE">
      <w:pPr>
        <w:spacing w:after="0" w:line="257" w:lineRule="auto"/>
        <w:rPr>
          <w:rFonts w:ascii="Times New Roman" w:eastAsia="Times New Roman" w:hAnsi="Times New Roman" w:cs="Times New Roman"/>
          <w:color w:val="000000" w:themeColor="text1"/>
        </w:rPr>
      </w:pPr>
    </w:p>
    <w:p w14:paraId="0576D5E8" w14:textId="184710AC" w:rsidR="00324670" w:rsidRPr="00EC2648" w:rsidRDefault="025162F0" w:rsidP="358883A3">
      <w:pPr>
        <w:spacing w:before="12"/>
      </w:pPr>
      <w:r w:rsidRPr="00EC2648">
        <w:rPr>
          <w:rFonts w:ascii="Times New Roman" w:eastAsia="Times New Roman" w:hAnsi="Times New Roman" w:cs="Times New Roman"/>
          <w:b/>
          <w:bCs/>
          <w:color w:val="000000" w:themeColor="text1"/>
        </w:rPr>
        <w:t>529J Duty to keep notice given under Part 8A.3</w:t>
      </w:r>
    </w:p>
    <w:p w14:paraId="6CDFB1D3" w14:textId="54641037" w:rsidR="00324670"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529J requires that a PCBU who gives the regulator a notice under Part 8A.3, must for a period of 5 years (beginning on the day the notice is given to the regulator):</w:t>
      </w:r>
    </w:p>
    <w:p w14:paraId="482CCEE6" w14:textId="77777777" w:rsidR="00833BA2" w:rsidRPr="00EC2648" w:rsidRDefault="00833BA2" w:rsidP="00C333DE">
      <w:pPr>
        <w:pStyle w:val="ListParagraph"/>
        <w:spacing w:after="0" w:line="257" w:lineRule="auto"/>
        <w:ind w:left="360"/>
        <w:rPr>
          <w:rFonts w:ascii="Times New Roman" w:eastAsia="Times New Roman" w:hAnsi="Times New Roman" w:cs="Times New Roman"/>
          <w:color w:val="000000" w:themeColor="text1"/>
        </w:rPr>
      </w:pPr>
    </w:p>
    <w:p w14:paraId="6AA62419" w14:textId="54641037" w:rsidR="00324670" w:rsidRPr="00EC2648" w:rsidRDefault="025162F0" w:rsidP="00C333DE">
      <w:pPr>
        <w:pStyle w:val="ListParagraph"/>
        <w:numPr>
          <w:ilvl w:val="0"/>
          <w:numId w:val="15"/>
        </w:numPr>
        <w:spacing w:after="0"/>
        <w:ind w:right="7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keep a copy of the notice, and</w:t>
      </w:r>
    </w:p>
    <w:p w14:paraId="6895F0B3" w14:textId="54641037" w:rsidR="00324670" w:rsidRPr="00EC2648" w:rsidRDefault="025162F0" w:rsidP="00C333DE">
      <w:pPr>
        <w:pStyle w:val="ListParagraph"/>
        <w:numPr>
          <w:ilvl w:val="0"/>
          <w:numId w:val="15"/>
        </w:numPr>
        <w:spacing w:after="0"/>
        <w:ind w:right="7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ensure that a copy of the notice is readily accessible, and</w:t>
      </w:r>
    </w:p>
    <w:p w14:paraId="5A8E48A2" w14:textId="54641037" w:rsidR="00324670" w:rsidRPr="00EC2648" w:rsidRDefault="025162F0" w:rsidP="00C333DE">
      <w:pPr>
        <w:pStyle w:val="ListParagraph"/>
        <w:numPr>
          <w:ilvl w:val="0"/>
          <w:numId w:val="15"/>
        </w:numPr>
        <w:spacing w:after="0"/>
        <w:ind w:right="7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allow a person to access a copy of the notice upon request.</w:t>
      </w:r>
    </w:p>
    <w:p w14:paraId="39BE4335" w14:textId="77777777" w:rsidR="00666BDD" w:rsidRPr="00EC2648" w:rsidRDefault="00666BDD" w:rsidP="00666BDD">
      <w:pPr>
        <w:spacing w:after="0"/>
        <w:rPr>
          <w:rFonts w:ascii="Times New Roman" w:eastAsia="Times New Roman" w:hAnsi="Times New Roman" w:cs="Times New Roman"/>
          <w:color w:val="000000" w:themeColor="text1"/>
        </w:rPr>
      </w:pPr>
    </w:p>
    <w:p w14:paraId="0973F618" w14:textId="4AEF5643" w:rsidR="00666BDD" w:rsidRPr="00EC2648" w:rsidRDefault="00666BDD"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529J provides that section 12F of the WHS Act provides that strict liability applies to each physical element of each offence under the WHS Act, unless otherwise stated. The reference in section 12F of the Act includes these Regulations.</w:t>
      </w:r>
    </w:p>
    <w:p w14:paraId="714A10A7" w14:textId="77777777" w:rsidR="00833BA2" w:rsidRPr="00EC2648" w:rsidRDefault="00833BA2" w:rsidP="00C333DE">
      <w:pPr>
        <w:spacing w:after="0" w:line="257" w:lineRule="auto"/>
        <w:rPr>
          <w:rFonts w:ascii="Times New Roman" w:eastAsia="Times New Roman" w:hAnsi="Times New Roman" w:cs="Times New Roman"/>
          <w:color w:val="000000" w:themeColor="text1"/>
        </w:rPr>
      </w:pPr>
    </w:p>
    <w:p w14:paraId="458B3E04" w14:textId="025C4D15" w:rsidR="00666BDD" w:rsidRPr="00EC2648" w:rsidRDefault="40A822E9"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r w:rsidR="00756026"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w:t>
      </w:r>
    </w:p>
    <w:p w14:paraId="2F91A754" w14:textId="77777777" w:rsidR="00F41AD7" w:rsidRPr="00EC2648" w:rsidRDefault="00F41AD7" w:rsidP="00C333DE">
      <w:pPr>
        <w:spacing w:after="0" w:line="257" w:lineRule="auto"/>
        <w:rPr>
          <w:rFonts w:ascii="Times New Roman" w:eastAsia="Times New Roman" w:hAnsi="Times New Roman" w:cs="Times New Roman"/>
          <w:color w:val="000000" w:themeColor="text1"/>
        </w:rPr>
      </w:pPr>
    </w:p>
    <w:p w14:paraId="3EF6B2C9" w14:textId="1F512807" w:rsidR="00666BDD" w:rsidRPr="00EC2648" w:rsidRDefault="025162F0" w:rsidP="00833BA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regulation 529J is a tier G monetary penalty. </w:t>
      </w:r>
    </w:p>
    <w:p w14:paraId="5E8900F0" w14:textId="77777777" w:rsidR="00F41AD7" w:rsidRPr="00EC2648" w:rsidRDefault="00F41AD7" w:rsidP="00C333DE">
      <w:pPr>
        <w:spacing w:after="0" w:line="257" w:lineRule="auto"/>
        <w:rPr>
          <w:rFonts w:ascii="Times New Roman" w:eastAsia="Times New Roman" w:hAnsi="Times New Roman" w:cs="Times New Roman"/>
          <w:color w:val="000000" w:themeColor="text1"/>
        </w:rPr>
      </w:pPr>
    </w:p>
    <w:p w14:paraId="48CBCC80" w14:textId="4420F228" w:rsidR="00324670" w:rsidRPr="00EC2648" w:rsidRDefault="025162F0" w:rsidP="1E0D23C5">
      <w:pPr>
        <w:ind w:right="792"/>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Part 8A.4 Processing engineered stone other than benchtops, panels or slabs</w:t>
      </w:r>
    </w:p>
    <w:p w14:paraId="1FEB5B10" w14:textId="7957617C" w:rsidR="00324670" w:rsidRPr="00EC2648" w:rsidRDefault="025162F0" w:rsidP="1E0D23C5">
      <w:pPr>
        <w:spacing w:before="172"/>
        <w:ind w:right="216"/>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529K Duty to prevent uncontrolled processing of engineered stone other than benchtops, panels or slabs</w:t>
      </w:r>
    </w:p>
    <w:p w14:paraId="4062A876" w14:textId="18D49975" w:rsidR="00324670" w:rsidRPr="00EC2648" w:rsidRDefault="025162F0"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Regulation 529K does not apply to engineered stone benchtops, panels and slabs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529K(1)) (see regulation 529D for the prohibition on work with engineered stone benchtops, panels and slabs).</w:t>
      </w:r>
    </w:p>
    <w:p w14:paraId="1D31CCC2" w14:textId="77777777" w:rsidR="00392922" w:rsidRPr="00EC2648" w:rsidRDefault="00392922" w:rsidP="00C333DE">
      <w:pPr>
        <w:pStyle w:val="ListParagraph"/>
        <w:spacing w:after="0" w:line="257" w:lineRule="auto"/>
        <w:ind w:left="360"/>
        <w:rPr>
          <w:rFonts w:ascii="Times New Roman" w:eastAsia="Times New Roman" w:hAnsi="Times New Roman" w:cs="Times New Roman"/>
          <w:color w:val="000000" w:themeColor="text1"/>
        </w:rPr>
      </w:pPr>
    </w:p>
    <w:p w14:paraId="14135B56" w14:textId="4E11D189" w:rsidR="00324670" w:rsidRPr="00EC2648" w:rsidRDefault="19B116AD"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529K(2) prohibits a PCBU from processing, or directing or allowing a worker to process, engineered stone unless the processing of the stone is controlled.</w:t>
      </w:r>
    </w:p>
    <w:p w14:paraId="08F83557"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4CD61F7D" w14:textId="47C7899D" w:rsidR="00666BDD" w:rsidRPr="00EC2648" w:rsidRDefault="00666BDD"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new regulation 529K provides that section 12F of the WHS Act provides that strict liability applies to each physical element of each offence under the WHS Act, unless otherwise stated. The reference in section 12F of the Act includes these Regulations.</w:t>
      </w:r>
    </w:p>
    <w:p w14:paraId="41A5F873"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7D0D47E9" w14:textId="307902FD" w:rsidR="132D68BA" w:rsidRPr="00EC2648" w:rsidRDefault="132D68BA"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r w:rsidR="00756026" w:rsidRPr="00EC2648">
        <w:rPr>
          <w:rFonts w:ascii="Times New Roman" w:eastAsia="Times New Roman" w:hAnsi="Times New Roman" w:cs="Times New Roman"/>
          <w:color w:val="000000" w:themeColor="text1"/>
        </w:rPr>
        <w:t>.</w:t>
      </w:r>
    </w:p>
    <w:p w14:paraId="6EBC71B7"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613BACFF" w14:textId="5F53C922" w:rsidR="00666BDD" w:rsidRPr="00EC2648" w:rsidRDefault="025162F0"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regulation 529K is a tier E monetary penalty. </w:t>
      </w:r>
    </w:p>
    <w:p w14:paraId="0FF27CAA"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7D45F6EA" w14:textId="049EF578" w:rsidR="00324670" w:rsidRPr="00EC2648" w:rsidRDefault="025162F0" w:rsidP="358883A3">
      <w:pPr>
        <w:ind w:right="792"/>
      </w:pPr>
      <w:r w:rsidRPr="00EC2648">
        <w:rPr>
          <w:rFonts w:ascii="Times New Roman" w:eastAsia="Times New Roman" w:hAnsi="Times New Roman" w:cs="Times New Roman"/>
          <w:b/>
          <w:bCs/>
          <w:color w:val="000000" w:themeColor="text1"/>
        </w:rPr>
        <w:t>Part 8A.5 Processing porcelain products and sintered stone</w:t>
      </w:r>
    </w:p>
    <w:p w14:paraId="3AB4CFEE" w14:textId="2843CB6F" w:rsidR="00324670" w:rsidRPr="00EC2648" w:rsidRDefault="025162F0" w:rsidP="1E0D23C5">
      <w:pPr>
        <w:spacing w:before="169"/>
        <w:ind w:right="288"/>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529L Duty to prevent uncontrolled processing of porcelain products and sintered stone</w:t>
      </w:r>
    </w:p>
    <w:p w14:paraId="51C3FDF2" w14:textId="54641037" w:rsidR="00324670" w:rsidRPr="00EC2648" w:rsidRDefault="025162F0"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529L prohibits a PCBU from processing, or directing or allowing a worker to process, porcelain products and sintered stone unless the processing is controlled (see regulation 529B for when work involving porcelain products and sintered stone is controlled).</w:t>
      </w:r>
    </w:p>
    <w:p w14:paraId="44683DA0" w14:textId="77777777" w:rsidR="00392922" w:rsidRPr="00EC2648" w:rsidRDefault="00392922" w:rsidP="00C333DE">
      <w:pPr>
        <w:pStyle w:val="ListParagraph"/>
        <w:spacing w:after="0" w:line="257" w:lineRule="auto"/>
        <w:ind w:left="360"/>
        <w:rPr>
          <w:rFonts w:ascii="Times New Roman" w:eastAsia="Times New Roman" w:hAnsi="Times New Roman" w:cs="Times New Roman"/>
          <w:color w:val="000000" w:themeColor="text1"/>
        </w:rPr>
      </w:pPr>
    </w:p>
    <w:p w14:paraId="40CB102B" w14:textId="38183E26" w:rsidR="00666BDD" w:rsidRPr="00EC2648" w:rsidRDefault="00666BDD"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529L provides that section 12F of the WHS Act provides that strict liability applies to each physical element of each offence under the WHS Act, unless otherwise stated. The reference in section 12F of the Act includes these Regulations.</w:t>
      </w:r>
    </w:p>
    <w:p w14:paraId="5C8592C6"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34D967D1" w14:textId="3EE0EA63" w:rsidR="5434EDF1" w:rsidRPr="00EC2648" w:rsidRDefault="5434EDF1"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732A9DC4"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1C3F46C9" w14:textId="66533C92"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regulation 529L is a tier E monetary penalty.</w:t>
      </w:r>
    </w:p>
    <w:p w14:paraId="76106FE4" w14:textId="33F850A3" w:rsidR="00324670" w:rsidRPr="00EC2648" w:rsidRDefault="025162F0" w:rsidP="358883A3">
      <w:pPr>
        <w:spacing w:before="173"/>
        <w:ind w:right="216"/>
      </w:pPr>
      <w:r w:rsidRPr="00EC2648">
        <w:rPr>
          <w:rFonts w:ascii="Times New Roman" w:eastAsia="Times New Roman" w:hAnsi="Times New Roman" w:cs="Times New Roman"/>
          <w:b/>
          <w:bCs/>
          <w:color w:val="000000" w:themeColor="text1"/>
        </w:rPr>
        <w:t xml:space="preserve">Item </w:t>
      </w:r>
      <w:r w:rsidR="001D58EB" w:rsidRPr="00EC2648">
        <w:rPr>
          <w:rFonts w:ascii="Times New Roman" w:eastAsia="Times New Roman" w:hAnsi="Times New Roman" w:cs="Times New Roman"/>
          <w:b/>
          <w:bCs/>
          <w:color w:val="000000" w:themeColor="text1"/>
        </w:rPr>
        <w:t>[</w:t>
      </w:r>
      <w:r w:rsidR="774081CC" w:rsidRPr="00EC2648">
        <w:rPr>
          <w:rFonts w:ascii="Times New Roman" w:eastAsia="Times New Roman" w:hAnsi="Times New Roman" w:cs="Times New Roman"/>
          <w:b/>
          <w:bCs/>
          <w:color w:val="000000" w:themeColor="text1"/>
        </w:rPr>
        <w:t>4</w:t>
      </w:r>
      <w:r w:rsidR="001D58EB"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B247FA" w:rsidRPr="00EC2648">
        <w:rPr>
          <w:rFonts w:ascii="Times New Roman" w:eastAsia="Times New Roman" w:hAnsi="Times New Roman" w:cs="Times New Roman"/>
          <w:b/>
          <w:bCs/>
          <w:color w:val="000000" w:themeColor="text1"/>
        </w:rPr>
        <w:t>Subr</w:t>
      </w:r>
      <w:r w:rsidRPr="00EC2648">
        <w:rPr>
          <w:rFonts w:ascii="Times New Roman" w:eastAsia="Times New Roman" w:hAnsi="Times New Roman" w:cs="Times New Roman"/>
          <w:b/>
          <w:bCs/>
          <w:color w:val="000000" w:themeColor="text1"/>
        </w:rPr>
        <w:t>egulation 676</w:t>
      </w:r>
      <w:r w:rsidR="00B247FA" w:rsidRPr="00EC2648">
        <w:rPr>
          <w:rFonts w:ascii="Times New Roman" w:eastAsia="Times New Roman" w:hAnsi="Times New Roman" w:cs="Times New Roman"/>
          <w:b/>
          <w:bCs/>
          <w:color w:val="000000" w:themeColor="text1"/>
        </w:rPr>
        <w:t>(1)</w:t>
      </w:r>
      <w:r w:rsidRPr="00EC2648">
        <w:rPr>
          <w:rFonts w:ascii="Times New Roman" w:eastAsia="Times New Roman" w:hAnsi="Times New Roman" w:cs="Times New Roman"/>
          <w:b/>
          <w:bCs/>
          <w:color w:val="000000" w:themeColor="text1"/>
        </w:rPr>
        <w:t xml:space="preserve"> (</w:t>
      </w:r>
      <w:r w:rsidR="00B247FA" w:rsidRPr="00EC2648">
        <w:rPr>
          <w:rFonts w:ascii="Times New Roman" w:eastAsia="Times New Roman" w:hAnsi="Times New Roman" w:cs="Times New Roman"/>
          <w:b/>
          <w:bCs/>
          <w:color w:val="000000" w:themeColor="text1"/>
        </w:rPr>
        <w:t>after table item 65</w:t>
      </w:r>
      <w:r w:rsidRPr="00EC2648">
        <w:rPr>
          <w:rFonts w:ascii="Times New Roman" w:eastAsia="Times New Roman" w:hAnsi="Times New Roman" w:cs="Times New Roman"/>
          <w:b/>
          <w:bCs/>
          <w:color w:val="000000" w:themeColor="text1"/>
        </w:rPr>
        <w:t>)</w:t>
      </w:r>
    </w:p>
    <w:p w14:paraId="1A253346" w14:textId="3874EAE7" w:rsidR="00D10427"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amends the table in regulation 676(1) to provide that a decision to refuse to grant an exemption </w:t>
      </w:r>
      <w:r w:rsidR="00FF17AE">
        <w:rPr>
          <w:rFonts w:ascii="Times New Roman" w:eastAsia="Times New Roman" w:hAnsi="Times New Roman" w:cs="Times New Roman"/>
          <w:color w:val="000000" w:themeColor="text1"/>
        </w:rPr>
        <w:t xml:space="preserve">from regulation 529D </w:t>
      </w:r>
      <w:r w:rsidRPr="00EC2648">
        <w:rPr>
          <w:rFonts w:ascii="Times New Roman" w:eastAsia="Times New Roman" w:hAnsi="Times New Roman" w:cs="Times New Roman"/>
          <w:color w:val="000000" w:themeColor="text1"/>
        </w:rPr>
        <w:t xml:space="preserve">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689A(1) is a reviewable decision under regulation 676</w:t>
      </w:r>
      <w:r w:rsidR="0094726E" w:rsidRPr="00EC2648">
        <w:rPr>
          <w:rFonts w:ascii="Times New Roman" w:eastAsia="Times New Roman" w:hAnsi="Times New Roman" w:cs="Times New Roman"/>
          <w:color w:val="000000" w:themeColor="text1"/>
        </w:rPr>
        <w:t>.</w:t>
      </w:r>
    </w:p>
    <w:p w14:paraId="73B8D70C" w14:textId="10AC5CFB" w:rsidR="00365F80" w:rsidRPr="00EC2648" w:rsidRDefault="00365F80" w:rsidP="00365F80">
      <w:pPr>
        <w:spacing w:before="160"/>
        <w:rPr>
          <w:rFonts w:ascii="Times New Roman" w:eastAsia="Times New Roman" w:hAnsi="Times New Roman" w:cs="Times New Roman"/>
          <w:b/>
          <w:bCs/>
          <w:color w:val="000000" w:themeColor="text1"/>
        </w:rPr>
      </w:pPr>
      <w:bookmarkStart w:id="1" w:name="_Hlk168303362"/>
      <w:r w:rsidRPr="00EC2648">
        <w:rPr>
          <w:rFonts w:ascii="Times New Roman" w:eastAsia="Times New Roman" w:hAnsi="Times New Roman" w:cs="Times New Roman"/>
          <w:b/>
          <w:bCs/>
          <w:color w:val="000000" w:themeColor="text1"/>
        </w:rPr>
        <w:t xml:space="preserve">Item [5] </w:t>
      </w:r>
      <w:r w:rsidR="005B3D51" w:rsidRPr="00EC2648">
        <w:rPr>
          <w:rFonts w:ascii="Times New Roman" w:eastAsia="Times New Roman" w:hAnsi="Times New Roman" w:cs="Times New Roman"/>
          <w:b/>
          <w:bCs/>
          <w:color w:val="000000" w:themeColor="text1"/>
        </w:rPr>
        <w:t>P</w:t>
      </w:r>
      <w:r w:rsidRPr="00EC2648">
        <w:rPr>
          <w:rFonts w:ascii="Times New Roman" w:eastAsia="Times New Roman" w:hAnsi="Times New Roman" w:cs="Times New Roman"/>
          <w:b/>
          <w:bCs/>
          <w:color w:val="000000" w:themeColor="text1"/>
        </w:rPr>
        <w:t>aragraph 684(4)(b)</w:t>
      </w:r>
    </w:p>
    <w:p w14:paraId="2A0F07D4" w14:textId="1B7883B2" w:rsidR="00365F80" w:rsidRPr="00EC2648" w:rsidRDefault="00365F80" w:rsidP="00365F80">
      <w:pPr>
        <w:pStyle w:val="ListParagraph"/>
        <w:numPr>
          <w:ilvl w:val="0"/>
          <w:numId w:val="16"/>
        </w:numPr>
        <w:spacing w:after="0" w:line="257" w:lineRule="auto"/>
        <w:ind w:left="360"/>
      </w:pPr>
      <w:r w:rsidRPr="00EC2648">
        <w:rPr>
          <w:rFonts w:ascii="Times New Roman" w:eastAsia="Times New Roman" w:hAnsi="Times New Roman" w:cs="Times New Roman"/>
          <w:color w:val="000000" w:themeColor="text1"/>
        </w:rPr>
        <w:t xml:space="preserve">This item would </w:t>
      </w:r>
      <w:r w:rsidR="005B3D51" w:rsidRPr="00EC2648">
        <w:rPr>
          <w:rFonts w:ascii="Times New Roman" w:eastAsia="Times New Roman" w:hAnsi="Times New Roman" w:cs="Times New Roman"/>
          <w:color w:val="000000" w:themeColor="text1"/>
        </w:rPr>
        <w:t xml:space="preserve">omit the word ‘facility’ and substitute it with ‘facility, or’. </w:t>
      </w:r>
      <w:r w:rsidRPr="00EC2648">
        <w:rPr>
          <w:rFonts w:ascii="Times New Roman" w:eastAsia="Times New Roman" w:hAnsi="Times New Roman" w:cs="Times New Roman"/>
          <w:color w:val="000000" w:themeColor="text1"/>
        </w:rPr>
        <w:t xml:space="preserve"> </w:t>
      </w:r>
    </w:p>
    <w:bookmarkEnd w:id="1"/>
    <w:p w14:paraId="5BA86E48" w14:textId="77777777" w:rsidR="00365F80" w:rsidRPr="00EC2648" w:rsidRDefault="00365F80" w:rsidP="00365F80">
      <w:pPr>
        <w:spacing w:after="0" w:line="257" w:lineRule="auto"/>
        <w:rPr>
          <w:rFonts w:ascii="Times New Roman" w:eastAsia="Times New Roman" w:hAnsi="Times New Roman" w:cs="Times New Roman"/>
          <w:b/>
          <w:bCs/>
          <w:color w:val="000000" w:themeColor="text1"/>
        </w:rPr>
      </w:pPr>
    </w:p>
    <w:p w14:paraId="36DAF0DE" w14:textId="172F9AAD" w:rsidR="00324670" w:rsidRPr="00EC2648" w:rsidRDefault="025162F0" w:rsidP="00365F80">
      <w:pPr>
        <w:spacing w:after="0" w:line="257" w:lineRule="auto"/>
      </w:pPr>
      <w:r w:rsidRPr="00EC2648">
        <w:rPr>
          <w:rFonts w:ascii="Times New Roman" w:eastAsia="Times New Roman" w:hAnsi="Times New Roman" w:cs="Times New Roman"/>
          <w:b/>
          <w:bCs/>
          <w:color w:val="000000" w:themeColor="text1"/>
        </w:rPr>
        <w:t xml:space="preserve">Item </w:t>
      </w:r>
      <w:r w:rsidR="001D58EB" w:rsidRPr="00EC2648">
        <w:rPr>
          <w:rFonts w:ascii="Times New Roman" w:eastAsia="Times New Roman" w:hAnsi="Times New Roman" w:cs="Times New Roman"/>
          <w:b/>
          <w:bCs/>
          <w:color w:val="000000" w:themeColor="text1"/>
        </w:rPr>
        <w:t>[</w:t>
      </w:r>
      <w:r w:rsidR="005B3D51" w:rsidRPr="00EC2648">
        <w:rPr>
          <w:rFonts w:ascii="Times New Roman" w:eastAsia="Times New Roman" w:hAnsi="Times New Roman" w:cs="Times New Roman"/>
          <w:b/>
          <w:bCs/>
          <w:color w:val="000000" w:themeColor="text1"/>
        </w:rPr>
        <w:t>6</w:t>
      </w:r>
      <w:r w:rsidR="001D58EB"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723CBD" w:rsidRPr="00EC2648">
        <w:rPr>
          <w:rFonts w:ascii="Times New Roman" w:eastAsia="Times New Roman" w:hAnsi="Times New Roman" w:cs="Times New Roman"/>
          <w:b/>
          <w:bCs/>
          <w:color w:val="000000" w:themeColor="text1"/>
        </w:rPr>
        <w:t>After paragraph</w:t>
      </w:r>
      <w:r w:rsidRPr="00EC2648">
        <w:rPr>
          <w:rFonts w:ascii="Times New Roman" w:eastAsia="Times New Roman" w:hAnsi="Times New Roman" w:cs="Times New Roman"/>
          <w:b/>
          <w:bCs/>
          <w:color w:val="000000" w:themeColor="text1"/>
        </w:rPr>
        <w:t xml:space="preserve"> 684</w:t>
      </w:r>
      <w:r w:rsidR="00B12593" w:rsidRPr="00EC2648">
        <w:rPr>
          <w:rFonts w:ascii="Times New Roman" w:eastAsia="Times New Roman" w:hAnsi="Times New Roman" w:cs="Times New Roman"/>
          <w:b/>
          <w:bCs/>
          <w:color w:val="000000" w:themeColor="text1"/>
        </w:rPr>
        <w:t>(4</w:t>
      </w:r>
      <w:r w:rsidRPr="00EC2648">
        <w:rPr>
          <w:rFonts w:ascii="Times New Roman" w:eastAsia="Times New Roman" w:hAnsi="Times New Roman" w:cs="Times New Roman"/>
          <w:b/>
          <w:bCs/>
          <w:color w:val="000000" w:themeColor="text1"/>
        </w:rPr>
        <w:t>)</w:t>
      </w:r>
      <w:r w:rsidR="00723CBD" w:rsidRPr="00EC2648">
        <w:rPr>
          <w:rFonts w:ascii="Times New Roman" w:eastAsia="Times New Roman" w:hAnsi="Times New Roman" w:cs="Times New Roman"/>
          <w:b/>
          <w:bCs/>
          <w:color w:val="000000" w:themeColor="text1"/>
        </w:rPr>
        <w:t>(b)</w:t>
      </w:r>
    </w:p>
    <w:p w14:paraId="289C7FB1" w14:textId="0AE73EC4" w:rsidR="00324670" w:rsidRPr="00EC2648" w:rsidRDefault="025162F0"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adds a new paragraph (c)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684(4) which provides that regulation 684 (General power to grant exemptions) does not apply to an exemption from </w:t>
      </w:r>
      <w:r w:rsidR="001D58EB"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regulation 529D in relation to exempting a type of engineered stone from that regulation</w:t>
      </w:r>
      <w:r w:rsidR="001D58EB"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w:t>
      </w:r>
    </w:p>
    <w:p w14:paraId="6299386E" w14:textId="77777777" w:rsidR="00D10427" w:rsidRPr="00EC2648" w:rsidRDefault="00D10427" w:rsidP="00C333DE">
      <w:pPr>
        <w:pStyle w:val="ListParagraph"/>
        <w:spacing w:after="0" w:line="257" w:lineRule="auto"/>
        <w:ind w:left="360"/>
        <w:rPr>
          <w:rFonts w:ascii="Times New Roman" w:eastAsia="Times New Roman" w:hAnsi="Times New Roman" w:cs="Times New Roman"/>
          <w:color w:val="000000" w:themeColor="text1"/>
        </w:rPr>
      </w:pPr>
    </w:p>
    <w:p w14:paraId="21BD7C67" w14:textId="7543712E" w:rsidR="00324670" w:rsidRPr="00EC2648" w:rsidRDefault="025162F0" w:rsidP="358883A3">
      <w:pPr>
        <w:spacing w:before="12"/>
      </w:pPr>
      <w:r w:rsidRPr="00EC2648">
        <w:rPr>
          <w:rFonts w:ascii="Times New Roman" w:eastAsia="Times New Roman" w:hAnsi="Times New Roman" w:cs="Times New Roman"/>
          <w:b/>
          <w:bCs/>
          <w:color w:val="000000" w:themeColor="text1"/>
        </w:rPr>
        <w:t xml:space="preserve">Item </w:t>
      </w:r>
      <w:r w:rsidR="001D58EB" w:rsidRPr="00EC2648">
        <w:rPr>
          <w:rFonts w:ascii="Times New Roman" w:eastAsia="Times New Roman" w:hAnsi="Times New Roman" w:cs="Times New Roman"/>
          <w:b/>
          <w:bCs/>
          <w:color w:val="000000" w:themeColor="text1"/>
        </w:rPr>
        <w:t>[</w:t>
      </w:r>
      <w:r w:rsidR="005B3D51" w:rsidRPr="00EC2648">
        <w:rPr>
          <w:rFonts w:ascii="Times New Roman" w:eastAsia="Times New Roman" w:hAnsi="Times New Roman" w:cs="Times New Roman"/>
          <w:b/>
          <w:bCs/>
          <w:color w:val="000000" w:themeColor="text1"/>
        </w:rPr>
        <w:t>7</w:t>
      </w:r>
      <w:r w:rsidR="001D58EB"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B12593" w:rsidRPr="00EC2648">
        <w:rPr>
          <w:rFonts w:ascii="Times New Roman" w:eastAsia="Times New Roman" w:hAnsi="Times New Roman" w:cs="Times New Roman"/>
          <w:b/>
          <w:bCs/>
          <w:color w:val="000000" w:themeColor="text1"/>
        </w:rPr>
        <w:t xml:space="preserve">After </w:t>
      </w:r>
      <w:r w:rsidRPr="00EC2648">
        <w:rPr>
          <w:rFonts w:ascii="Times New Roman" w:eastAsia="Times New Roman" w:hAnsi="Times New Roman" w:cs="Times New Roman"/>
          <w:b/>
          <w:bCs/>
          <w:color w:val="000000" w:themeColor="text1"/>
        </w:rPr>
        <w:t>Division 3</w:t>
      </w:r>
      <w:r w:rsidR="00B12593" w:rsidRPr="00EC2648">
        <w:rPr>
          <w:rFonts w:ascii="Times New Roman" w:eastAsia="Times New Roman" w:hAnsi="Times New Roman" w:cs="Times New Roman"/>
          <w:b/>
          <w:bCs/>
          <w:color w:val="000000" w:themeColor="text1"/>
        </w:rPr>
        <w:t xml:space="preserve"> of Part 11.2</w:t>
      </w:r>
    </w:p>
    <w:p w14:paraId="12874DC9" w14:textId="54641037"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inserts a new Division 3A into Part 11.2 of the Regulations which includes new regulations 689A-689E.</w:t>
      </w:r>
    </w:p>
    <w:p w14:paraId="2B84C6A7" w14:textId="78647A6E" w:rsidR="00324670" w:rsidRPr="00EC2648" w:rsidRDefault="025162F0" w:rsidP="1E0D23C5">
      <w:pPr>
        <w:spacing w:before="178"/>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689A Engineered stone — exemption</w:t>
      </w:r>
    </w:p>
    <w:p w14:paraId="583C638A" w14:textId="0D23D0A4" w:rsidR="00392922" w:rsidRPr="00EC2648" w:rsidRDefault="19B116AD" w:rsidP="00C7684D">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689A(1) allows the regulator to exempt a type of engineered stone from regulation 529D (Work involving engineered stone benchtops, panels or slabs — prohibition).</w:t>
      </w:r>
    </w:p>
    <w:p w14:paraId="7DDFAD70"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0566AD5E" w14:textId="12AA6C6D" w:rsidR="00324670" w:rsidRPr="00EC2648" w:rsidRDefault="025162F0" w:rsidP="0039292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A PCBU will be exempt from compliance with regulation 529D if the work involves a type of engineered stone that is the subject of an exemption granted 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689A(1) or a corresponding WHS law that is equivalent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689A(1)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689A(2)).</w:t>
      </w:r>
    </w:p>
    <w:p w14:paraId="409F46E7" w14:textId="77777777" w:rsidR="00392922" w:rsidRPr="00EC2648" w:rsidRDefault="00392922" w:rsidP="00C333DE">
      <w:pPr>
        <w:spacing w:after="0" w:line="257" w:lineRule="auto"/>
        <w:rPr>
          <w:rFonts w:ascii="Times New Roman" w:eastAsia="Times New Roman" w:hAnsi="Times New Roman" w:cs="Times New Roman"/>
          <w:color w:val="000000" w:themeColor="text1"/>
        </w:rPr>
      </w:pPr>
    </w:p>
    <w:p w14:paraId="27FD6694" w14:textId="1079AA51"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means that an exemption granted in one jurisdiction will also apply in all other corresponding jurisdictions — in effect, there will be mutual recognition of exemption decisions.</w:t>
      </w:r>
      <w:r w:rsidR="008E54A0" w:rsidRPr="00EC2648">
        <w:rPr>
          <w:rFonts w:ascii="Times New Roman" w:eastAsia="Times New Roman" w:hAnsi="Times New Roman" w:cs="Times New Roman"/>
          <w:color w:val="000000" w:themeColor="text1"/>
        </w:rPr>
        <w:t xml:space="preserve"> Only a PCBU subject to the WHS Act (e.g. the Commonwealth, a Commonwealth public authority or a non-Commonwealth licensee) would be able to make an application to Comcare.</w:t>
      </w:r>
    </w:p>
    <w:p w14:paraId="0F050277" w14:textId="77777777" w:rsidR="00C7684D" w:rsidRPr="00EC2648" w:rsidRDefault="00C7684D" w:rsidP="00C7684D">
      <w:pPr>
        <w:pStyle w:val="ListParagraph"/>
        <w:rPr>
          <w:rFonts w:ascii="Times New Roman" w:eastAsia="Times New Roman" w:hAnsi="Times New Roman" w:cs="Times New Roman"/>
          <w:color w:val="000000" w:themeColor="text1"/>
        </w:rPr>
      </w:pPr>
    </w:p>
    <w:p w14:paraId="26972221" w14:textId="1BD82BD5" w:rsidR="00C7684D" w:rsidRPr="00EC2648" w:rsidRDefault="00C7684D" w:rsidP="00C7684D">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689A provides that a decision to refuse to grant an exemption is a reviewable decision under regulation 676 (Which decisions under these Regulations are reviewable).</w:t>
      </w:r>
    </w:p>
    <w:p w14:paraId="624A14D0" w14:textId="742ED941" w:rsidR="00324670" w:rsidRPr="00EC2648" w:rsidRDefault="025162F0" w:rsidP="1E0D23C5">
      <w:pPr>
        <w:spacing w:before="183"/>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689B Engineered stone —application for exemption</w:t>
      </w:r>
    </w:p>
    <w:p w14:paraId="0AE3FE88" w14:textId="6BD95232"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689B(</w:t>
      </w:r>
      <w:r w:rsidR="00C7684D" w:rsidRPr="00EC2648">
        <w:rPr>
          <w:rFonts w:ascii="Times New Roman" w:eastAsia="Times New Roman" w:hAnsi="Times New Roman" w:cs="Times New Roman"/>
          <w:color w:val="000000" w:themeColor="text1"/>
        </w:rPr>
        <w:t>1</w:t>
      </w:r>
      <w:r w:rsidR="025162F0" w:rsidRPr="00EC2648">
        <w:rPr>
          <w:rFonts w:ascii="Times New Roman" w:eastAsia="Times New Roman" w:hAnsi="Times New Roman" w:cs="Times New Roman"/>
          <w:color w:val="000000" w:themeColor="text1"/>
        </w:rPr>
        <w:t xml:space="preserve">) provides that a person with an interest in having an exemption granted under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689A(1) may apply to the regulator for an exemption.</w:t>
      </w:r>
      <w:r w:rsidR="00E271AE" w:rsidRPr="00EC2648">
        <w:rPr>
          <w:rFonts w:ascii="Times New Roman" w:eastAsia="Times New Roman" w:hAnsi="Times New Roman" w:cs="Times New Roman"/>
          <w:color w:val="000000" w:themeColor="text1"/>
        </w:rPr>
        <w:t xml:space="preserve"> In the Commonwealth jurisdiction, relevant ‘persons’ are the Commonwealth, public authorities and non-Commonwealth licensees. Other PCBUs</w:t>
      </w:r>
      <w:r w:rsidR="00E21319" w:rsidRPr="00EC2648">
        <w:rPr>
          <w:rFonts w:ascii="Times New Roman" w:eastAsia="Times New Roman" w:hAnsi="Times New Roman" w:cs="Times New Roman"/>
          <w:color w:val="000000" w:themeColor="text1"/>
        </w:rPr>
        <w:t xml:space="preserve"> will apply to state and territory regulators for an exemption.</w:t>
      </w:r>
    </w:p>
    <w:p w14:paraId="62580D30" w14:textId="77777777" w:rsidR="006642F9" w:rsidRPr="00EC2648" w:rsidRDefault="006642F9" w:rsidP="00C333DE">
      <w:pPr>
        <w:pStyle w:val="ListParagraph"/>
        <w:rPr>
          <w:rFonts w:ascii="Times New Roman" w:eastAsia="Times New Roman" w:hAnsi="Times New Roman" w:cs="Times New Roman"/>
          <w:color w:val="000000" w:themeColor="text1"/>
        </w:rPr>
      </w:pPr>
    </w:p>
    <w:p w14:paraId="75321E40" w14:textId="481BBF1A"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However,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689B(</w:t>
      </w:r>
      <w:r w:rsidR="00C7684D" w:rsidRPr="00EC2648">
        <w:rPr>
          <w:rFonts w:ascii="Times New Roman" w:eastAsia="Times New Roman" w:hAnsi="Times New Roman" w:cs="Times New Roman"/>
          <w:color w:val="000000" w:themeColor="text1"/>
        </w:rPr>
        <w:t>2</w:t>
      </w:r>
      <w:r w:rsidRPr="00EC2648">
        <w:rPr>
          <w:rFonts w:ascii="Times New Roman" w:eastAsia="Times New Roman" w:hAnsi="Times New Roman" w:cs="Times New Roman"/>
          <w:color w:val="000000" w:themeColor="text1"/>
        </w:rPr>
        <w:t xml:space="preserve">) requires that before the person can apply for an exemption 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689A(</w:t>
      </w:r>
      <w:r w:rsidR="00C7684D" w:rsidRPr="00EC2648">
        <w:rPr>
          <w:rFonts w:ascii="Times New Roman" w:eastAsia="Times New Roman" w:hAnsi="Times New Roman" w:cs="Times New Roman"/>
          <w:color w:val="000000" w:themeColor="text1"/>
        </w:rPr>
        <w:t>1</w:t>
      </w:r>
      <w:r w:rsidRPr="00EC2648">
        <w:rPr>
          <w:rFonts w:ascii="Times New Roman" w:eastAsia="Times New Roman" w:hAnsi="Times New Roman" w:cs="Times New Roman"/>
          <w:color w:val="000000" w:themeColor="text1"/>
        </w:rPr>
        <w:t>), the person must give each social partner SWA member a written notice stating:</w:t>
      </w:r>
    </w:p>
    <w:p w14:paraId="400A2DCD" w14:textId="77777777" w:rsidR="006642F9" w:rsidRPr="00EC2648" w:rsidRDefault="006642F9" w:rsidP="00C333DE">
      <w:pPr>
        <w:pStyle w:val="ListParagraph"/>
        <w:spacing w:after="0" w:line="257" w:lineRule="auto"/>
        <w:ind w:left="360"/>
        <w:rPr>
          <w:rFonts w:ascii="Times New Roman" w:eastAsia="Times New Roman" w:hAnsi="Times New Roman" w:cs="Times New Roman"/>
          <w:color w:val="000000" w:themeColor="text1"/>
        </w:rPr>
      </w:pPr>
    </w:p>
    <w:p w14:paraId="381AA027" w14:textId="54641037" w:rsidR="00324670" w:rsidRPr="00EC2648" w:rsidRDefault="025162F0" w:rsidP="00E1337D">
      <w:pPr>
        <w:pStyle w:val="ListParagraph"/>
        <w:numPr>
          <w:ilvl w:val="0"/>
          <w:numId w:val="15"/>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person intends to make the application; and</w:t>
      </w:r>
    </w:p>
    <w:p w14:paraId="4A22C3DF" w14:textId="54641037" w:rsidR="00324670" w:rsidRPr="00EC2648" w:rsidRDefault="025162F0" w:rsidP="00E1337D">
      <w:pPr>
        <w:pStyle w:val="ListParagraph"/>
        <w:numPr>
          <w:ilvl w:val="0"/>
          <w:numId w:val="15"/>
        </w:numPr>
        <w:spacing w:after="0"/>
        <w:ind w:right="216"/>
        <w:jc w:val="both"/>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social partner SWA member may give the person submissions for the regulator about the application within the reasonable period stated in the notice; and</w:t>
      </w:r>
    </w:p>
    <w:p w14:paraId="5A9CB75A" w14:textId="54641037" w:rsidR="00324670" w:rsidRPr="00EC2648" w:rsidRDefault="025162F0" w:rsidP="00E1337D">
      <w:pPr>
        <w:pStyle w:val="ListParagraph"/>
        <w:numPr>
          <w:ilvl w:val="0"/>
          <w:numId w:val="15"/>
        </w:numPr>
        <w:spacing w:after="0"/>
        <w:ind w:right="72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person must provide the social partner SWA member's submissions to the regulator as part of the person's application.</w:t>
      </w:r>
    </w:p>
    <w:p w14:paraId="5C72FC45" w14:textId="77777777" w:rsidR="006642F9" w:rsidRPr="00EC2648" w:rsidRDefault="006642F9" w:rsidP="00C333DE">
      <w:pPr>
        <w:pStyle w:val="ListParagraph"/>
        <w:spacing w:after="0"/>
        <w:ind w:left="786" w:right="720"/>
        <w:rPr>
          <w:rFonts w:ascii="Times New Roman" w:eastAsia="Times New Roman" w:hAnsi="Times New Roman" w:cs="Times New Roman"/>
          <w:color w:val="000000" w:themeColor="text1"/>
        </w:rPr>
      </w:pPr>
    </w:p>
    <w:p w14:paraId="04D4B822" w14:textId="6B7F1F36"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The person must also provide a copy of the proposed application for the exemption to each social partner SWA member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689B(</w:t>
      </w:r>
      <w:r w:rsidR="00C7684D" w:rsidRPr="00EC2648">
        <w:rPr>
          <w:rFonts w:ascii="Times New Roman" w:eastAsia="Times New Roman" w:hAnsi="Times New Roman" w:cs="Times New Roman"/>
          <w:color w:val="000000" w:themeColor="text1"/>
        </w:rPr>
        <w:t>2</w:t>
      </w:r>
      <w:r w:rsidRPr="00EC2648">
        <w:rPr>
          <w:rFonts w:ascii="Times New Roman" w:eastAsia="Times New Roman" w:hAnsi="Times New Roman" w:cs="Times New Roman"/>
          <w:color w:val="000000" w:themeColor="text1"/>
        </w:rPr>
        <w:t>)(b)).</w:t>
      </w:r>
    </w:p>
    <w:p w14:paraId="66028904" w14:textId="77777777" w:rsidR="006642F9" w:rsidRPr="00EC2648" w:rsidRDefault="006642F9" w:rsidP="00C333DE">
      <w:pPr>
        <w:pStyle w:val="ListParagraph"/>
        <w:spacing w:after="0" w:line="257" w:lineRule="auto"/>
        <w:ind w:left="360"/>
        <w:rPr>
          <w:rFonts w:ascii="Times New Roman" w:eastAsia="Times New Roman" w:hAnsi="Times New Roman" w:cs="Times New Roman"/>
          <w:color w:val="000000" w:themeColor="text1"/>
        </w:rPr>
      </w:pPr>
    </w:p>
    <w:p w14:paraId="746F075E" w14:textId="712667BF" w:rsidR="00324670" w:rsidRPr="00EC2648" w:rsidRDefault="19B116AD"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689B(</w:t>
      </w:r>
      <w:r w:rsidR="00C7684D" w:rsidRPr="00EC2648">
        <w:rPr>
          <w:rFonts w:ascii="Times New Roman" w:eastAsia="Times New Roman" w:hAnsi="Times New Roman" w:cs="Times New Roman"/>
          <w:color w:val="000000" w:themeColor="text1"/>
        </w:rPr>
        <w:t>3</w:t>
      </w:r>
      <w:r w:rsidR="025162F0" w:rsidRPr="00EC2648">
        <w:rPr>
          <w:rFonts w:ascii="Times New Roman" w:eastAsia="Times New Roman" w:hAnsi="Times New Roman" w:cs="Times New Roman"/>
          <w:color w:val="000000" w:themeColor="text1"/>
        </w:rPr>
        <w:t>) also requires that the person's application be in writing,</w:t>
      </w:r>
      <w:r w:rsidR="00E423C2" w:rsidRPr="00EC2648">
        <w:rPr>
          <w:rFonts w:ascii="Times New Roman" w:eastAsia="Times New Roman" w:hAnsi="Times New Roman" w:cs="Times New Roman"/>
          <w:color w:val="000000" w:themeColor="text1"/>
        </w:rPr>
        <w:t xml:space="preserve"> </w:t>
      </w:r>
      <w:r w:rsidR="025162F0" w:rsidRPr="00EC2648">
        <w:rPr>
          <w:rFonts w:ascii="Times New Roman" w:eastAsia="Times New Roman" w:hAnsi="Times New Roman" w:cs="Times New Roman"/>
          <w:color w:val="000000" w:themeColor="text1"/>
        </w:rPr>
        <w:t xml:space="preserve">accompanied by the written notice the person gives the social partner SWA member under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689B(2), and accompanied by any submissions received by the person from social partner SWA members under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689B(</w:t>
      </w:r>
      <w:r w:rsidR="00164CDF" w:rsidRPr="00EC2648">
        <w:rPr>
          <w:rFonts w:ascii="Times New Roman" w:eastAsia="Times New Roman" w:hAnsi="Times New Roman" w:cs="Times New Roman"/>
          <w:color w:val="000000" w:themeColor="text1"/>
        </w:rPr>
        <w:t>2</w:t>
      </w:r>
      <w:r w:rsidR="025162F0" w:rsidRPr="00EC2648">
        <w:rPr>
          <w:rFonts w:ascii="Times New Roman" w:eastAsia="Times New Roman" w:hAnsi="Times New Roman" w:cs="Times New Roman"/>
          <w:color w:val="000000" w:themeColor="text1"/>
        </w:rPr>
        <w:t>).</w:t>
      </w:r>
    </w:p>
    <w:p w14:paraId="14906288" w14:textId="77777777" w:rsidR="00C7684D" w:rsidRPr="00EC2648" w:rsidRDefault="00C7684D" w:rsidP="00174717">
      <w:pPr>
        <w:pStyle w:val="ListParagraph"/>
        <w:rPr>
          <w:rFonts w:ascii="Times New Roman" w:eastAsia="Times New Roman" w:hAnsi="Times New Roman" w:cs="Times New Roman"/>
          <w:color w:val="000000" w:themeColor="text1"/>
        </w:rPr>
      </w:pPr>
    </w:p>
    <w:p w14:paraId="34136A70" w14:textId="0B73417C" w:rsidR="00C7684D" w:rsidRPr="00EC2648" w:rsidRDefault="00C7684D" w:rsidP="00C7684D">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Subregulation 689B(4) defines </w:t>
      </w:r>
      <w:r w:rsidR="006229C2">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social partner SWA members</w:t>
      </w:r>
      <w:r w:rsidR="006229C2">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for the purpose of regulation 689B to mean the 2 members of SWA who represent the interests of workers in Australia, and the 2 members of SWA who represent the interests of employers in Australia.</w:t>
      </w:r>
    </w:p>
    <w:p w14:paraId="2FFBF7C1" w14:textId="5FA3D7BC" w:rsidR="00324670" w:rsidRPr="00EC2648" w:rsidRDefault="025162F0" w:rsidP="1E0D23C5">
      <w:pPr>
        <w:spacing w:before="181"/>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689C Engineered stone —notifying persons of application for exemption</w:t>
      </w:r>
    </w:p>
    <w:p w14:paraId="5F275890" w14:textId="28A0A18A"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regulator must give the application documents in relation to an application for an exemption under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689A(1) to each corresponding regulator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689C(</w:t>
      </w:r>
      <w:r w:rsidR="00164CDF" w:rsidRPr="00EC2648">
        <w:rPr>
          <w:rFonts w:ascii="Times New Roman" w:eastAsia="Times New Roman" w:hAnsi="Times New Roman" w:cs="Times New Roman"/>
          <w:color w:val="000000" w:themeColor="text1"/>
        </w:rPr>
        <w:t>1</w:t>
      </w:r>
      <w:r w:rsidRPr="00EC2648">
        <w:rPr>
          <w:rFonts w:ascii="Times New Roman" w:eastAsia="Times New Roman" w:hAnsi="Times New Roman" w:cs="Times New Roman"/>
          <w:color w:val="000000" w:themeColor="text1"/>
        </w:rPr>
        <w:t>)).</w:t>
      </w:r>
    </w:p>
    <w:p w14:paraId="64DA44F6" w14:textId="77777777" w:rsidR="006642F9" w:rsidRPr="00EC2648" w:rsidRDefault="006642F9" w:rsidP="00C333DE">
      <w:pPr>
        <w:pStyle w:val="ListParagraph"/>
        <w:spacing w:after="0" w:line="257" w:lineRule="auto"/>
        <w:ind w:left="360"/>
        <w:rPr>
          <w:rFonts w:ascii="Times New Roman" w:eastAsia="Times New Roman" w:hAnsi="Times New Roman" w:cs="Times New Roman"/>
          <w:color w:val="000000" w:themeColor="text1"/>
        </w:rPr>
      </w:pPr>
    </w:p>
    <w:p w14:paraId="443CB656" w14:textId="3561E25B"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689C(</w:t>
      </w:r>
      <w:r w:rsidR="00164CDF" w:rsidRPr="00EC2648">
        <w:rPr>
          <w:rFonts w:ascii="Times New Roman" w:eastAsia="Times New Roman" w:hAnsi="Times New Roman" w:cs="Times New Roman"/>
          <w:color w:val="000000" w:themeColor="text1"/>
        </w:rPr>
        <w:t>2</w:t>
      </w:r>
      <w:r w:rsidR="025162F0" w:rsidRPr="00EC2648">
        <w:rPr>
          <w:rFonts w:ascii="Times New Roman" w:eastAsia="Times New Roman" w:hAnsi="Times New Roman" w:cs="Times New Roman"/>
          <w:color w:val="000000" w:themeColor="text1"/>
        </w:rPr>
        <w:t xml:space="preserve">) provides that the regulator may also give the application documents for an application for an exemption under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689A(1) to:</w:t>
      </w:r>
    </w:p>
    <w:p w14:paraId="2A950819" w14:textId="77777777" w:rsidR="006642F9" w:rsidRPr="00EC2648" w:rsidRDefault="006642F9" w:rsidP="00C333DE">
      <w:pPr>
        <w:pStyle w:val="ListParagraph"/>
        <w:rPr>
          <w:rFonts w:ascii="Times New Roman" w:eastAsia="Times New Roman" w:hAnsi="Times New Roman" w:cs="Times New Roman"/>
          <w:color w:val="000000" w:themeColor="text1"/>
        </w:rPr>
      </w:pPr>
    </w:p>
    <w:p w14:paraId="28BEFF1E" w14:textId="54641037" w:rsidR="00324670" w:rsidRPr="00EC2648" w:rsidRDefault="025162F0" w:rsidP="00E1337D">
      <w:pPr>
        <w:pStyle w:val="ListParagraph"/>
        <w:numPr>
          <w:ilvl w:val="0"/>
          <w:numId w:val="15"/>
        </w:numPr>
        <w:spacing w:after="0"/>
        <w:ind w:left="792" w:right="504"/>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 employer organisation that includes employers who engage in work involving engineered stone</w:t>
      </w:r>
    </w:p>
    <w:p w14:paraId="2DA3422B" w14:textId="54641037" w:rsidR="00324670" w:rsidRPr="00EC2648" w:rsidRDefault="025162F0" w:rsidP="00E1337D">
      <w:pPr>
        <w:pStyle w:val="ListParagraph"/>
        <w:numPr>
          <w:ilvl w:val="0"/>
          <w:numId w:val="15"/>
        </w:numPr>
        <w:spacing w:after="0"/>
        <w:ind w:left="792" w:right="43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union representing employees whose work includes work involving engineered stone, or</w:t>
      </w:r>
    </w:p>
    <w:p w14:paraId="2A72063D" w14:textId="54641037" w:rsidR="00324670" w:rsidRPr="00EC2648" w:rsidRDefault="025162F0" w:rsidP="00E1337D">
      <w:pPr>
        <w:pStyle w:val="ListParagraph"/>
        <w:numPr>
          <w:ilvl w:val="0"/>
          <w:numId w:val="15"/>
        </w:numPr>
        <w:spacing w:after="0"/>
        <w:ind w:left="792" w:right="79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person who has qualifications, knowledge, skills and experience relating to engineered stone.</w:t>
      </w:r>
    </w:p>
    <w:p w14:paraId="20F3BA3A" w14:textId="77777777" w:rsidR="00164CDF" w:rsidRPr="00EC2648" w:rsidRDefault="00164CDF" w:rsidP="00174717">
      <w:pPr>
        <w:pStyle w:val="ListParagraph"/>
        <w:spacing w:after="0"/>
        <w:ind w:left="792" w:right="792"/>
        <w:rPr>
          <w:rFonts w:ascii="Times New Roman" w:eastAsia="Times New Roman" w:hAnsi="Times New Roman" w:cs="Times New Roman"/>
          <w:color w:val="000000" w:themeColor="text1"/>
        </w:rPr>
      </w:pPr>
    </w:p>
    <w:p w14:paraId="4DF2CB9C" w14:textId="073591E2" w:rsidR="00164CDF" w:rsidRPr="00EC2648" w:rsidRDefault="00164CDF" w:rsidP="00164CDF">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 689C(3) defines application documents in relation to an application for exemption under subregulation 689A(1) to mean:</w:t>
      </w:r>
    </w:p>
    <w:p w14:paraId="767A09C4" w14:textId="77777777" w:rsidR="00164CDF" w:rsidRPr="00EC2648" w:rsidRDefault="00164CDF" w:rsidP="00164CDF">
      <w:pPr>
        <w:pStyle w:val="ListParagraph"/>
        <w:spacing w:after="0" w:line="257" w:lineRule="auto"/>
        <w:ind w:left="360"/>
        <w:rPr>
          <w:rFonts w:ascii="Times New Roman" w:eastAsia="Times New Roman" w:hAnsi="Times New Roman" w:cs="Times New Roman"/>
          <w:color w:val="000000" w:themeColor="text1"/>
        </w:rPr>
      </w:pPr>
    </w:p>
    <w:p w14:paraId="42D5AC33" w14:textId="77777777" w:rsidR="00164CDF" w:rsidRPr="00EC2648" w:rsidRDefault="00164CDF" w:rsidP="00164CDF">
      <w:pPr>
        <w:pStyle w:val="ListParagraph"/>
        <w:numPr>
          <w:ilvl w:val="0"/>
          <w:numId w:val="15"/>
        </w:numPr>
        <w:spacing w:after="0"/>
        <w:ind w:left="792" w:righ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written notice stating the regulator has received the application, and the person receiving the notice may make submissions to the regulator about the application within the reasonable period set out in the notice, and</w:t>
      </w:r>
    </w:p>
    <w:p w14:paraId="1A3BEE15" w14:textId="77777777" w:rsidR="00164CDF" w:rsidRPr="00EC2648" w:rsidRDefault="00164CDF" w:rsidP="00164CDF">
      <w:pPr>
        <w:pStyle w:val="ListParagraph"/>
        <w:numPr>
          <w:ilvl w:val="0"/>
          <w:numId w:val="15"/>
        </w:numPr>
        <w:spacing w:after="0"/>
        <w:ind w:left="792" w:right="144"/>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copy of the application and any submissions that the regulator receives in relation to the application under regulation 689B(4)(c).</w:t>
      </w:r>
    </w:p>
    <w:p w14:paraId="184F2B48" w14:textId="2B982F26" w:rsidR="00324670" w:rsidRPr="00EC2648" w:rsidRDefault="025162F0" w:rsidP="1E0D23C5">
      <w:pPr>
        <w:spacing w:before="18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689D Engineered stone — regulator to be satisfied about certain matters</w:t>
      </w:r>
    </w:p>
    <w:p w14:paraId="1F44FECF" w14:textId="4636D8B5"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689D(1) provides that a regulator must not grant an exemption under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689A(1) unless satisfied that granting the exemption will result in a standard of health and safety that is at least equivalent to the standard that would have been achieved without that exemption.</w:t>
      </w:r>
    </w:p>
    <w:p w14:paraId="3D206B10" w14:textId="77777777" w:rsidR="006642F9" w:rsidRPr="00EC2648" w:rsidRDefault="006642F9" w:rsidP="00C333DE">
      <w:pPr>
        <w:pStyle w:val="ListParagraph"/>
        <w:spacing w:after="0" w:line="257" w:lineRule="auto"/>
        <w:ind w:left="360"/>
        <w:rPr>
          <w:rFonts w:ascii="Times New Roman" w:eastAsia="Times New Roman" w:hAnsi="Times New Roman" w:cs="Times New Roman"/>
          <w:color w:val="000000" w:themeColor="text1"/>
        </w:rPr>
      </w:pPr>
    </w:p>
    <w:p w14:paraId="11DD903C" w14:textId="1E6E69B7"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689D(2) requires that for the purposes of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689D(1) the regulator must have regard to all relevant matters including:</w:t>
      </w:r>
    </w:p>
    <w:p w14:paraId="7BC030AA" w14:textId="77777777" w:rsidR="006642F9" w:rsidRPr="00EC2648" w:rsidRDefault="006642F9" w:rsidP="00C333DE">
      <w:pPr>
        <w:pStyle w:val="ListParagraph"/>
        <w:rPr>
          <w:rFonts w:ascii="Times New Roman" w:eastAsia="Times New Roman" w:hAnsi="Times New Roman" w:cs="Times New Roman"/>
          <w:color w:val="000000" w:themeColor="text1"/>
        </w:rPr>
      </w:pPr>
    </w:p>
    <w:p w14:paraId="186D6285" w14:textId="54641037" w:rsidR="00324670" w:rsidRPr="00EC2648" w:rsidRDefault="025162F0" w:rsidP="00E1337D">
      <w:pPr>
        <w:pStyle w:val="ListParagraph"/>
        <w:numPr>
          <w:ilvl w:val="0"/>
          <w:numId w:val="15"/>
        </w:numPr>
        <w:spacing w:after="0"/>
        <w:ind w:left="79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any submissions received under paragraph 689B(4)(c) or regulation 689C, and</w:t>
      </w:r>
    </w:p>
    <w:p w14:paraId="373327D1" w14:textId="54641037" w:rsidR="00324670" w:rsidRPr="00EC2648" w:rsidRDefault="025162F0" w:rsidP="00E1337D">
      <w:pPr>
        <w:pStyle w:val="ListParagraph"/>
        <w:numPr>
          <w:ilvl w:val="0"/>
          <w:numId w:val="15"/>
        </w:numPr>
        <w:spacing w:after="0"/>
        <w:ind w:left="792" w:right="43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whether the regulator is satisfied that, if the exemption were granted, the risk associated with the type of engineered stone that is the subject of the application would not be significant, and</w:t>
      </w:r>
    </w:p>
    <w:p w14:paraId="674930AF" w14:textId="54641037" w:rsidR="00324670" w:rsidRPr="00EC2648" w:rsidRDefault="025162F0" w:rsidP="00E1337D">
      <w:pPr>
        <w:pStyle w:val="ListParagraph"/>
        <w:numPr>
          <w:ilvl w:val="0"/>
          <w:numId w:val="15"/>
        </w:numPr>
        <w:spacing w:after="0"/>
        <w:ind w:left="792" w:right="7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if SWA publishes a document under regulation 689E, the relevant matters contained in the document.</w:t>
      </w:r>
    </w:p>
    <w:p w14:paraId="482AA5E5" w14:textId="1EE756DD" w:rsidR="00324670" w:rsidRPr="00EC2648" w:rsidRDefault="025162F0" w:rsidP="1E0D23C5">
      <w:pPr>
        <w:spacing w:before="164"/>
        <w:ind w:right="216"/>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689E Safe Work Australia may issue and publish document in relation to exemptions</w:t>
      </w:r>
    </w:p>
    <w:p w14:paraId="39D990D8" w14:textId="1B9FCB16"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689E(1) provides that </w:t>
      </w:r>
      <w:r w:rsidR="00E33677" w:rsidRPr="00EC2648">
        <w:rPr>
          <w:rFonts w:ascii="Times New Roman" w:eastAsia="Times New Roman" w:hAnsi="Times New Roman" w:cs="Times New Roman"/>
          <w:color w:val="000000" w:themeColor="text1"/>
        </w:rPr>
        <w:t>SWA</w:t>
      </w:r>
      <w:r w:rsidR="025162F0" w:rsidRPr="00EC2648">
        <w:rPr>
          <w:rFonts w:ascii="Times New Roman" w:eastAsia="Times New Roman" w:hAnsi="Times New Roman" w:cs="Times New Roman"/>
          <w:color w:val="000000" w:themeColor="text1"/>
        </w:rPr>
        <w:t xml:space="preserve"> may issue a document setting out the matters to be considered when granting an exemption under this Division. Where </w:t>
      </w:r>
      <w:r w:rsidR="00E33677" w:rsidRPr="00EC2648">
        <w:rPr>
          <w:rFonts w:ascii="Times New Roman" w:eastAsia="Times New Roman" w:hAnsi="Times New Roman" w:cs="Times New Roman"/>
          <w:color w:val="000000" w:themeColor="text1"/>
        </w:rPr>
        <w:t>SWA</w:t>
      </w:r>
      <w:r w:rsidR="025162F0" w:rsidRPr="00EC2648">
        <w:rPr>
          <w:rFonts w:ascii="Times New Roman" w:eastAsia="Times New Roman" w:hAnsi="Times New Roman" w:cs="Times New Roman"/>
          <w:color w:val="000000" w:themeColor="text1"/>
        </w:rPr>
        <w:t xml:space="preserve"> issues a document it must be published on the </w:t>
      </w:r>
      <w:r w:rsidR="00E33677" w:rsidRPr="00EC2648">
        <w:rPr>
          <w:rFonts w:ascii="Times New Roman" w:eastAsia="Times New Roman" w:hAnsi="Times New Roman" w:cs="Times New Roman"/>
          <w:color w:val="000000" w:themeColor="text1"/>
        </w:rPr>
        <w:t>SWA</w:t>
      </w:r>
      <w:r w:rsidR="025162F0" w:rsidRPr="00EC2648">
        <w:rPr>
          <w:rFonts w:ascii="Times New Roman" w:eastAsia="Times New Roman" w:hAnsi="Times New Roman" w:cs="Times New Roman"/>
          <w:color w:val="000000" w:themeColor="text1"/>
        </w:rPr>
        <w:t xml:space="preserve"> website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689E(2)).</w:t>
      </w:r>
    </w:p>
    <w:p w14:paraId="28D4911A" w14:textId="77777777" w:rsidR="00C21B70" w:rsidRPr="00EC2648" w:rsidRDefault="00C21B70" w:rsidP="00C333DE">
      <w:pPr>
        <w:pStyle w:val="ListParagraph"/>
        <w:spacing w:after="0" w:line="257" w:lineRule="auto"/>
        <w:ind w:left="360"/>
        <w:rPr>
          <w:rFonts w:ascii="Times New Roman" w:eastAsia="Times New Roman" w:hAnsi="Times New Roman" w:cs="Times New Roman"/>
          <w:color w:val="000000" w:themeColor="text1"/>
        </w:rPr>
      </w:pPr>
    </w:p>
    <w:p w14:paraId="7073F1FD" w14:textId="5C3EC2F6"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regulation 689E provides the details for the </w:t>
      </w:r>
      <w:r w:rsidR="00E33677" w:rsidRPr="00EC2648">
        <w:rPr>
          <w:rFonts w:ascii="Times New Roman" w:eastAsia="Times New Roman" w:hAnsi="Times New Roman" w:cs="Times New Roman"/>
          <w:color w:val="000000" w:themeColor="text1"/>
        </w:rPr>
        <w:t>SWA</w:t>
      </w:r>
      <w:r w:rsidRPr="00EC2648">
        <w:rPr>
          <w:rFonts w:ascii="Times New Roman" w:eastAsia="Times New Roman" w:hAnsi="Times New Roman" w:cs="Times New Roman"/>
          <w:color w:val="000000" w:themeColor="text1"/>
        </w:rPr>
        <w:t xml:space="preserve"> website (</w:t>
      </w:r>
      <w:hyperlink r:id="rId12">
        <w:r w:rsidRPr="00EC2648">
          <w:rPr>
            <w:rFonts w:ascii="Times New Roman" w:eastAsia="Times New Roman" w:hAnsi="Times New Roman" w:cs="Times New Roman"/>
            <w:color w:val="000000" w:themeColor="text1"/>
          </w:rPr>
          <w:t>https://www.safeworkaustralia.gov.au</w:t>
        </w:r>
      </w:hyperlink>
      <w:r w:rsidRPr="00EC2648">
        <w:rPr>
          <w:rFonts w:ascii="Times New Roman" w:eastAsia="Times New Roman" w:hAnsi="Times New Roman" w:cs="Times New Roman"/>
          <w:color w:val="000000" w:themeColor="text1"/>
        </w:rPr>
        <w:t xml:space="preserve">). </w:t>
      </w:r>
    </w:p>
    <w:p w14:paraId="45FECCB8" w14:textId="3672ACC0" w:rsidR="00324670" w:rsidRPr="00EC2648" w:rsidRDefault="025162F0" w:rsidP="4C8ACF36">
      <w:pPr>
        <w:spacing w:before="176"/>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7A56D1" w:rsidRPr="00EC2648">
        <w:rPr>
          <w:rFonts w:ascii="Times New Roman" w:eastAsia="Times New Roman" w:hAnsi="Times New Roman" w:cs="Times New Roman"/>
          <w:b/>
          <w:bCs/>
          <w:color w:val="000000" w:themeColor="text1"/>
        </w:rPr>
        <w:t>[</w:t>
      </w:r>
      <w:r w:rsidR="00164CDF" w:rsidRPr="00EC2648">
        <w:rPr>
          <w:rFonts w:ascii="Times New Roman" w:eastAsia="Times New Roman" w:hAnsi="Times New Roman" w:cs="Times New Roman"/>
          <w:b/>
          <w:bCs/>
          <w:color w:val="000000" w:themeColor="text1"/>
        </w:rPr>
        <w:t>8</w:t>
      </w:r>
      <w:r w:rsidR="007A56D1"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434AAD" w:rsidRPr="00EC2648">
        <w:rPr>
          <w:rFonts w:ascii="Times New Roman" w:eastAsia="Times New Roman" w:hAnsi="Times New Roman" w:cs="Times New Roman"/>
          <w:b/>
          <w:bCs/>
          <w:color w:val="000000" w:themeColor="text1"/>
        </w:rPr>
        <w:t>Paragraph</w:t>
      </w:r>
      <w:r w:rsidRPr="00EC2648">
        <w:rPr>
          <w:rFonts w:ascii="Times New Roman" w:eastAsia="Times New Roman" w:hAnsi="Times New Roman" w:cs="Times New Roman"/>
          <w:b/>
          <w:bCs/>
          <w:color w:val="000000" w:themeColor="text1"/>
        </w:rPr>
        <w:t xml:space="preserve"> 692</w:t>
      </w:r>
      <w:r w:rsidR="00434AAD" w:rsidRPr="00EC2648">
        <w:rPr>
          <w:rFonts w:ascii="Times New Roman" w:eastAsia="Times New Roman" w:hAnsi="Times New Roman" w:cs="Times New Roman"/>
          <w:b/>
          <w:bCs/>
          <w:color w:val="000000" w:themeColor="text1"/>
        </w:rPr>
        <w:t>(1)(b)</w:t>
      </w:r>
    </w:p>
    <w:p w14:paraId="2E6ECD03" w14:textId="2B208261"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omits the word </w:t>
      </w:r>
      <w:r w:rsidR="00445E0D"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apply</w:t>
      </w:r>
      <w:r w:rsidR="00445E0D"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 in paragraph (b) of regulation 692 and </w:t>
      </w:r>
      <w:r w:rsidR="00C85FBD" w:rsidRPr="00EC2648">
        <w:rPr>
          <w:rFonts w:ascii="Times New Roman" w:eastAsia="Times New Roman" w:hAnsi="Times New Roman" w:cs="Times New Roman"/>
          <w:color w:val="000000" w:themeColor="text1"/>
        </w:rPr>
        <w:t>substitutes</w:t>
      </w:r>
      <w:r w:rsidR="007E7D53" w:rsidRPr="00EC2648">
        <w:rPr>
          <w:rFonts w:ascii="Times New Roman" w:eastAsia="Times New Roman" w:hAnsi="Times New Roman" w:cs="Times New Roman"/>
          <w:color w:val="000000" w:themeColor="text1"/>
        </w:rPr>
        <w:t xml:space="preserve"> it with</w:t>
      </w:r>
      <w:r w:rsidR="00C85FBD" w:rsidRPr="00EC2648">
        <w:rPr>
          <w:rFonts w:ascii="Times New Roman" w:eastAsia="Times New Roman" w:hAnsi="Times New Roman" w:cs="Times New Roman"/>
          <w:color w:val="000000" w:themeColor="text1"/>
        </w:rPr>
        <w:t xml:space="preserve"> </w:t>
      </w:r>
      <w:r w:rsidRPr="00EC2648">
        <w:rPr>
          <w:rFonts w:ascii="Times New Roman" w:eastAsia="Times New Roman" w:hAnsi="Times New Roman" w:cs="Times New Roman"/>
          <w:color w:val="000000" w:themeColor="text1"/>
        </w:rPr>
        <w:t xml:space="preserve">the phrase </w:t>
      </w:r>
      <w:r w:rsidR="001E6467"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apply, if applicable;</w:t>
      </w:r>
      <w:r w:rsidR="001E6467"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w:t>
      </w:r>
    </w:p>
    <w:p w14:paraId="55181CA1" w14:textId="77777777" w:rsidR="00C21B70" w:rsidRPr="00EC2648" w:rsidRDefault="00C21B70" w:rsidP="00C333DE">
      <w:pPr>
        <w:pStyle w:val="ListParagraph"/>
        <w:spacing w:after="0" w:line="257" w:lineRule="auto"/>
        <w:ind w:left="360"/>
        <w:rPr>
          <w:rFonts w:ascii="Times New Roman" w:eastAsia="Times New Roman" w:hAnsi="Times New Roman" w:cs="Times New Roman"/>
          <w:color w:val="000000" w:themeColor="text1"/>
        </w:rPr>
      </w:pPr>
    </w:p>
    <w:p w14:paraId="226BB7FF" w14:textId="685A0D33" w:rsidR="00324670" w:rsidRPr="00EC2648" w:rsidRDefault="025162F0" w:rsidP="4C8ACF36">
      <w:pPr>
        <w:spacing w:before="12"/>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7A56D1" w:rsidRPr="00EC2648">
        <w:rPr>
          <w:rFonts w:ascii="Times New Roman" w:eastAsia="Times New Roman" w:hAnsi="Times New Roman" w:cs="Times New Roman"/>
          <w:b/>
          <w:bCs/>
          <w:color w:val="000000" w:themeColor="text1"/>
        </w:rPr>
        <w:t>[</w:t>
      </w:r>
      <w:r w:rsidR="00164CDF" w:rsidRPr="00EC2648">
        <w:rPr>
          <w:rFonts w:ascii="Times New Roman" w:eastAsia="Times New Roman" w:hAnsi="Times New Roman" w:cs="Times New Roman"/>
          <w:b/>
          <w:bCs/>
          <w:color w:val="000000" w:themeColor="text1"/>
        </w:rPr>
        <w:t>9</w:t>
      </w:r>
      <w:r w:rsidR="007A56D1"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434AAD" w:rsidRPr="00EC2648">
        <w:rPr>
          <w:rFonts w:ascii="Times New Roman" w:eastAsia="Times New Roman" w:hAnsi="Times New Roman" w:cs="Times New Roman"/>
          <w:b/>
          <w:bCs/>
          <w:color w:val="000000" w:themeColor="text1"/>
        </w:rPr>
        <w:t>Re</w:t>
      </w:r>
      <w:r w:rsidRPr="00EC2648">
        <w:rPr>
          <w:rFonts w:ascii="Times New Roman" w:eastAsia="Times New Roman" w:hAnsi="Times New Roman" w:cs="Times New Roman"/>
          <w:b/>
          <w:bCs/>
          <w:color w:val="000000" w:themeColor="text1"/>
        </w:rPr>
        <w:t>gulation 694</w:t>
      </w:r>
    </w:p>
    <w:p w14:paraId="7BC0960C" w14:textId="5C181665" w:rsidR="00164CDF" w:rsidRPr="00EC2648" w:rsidRDefault="00164CDF" w:rsidP="00164CDF">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would repeal </w:t>
      </w:r>
      <w:r w:rsidR="006229C2">
        <w:rPr>
          <w:rFonts w:ascii="Times New Roman" w:eastAsia="Times New Roman" w:hAnsi="Times New Roman" w:cs="Times New Roman"/>
          <w:color w:val="000000" w:themeColor="text1"/>
        </w:rPr>
        <w:t xml:space="preserve">and substitute </w:t>
      </w:r>
      <w:r w:rsidRPr="00EC2648">
        <w:rPr>
          <w:rFonts w:ascii="Times New Roman" w:eastAsia="Times New Roman" w:hAnsi="Times New Roman" w:cs="Times New Roman"/>
          <w:color w:val="000000" w:themeColor="text1"/>
        </w:rPr>
        <w:t xml:space="preserve">current regulation 694. The substantive changes are to omit the phrase ‘—each person (other than persons to whom regulation 695 applies)’ and insert the phrase “and the exemption does not exempt a class of persons—each person”. This amendment corrects an error in the Principal Regulations which reference regulation 695, which has not been adopted in the Commonwealth jurisdiction. </w:t>
      </w:r>
    </w:p>
    <w:p w14:paraId="5D8FE4D3" w14:textId="77777777" w:rsidR="00164CDF" w:rsidRPr="00EC2648" w:rsidRDefault="00164CDF" w:rsidP="00174717">
      <w:pPr>
        <w:pStyle w:val="ListParagraph"/>
        <w:spacing w:after="0" w:line="257" w:lineRule="auto"/>
        <w:ind w:left="360"/>
        <w:rPr>
          <w:rFonts w:ascii="Times New Roman" w:eastAsia="Times New Roman" w:hAnsi="Times New Roman" w:cs="Times New Roman"/>
          <w:color w:val="000000" w:themeColor="text1"/>
        </w:rPr>
      </w:pPr>
    </w:p>
    <w:p w14:paraId="264957E7" w14:textId="77777777" w:rsidR="00164CDF" w:rsidRPr="00EC2648" w:rsidRDefault="00164CDF" w:rsidP="00164CDF">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would also add new subregulation 694(2).</w:t>
      </w:r>
    </w:p>
    <w:p w14:paraId="2CEA9297" w14:textId="77777777" w:rsidR="00164CDF" w:rsidRPr="00EC2648" w:rsidRDefault="00164CDF" w:rsidP="00174717">
      <w:pPr>
        <w:pStyle w:val="ListParagraph"/>
        <w:rPr>
          <w:rFonts w:ascii="Times New Roman" w:eastAsia="Times New Roman" w:hAnsi="Times New Roman" w:cs="Times New Roman"/>
          <w:color w:val="000000" w:themeColor="text1"/>
        </w:rPr>
      </w:pPr>
    </w:p>
    <w:p w14:paraId="56C8D809" w14:textId="77777777" w:rsidR="006229C2" w:rsidRDefault="00164CDF" w:rsidP="006229C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Subregulation 694(2) would provide that if the regulator grants an exemption under subregulation 689A(1), the regulator must notify each corresponding regulator that the exemption is granted. This is appropriate given the exemptions operate in each corresponding WHS jurisdiction. The reasons for the decision must be published on the regulator’s website within 14 days after the day the exemption is granted. </w:t>
      </w:r>
    </w:p>
    <w:p w14:paraId="7214C601" w14:textId="77777777" w:rsidR="006229C2" w:rsidRPr="006229C2" w:rsidRDefault="006229C2" w:rsidP="006229C2">
      <w:pPr>
        <w:pStyle w:val="ListParagraph"/>
        <w:rPr>
          <w:rFonts w:ascii="Times New Roman" w:eastAsia="Times New Roman" w:hAnsi="Times New Roman" w:cs="Times New Roman"/>
          <w:color w:val="000000" w:themeColor="text1"/>
        </w:rPr>
      </w:pPr>
    </w:p>
    <w:p w14:paraId="5DFA6DEE" w14:textId="2BD19D01" w:rsidR="006229C2" w:rsidRPr="006229C2" w:rsidDel="005A788C" w:rsidRDefault="006229C2" w:rsidP="006229C2">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6229C2">
        <w:rPr>
          <w:rFonts w:ascii="Times New Roman" w:eastAsia="Times New Roman" w:hAnsi="Times New Roman" w:cs="Times New Roman"/>
          <w:color w:val="000000" w:themeColor="text1"/>
        </w:rPr>
        <w:t xml:space="preserve">The </w:t>
      </w:r>
      <w:r w:rsidRPr="006229C2">
        <w:rPr>
          <w:rFonts w:ascii="Times New Roman" w:eastAsia="Times New Roman" w:hAnsi="Times New Roman" w:cs="Times New Roman"/>
        </w:rPr>
        <w:t>note in regulation 694 would state that exemptions referred to in paragraph (b) are legislative instruments, see the Federal Register of Legislation website</w:t>
      </w:r>
      <w:r w:rsidRPr="006229C2">
        <w:rPr>
          <w:rStyle w:val="Hyperlink"/>
          <w:rFonts w:ascii="Times New Roman" w:eastAsia="Times New Roman" w:hAnsi="Times New Roman" w:cs="Times New Roman"/>
        </w:rPr>
        <w:t>.</w:t>
      </w:r>
      <w:r w:rsidRPr="006229C2">
        <w:rPr>
          <w:rFonts w:ascii="Times New Roman" w:eastAsia="Times New Roman" w:hAnsi="Times New Roman" w:cs="Times New Roman"/>
        </w:rPr>
        <w:t xml:space="preserve"> It would also note that all exemptions could, in 2024, be viewed on the Safe Work Australia website.</w:t>
      </w:r>
    </w:p>
    <w:p w14:paraId="57B2026D" w14:textId="6CD11C6A" w:rsidR="00324670" w:rsidRPr="00EC2648" w:rsidRDefault="025162F0" w:rsidP="4C8ACF36">
      <w:pPr>
        <w:spacing w:before="177"/>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lastRenderedPageBreak/>
        <w:t xml:space="preserve">Item </w:t>
      </w:r>
      <w:r w:rsidR="006A172C" w:rsidRPr="00EC2648">
        <w:rPr>
          <w:rFonts w:ascii="Times New Roman" w:eastAsia="Times New Roman" w:hAnsi="Times New Roman" w:cs="Times New Roman"/>
          <w:b/>
          <w:bCs/>
          <w:color w:val="000000" w:themeColor="text1"/>
        </w:rPr>
        <w:t>[</w:t>
      </w:r>
      <w:r w:rsidR="012388AB" w:rsidRPr="00EC2648">
        <w:rPr>
          <w:rFonts w:ascii="Times New Roman" w:eastAsia="Times New Roman" w:hAnsi="Times New Roman" w:cs="Times New Roman"/>
          <w:b/>
          <w:bCs/>
          <w:color w:val="000000" w:themeColor="text1"/>
        </w:rPr>
        <w:t>1</w:t>
      </w:r>
      <w:r w:rsidR="00164CDF" w:rsidRPr="00EC2648">
        <w:rPr>
          <w:rFonts w:ascii="Times New Roman" w:eastAsia="Times New Roman" w:hAnsi="Times New Roman" w:cs="Times New Roman"/>
          <w:b/>
          <w:bCs/>
          <w:color w:val="000000" w:themeColor="text1"/>
        </w:rPr>
        <w:t>0</w:t>
      </w:r>
      <w:r w:rsidR="006A172C"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0133FB" w:rsidRPr="00EC2648">
        <w:rPr>
          <w:rFonts w:ascii="Times New Roman" w:eastAsia="Times New Roman" w:hAnsi="Times New Roman" w:cs="Times New Roman"/>
          <w:b/>
          <w:bCs/>
          <w:color w:val="000000" w:themeColor="text1"/>
        </w:rPr>
        <w:t>Paragraph</w:t>
      </w:r>
      <w:r w:rsidRPr="00EC2648">
        <w:rPr>
          <w:rFonts w:ascii="Times New Roman" w:eastAsia="Times New Roman" w:hAnsi="Times New Roman" w:cs="Times New Roman"/>
          <w:b/>
          <w:bCs/>
          <w:color w:val="000000" w:themeColor="text1"/>
        </w:rPr>
        <w:t xml:space="preserve"> 698</w:t>
      </w:r>
      <w:r w:rsidR="000133FB" w:rsidRPr="00EC2648">
        <w:rPr>
          <w:rFonts w:ascii="Times New Roman" w:eastAsia="Times New Roman" w:hAnsi="Times New Roman" w:cs="Times New Roman"/>
          <w:b/>
          <w:bCs/>
          <w:color w:val="000000" w:themeColor="text1"/>
        </w:rPr>
        <w:t>(1)(b)</w:t>
      </w:r>
    </w:p>
    <w:p w14:paraId="344F6B27" w14:textId="6A3F2124"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amends paragraph 698(1)(b) to omit the phrase </w:t>
      </w:r>
      <w:r w:rsidR="72BF21C9"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to </w:t>
      </w:r>
      <w:r w:rsidR="19B116AD" w:rsidRPr="00EC2648">
        <w:rPr>
          <w:rFonts w:ascii="Times New Roman" w:eastAsia="Times New Roman" w:hAnsi="Times New Roman" w:cs="Times New Roman"/>
          <w:color w:val="000000" w:themeColor="text1"/>
        </w:rPr>
        <w:t>subregulation</w:t>
      </w:r>
      <w:r w:rsidR="00350B2F" w:rsidRPr="00EC2648">
        <w:rPr>
          <w:rFonts w:ascii="Times New Roman" w:eastAsia="Times New Roman" w:hAnsi="Times New Roman" w:cs="Times New Roman"/>
          <w:color w:val="000000" w:themeColor="text1"/>
        </w:rPr>
        <w:t xml:space="preserve"> (2)</w:t>
      </w:r>
      <w:r w:rsidRPr="00EC2648">
        <w:rPr>
          <w:rFonts w:ascii="Times New Roman" w:eastAsia="Times New Roman" w:hAnsi="Times New Roman" w:cs="Times New Roman"/>
          <w:color w:val="000000" w:themeColor="text1"/>
        </w:rPr>
        <w:t xml:space="preserve">' and insert the phrase </w:t>
      </w:r>
      <w:r w:rsidR="006A172C"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 xml:space="preserve">to whom </w:t>
      </w:r>
      <w:r w:rsidR="19B116AD" w:rsidRPr="00EC2648">
        <w:rPr>
          <w:rFonts w:ascii="Times New Roman" w:eastAsia="Times New Roman" w:hAnsi="Times New Roman" w:cs="Times New Roman"/>
          <w:color w:val="000000" w:themeColor="text1"/>
        </w:rPr>
        <w:t>subregulation</w:t>
      </w:r>
      <w:r w:rsidR="000133FB" w:rsidRPr="00EC2648">
        <w:rPr>
          <w:rFonts w:ascii="Times New Roman" w:eastAsia="Times New Roman" w:hAnsi="Times New Roman" w:cs="Times New Roman"/>
          <w:color w:val="000000" w:themeColor="text1"/>
        </w:rPr>
        <w:t xml:space="preserve"> (2)</w:t>
      </w:r>
      <w:r w:rsidR="006A172C" w:rsidRPr="00EC2648">
        <w:rPr>
          <w:rFonts w:ascii="Times New Roman" w:eastAsia="Times New Roman" w:hAnsi="Times New Roman" w:cs="Times New Roman"/>
          <w:color w:val="000000" w:themeColor="text1"/>
        </w:rPr>
        <w:t>’</w:t>
      </w:r>
      <w:r w:rsidRPr="00EC2648">
        <w:rPr>
          <w:rFonts w:ascii="Times New Roman" w:eastAsia="Times New Roman" w:hAnsi="Times New Roman" w:cs="Times New Roman"/>
          <w:color w:val="000000" w:themeColor="text1"/>
        </w:rPr>
        <w:t>.</w:t>
      </w:r>
      <w:r w:rsidR="00203C78" w:rsidRPr="00EC2648">
        <w:rPr>
          <w:rFonts w:ascii="Times New Roman" w:eastAsia="Times New Roman" w:hAnsi="Times New Roman" w:cs="Times New Roman"/>
          <w:color w:val="000000" w:themeColor="text1"/>
        </w:rPr>
        <w:t xml:space="preserve"> It would correct an existing error in the Principal Regulations.</w:t>
      </w:r>
    </w:p>
    <w:p w14:paraId="7010BABD" w14:textId="2D3C0C50" w:rsidR="789FF643" w:rsidRPr="00EC2648" w:rsidRDefault="789FF643" w:rsidP="4C8ACF36">
      <w:pPr>
        <w:spacing w:before="162"/>
        <w:ind w:right="216"/>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6A172C"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1</w:t>
      </w:r>
      <w:r w:rsidR="00164CDF" w:rsidRPr="00EC2648">
        <w:rPr>
          <w:rFonts w:ascii="Times New Roman" w:eastAsia="Times New Roman" w:hAnsi="Times New Roman" w:cs="Times New Roman"/>
          <w:b/>
          <w:bCs/>
          <w:color w:val="000000" w:themeColor="text1"/>
        </w:rPr>
        <w:t>1</w:t>
      </w:r>
      <w:r w:rsidR="006A172C"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AB565B" w:rsidRPr="00EC2648">
        <w:rPr>
          <w:rFonts w:ascii="Times New Roman" w:eastAsia="Times New Roman" w:hAnsi="Times New Roman" w:cs="Times New Roman"/>
          <w:b/>
          <w:bCs/>
          <w:color w:val="000000" w:themeColor="text1"/>
        </w:rPr>
        <w:t xml:space="preserve">Subregulation </w:t>
      </w:r>
      <w:r w:rsidRPr="00EC2648">
        <w:rPr>
          <w:rFonts w:ascii="Times New Roman" w:eastAsia="Times New Roman" w:hAnsi="Times New Roman" w:cs="Times New Roman"/>
          <w:b/>
          <w:bCs/>
          <w:color w:val="000000" w:themeColor="text1"/>
        </w:rPr>
        <w:t>698(2)</w:t>
      </w:r>
    </w:p>
    <w:p w14:paraId="530EF14A" w14:textId="2381029C" w:rsidR="789FF643" w:rsidRPr="00EC2648" w:rsidRDefault="789FF643"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amends </w:t>
      </w:r>
      <w:r w:rsidR="00767874" w:rsidRPr="00EC2648">
        <w:rPr>
          <w:rFonts w:ascii="Times New Roman" w:eastAsia="Times New Roman" w:hAnsi="Times New Roman" w:cs="Times New Roman"/>
          <w:color w:val="000000" w:themeColor="text1"/>
        </w:rPr>
        <w:t xml:space="preserve">subregulation </w:t>
      </w:r>
      <w:r w:rsidRPr="00EC2648">
        <w:rPr>
          <w:rFonts w:ascii="Times New Roman" w:eastAsia="Times New Roman" w:hAnsi="Times New Roman" w:cs="Times New Roman"/>
          <w:color w:val="000000" w:themeColor="text1"/>
        </w:rPr>
        <w:t xml:space="preserve">698(2) to </w:t>
      </w:r>
      <w:r w:rsidR="002F15ED" w:rsidRPr="00EC2648">
        <w:rPr>
          <w:rFonts w:ascii="Times New Roman" w:eastAsia="Times New Roman" w:hAnsi="Times New Roman" w:cs="Times New Roman"/>
          <w:color w:val="000000" w:themeColor="text1"/>
        </w:rPr>
        <w:t xml:space="preserve">insert the phrase ‘or is granted under </w:t>
      </w:r>
      <w:r w:rsidR="00767874" w:rsidRPr="00EC2648">
        <w:rPr>
          <w:rFonts w:ascii="Times New Roman" w:eastAsia="Times New Roman" w:hAnsi="Times New Roman" w:cs="Times New Roman"/>
          <w:color w:val="000000" w:themeColor="text1"/>
        </w:rPr>
        <w:t>su</w:t>
      </w:r>
      <w:r w:rsidR="006229C2">
        <w:rPr>
          <w:rFonts w:ascii="Times New Roman" w:eastAsia="Times New Roman" w:hAnsi="Times New Roman" w:cs="Times New Roman"/>
          <w:color w:val="000000" w:themeColor="text1"/>
        </w:rPr>
        <w:t>b</w:t>
      </w:r>
      <w:r w:rsidR="002F15ED" w:rsidRPr="00EC2648">
        <w:rPr>
          <w:rFonts w:ascii="Times New Roman" w:eastAsia="Times New Roman" w:hAnsi="Times New Roman" w:cs="Times New Roman"/>
          <w:color w:val="000000" w:themeColor="text1"/>
        </w:rPr>
        <w:t>regulation 689A(1)’. An exemption for a type of engineered stone would be a legislative instrument.</w:t>
      </w:r>
    </w:p>
    <w:p w14:paraId="6A4985B0" w14:textId="6FD81B24" w:rsidR="00324670" w:rsidRPr="00EC2648" w:rsidRDefault="025162F0" w:rsidP="358883A3">
      <w:pPr>
        <w:spacing w:before="18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1643A6" w:rsidRPr="00EC2648">
        <w:rPr>
          <w:rFonts w:ascii="Times New Roman" w:eastAsia="Times New Roman" w:hAnsi="Times New Roman" w:cs="Times New Roman"/>
          <w:b/>
          <w:bCs/>
          <w:color w:val="000000" w:themeColor="text1"/>
        </w:rPr>
        <w:t>[</w:t>
      </w:r>
      <w:r w:rsidR="4388DB22" w:rsidRPr="00EC2648">
        <w:rPr>
          <w:rFonts w:ascii="Times New Roman" w:eastAsia="Times New Roman" w:hAnsi="Times New Roman" w:cs="Times New Roman"/>
          <w:b/>
          <w:bCs/>
          <w:color w:val="000000" w:themeColor="text1"/>
        </w:rPr>
        <w:t>1</w:t>
      </w:r>
      <w:r w:rsidR="00164CDF" w:rsidRPr="00EC2648">
        <w:rPr>
          <w:rFonts w:ascii="Times New Roman" w:eastAsia="Times New Roman" w:hAnsi="Times New Roman" w:cs="Times New Roman"/>
          <w:b/>
          <w:bCs/>
          <w:color w:val="000000" w:themeColor="text1"/>
        </w:rPr>
        <w:t>2</w:t>
      </w:r>
      <w:r w:rsidR="001643A6" w:rsidRPr="00EC2648">
        <w:rPr>
          <w:rFonts w:ascii="Times New Roman" w:eastAsia="Times New Roman" w:hAnsi="Times New Roman" w:cs="Times New Roman"/>
          <w:b/>
          <w:bCs/>
          <w:color w:val="000000" w:themeColor="text1"/>
        </w:rPr>
        <w:t>]</w:t>
      </w:r>
      <w:r w:rsidR="4388DB22" w:rsidRPr="00EC2648">
        <w:rPr>
          <w:rFonts w:ascii="Times New Roman" w:eastAsia="Times New Roman" w:hAnsi="Times New Roman" w:cs="Times New Roman"/>
          <w:b/>
          <w:bCs/>
          <w:color w:val="000000" w:themeColor="text1"/>
        </w:rPr>
        <w:t xml:space="preserve"> </w:t>
      </w:r>
      <w:r w:rsidR="003C6472" w:rsidRPr="00EC2648">
        <w:rPr>
          <w:rFonts w:ascii="Times New Roman" w:eastAsia="Times New Roman" w:hAnsi="Times New Roman" w:cs="Times New Roman"/>
          <w:b/>
          <w:bCs/>
          <w:color w:val="000000" w:themeColor="text1"/>
        </w:rPr>
        <w:t>After</w:t>
      </w:r>
      <w:r w:rsidR="00F61128" w:rsidRPr="00EC2648">
        <w:rPr>
          <w:rFonts w:ascii="Times New Roman" w:eastAsia="Times New Roman" w:hAnsi="Times New Roman" w:cs="Times New Roman"/>
          <w:b/>
          <w:bCs/>
          <w:color w:val="000000" w:themeColor="text1"/>
        </w:rPr>
        <w:t xml:space="preserve"> Part 5 of Chapter </w:t>
      </w:r>
      <w:r w:rsidR="0096764B" w:rsidRPr="00EC2648">
        <w:rPr>
          <w:rFonts w:ascii="Times New Roman" w:eastAsia="Times New Roman" w:hAnsi="Times New Roman" w:cs="Times New Roman"/>
          <w:b/>
          <w:bCs/>
          <w:color w:val="000000" w:themeColor="text1"/>
        </w:rPr>
        <w:t>12</w:t>
      </w:r>
    </w:p>
    <w:p w14:paraId="119E2079" w14:textId="6F731C38" w:rsidR="00817E59" w:rsidRPr="00EC2648" w:rsidRDefault="00817E59"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inserts new Part 8A – Engineered stone, porcelain products and sintered stone into Chapter 12 of the Principal Regulations, which set out transitional arrangements for various parts. Part 8A makes transitional arrangements relating to Chapter 8A. </w:t>
      </w:r>
      <w:r w:rsidR="000651C5" w:rsidRPr="00EC2648">
        <w:rPr>
          <w:rFonts w:ascii="Times New Roman" w:eastAsia="Times New Roman" w:hAnsi="Times New Roman" w:cs="Times New Roman"/>
          <w:color w:val="000000" w:themeColor="text1"/>
        </w:rPr>
        <w:t>The note clarifies</w:t>
      </w:r>
      <w:r w:rsidRPr="00EC2648">
        <w:rPr>
          <w:rFonts w:ascii="Times New Roman" w:eastAsia="Times New Roman" w:hAnsi="Times New Roman" w:cs="Times New Roman"/>
          <w:color w:val="000000" w:themeColor="text1"/>
        </w:rPr>
        <w:t xml:space="preserve"> that the numbering of these Divisions and Subdivisions match the Parts and Divisions of Chapter 8A.</w:t>
      </w:r>
    </w:p>
    <w:p w14:paraId="31F9489A" w14:textId="77777777" w:rsidR="00115CA1" w:rsidRPr="00EC2648" w:rsidRDefault="00115CA1" w:rsidP="00115CA1">
      <w:pPr>
        <w:spacing w:before="240" w:after="0"/>
        <w:ind w:left="1134" w:hanging="1134"/>
        <w:rPr>
          <w:rFonts w:ascii="Times New Roman" w:eastAsia="Times New Roman" w:hAnsi="Times New Roman" w:cs="Times New Roman"/>
          <w:b/>
          <w:bCs/>
        </w:rPr>
      </w:pPr>
      <w:r w:rsidRPr="00EC2648">
        <w:rPr>
          <w:rFonts w:ascii="Times New Roman" w:eastAsia="Times New Roman" w:hAnsi="Times New Roman" w:cs="Times New Roman"/>
          <w:b/>
          <w:bCs/>
        </w:rPr>
        <w:t>Division 8A.2—Work involving engineered stone benchtops, panels or slabs</w:t>
      </w:r>
    </w:p>
    <w:p w14:paraId="149F2384" w14:textId="274DECF2" w:rsidR="00115CA1" w:rsidRPr="00EC2648" w:rsidRDefault="0057183F" w:rsidP="67939FCF">
      <w:pPr>
        <w:spacing w:before="178" w:after="240" w:line="276" w:lineRule="auto"/>
        <w:rPr>
          <w:rFonts w:ascii="Times New Roman" w:eastAsia="Times New Roman" w:hAnsi="Times New Roman" w:cs="Times New Roman"/>
        </w:rPr>
      </w:pPr>
      <w:r w:rsidRPr="00EC2648">
        <w:rPr>
          <w:rFonts w:ascii="Times New Roman" w:eastAsia="Times New Roman" w:hAnsi="Times New Roman" w:cs="Times New Roman"/>
          <w:b/>
        </w:rPr>
        <w:t>698A</w:t>
      </w:r>
      <w:r w:rsidR="00205E6E" w:rsidRPr="00EC2648">
        <w:rPr>
          <w:rFonts w:ascii="Times New Roman" w:eastAsia="Times New Roman" w:hAnsi="Times New Roman" w:cs="Times New Roman"/>
          <w:b/>
        </w:rPr>
        <w:t xml:space="preserve"> </w:t>
      </w:r>
      <w:r w:rsidR="00115CA1" w:rsidRPr="00EC2648">
        <w:rPr>
          <w:rFonts w:ascii="Times New Roman" w:eastAsia="Times New Roman" w:hAnsi="Times New Roman" w:cs="Times New Roman"/>
          <w:b/>
        </w:rPr>
        <w:t>Particular work involving engineered stone – exception if carried out under pre-2024 contract</w:t>
      </w:r>
      <w:r w:rsidR="00115CA1" w:rsidRPr="00EC2648">
        <w:rPr>
          <w:rFonts w:ascii="Times New Roman" w:eastAsia="Times New Roman" w:hAnsi="Times New Roman" w:cs="Times New Roman"/>
        </w:rPr>
        <w:t xml:space="preserve"> </w:t>
      </w:r>
    </w:p>
    <w:p w14:paraId="55C1CF7E" w14:textId="623552C4" w:rsidR="00E33E5C" w:rsidRPr="00EC2648" w:rsidRDefault="00E33E5C"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 698</w:t>
      </w:r>
      <w:r w:rsidR="002149E4" w:rsidRPr="00EC2648">
        <w:rPr>
          <w:rFonts w:ascii="Times New Roman" w:eastAsia="Times New Roman" w:hAnsi="Times New Roman" w:cs="Times New Roman"/>
          <w:color w:val="000000" w:themeColor="text1"/>
        </w:rPr>
        <w:t>A</w:t>
      </w:r>
      <w:r w:rsidRPr="00EC2648">
        <w:rPr>
          <w:rFonts w:ascii="Times New Roman" w:eastAsia="Times New Roman" w:hAnsi="Times New Roman" w:cs="Times New Roman"/>
          <w:color w:val="000000" w:themeColor="text1"/>
        </w:rPr>
        <w:t>(1) provide</w:t>
      </w:r>
      <w:r w:rsidR="00F16541"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that, for a transitional period until 31 December 2024, regulation 529D does not apply to work that involves installing engineered stone benchtops, panels or slabs if the work is carried out under a contract originally entered into on or before 31 December 2023, and the work is carried out in a jurisdiction which has </w:t>
      </w:r>
      <w:r w:rsidR="00B80274" w:rsidRPr="00EC2648">
        <w:rPr>
          <w:rFonts w:ascii="Times New Roman" w:eastAsia="Times New Roman" w:hAnsi="Times New Roman" w:cs="Times New Roman"/>
          <w:color w:val="000000" w:themeColor="text1"/>
        </w:rPr>
        <w:t xml:space="preserve">also </w:t>
      </w:r>
      <w:r w:rsidRPr="00EC2648">
        <w:rPr>
          <w:rFonts w:ascii="Times New Roman" w:eastAsia="Times New Roman" w:hAnsi="Times New Roman" w:cs="Times New Roman"/>
          <w:color w:val="000000" w:themeColor="text1"/>
        </w:rPr>
        <w:t xml:space="preserve">put </w:t>
      </w:r>
      <w:r w:rsidR="00FB0D63" w:rsidRPr="00EC2648">
        <w:rPr>
          <w:rFonts w:ascii="Times New Roman" w:eastAsia="Times New Roman" w:hAnsi="Times New Roman" w:cs="Times New Roman"/>
          <w:color w:val="000000" w:themeColor="text1"/>
        </w:rPr>
        <w:t xml:space="preserve">corresponding </w:t>
      </w:r>
      <w:r w:rsidRPr="00EC2648">
        <w:rPr>
          <w:rFonts w:ascii="Times New Roman" w:eastAsia="Times New Roman" w:hAnsi="Times New Roman" w:cs="Times New Roman"/>
          <w:color w:val="000000" w:themeColor="text1"/>
        </w:rPr>
        <w:t>transitional provisions in place. The effect of this section would be to ‘mirror’ state and territory arrangements so, for example, work undertaken by a non-Commonwealth licensee is permitted in a jurisdiction which will allow work for state based PCBUs under transitional arrangements. In jurisdictions which do not provide for transitional arrangements, non-Commonwealth licensees will not be allowed to perform prohibited work. </w:t>
      </w:r>
    </w:p>
    <w:p w14:paraId="25944956" w14:textId="77777777" w:rsidR="00E33E5C" w:rsidRPr="00EC2648" w:rsidRDefault="00E33E5C" w:rsidP="00C333DE">
      <w:pPr>
        <w:pStyle w:val="ListParagraph"/>
        <w:spacing w:after="0" w:line="257" w:lineRule="auto"/>
        <w:ind w:left="360"/>
        <w:rPr>
          <w:rFonts w:ascii="Times New Roman" w:eastAsia="Times New Roman" w:hAnsi="Times New Roman" w:cs="Times New Roman"/>
          <w:color w:val="000000" w:themeColor="text1"/>
        </w:rPr>
      </w:pPr>
    </w:p>
    <w:p w14:paraId="074203BF" w14:textId="360D4368" w:rsidR="00E33E5C" w:rsidRPr="00EC2648" w:rsidRDefault="00E33E5C"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 698</w:t>
      </w:r>
      <w:r w:rsidR="000F1E82" w:rsidRPr="00EC2648">
        <w:rPr>
          <w:rFonts w:ascii="Times New Roman" w:eastAsia="Times New Roman" w:hAnsi="Times New Roman" w:cs="Times New Roman"/>
          <w:color w:val="000000" w:themeColor="text1"/>
        </w:rPr>
        <w:t>A</w:t>
      </w:r>
      <w:r w:rsidRPr="00EC2648">
        <w:rPr>
          <w:rFonts w:ascii="Times New Roman" w:eastAsia="Times New Roman" w:hAnsi="Times New Roman" w:cs="Times New Roman"/>
          <w:color w:val="000000" w:themeColor="text1"/>
        </w:rPr>
        <w:t>(2) permit</w:t>
      </w:r>
      <w:r w:rsidR="0020067C"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upstream activities such as supply and processing where the work involves supplying or processing products to be installed under a contract originally entered into on or before 31 December 2023</w:t>
      </w:r>
      <w:r w:rsidR="60E3EBFE" w:rsidRPr="00EC2648">
        <w:rPr>
          <w:rFonts w:ascii="Times New Roman" w:eastAsia="Times New Roman" w:hAnsi="Times New Roman" w:cs="Times New Roman"/>
          <w:color w:val="000000" w:themeColor="text1"/>
        </w:rPr>
        <w:t xml:space="preserve"> and other conditions are met</w:t>
      </w:r>
      <w:r w:rsidR="29E12CC2" w:rsidRPr="00EC2648">
        <w:rPr>
          <w:rFonts w:ascii="Times New Roman" w:eastAsia="Times New Roman" w:hAnsi="Times New Roman" w:cs="Times New Roman"/>
          <w:color w:val="000000" w:themeColor="text1"/>
        </w:rPr>
        <w:t>. For example</w:t>
      </w:r>
      <w:r w:rsidR="69EB77AA" w:rsidRPr="00EC2648">
        <w:rPr>
          <w:rFonts w:ascii="Times New Roman" w:eastAsia="Times New Roman" w:hAnsi="Times New Roman" w:cs="Times New Roman"/>
          <w:color w:val="000000" w:themeColor="text1"/>
        </w:rPr>
        <w:t>,</w:t>
      </w:r>
      <w:r w:rsidR="29E12CC2" w:rsidRPr="00EC2648">
        <w:rPr>
          <w:rFonts w:ascii="Times New Roman" w:eastAsia="Times New Roman" w:hAnsi="Times New Roman" w:cs="Times New Roman"/>
          <w:color w:val="000000" w:themeColor="text1"/>
        </w:rPr>
        <w:t xml:space="preserve"> a supplier could provide an engineered stone pro</w:t>
      </w:r>
      <w:r w:rsidR="4D05ADCF" w:rsidRPr="00EC2648">
        <w:rPr>
          <w:rFonts w:ascii="Times New Roman" w:eastAsia="Times New Roman" w:hAnsi="Times New Roman" w:cs="Times New Roman"/>
          <w:color w:val="000000" w:themeColor="text1"/>
        </w:rPr>
        <w:t>duct to a workplace for installation if the</w:t>
      </w:r>
      <w:r w:rsidR="26743C51" w:rsidRPr="00EC2648">
        <w:rPr>
          <w:rFonts w:ascii="Times New Roman" w:eastAsia="Times New Roman" w:hAnsi="Times New Roman" w:cs="Times New Roman"/>
          <w:color w:val="000000" w:themeColor="text1"/>
        </w:rPr>
        <w:t xml:space="preserve"> contract for </w:t>
      </w:r>
      <w:r w:rsidR="26743C51" w:rsidRPr="00EC2648">
        <w:rPr>
          <w:rFonts w:ascii="Times New Roman" w:eastAsia="Times New Roman" w:hAnsi="Times New Roman" w:cs="Times New Roman"/>
          <w:i/>
          <w:iCs/>
          <w:color w:val="000000" w:themeColor="text1"/>
        </w:rPr>
        <w:t>installation</w:t>
      </w:r>
      <w:r w:rsidR="26743C51" w:rsidRPr="00EC2648">
        <w:rPr>
          <w:rFonts w:ascii="Times New Roman" w:eastAsia="Times New Roman" w:hAnsi="Times New Roman" w:cs="Times New Roman"/>
          <w:color w:val="000000" w:themeColor="text1"/>
        </w:rPr>
        <w:t xml:space="preserve"> was entered into before 31 December 2023. </w:t>
      </w:r>
      <w:r w:rsidR="4FFAB582" w:rsidRPr="00EC2648">
        <w:rPr>
          <w:rFonts w:ascii="Times New Roman" w:eastAsia="Times New Roman" w:hAnsi="Times New Roman" w:cs="Times New Roman"/>
          <w:color w:val="000000" w:themeColor="text1"/>
        </w:rPr>
        <w:t>The o</w:t>
      </w:r>
      <w:r w:rsidR="117EF19B" w:rsidRPr="00EC2648">
        <w:rPr>
          <w:rFonts w:ascii="Times New Roman" w:eastAsia="Times New Roman" w:hAnsi="Times New Roman" w:cs="Times New Roman"/>
          <w:color w:val="000000" w:themeColor="text1"/>
        </w:rPr>
        <w:t xml:space="preserve">ther conditions are that </w:t>
      </w:r>
      <w:r w:rsidRPr="00EC2648">
        <w:rPr>
          <w:rFonts w:ascii="Times New Roman" w:eastAsia="Times New Roman" w:hAnsi="Times New Roman" w:cs="Times New Roman"/>
          <w:color w:val="000000" w:themeColor="text1"/>
        </w:rPr>
        <w:t>the work is carried out in a jurisdiction which has put transitional provisions in place</w:t>
      </w:r>
      <w:r w:rsidR="00702C35" w:rsidRPr="00EC2648">
        <w:rPr>
          <w:rFonts w:ascii="Times New Roman" w:eastAsia="Times New Roman" w:hAnsi="Times New Roman" w:cs="Times New Roman"/>
          <w:color w:val="000000" w:themeColor="text1"/>
        </w:rPr>
        <w:t xml:space="preserve"> </w:t>
      </w:r>
      <w:r w:rsidR="2BC3BA7A" w:rsidRPr="00EC2648">
        <w:rPr>
          <w:rFonts w:ascii="Times New Roman" w:eastAsia="Times New Roman" w:hAnsi="Times New Roman" w:cs="Times New Roman"/>
          <w:color w:val="000000" w:themeColor="text1"/>
        </w:rPr>
        <w:t xml:space="preserve">and the work is complete </w:t>
      </w:r>
      <w:r w:rsidR="00702C35" w:rsidRPr="00EC2648">
        <w:rPr>
          <w:rFonts w:ascii="Times New Roman" w:eastAsia="Times New Roman" w:hAnsi="Times New Roman" w:cs="Times New Roman"/>
          <w:color w:val="000000" w:themeColor="text1"/>
        </w:rPr>
        <w:t>on or before 31 December 2024</w:t>
      </w:r>
      <w:r w:rsidRPr="00EC2648">
        <w:rPr>
          <w:rFonts w:ascii="Times New Roman" w:eastAsia="Times New Roman" w:hAnsi="Times New Roman" w:cs="Times New Roman"/>
          <w:color w:val="000000" w:themeColor="text1"/>
        </w:rPr>
        <w:t xml:space="preserve">. Work involving processing </w:t>
      </w:r>
      <w:r w:rsidR="002F58E2" w:rsidRPr="00EC2648">
        <w:rPr>
          <w:rFonts w:ascii="Times New Roman" w:eastAsia="Times New Roman" w:hAnsi="Times New Roman" w:cs="Times New Roman"/>
          <w:color w:val="000000" w:themeColor="text1"/>
        </w:rPr>
        <w:t xml:space="preserve">will </w:t>
      </w:r>
      <w:r w:rsidRPr="00EC2648">
        <w:rPr>
          <w:rFonts w:ascii="Times New Roman" w:eastAsia="Times New Roman" w:hAnsi="Times New Roman" w:cs="Times New Roman"/>
          <w:color w:val="000000" w:themeColor="text1"/>
        </w:rPr>
        <w:t>only be exempt if the processing is controlled.  </w:t>
      </w:r>
    </w:p>
    <w:p w14:paraId="13FA7E44" w14:textId="77777777" w:rsidR="00E33E5C" w:rsidRPr="00EC2648" w:rsidRDefault="00E33E5C" w:rsidP="00C333DE">
      <w:pPr>
        <w:pStyle w:val="ListParagraph"/>
        <w:spacing w:after="0" w:line="257" w:lineRule="auto"/>
        <w:ind w:left="360"/>
        <w:rPr>
          <w:rFonts w:ascii="Times New Roman" w:eastAsia="Times New Roman" w:hAnsi="Times New Roman" w:cs="Times New Roman"/>
          <w:color w:val="000000" w:themeColor="text1"/>
        </w:rPr>
      </w:pPr>
    </w:p>
    <w:p w14:paraId="7CD76BB4" w14:textId="64F301CB" w:rsidR="006321DB" w:rsidRPr="00EC2648" w:rsidRDefault="00E33E5C" w:rsidP="00C333DE">
      <w:pPr>
        <w:pStyle w:val="ListParagraph"/>
        <w:numPr>
          <w:ilvl w:val="0"/>
          <w:numId w:val="16"/>
        </w:numPr>
        <w:spacing w:after="0" w:line="257" w:lineRule="auto"/>
        <w:ind w:left="360"/>
        <w:rPr>
          <w:rFonts w:ascii="Times New Roman" w:eastAsia="Times New Roman" w:hAnsi="Times New Roman" w:cs="Times New Roman"/>
          <w:color w:val="FF0000"/>
        </w:rPr>
      </w:pPr>
      <w:r w:rsidRPr="00EC2648">
        <w:rPr>
          <w:rFonts w:ascii="Times New Roman" w:eastAsia="Times New Roman" w:hAnsi="Times New Roman" w:cs="Times New Roman"/>
          <w:color w:val="000000" w:themeColor="text1"/>
        </w:rPr>
        <w:t>This approach is necessary because section 12 of the WHS Act provides that corresponding WHS laws do not apply to the Commonwealth, public authorities, and non-</w:t>
      </w:r>
      <w:r w:rsidRPr="00EC2648">
        <w:rPr>
          <w:rFonts w:ascii="Times New Roman" w:eastAsia="Times New Roman" w:hAnsi="Times New Roman" w:cs="Times New Roman"/>
          <w:color w:val="000000" w:themeColor="text1"/>
        </w:rPr>
        <w:lastRenderedPageBreak/>
        <w:t xml:space="preserve">Commonwealth licensees. This means that the state prohibitions do not apply to Commonwealth PCBUs, but these duty holders are involved in projects with state based PCBUs who may be subject to </w:t>
      </w:r>
      <w:r w:rsidR="007C78B3" w:rsidRPr="00EC2648">
        <w:rPr>
          <w:rFonts w:ascii="Times New Roman" w:eastAsia="Times New Roman" w:hAnsi="Times New Roman" w:cs="Times New Roman"/>
          <w:color w:val="000000" w:themeColor="text1"/>
        </w:rPr>
        <w:t xml:space="preserve">transitional </w:t>
      </w:r>
      <w:r w:rsidR="002D7179" w:rsidRPr="00EC2648">
        <w:rPr>
          <w:rFonts w:ascii="Times New Roman" w:eastAsia="Times New Roman" w:hAnsi="Times New Roman" w:cs="Times New Roman"/>
          <w:color w:val="000000" w:themeColor="text1"/>
        </w:rPr>
        <w:t>arrangements.</w:t>
      </w:r>
      <w:r w:rsidR="007C78B3" w:rsidRPr="00EC2648">
        <w:rPr>
          <w:rFonts w:ascii="Times New Roman" w:eastAsia="Times New Roman" w:hAnsi="Times New Roman" w:cs="Times New Roman"/>
          <w:color w:val="000000" w:themeColor="text1"/>
        </w:rPr>
        <w:t xml:space="preserve"> </w:t>
      </w:r>
      <w:r w:rsidRPr="00EC2648">
        <w:rPr>
          <w:rFonts w:ascii="Times New Roman" w:eastAsia="Times New Roman" w:hAnsi="Times New Roman" w:cs="Times New Roman"/>
          <w:color w:val="000000" w:themeColor="text1"/>
        </w:rPr>
        <w:t>Mirroring the arrangements in state and territory jurisdictions ensures that the ban will operate consistently across workplaces in a jurisdiction. </w:t>
      </w:r>
    </w:p>
    <w:p w14:paraId="67D99F1E" w14:textId="7387C452" w:rsidR="000B1A03" w:rsidRPr="00EC2648" w:rsidRDefault="000B1A03" w:rsidP="000B1A03">
      <w:pPr>
        <w:spacing w:before="178" w:after="240" w:line="276" w:lineRule="auto"/>
        <w:rPr>
          <w:rFonts w:ascii="Times New Roman" w:eastAsia="Times New Roman" w:hAnsi="Times New Roman" w:cs="Times New Roman"/>
        </w:rPr>
      </w:pPr>
      <w:r w:rsidRPr="00EC2648">
        <w:rPr>
          <w:rFonts w:ascii="Times New Roman" w:eastAsia="Times New Roman" w:hAnsi="Times New Roman" w:cs="Times New Roman"/>
          <w:b/>
        </w:rPr>
        <w:t>698B Application – acquisition of property</w:t>
      </w:r>
      <w:r w:rsidRPr="00EC2648">
        <w:rPr>
          <w:rFonts w:ascii="Times New Roman" w:eastAsia="Times New Roman" w:hAnsi="Times New Roman" w:cs="Times New Roman"/>
        </w:rPr>
        <w:t xml:space="preserve"> </w:t>
      </w:r>
    </w:p>
    <w:p w14:paraId="48CAE31B" w14:textId="0411A6C8" w:rsidR="000B1A03" w:rsidRPr="00EC2648" w:rsidRDefault="000B1A03"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 698</w:t>
      </w:r>
      <w:r w:rsidR="00A03E8F" w:rsidRPr="00EC2648">
        <w:rPr>
          <w:rFonts w:ascii="Times New Roman" w:eastAsia="Times New Roman" w:hAnsi="Times New Roman" w:cs="Times New Roman"/>
          <w:color w:val="000000" w:themeColor="text1"/>
        </w:rPr>
        <w:t>B</w:t>
      </w:r>
      <w:r w:rsidRPr="00EC2648">
        <w:rPr>
          <w:rFonts w:ascii="Times New Roman" w:eastAsia="Times New Roman" w:hAnsi="Times New Roman" w:cs="Times New Roman"/>
          <w:color w:val="000000" w:themeColor="text1"/>
        </w:rPr>
        <w:t xml:space="preserve"> provides that </w:t>
      </w:r>
      <w:r w:rsidR="00A03E8F" w:rsidRPr="00EC2648">
        <w:rPr>
          <w:rFonts w:ascii="Times New Roman" w:eastAsia="Times New Roman" w:hAnsi="Times New Roman" w:cs="Times New Roman"/>
          <w:color w:val="000000" w:themeColor="text1"/>
        </w:rPr>
        <w:t xml:space="preserve">regulation </w:t>
      </w:r>
      <w:r w:rsidR="00EA74BA" w:rsidRPr="00EC2648">
        <w:rPr>
          <w:rFonts w:ascii="Times New Roman" w:eastAsia="Times New Roman" w:hAnsi="Times New Roman" w:cs="Times New Roman"/>
          <w:color w:val="000000" w:themeColor="text1"/>
        </w:rPr>
        <w:t>529D</w:t>
      </w:r>
      <w:r w:rsidR="00C835FA" w:rsidRPr="00EC2648">
        <w:rPr>
          <w:rFonts w:ascii="Times New Roman" w:eastAsia="Times New Roman" w:hAnsi="Times New Roman" w:cs="Times New Roman"/>
          <w:color w:val="000000" w:themeColor="text1"/>
        </w:rPr>
        <w:t xml:space="preserve"> has no effect </w:t>
      </w:r>
      <w:r w:rsidR="003E083A" w:rsidRPr="00EC2648">
        <w:rPr>
          <w:rFonts w:ascii="Times New Roman" w:eastAsia="Times New Roman" w:hAnsi="Times New Roman" w:cs="Times New Roman"/>
          <w:color w:val="000000" w:themeColor="text1"/>
        </w:rPr>
        <w:t xml:space="preserve">to the extent </w:t>
      </w:r>
      <w:r w:rsidR="00856A76" w:rsidRPr="00EC2648">
        <w:rPr>
          <w:rFonts w:ascii="Times New Roman" w:eastAsia="Times New Roman" w:hAnsi="Times New Roman" w:cs="Times New Roman"/>
          <w:color w:val="000000" w:themeColor="text1"/>
        </w:rPr>
        <w:t xml:space="preserve">(if any) </w:t>
      </w:r>
      <w:r w:rsidR="003E083A" w:rsidRPr="00EC2648">
        <w:rPr>
          <w:rFonts w:ascii="Times New Roman" w:eastAsia="Times New Roman" w:hAnsi="Times New Roman" w:cs="Times New Roman"/>
          <w:color w:val="000000" w:themeColor="text1"/>
        </w:rPr>
        <w:t xml:space="preserve">that </w:t>
      </w:r>
      <w:r w:rsidR="00C52EDA" w:rsidRPr="00EC2648">
        <w:rPr>
          <w:rFonts w:ascii="Times New Roman" w:eastAsia="Times New Roman" w:hAnsi="Times New Roman" w:cs="Times New Roman"/>
          <w:color w:val="000000" w:themeColor="text1"/>
        </w:rPr>
        <w:t xml:space="preserve">the operation of the subregulation </w:t>
      </w:r>
      <w:r w:rsidR="0016559B" w:rsidRPr="00EC2648">
        <w:rPr>
          <w:rFonts w:ascii="Times New Roman" w:eastAsia="Times New Roman" w:hAnsi="Times New Roman" w:cs="Times New Roman"/>
          <w:color w:val="000000" w:themeColor="text1"/>
        </w:rPr>
        <w:t>would result in acquisition of property</w:t>
      </w:r>
      <w:r w:rsidR="006E5E09" w:rsidRPr="00EC2648">
        <w:rPr>
          <w:rFonts w:ascii="Times New Roman" w:eastAsia="Times New Roman" w:hAnsi="Times New Roman" w:cs="Times New Roman"/>
          <w:color w:val="000000" w:themeColor="text1"/>
        </w:rPr>
        <w:t xml:space="preserve"> from a person otherwise than on just terms. </w:t>
      </w:r>
    </w:p>
    <w:p w14:paraId="728B83D8" w14:textId="77777777" w:rsidR="00856A76" w:rsidRPr="00EC2648" w:rsidRDefault="00856A76" w:rsidP="00C333DE">
      <w:pPr>
        <w:pStyle w:val="ListParagraph"/>
        <w:spacing w:after="0" w:line="257" w:lineRule="auto"/>
        <w:ind w:left="360"/>
        <w:rPr>
          <w:rFonts w:ascii="Times New Roman" w:eastAsia="Times New Roman" w:hAnsi="Times New Roman" w:cs="Times New Roman"/>
          <w:color w:val="000000" w:themeColor="text1"/>
        </w:rPr>
      </w:pPr>
    </w:p>
    <w:p w14:paraId="3BAAA54F" w14:textId="724F07A7" w:rsidR="00E40819" w:rsidRPr="00EC2648" w:rsidRDefault="000A7AE4"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regulation</w:t>
      </w:r>
      <w:r w:rsidR="00354FBC" w:rsidRPr="00EC2648">
        <w:rPr>
          <w:rFonts w:ascii="Times New Roman" w:eastAsia="Times New Roman" w:hAnsi="Times New Roman" w:cs="Times New Roman"/>
          <w:color w:val="000000" w:themeColor="text1"/>
        </w:rPr>
        <w:t xml:space="preserve"> ensures that the prohibition in new regulation 529D is constitutionally valid. </w:t>
      </w:r>
      <w:r w:rsidR="008A2C21" w:rsidRPr="00EC2648">
        <w:rPr>
          <w:rFonts w:ascii="Times New Roman" w:eastAsia="Times New Roman" w:hAnsi="Times New Roman" w:cs="Times New Roman"/>
          <w:color w:val="000000" w:themeColor="text1"/>
        </w:rPr>
        <w:t>Because of the small number of PCBUs working with engineered stone in the Commonwealth jurisdiction and the approach taken to transitional arrangements</w:t>
      </w:r>
      <w:r w:rsidR="00236DB9" w:rsidRPr="00EC2648">
        <w:rPr>
          <w:rFonts w:ascii="Times New Roman" w:eastAsia="Times New Roman" w:hAnsi="Times New Roman" w:cs="Times New Roman"/>
          <w:color w:val="000000" w:themeColor="text1"/>
        </w:rPr>
        <w:t>,</w:t>
      </w:r>
      <w:r w:rsidR="008A2C21" w:rsidRPr="00EC2648">
        <w:rPr>
          <w:rFonts w:ascii="Times New Roman" w:eastAsia="Times New Roman" w:hAnsi="Times New Roman" w:cs="Times New Roman"/>
          <w:color w:val="000000" w:themeColor="text1"/>
        </w:rPr>
        <w:t xml:space="preserve"> </w:t>
      </w:r>
      <w:r w:rsidR="006435BC" w:rsidRPr="00EC2648">
        <w:rPr>
          <w:rFonts w:ascii="Times New Roman" w:eastAsia="Times New Roman" w:hAnsi="Times New Roman" w:cs="Times New Roman"/>
          <w:color w:val="000000" w:themeColor="text1"/>
        </w:rPr>
        <w:t xml:space="preserve">it is not expected that the prohibition would constitute an </w:t>
      </w:r>
      <w:r w:rsidR="002F19C1" w:rsidRPr="00EC2648">
        <w:rPr>
          <w:rFonts w:ascii="Times New Roman" w:eastAsia="Times New Roman" w:hAnsi="Times New Roman" w:cs="Times New Roman"/>
          <w:color w:val="000000" w:themeColor="text1"/>
        </w:rPr>
        <w:t xml:space="preserve">acquisition of property. </w:t>
      </w:r>
      <w:r w:rsidR="00843AB9" w:rsidRPr="00EC2648">
        <w:rPr>
          <w:rFonts w:ascii="Times New Roman" w:eastAsia="Times New Roman" w:hAnsi="Times New Roman" w:cs="Times New Roman"/>
          <w:color w:val="000000" w:themeColor="text1"/>
        </w:rPr>
        <w:t xml:space="preserve">If Commonwealth PCBUs have </w:t>
      </w:r>
      <w:r w:rsidR="00025F62" w:rsidRPr="00EC2648">
        <w:rPr>
          <w:rFonts w:ascii="Times New Roman" w:eastAsia="Times New Roman" w:hAnsi="Times New Roman" w:cs="Times New Roman"/>
          <w:color w:val="000000" w:themeColor="text1"/>
        </w:rPr>
        <w:t>contracts to install engineered stone in a jurisdiction which will permit the work to be undertaken</w:t>
      </w:r>
      <w:r w:rsidR="007B2AEC" w:rsidRPr="00EC2648">
        <w:rPr>
          <w:rFonts w:ascii="Times New Roman" w:eastAsia="Times New Roman" w:hAnsi="Times New Roman" w:cs="Times New Roman"/>
          <w:color w:val="000000" w:themeColor="text1"/>
        </w:rPr>
        <w:t>,</w:t>
      </w:r>
      <w:r w:rsidR="00025F62" w:rsidRPr="00EC2648">
        <w:rPr>
          <w:rFonts w:ascii="Times New Roman" w:eastAsia="Times New Roman" w:hAnsi="Times New Roman" w:cs="Times New Roman"/>
          <w:color w:val="000000" w:themeColor="text1"/>
        </w:rPr>
        <w:t xml:space="preserve"> the Commonwealth regulations will also allow it.</w:t>
      </w:r>
      <w:r w:rsidR="00843AB9" w:rsidRPr="00EC2648">
        <w:rPr>
          <w:rFonts w:ascii="Times New Roman" w:eastAsia="Times New Roman" w:hAnsi="Times New Roman" w:cs="Times New Roman"/>
          <w:color w:val="000000" w:themeColor="text1"/>
        </w:rPr>
        <w:t xml:space="preserve"> </w:t>
      </w:r>
      <w:r w:rsidR="00EC58D8" w:rsidRPr="00EC2648">
        <w:rPr>
          <w:rFonts w:ascii="Times New Roman" w:eastAsia="Times New Roman" w:hAnsi="Times New Roman" w:cs="Times New Roman"/>
          <w:color w:val="000000" w:themeColor="text1"/>
        </w:rPr>
        <w:t>However,</w:t>
      </w:r>
      <w:r w:rsidR="002F19C1" w:rsidRPr="00EC2648">
        <w:rPr>
          <w:rFonts w:ascii="Times New Roman" w:eastAsia="Times New Roman" w:hAnsi="Times New Roman" w:cs="Times New Roman"/>
          <w:color w:val="000000" w:themeColor="text1"/>
        </w:rPr>
        <w:t xml:space="preserve"> because pre-existing contracts could be affected</w:t>
      </w:r>
      <w:r w:rsidR="00142F3C" w:rsidRPr="00EC2648">
        <w:rPr>
          <w:rFonts w:ascii="Times New Roman" w:eastAsia="Times New Roman" w:hAnsi="Times New Roman" w:cs="Times New Roman"/>
          <w:color w:val="000000" w:themeColor="text1"/>
        </w:rPr>
        <w:t>,</w:t>
      </w:r>
      <w:r w:rsidR="002F19C1" w:rsidRPr="00EC2648">
        <w:rPr>
          <w:rFonts w:ascii="Times New Roman" w:eastAsia="Times New Roman" w:hAnsi="Times New Roman" w:cs="Times New Roman"/>
          <w:color w:val="000000" w:themeColor="text1"/>
        </w:rPr>
        <w:t xml:space="preserve"> a provision has been included to </w:t>
      </w:r>
      <w:r w:rsidR="002B6625" w:rsidRPr="00EC2648">
        <w:rPr>
          <w:rFonts w:ascii="Times New Roman" w:eastAsia="Times New Roman" w:hAnsi="Times New Roman" w:cs="Times New Roman"/>
          <w:color w:val="000000" w:themeColor="text1"/>
        </w:rPr>
        <w:t xml:space="preserve">ensure that the prohibition </w:t>
      </w:r>
      <w:r w:rsidR="00462263" w:rsidRPr="00EC2648">
        <w:rPr>
          <w:rFonts w:ascii="Times New Roman" w:eastAsia="Times New Roman" w:hAnsi="Times New Roman" w:cs="Times New Roman"/>
          <w:color w:val="000000" w:themeColor="text1"/>
        </w:rPr>
        <w:t xml:space="preserve">as a whole </w:t>
      </w:r>
      <w:r w:rsidR="00566CB7" w:rsidRPr="00EC2648">
        <w:rPr>
          <w:rFonts w:ascii="Times New Roman" w:eastAsia="Times New Roman" w:hAnsi="Times New Roman" w:cs="Times New Roman"/>
          <w:color w:val="000000" w:themeColor="text1"/>
        </w:rPr>
        <w:t>is not undermined by unforeseen circumstances constituting an acquisition of property otherwise than on just terms.</w:t>
      </w:r>
      <w:r w:rsidR="00FC401F" w:rsidRPr="00EC2648">
        <w:rPr>
          <w:rFonts w:ascii="Times New Roman" w:eastAsia="Times New Roman" w:hAnsi="Times New Roman" w:cs="Times New Roman"/>
          <w:color w:val="000000" w:themeColor="text1"/>
        </w:rPr>
        <w:t xml:space="preserve"> </w:t>
      </w:r>
      <w:r w:rsidR="00852B8A" w:rsidRPr="00EC2648">
        <w:rPr>
          <w:rFonts w:ascii="Times New Roman" w:eastAsia="Times New Roman" w:hAnsi="Times New Roman" w:cs="Times New Roman"/>
          <w:color w:val="000000" w:themeColor="text1"/>
        </w:rPr>
        <w:t>Contracts may be affected where for example</w:t>
      </w:r>
      <w:r w:rsidR="00462263" w:rsidRPr="00EC2648">
        <w:rPr>
          <w:rFonts w:ascii="Times New Roman" w:eastAsia="Times New Roman" w:hAnsi="Times New Roman" w:cs="Times New Roman"/>
          <w:color w:val="000000" w:themeColor="text1"/>
        </w:rPr>
        <w:t xml:space="preserve"> the contract was entered into after the 31 December 2023 date or </w:t>
      </w:r>
      <w:r w:rsidR="00D9045E" w:rsidRPr="00EC2648">
        <w:rPr>
          <w:rFonts w:ascii="Times New Roman" w:eastAsia="Times New Roman" w:hAnsi="Times New Roman" w:cs="Times New Roman"/>
          <w:color w:val="000000" w:themeColor="text1"/>
        </w:rPr>
        <w:t>where work is not completed before 31 December 2024.</w:t>
      </w:r>
    </w:p>
    <w:p w14:paraId="697F7131" w14:textId="77777777" w:rsidR="00856A76" w:rsidRPr="00EC2648" w:rsidRDefault="00856A76" w:rsidP="00C333DE">
      <w:pPr>
        <w:pStyle w:val="ListParagraph"/>
        <w:spacing w:after="0" w:line="257" w:lineRule="auto"/>
        <w:ind w:left="360"/>
        <w:rPr>
          <w:rFonts w:ascii="Times New Roman" w:eastAsia="Times New Roman" w:hAnsi="Times New Roman" w:cs="Times New Roman"/>
          <w:color w:val="000000" w:themeColor="text1"/>
        </w:rPr>
      </w:pPr>
    </w:p>
    <w:p w14:paraId="33F9F30D" w14:textId="14B18CF4" w:rsidR="00324670" w:rsidRPr="00EC2648" w:rsidRDefault="0254A8FC" w:rsidP="67939FCF">
      <w:pPr>
        <w:tabs>
          <w:tab w:val="left" w:pos="720"/>
        </w:tabs>
        <w:spacing w:after="240" w:line="276" w:lineRule="auto"/>
        <w:rPr>
          <w:rFonts w:ascii="Times New Roman" w:eastAsia="Times New Roman" w:hAnsi="Times New Roman" w:cs="Times New Roman"/>
          <w:color w:val="262626" w:themeColor="text1" w:themeTint="D9"/>
          <w:u w:val="single"/>
          <w:lang w:val="en-GB"/>
        </w:rPr>
      </w:pPr>
      <w:r w:rsidRPr="00EC2648">
        <w:rPr>
          <w:rFonts w:ascii="Times New Roman" w:eastAsia="Times New Roman" w:hAnsi="Times New Roman" w:cs="Times New Roman"/>
          <w:color w:val="262626" w:themeColor="text1" w:themeTint="D9"/>
          <w:u w:val="single"/>
        </w:rPr>
        <w:t>Schedule 3</w:t>
      </w:r>
      <w:r w:rsidR="025162F0" w:rsidRPr="00EC2648">
        <w:rPr>
          <w:rFonts w:ascii="Times New Roman" w:eastAsia="Times New Roman" w:hAnsi="Times New Roman" w:cs="Times New Roman"/>
          <w:color w:val="262626" w:themeColor="text1" w:themeTint="D9"/>
          <w:u w:val="single"/>
        </w:rPr>
        <w:t xml:space="preserve"> – Crystalline Silica </w:t>
      </w:r>
      <w:r w:rsidR="005D41CE" w:rsidRPr="00EC2648">
        <w:rPr>
          <w:rFonts w:ascii="Times New Roman" w:eastAsia="Times New Roman" w:hAnsi="Times New Roman" w:cs="Times New Roman"/>
          <w:color w:val="262626" w:themeColor="text1" w:themeTint="D9"/>
          <w:u w:val="single"/>
        </w:rPr>
        <w:t>Substances</w:t>
      </w:r>
    </w:p>
    <w:p w14:paraId="32E43C89" w14:textId="54641037" w:rsidR="00324670" w:rsidRPr="00EC2648" w:rsidRDefault="025162F0" w:rsidP="358883A3">
      <w:pPr>
        <w:tabs>
          <w:tab w:val="left" w:pos="902"/>
        </w:tabs>
        <w:spacing w:after="0" w:line="257" w:lineRule="auto"/>
      </w:pPr>
      <w:r w:rsidRPr="00EC2648">
        <w:rPr>
          <w:rFonts w:ascii="Times New Roman" w:eastAsia="Times New Roman" w:hAnsi="Times New Roman" w:cs="Times New Roman"/>
          <w:i/>
          <w:iCs/>
          <w:color w:val="262626" w:themeColor="text1" w:themeTint="D9"/>
        </w:rPr>
        <w:t>Work Health and Safety Regulations 2011</w:t>
      </w:r>
    </w:p>
    <w:p w14:paraId="41F51C86" w14:textId="54641037" w:rsidR="00324670" w:rsidRPr="00EC2648" w:rsidRDefault="025162F0" w:rsidP="358883A3">
      <w:pPr>
        <w:tabs>
          <w:tab w:val="left" w:pos="902"/>
        </w:tabs>
        <w:spacing w:after="0" w:line="257" w:lineRule="auto"/>
      </w:pPr>
      <w:r w:rsidRPr="00EC2648">
        <w:rPr>
          <w:rFonts w:ascii="Times New Roman" w:eastAsia="Times New Roman" w:hAnsi="Times New Roman" w:cs="Times New Roman"/>
          <w:color w:val="262626" w:themeColor="text1" w:themeTint="D9"/>
        </w:rPr>
        <w:t xml:space="preserve"> </w:t>
      </w:r>
    </w:p>
    <w:p w14:paraId="4892BA67" w14:textId="568DE425" w:rsidR="025162F0" w:rsidRPr="00EC2648" w:rsidRDefault="025162F0" w:rsidP="4C8ACF36">
      <w:pPr>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3D6623"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1</w:t>
      </w:r>
      <w:r w:rsidR="003D6623"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6E5BE840" w:rsidRPr="00EC2648">
        <w:rPr>
          <w:rFonts w:ascii="Times New Roman" w:eastAsia="Times New Roman" w:hAnsi="Times New Roman" w:cs="Times New Roman"/>
          <w:b/>
          <w:bCs/>
          <w:color w:val="000000" w:themeColor="text1"/>
        </w:rPr>
        <w:t>Sub</w:t>
      </w:r>
      <w:r w:rsidR="6DEFA2A7" w:rsidRPr="00EC2648">
        <w:rPr>
          <w:rFonts w:ascii="Times New Roman" w:eastAsia="Times New Roman" w:hAnsi="Times New Roman" w:cs="Times New Roman"/>
          <w:b/>
          <w:bCs/>
          <w:color w:val="000000" w:themeColor="text1"/>
        </w:rPr>
        <w:t>r</w:t>
      </w:r>
      <w:r w:rsidRPr="00EC2648">
        <w:rPr>
          <w:rFonts w:ascii="Times New Roman" w:eastAsia="Times New Roman" w:hAnsi="Times New Roman" w:cs="Times New Roman"/>
          <w:b/>
          <w:bCs/>
          <w:color w:val="000000" w:themeColor="text1"/>
        </w:rPr>
        <w:t xml:space="preserve">egulation 5(1) </w:t>
      </w:r>
      <w:r w:rsidR="174DB8FD" w:rsidRPr="00EC2648">
        <w:rPr>
          <w:rFonts w:ascii="Times New Roman" w:eastAsia="Times New Roman" w:hAnsi="Times New Roman" w:cs="Times New Roman"/>
          <w:b/>
          <w:bCs/>
          <w:color w:val="000000" w:themeColor="text1"/>
        </w:rPr>
        <w:t xml:space="preserve">(definition of </w:t>
      </w:r>
      <w:r w:rsidR="174DB8FD" w:rsidRPr="00EC2648">
        <w:rPr>
          <w:rFonts w:ascii="Times New Roman" w:eastAsia="Times New Roman" w:hAnsi="Times New Roman" w:cs="Times New Roman"/>
          <w:b/>
          <w:bCs/>
          <w:i/>
          <w:iCs/>
          <w:color w:val="000000" w:themeColor="text1"/>
        </w:rPr>
        <w:t>controlled)</w:t>
      </w:r>
    </w:p>
    <w:p w14:paraId="7A3CB4E8" w14:textId="2AF87DB0"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omits the existing definitions of </w:t>
      </w:r>
      <w:r w:rsidRPr="00EC2648">
        <w:rPr>
          <w:rFonts w:ascii="Times New Roman" w:eastAsia="Times New Roman" w:hAnsi="Times New Roman" w:cs="Times New Roman"/>
          <w:i/>
          <w:iCs/>
          <w:color w:val="000000" w:themeColor="text1"/>
        </w:rPr>
        <w:t>controlled</w:t>
      </w:r>
      <w:r w:rsidRPr="00EC2648">
        <w:rPr>
          <w:rFonts w:ascii="Times New Roman" w:eastAsia="Times New Roman" w:hAnsi="Times New Roman" w:cs="Times New Roman"/>
          <w:color w:val="000000" w:themeColor="text1"/>
        </w:rPr>
        <w:t xml:space="preserve"> and inserts the following definition, and signals where the term</w:t>
      </w:r>
      <w:r w:rsidR="00A2079E" w:rsidRPr="00EC2648">
        <w:rPr>
          <w:rFonts w:ascii="Times New Roman" w:eastAsia="Times New Roman" w:hAnsi="Times New Roman" w:cs="Times New Roman"/>
          <w:color w:val="000000" w:themeColor="text1"/>
        </w:rPr>
        <w:t xml:space="preserve"> is </w:t>
      </w:r>
      <w:r w:rsidRPr="00EC2648">
        <w:rPr>
          <w:rFonts w:ascii="Times New Roman" w:eastAsia="Times New Roman" w:hAnsi="Times New Roman" w:cs="Times New Roman"/>
          <w:color w:val="000000" w:themeColor="text1"/>
        </w:rPr>
        <w:t>defined in another provision of the Regulations:</w:t>
      </w:r>
    </w:p>
    <w:p w14:paraId="657E9780" w14:textId="4159050B" w:rsidR="008515C8" w:rsidRPr="00EC2648" w:rsidRDefault="025162F0" w:rsidP="00C333DE">
      <w:pPr>
        <w:spacing w:before="162"/>
        <w:ind w:left="72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i/>
          <w:iCs/>
          <w:color w:val="000000" w:themeColor="text1"/>
        </w:rPr>
        <w:t xml:space="preserve">controlled, </w:t>
      </w:r>
      <w:r w:rsidRPr="00EC2648">
        <w:rPr>
          <w:rFonts w:ascii="Times New Roman" w:eastAsia="Times New Roman" w:hAnsi="Times New Roman" w:cs="Times New Roman"/>
          <w:color w:val="000000" w:themeColor="text1"/>
        </w:rPr>
        <w:t>in relation to the processing of a CSS-see regulation 529B.</w:t>
      </w:r>
    </w:p>
    <w:p w14:paraId="654660C2" w14:textId="35F98970" w:rsidR="00324670" w:rsidRPr="00EC2648" w:rsidRDefault="025162F0" w:rsidP="4C8ACF36">
      <w:pPr>
        <w:spacing w:before="177"/>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3D6623"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2</w:t>
      </w:r>
      <w:r w:rsidR="003D6623"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w:t>
      </w:r>
      <w:r w:rsidR="006229C2">
        <w:rPr>
          <w:rFonts w:ascii="Times New Roman" w:eastAsia="Times New Roman" w:hAnsi="Times New Roman" w:cs="Times New Roman"/>
          <w:b/>
          <w:bCs/>
          <w:color w:val="000000" w:themeColor="text1"/>
        </w:rPr>
        <w:t>Subr</w:t>
      </w:r>
      <w:r w:rsidRPr="00EC2648">
        <w:rPr>
          <w:rFonts w:ascii="Times New Roman" w:eastAsia="Times New Roman" w:hAnsi="Times New Roman" w:cs="Times New Roman"/>
          <w:b/>
          <w:bCs/>
          <w:color w:val="000000" w:themeColor="text1"/>
        </w:rPr>
        <w:t>egulation 5(1)</w:t>
      </w:r>
    </w:p>
    <w:p w14:paraId="3725E979" w14:textId="1185D4A1" w:rsidR="00324670"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inserts the following terms into the definition section in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5(1), and signals where the terms are defined in another section of the Regulations:</w:t>
      </w:r>
    </w:p>
    <w:p w14:paraId="43D9AF31" w14:textId="77777777" w:rsidR="006229C2" w:rsidRPr="00EC2648" w:rsidRDefault="006229C2" w:rsidP="006229C2">
      <w:pPr>
        <w:pStyle w:val="ListParagraph"/>
        <w:spacing w:after="0" w:line="257" w:lineRule="auto"/>
        <w:ind w:left="360"/>
        <w:rPr>
          <w:rFonts w:ascii="Times New Roman" w:eastAsia="Times New Roman" w:hAnsi="Times New Roman" w:cs="Times New Roman"/>
          <w:color w:val="000000" w:themeColor="text1"/>
        </w:rPr>
      </w:pPr>
    </w:p>
    <w:p w14:paraId="2A82BC04" w14:textId="77777777" w:rsidR="006229C2" w:rsidRPr="006229C2" w:rsidRDefault="006229C2" w:rsidP="006229C2">
      <w:pPr>
        <w:pStyle w:val="ListParagraph"/>
        <w:spacing w:before="160"/>
        <w:rPr>
          <w:rFonts w:ascii="Times New Roman" w:eastAsia="Times New Roman" w:hAnsi="Times New Roman" w:cs="Times New Roman"/>
          <w:b/>
          <w:bCs/>
          <w:i/>
          <w:iCs/>
          <w:color w:val="000000" w:themeColor="text1"/>
        </w:rPr>
      </w:pPr>
      <w:r w:rsidRPr="006229C2">
        <w:rPr>
          <w:rFonts w:ascii="Times New Roman" w:eastAsia="Times New Roman" w:hAnsi="Times New Roman" w:cs="Times New Roman"/>
          <w:b/>
          <w:bCs/>
          <w:i/>
          <w:iCs/>
          <w:color w:val="000000" w:themeColor="text1"/>
        </w:rPr>
        <w:t>crystalline silica—see regulation 529A</w:t>
      </w:r>
    </w:p>
    <w:p w14:paraId="2BBFD623" w14:textId="54641037" w:rsidR="00324670" w:rsidRPr="00EC2648" w:rsidRDefault="025162F0" w:rsidP="358883A3">
      <w:pPr>
        <w:spacing w:before="160"/>
        <w:ind w:left="720"/>
      </w:pPr>
      <w:r w:rsidRPr="00EC2648">
        <w:rPr>
          <w:rFonts w:ascii="Times New Roman" w:eastAsia="Times New Roman" w:hAnsi="Times New Roman" w:cs="Times New Roman"/>
          <w:b/>
          <w:bCs/>
          <w:i/>
          <w:iCs/>
          <w:color w:val="000000" w:themeColor="text1"/>
        </w:rPr>
        <w:t xml:space="preserve">crystalline silica substance (CSS)-see </w:t>
      </w:r>
      <w:r w:rsidRPr="00EC2648">
        <w:rPr>
          <w:rFonts w:ascii="Times New Roman" w:eastAsia="Times New Roman" w:hAnsi="Times New Roman" w:cs="Times New Roman"/>
          <w:color w:val="000000" w:themeColor="text1"/>
        </w:rPr>
        <w:t>regulation 529A.</w:t>
      </w:r>
    </w:p>
    <w:p w14:paraId="3DAB6DB4" w14:textId="54641037" w:rsidR="00324670" w:rsidRPr="00EC2648" w:rsidRDefault="025162F0" w:rsidP="358883A3">
      <w:pPr>
        <w:spacing w:before="161"/>
        <w:ind w:left="720" w:right="144"/>
      </w:pPr>
      <w:r w:rsidRPr="00EC2648">
        <w:rPr>
          <w:rFonts w:ascii="Times New Roman" w:eastAsia="Times New Roman" w:hAnsi="Times New Roman" w:cs="Times New Roman"/>
          <w:b/>
          <w:bCs/>
          <w:i/>
          <w:iCs/>
          <w:color w:val="000000" w:themeColor="text1"/>
        </w:rPr>
        <w:t xml:space="preserve">high risk, </w:t>
      </w:r>
      <w:r w:rsidRPr="00EC2648">
        <w:rPr>
          <w:rFonts w:ascii="Times New Roman" w:eastAsia="Times New Roman" w:hAnsi="Times New Roman" w:cs="Times New Roman"/>
          <w:color w:val="000000" w:themeColor="text1"/>
        </w:rPr>
        <w:t>in relation to the processing of a CSS, means the processing of a CSS that is reasonably likely to result in a risk to the health of a person at the workplace.</w:t>
      </w:r>
    </w:p>
    <w:p w14:paraId="6C207A14" w14:textId="5B2FADC1" w:rsidR="00324670" w:rsidRPr="00EC2648" w:rsidRDefault="6549B1E3" w:rsidP="4C8ACF36">
      <w:pPr>
        <w:spacing w:before="177"/>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lastRenderedPageBreak/>
        <w:t xml:space="preserve">Item </w:t>
      </w:r>
      <w:r w:rsidR="00B32D71"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3</w:t>
      </w:r>
      <w:r w:rsidR="00B32D71"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Subregulation 5(1) (definition of processing)</w:t>
      </w:r>
    </w:p>
    <w:p w14:paraId="4D6CA47A" w14:textId="1984CB38" w:rsidR="00324670" w:rsidRPr="00EC2648" w:rsidRDefault="6549B1E3"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w:t>
      </w:r>
      <w:r w:rsidR="006229C2">
        <w:rPr>
          <w:rFonts w:ascii="Times New Roman" w:eastAsia="Times New Roman" w:hAnsi="Times New Roman" w:cs="Times New Roman"/>
          <w:color w:val="000000" w:themeColor="text1"/>
        </w:rPr>
        <w:t>repeals</w:t>
      </w:r>
      <w:r w:rsidRPr="00EC2648">
        <w:rPr>
          <w:rFonts w:ascii="Times New Roman" w:eastAsia="Times New Roman" w:hAnsi="Times New Roman" w:cs="Times New Roman"/>
          <w:color w:val="000000" w:themeColor="text1"/>
        </w:rPr>
        <w:t xml:space="preserve"> the existing definition of </w:t>
      </w:r>
      <w:r w:rsidRPr="00EC2648">
        <w:rPr>
          <w:rFonts w:ascii="Times New Roman" w:eastAsia="Times New Roman" w:hAnsi="Times New Roman" w:cs="Times New Roman"/>
          <w:i/>
          <w:iCs/>
          <w:color w:val="000000" w:themeColor="text1"/>
        </w:rPr>
        <w:t>processing</w:t>
      </w:r>
      <w:r w:rsidRPr="00EC2648">
        <w:rPr>
          <w:rFonts w:ascii="Times New Roman" w:eastAsia="Times New Roman" w:hAnsi="Times New Roman" w:cs="Times New Roman"/>
          <w:color w:val="000000" w:themeColor="text1"/>
        </w:rPr>
        <w:t xml:space="preserve"> and </w:t>
      </w:r>
      <w:r w:rsidR="006229C2">
        <w:rPr>
          <w:rFonts w:ascii="Times New Roman" w:eastAsia="Times New Roman" w:hAnsi="Times New Roman" w:cs="Times New Roman"/>
          <w:color w:val="000000" w:themeColor="text1"/>
        </w:rPr>
        <w:t>substitutes</w:t>
      </w:r>
      <w:r w:rsidRPr="00EC2648">
        <w:rPr>
          <w:rFonts w:ascii="Times New Roman" w:eastAsia="Times New Roman" w:hAnsi="Times New Roman" w:cs="Times New Roman"/>
          <w:color w:val="000000" w:themeColor="text1"/>
        </w:rPr>
        <w:t xml:space="preserve"> the following definition and signal</w:t>
      </w:r>
      <w:r w:rsidR="009A3E0E"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where the term is defined in another provision of the Regulations: </w:t>
      </w:r>
    </w:p>
    <w:p w14:paraId="148C0DE4" w14:textId="664FE3A8" w:rsidR="00715E97" w:rsidRPr="00EC2648" w:rsidRDefault="6549B1E3" w:rsidP="00715E97">
      <w:pPr>
        <w:spacing w:before="163"/>
        <w:ind w:left="720"/>
        <w:rPr>
          <w:rFonts w:ascii="Times New Roman" w:eastAsia="Times New Roman" w:hAnsi="Times New Roman" w:cs="Times New Roman"/>
          <w:color w:val="000000" w:themeColor="text1"/>
        </w:rPr>
      </w:pPr>
      <w:r w:rsidRPr="00EC2648">
        <w:rPr>
          <w:rFonts w:ascii="Times New Roman" w:eastAsia="Times New Roman" w:hAnsi="Times New Roman" w:cs="Times New Roman"/>
          <w:b/>
          <w:bCs/>
          <w:i/>
          <w:iCs/>
          <w:color w:val="000000" w:themeColor="text1"/>
        </w:rPr>
        <w:t xml:space="preserve">processing, </w:t>
      </w:r>
      <w:r w:rsidRPr="00EC2648">
        <w:rPr>
          <w:rFonts w:ascii="Times New Roman" w:eastAsia="Times New Roman" w:hAnsi="Times New Roman" w:cs="Times New Roman"/>
          <w:color w:val="000000" w:themeColor="text1"/>
        </w:rPr>
        <w:t>in relation to a CSS - see regulation 529A.</w:t>
      </w:r>
    </w:p>
    <w:p w14:paraId="3863FFB0" w14:textId="04B66A87" w:rsidR="00324670" w:rsidRPr="00EC2648" w:rsidRDefault="6549B1E3" w:rsidP="4C8ACF36">
      <w:pPr>
        <w:spacing w:before="177"/>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B32D71"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4</w:t>
      </w:r>
      <w:r w:rsidR="00B32D71"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Subregulation 5(1)</w:t>
      </w:r>
    </w:p>
    <w:p w14:paraId="77BFE5F6" w14:textId="37BCF609" w:rsidR="00715E97" w:rsidRPr="00EC2648" w:rsidRDefault="6549B1E3"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would insert the term </w:t>
      </w:r>
      <w:r w:rsidRPr="00EC2648">
        <w:rPr>
          <w:rFonts w:ascii="Times New Roman" w:eastAsia="Times New Roman" w:hAnsi="Times New Roman" w:cs="Times New Roman"/>
          <w:i/>
          <w:iCs/>
          <w:color w:val="000000" w:themeColor="text1"/>
        </w:rPr>
        <w:t>silica risk control plan</w:t>
      </w:r>
      <w:r w:rsidRPr="00EC2648">
        <w:rPr>
          <w:rFonts w:ascii="Times New Roman" w:eastAsia="Times New Roman" w:hAnsi="Times New Roman" w:cs="Times New Roman"/>
          <w:color w:val="000000" w:themeColor="text1"/>
        </w:rPr>
        <w:t xml:space="preserve"> into the definition section in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5(1), and signal</w:t>
      </w:r>
      <w:r w:rsidR="009F4FA6" w:rsidRPr="00EC2648">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 where the term is defined in another section of the Regulations:</w:t>
      </w:r>
    </w:p>
    <w:p w14:paraId="2EE6BB5A" w14:textId="5FF7D9C6" w:rsidR="00324670" w:rsidRPr="00EC2648" w:rsidRDefault="6549B1E3" w:rsidP="4C8ACF36">
      <w:pPr>
        <w:spacing w:before="167"/>
        <w:ind w:left="720" w:right="360"/>
        <w:rPr>
          <w:rFonts w:ascii="Times New Roman" w:eastAsia="Times New Roman" w:hAnsi="Times New Roman" w:cs="Times New Roman"/>
          <w:color w:val="000000" w:themeColor="text1"/>
        </w:rPr>
      </w:pPr>
      <w:r w:rsidRPr="00EC2648">
        <w:rPr>
          <w:rFonts w:ascii="Times New Roman" w:eastAsia="Times New Roman" w:hAnsi="Times New Roman" w:cs="Times New Roman"/>
          <w:b/>
          <w:bCs/>
          <w:i/>
          <w:iCs/>
          <w:color w:val="000000" w:themeColor="text1"/>
        </w:rPr>
        <w:t xml:space="preserve">silica risk control plan </w:t>
      </w:r>
      <w:r w:rsidRPr="00EC2648">
        <w:rPr>
          <w:rFonts w:ascii="Times New Roman" w:eastAsia="Times New Roman" w:hAnsi="Times New Roman" w:cs="Times New Roman"/>
          <w:color w:val="000000" w:themeColor="text1"/>
        </w:rPr>
        <w:t>means, in relation to the processing of a CSS that is high risk-a silica risk control plan prepared under regulation 529CB.</w:t>
      </w:r>
    </w:p>
    <w:p w14:paraId="4F7426E9" w14:textId="5BD53824" w:rsidR="00324670" w:rsidRPr="00EC2648" w:rsidRDefault="025162F0" w:rsidP="1E0D23C5">
      <w:pPr>
        <w:spacing w:before="177"/>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881FF8" w:rsidRPr="00EC2648">
        <w:rPr>
          <w:rFonts w:ascii="Times New Roman" w:eastAsia="Times New Roman" w:hAnsi="Times New Roman" w:cs="Times New Roman"/>
          <w:b/>
          <w:bCs/>
          <w:color w:val="000000" w:themeColor="text1"/>
        </w:rPr>
        <w:t>[</w:t>
      </w:r>
      <w:r w:rsidR="54D47F45" w:rsidRPr="00EC2648">
        <w:rPr>
          <w:rFonts w:ascii="Times New Roman" w:eastAsia="Times New Roman" w:hAnsi="Times New Roman" w:cs="Times New Roman"/>
          <w:b/>
          <w:bCs/>
          <w:color w:val="000000" w:themeColor="text1"/>
        </w:rPr>
        <w:t>5</w:t>
      </w:r>
      <w:r w:rsidR="00881FF8"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Chapter 8A </w:t>
      </w:r>
      <w:r w:rsidR="006229C2">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heading</w:t>
      </w:r>
      <w:r w:rsidR="006229C2">
        <w:rPr>
          <w:rFonts w:ascii="Times New Roman" w:eastAsia="Times New Roman" w:hAnsi="Times New Roman" w:cs="Times New Roman"/>
          <w:b/>
          <w:bCs/>
          <w:color w:val="000000" w:themeColor="text1"/>
        </w:rPr>
        <w:t>)</w:t>
      </w:r>
    </w:p>
    <w:p w14:paraId="6F5BECD6" w14:textId="660FF7D5"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omits the Chapter 8A heading "Engineered </w:t>
      </w:r>
      <w:r w:rsidR="006229C2">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tone, </w:t>
      </w:r>
      <w:r w:rsidR="006229C2">
        <w:rPr>
          <w:rFonts w:ascii="Times New Roman" w:eastAsia="Times New Roman" w:hAnsi="Times New Roman" w:cs="Times New Roman"/>
          <w:color w:val="000000" w:themeColor="text1"/>
        </w:rPr>
        <w:t>p</w:t>
      </w:r>
      <w:r w:rsidRPr="00EC2648">
        <w:rPr>
          <w:rFonts w:ascii="Times New Roman" w:eastAsia="Times New Roman" w:hAnsi="Times New Roman" w:cs="Times New Roman"/>
          <w:color w:val="000000" w:themeColor="text1"/>
        </w:rPr>
        <w:t xml:space="preserve">orcelain </w:t>
      </w:r>
      <w:r w:rsidR="006229C2">
        <w:rPr>
          <w:rFonts w:ascii="Times New Roman" w:eastAsia="Times New Roman" w:hAnsi="Times New Roman" w:cs="Times New Roman"/>
          <w:color w:val="000000" w:themeColor="text1"/>
        </w:rPr>
        <w:t>p</w:t>
      </w:r>
      <w:r w:rsidRPr="00EC2648">
        <w:rPr>
          <w:rFonts w:ascii="Times New Roman" w:eastAsia="Times New Roman" w:hAnsi="Times New Roman" w:cs="Times New Roman"/>
          <w:color w:val="000000" w:themeColor="text1"/>
        </w:rPr>
        <w:t xml:space="preserve">roducts and </w:t>
      </w:r>
      <w:r w:rsidR="006229C2">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intered </w:t>
      </w:r>
      <w:r w:rsidR="006229C2">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 xml:space="preserve">tone" and replaces it with the heading "Crystalline </w:t>
      </w:r>
      <w:r w:rsidR="006229C2">
        <w:rPr>
          <w:rFonts w:ascii="Times New Roman" w:eastAsia="Times New Roman" w:hAnsi="Times New Roman" w:cs="Times New Roman"/>
          <w:color w:val="000000" w:themeColor="text1"/>
        </w:rPr>
        <w:t>s</w:t>
      </w:r>
      <w:r w:rsidRPr="00EC2648">
        <w:rPr>
          <w:rFonts w:ascii="Times New Roman" w:eastAsia="Times New Roman" w:hAnsi="Times New Roman" w:cs="Times New Roman"/>
          <w:color w:val="000000" w:themeColor="text1"/>
        </w:rPr>
        <w:t>ilica".</w:t>
      </w:r>
    </w:p>
    <w:p w14:paraId="1C9672C4" w14:textId="0DA3998C" w:rsidR="00324670" w:rsidRPr="00EC2648" w:rsidRDefault="025162F0" w:rsidP="4C8ACF36">
      <w:pPr>
        <w:spacing w:before="182"/>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2F72AE" w:rsidRPr="00EC2648">
        <w:rPr>
          <w:rFonts w:ascii="Times New Roman" w:eastAsia="Times New Roman" w:hAnsi="Times New Roman" w:cs="Times New Roman"/>
          <w:b/>
          <w:bCs/>
          <w:color w:val="000000" w:themeColor="text1"/>
        </w:rPr>
        <w:t>[</w:t>
      </w:r>
      <w:r w:rsidR="38452E46" w:rsidRPr="00EC2648">
        <w:rPr>
          <w:rFonts w:ascii="Times New Roman" w:eastAsia="Times New Roman" w:hAnsi="Times New Roman" w:cs="Times New Roman"/>
          <w:b/>
          <w:bCs/>
          <w:color w:val="000000" w:themeColor="text1"/>
        </w:rPr>
        <w:t>6</w:t>
      </w:r>
      <w:r w:rsidR="002F72AE" w:rsidRPr="00EC2648">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Regulation</w:t>
      </w:r>
      <w:r w:rsidR="006229C2">
        <w:rPr>
          <w:rFonts w:ascii="Times New Roman" w:eastAsia="Times New Roman" w:hAnsi="Times New Roman" w:cs="Times New Roman"/>
          <w:b/>
          <w:bCs/>
          <w:color w:val="000000" w:themeColor="text1"/>
        </w:rPr>
        <w:t>s</w:t>
      </w:r>
      <w:r w:rsidRPr="00EC2648">
        <w:rPr>
          <w:rFonts w:ascii="Times New Roman" w:eastAsia="Times New Roman" w:hAnsi="Times New Roman" w:cs="Times New Roman"/>
          <w:b/>
          <w:bCs/>
          <w:color w:val="000000" w:themeColor="text1"/>
        </w:rPr>
        <w:t xml:space="preserve"> 529A-529CE</w:t>
      </w:r>
    </w:p>
    <w:p w14:paraId="10C3F5BC" w14:textId="5ACAE2DF" w:rsidR="00715E97"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item omits regulations 529A-529C and inserts new regulations 529A-529CE.</w:t>
      </w:r>
    </w:p>
    <w:p w14:paraId="377BF833" w14:textId="1DD7980B" w:rsidR="00324670" w:rsidRPr="00EC2648" w:rsidRDefault="025162F0" w:rsidP="1E0D23C5">
      <w:pPr>
        <w:spacing w:before="166"/>
        <w:ind w:right="36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529A Meaning of processing in relation to crystalline silica substances and related terms</w:t>
      </w:r>
    </w:p>
    <w:p w14:paraId="33200E45" w14:textId="54641037"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Regulation 529A defines the terms </w:t>
      </w:r>
      <w:r w:rsidRPr="00EC2648">
        <w:rPr>
          <w:rFonts w:ascii="Times New Roman" w:eastAsia="Times New Roman" w:hAnsi="Times New Roman" w:cs="Times New Roman"/>
          <w:i/>
          <w:iCs/>
          <w:color w:val="000000" w:themeColor="text1"/>
        </w:rPr>
        <w:t>processing</w:t>
      </w:r>
      <w:r w:rsidRPr="00EC2648">
        <w:rPr>
          <w:rFonts w:ascii="Times New Roman" w:eastAsia="Times New Roman" w:hAnsi="Times New Roman" w:cs="Times New Roman"/>
          <w:color w:val="000000" w:themeColor="text1"/>
        </w:rPr>
        <w:t xml:space="preserve"> in relation to a CSS, </w:t>
      </w:r>
      <w:r w:rsidRPr="00EC2648">
        <w:rPr>
          <w:rFonts w:ascii="Times New Roman" w:eastAsia="Times New Roman" w:hAnsi="Times New Roman" w:cs="Times New Roman"/>
          <w:i/>
          <w:iCs/>
          <w:color w:val="000000" w:themeColor="text1"/>
        </w:rPr>
        <w:t>crystalline silica substance</w:t>
      </w:r>
      <w:r w:rsidRPr="00EC2648">
        <w:rPr>
          <w:rFonts w:ascii="Times New Roman" w:eastAsia="Times New Roman" w:hAnsi="Times New Roman" w:cs="Times New Roman"/>
          <w:color w:val="000000" w:themeColor="text1"/>
        </w:rPr>
        <w:t xml:space="preserve"> (CSS), </w:t>
      </w:r>
      <w:r w:rsidRPr="00EC2648">
        <w:rPr>
          <w:rFonts w:ascii="Times New Roman" w:eastAsia="Times New Roman" w:hAnsi="Times New Roman" w:cs="Times New Roman"/>
          <w:i/>
          <w:iCs/>
          <w:color w:val="000000" w:themeColor="text1"/>
        </w:rPr>
        <w:t>crystalline silica</w:t>
      </w:r>
      <w:r w:rsidRPr="00EC2648">
        <w:rPr>
          <w:rFonts w:ascii="Times New Roman" w:eastAsia="Times New Roman" w:hAnsi="Times New Roman" w:cs="Times New Roman"/>
          <w:color w:val="000000" w:themeColor="text1"/>
        </w:rPr>
        <w:t xml:space="preserve"> and </w:t>
      </w:r>
      <w:r w:rsidRPr="00EC2648">
        <w:rPr>
          <w:rFonts w:ascii="Times New Roman" w:eastAsia="Times New Roman" w:hAnsi="Times New Roman" w:cs="Times New Roman"/>
          <w:i/>
          <w:iCs/>
          <w:color w:val="000000" w:themeColor="text1"/>
        </w:rPr>
        <w:t>engineered stone</w:t>
      </w:r>
      <w:r w:rsidRPr="00EC2648">
        <w:rPr>
          <w:rFonts w:ascii="Times New Roman" w:eastAsia="Times New Roman" w:hAnsi="Times New Roman" w:cs="Times New Roman"/>
          <w:color w:val="000000" w:themeColor="text1"/>
        </w:rPr>
        <w:t xml:space="preserve"> for the purposes of the Regulations.</w:t>
      </w:r>
    </w:p>
    <w:p w14:paraId="7830CC71" w14:textId="77777777" w:rsidR="00A07581" w:rsidRPr="00EC2648" w:rsidRDefault="00A07581" w:rsidP="00C333DE">
      <w:pPr>
        <w:pStyle w:val="ListParagraph"/>
        <w:spacing w:after="0" w:line="257" w:lineRule="auto"/>
        <w:ind w:left="360"/>
        <w:rPr>
          <w:rFonts w:ascii="Times New Roman" w:eastAsia="Times New Roman" w:hAnsi="Times New Roman" w:cs="Times New Roman"/>
          <w:color w:val="000000" w:themeColor="text1"/>
        </w:rPr>
      </w:pPr>
    </w:p>
    <w:p w14:paraId="37DE173E" w14:textId="4F4F47D4"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529A(1) defines processing in relation to a CSS to mean:</w:t>
      </w:r>
    </w:p>
    <w:p w14:paraId="660F73EA" w14:textId="77777777" w:rsidR="00A07581" w:rsidRPr="00EC2648" w:rsidRDefault="00A07581" w:rsidP="00C333DE">
      <w:pPr>
        <w:pStyle w:val="ListParagraph"/>
        <w:rPr>
          <w:rFonts w:ascii="Times New Roman" w:eastAsia="Times New Roman" w:hAnsi="Times New Roman" w:cs="Times New Roman"/>
          <w:color w:val="000000" w:themeColor="text1"/>
        </w:rPr>
      </w:pPr>
    </w:p>
    <w:p w14:paraId="5073B7C4" w14:textId="54641037" w:rsidR="00324670" w:rsidRPr="00EC2648" w:rsidRDefault="025162F0" w:rsidP="00E1337D">
      <w:pPr>
        <w:pStyle w:val="ListParagraph"/>
        <w:numPr>
          <w:ilvl w:val="0"/>
          <w:numId w:val="14"/>
        </w:numPr>
        <w:spacing w:after="0"/>
        <w:ind w:right="7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power tools or mechanical plant to carry out an activity involving the crushing, cutting, grinding, trimming, sanding, abrasive polishing or drilling of a CSS, or</w:t>
      </w:r>
    </w:p>
    <w:p w14:paraId="51504E05"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roadheaders to excavate material that is a CSS, or</w:t>
      </w:r>
    </w:p>
    <w:p w14:paraId="012620FE"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quarrying of a material that is a CSS, or</w:t>
      </w:r>
    </w:p>
    <w:p w14:paraId="41A7E532"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mechanical screening involving a material that is a CSS, or</w:t>
      </w:r>
    </w:p>
    <w:p w14:paraId="072B2247"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tunnelling through a material that is a CSS, or</w:t>
      </w:r>
    </w:p>
    <w:p w14:paraId="38FB5872"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process that exposes, or is reasonably likely to expose, a person to RCS during the manufacture or handling of a CSS.</w:t>
      </w:r>
    </w:p>
    <w:p w14:paraId="12B308EA" w14:textId="510503EE"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Crystalline silica substance (CSS) means material that contains at least 1% crystalline silica, determined as a weight/weight (w/w) concentration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529A(2)). The note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529A(2) makes clear that engineered stone is a type of CSS.</w:t>
      </w:r>
    </w:p>
    <w:p w14:paraId="72CE3F72" w14:textId="77777777" w:rsidR="00A07581" w:rsidRPr="00EC2648" w:rsidRDefault="00A07581" w:rsidP="00C333DE">
      <w:pPr>
        <w:pStyle w:val="ListParagraph"/>
        <w:spacing w:after="0" w:line="257" w:lineRule="auto"/>
        <w:ind w:left="360"/>
        <w:rPr>
          <w:rFonts w:ascii="Times New Roman" w:eastAsia="Times New Roman" w:hAnsi="Times New Roman" w:cs="Times New Roman"/>
          <w:color w:val="000000" w:themeColor="text1"/>
        </w:rPr>
      </w:pPr>
    </w:p>
    <w:p w14:paraId="5C840235" w14:textId="025FC964"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Crystalline silica means crystalline polymorphs of silica, and includes the substances; cristobalite, quartz, tridymite and tripoli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529A(3)).</w:t>
      </w:r>
    </w:p>
    <w:p w14:paraId="4D431E95" w14:textId="77777777" w:rsidR="00A07581" w:rsidRPr="00EC2648" w:rsidRDefault="00A07581" w:rsidP="00C333DE">
      <w:pPr>
        <w:pStyle w:val="ListParagraph"/>
        <w:rPr>
          <w:rFonts w:ascii="Times New Roman" w:eastAsia="Times New Roman" w:hAnsi="Times New Roman" w:cs="Times New Roman"/>
          <w:color w:val="000000" w:themeColor="text1"/>
        </w:rPr>
      </w:pPr>
    </w:p>
    <w:p w14:paraId="48FC88C1" w14:textId="24B7076A" w:rsidR="00A07581"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Engineered stone means a CSS that is an artificial product and is created by combining natural stone materials with other chemical constituents (such as water, resins or pigments), and becomes hardened (paragraph529A(4)(a)). However, engineered stone does not include concrete and cement products, bricks, pavers and other similar blocks, ceramic wall and floor tiles, grout, mortar and render, plasterboard, porcelain products, sintered stone and roof tiles (paragraph 529A(4)(b)).</w:t>
      </w:r>
    </w:p>
    <w:p w14:paraId="4E6BDD7B" w14:textId="50A82D90" w:rsidR="00324670" w:rsidRPr="00EC2648" w:rsidRDefault="025162F0" w:rsidP="1E0D23C5">
      <w:pPr>
        <w:spacing w:before="184"/>
        <w:rPr>
          <w:rFonts w:ascii="Times New Roman" w:eastAsia="Times New Roman" w:hAnsi="Times New Roman" w:cs="Times New Roman"/>
          <w:b/>
          <w:bCs/>
          <w:i/>
          <w:iCs/>
          <w:color w:val="000000" w:themeColor="text1"/>
        </w:rPr>
      </w:pPr>
      <w:r w:rsidRPr="00EC2648">
        <w:rPr>
          <w:rFonts w:ascii="Times New Roman" w:eastAsia="Times New Roman" w:hAnsi="Times New Roman" w:cs="Times New Roman"/>
          <w:b/>
          <w:bCs/>
          <w:color w:val="000000" w:themeColor="text1"/>
        </w:rPr>
        <w:t xml:space="preserve">529B When processing of CSS is </w:t>
      </w:r>
      <w:r w:rsidRPr="00EC2648">
        <w:rPr>
          <w:rFonts w:ascii="Times New Roman" w:eastAsia="Times New Roman" w:hAnsi="Times New Roman" w:cs="Times New Roman"/>
          <w:b/>
          <w:bCs/>
          <w:i/>
          <w:iCs/>
          <w:color w:val="000000" w:themeColor="text1"/>
        </w:rPr>
        <w:t>controlled</w:t>
      </w:r>
    </w:p>
    <w:p w14:paraId="0754372A" w14:textId="346E782E"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529B(1) provides that the processing of a CSS is </w:t>
      </w:r>
      <w:r w:rsidR="025162F0" w:rsidRPr="00EC2648">
        <w:rPr>
          <w:rFonts w:ascii="Times New Roman" w:eastAsia="Times New Roman" w:hAnsi="Times New Roman" w:cs="Times New Roman"/>
          <w:i/>
          <w:iCs/>
          <w:color w:val="000000" w:themeColor="text1"/>
        </w:rPr>
        <w:t>controlled</w:t>
      </w:r>
      <w:r w:rsidR="025162F0" w:rsidRPr="00EC2648">
        <w:rPr>
          <w:rFonts w:ascii="Times New Roman" w:eastAsia="Times New Roman" w:hAnsi="Times New Roman" w:cs="Times New Roman"/>
          <w:color w:val="000000" w:themeColor="text1"/>
        </w:rPr>
        <w:t xml:space="preserve"> if control measures to eliminate or minimise risks arising from the processing are implemented so far as is reasonably practicable, and at least </w:t>
      </w:r>
      <w:r w:rsidR="00BA26C5" w:rsidRPr="00EC2648">
        <w:rPr>
          <w:rFonts w:ascii="Times New Roman" w:eastAsia="Times New Roman" w:hAnsi="Times New Roman" w:cs="Times New Roman"/>
          <w:color w:val="000000" w:themeColor="text1"/>
        </w:rPr>
        <w:t>one</w:t>
      </w:r>
      <w:r w:rsidR="025162F0" w:rsidRPr="00EC2648">
        <w:rPr>
          <w:rFonts w:ascii="Times New Roman" w:eastAsia="Times New Roman" w:hAnsi="Times New Roman" w:cs="Times New Roman"/>
          <w:color w:val="000000" w:themeColor="text1"/>
        </w:rPr>
        <w:t xml:space="preserve"> of the following measures are used during the processing:</w:t>
      </w:r>
    </w:p>
    <w:p w14:paraId="7240C4EA" w14:textId="77777777" w:rsidR="00B7520C" w:rsidRPr="00EC2648" w:rsidRDefault="00B7520C" w:rsidP="00C333DE">
      <w:pPr>
        <w:pStyle w:val="ListParagraph"/>
        <w:spacing w:after="0" w:line="257" w:lineRule="auto"/>
        <w:ind w:left="360"/>
        <w:rPr>
          <w:rFonts w:ascii="Times New Roman" w:eastAsia="Times New Roman" w:hAnsi="Times New Roman" w:cs="Times New Roman"/>
          <w:color w:val="000000" w:themeColor="text1"/>
        </w:rPr>
      </w:pPr>
    </w:p>
    <w:p w14:paraId="177D150A"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isolation of a person from dust exposure</w:t>
      </w:r>
    </w:p>
    <w:p w14:paraId="55BC5C8F"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fully enclosed operator cabin fitted with a high efficiency air filtration system</w:t>
      </w:r>
    </w:p>
    <w:p w14:paraId="0D8047A6"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 effective wet dust suppression method</w:t>
      </w:r>
    </w:p>
    <w:p w14:paraId="082CE5AC"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 effective on-tool extraction system, and</w:t>
      </w:r>
    </w:p>
    <w:p w14:paraId="311A0E1B"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an effective local exhaust ventilation system.</w:t>
      </w:r>
    </w:p>
    <w:p w14:paraId="6AD2B81E" w14:textId="77777777" w:rsidR="00B7520C" w:rsidRPr="00EC2648" w:rsidRDefault="00B7520C" w:rsidP="00C333DE">
      <w:pPr>
        <w:pStyle w:val="ListParagraph"/>
        <w:spacing w:after="0"/>
        <w:rPr>
          <w:rFonts w:ascii="Times New Roman" w:eastAsia="Times New Roman" w:hAnsi="Times New Roman" w:cs="Times New Roman"/>
          <w:color w:val="000000" w:themeColor="text1"/>
        </w:rPr>
      </w:pPr>
    </w:p>
    <w:p w14:paraId="3B4C6B42" w14:textId="0D055B6C"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If a person is still at risk of being exposed to RCS after </w:t>
      </w:r>
      <w:r w:rsidR="00181A72" w:rsidRPr="00EC2648">
        <w:rPr>
          <w:rFonts w:ascii="Times New Roman" w:eastAsia="Times New Roman" w:hAnsi="Times New Roman" w:cs="Times New Roman"/>
          <w:color w:val="000000" w:themeColor="text1"/>
        </w:rPr>
        <w:t>one</w:t>
      </w:r>
      <w:r w:rsidRPr="00EC2648">
        <w:rPr>
          <w:rFonts w:ascii="Times New Roman" w:eastAsia="Times New Roman" w:hAnsi="Times New Roman" w:cs="Times New Roman"/>
          <w:color w:val="000000" w:themeColor="text1"/>
        </w:rPr>
        <w:t xml:space="preserve"> or more of the measures in paragraph 529B(1)(b) are used, the person must be provided with respiratory protective equipment (RPE) and must wear the RPE while the work is carried out, in order for the processing to be controlled (paragraph 529B(1)(c)).</w:t>
      </w:r>
    </w:p>
    <w:p w14:paraId="290986FD" w14:textId="77777777" w:rsidR="00B7520C" w:rsidRPr="00EC2648" w:rsidRDefault="00B7520C" w:rsidP="00C333DE">
      <w:pPr>
        <w:pStyle w:val="ListParagraph"/>
        <w:spacing w:after="0" w:line="257" w:lineRule="auto"/>
        <w:ind w:left="360"/>
        <w:rPr>
          <w:rFonts w:ascii="Times New Roman" w:eastAsia="Times New Roman" w:hAnsi="Times New Roman" w:cs="Times New Roman"/>
          <w:color w:val="000000" w:themeColor="text1"/>
        </w:rPr>
      </w:pPr>
    </w:p>
    <w:p w14:paraId="23A8ED82" w14:textId="1A68BAB6"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529B(1) refers to regulation 351 which requires a PCBU to manage, in accordance with Part 3.1 of the </w:t>
      </w:r>
      <w:r w:rsidR="006229C2">
        <w:rPr>
          <w:rFonts w:ascii="Times New Roman" w:eastAsia="Times New Roman" w:hAnsi="Times New Roman" w:cs="Times New Roman"/>
          <w:color w:val="000000" w:themeColor="text1"/>
        </w:rPr>
        <w:t xml:space="preserve">Principal </w:t>
      </w:r>
      <w:r w:rsidRPr="00EC2648">
        <w:rPr>
          <w:rFonts w:ascii="Times New Roman" w:eastAsia="Times New Roman" w:hAnsi="Times New Roman" w:cs="Times New Roman"/>
          <w:color w:val="000000" w:themeColor="text1"/>
        </w:rPr>
        <w:t>Regulations, the risks to health and safety associated with using, handling, generating or storing a hazardous chemical at a workplace. RCS is a type of hazardous chemical.</w:t>
      </w:r>
    </w:p>
    <w:p w14:paraId="671F898F" w14:textId="77777777" w:rsidR="00B7520C" w:rsidRPr="00EC2648" w:rsidRDefault="00B7520C" w:rsidP="00C333DE">
      <w:pPr>
        <w:pStyle w:val="ListParagraph"/>
        <w:rPr>
          <w:rFonts w:ascii="Times New Roman" w:eastAsia="Times New Roman" w:hAnsi="Times New Roman" w:cs="Times New Roman"/>
          <w:color w:val="000000" w:themeColor="text1"/>
        </w:rPr>
      </w:pPr>
    </w:p>
    <w:p w14:paraId="562BDC68" w14:textId="3102F88D"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Despite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529B(1), if the measures in paragraph 529B(1)(b) are not reasonably practicable, the processing of a CSS is controlled if a person who is at risk of being exposed to RCS during the processing is provided with RPE and wears the RPE while the work is carried out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529B(2)).</w:t>
      </w:r>
    </w:p>
    <w:p w14:paraId="5D7B5A70" w14:textId="77777777" w:rsidR="00B7520C" w:rsidRPr="00EC2648" w:rsidRDefault="00B7520C" w:rsidP="00C333DE">
      <w:pPr>
        <w:pStyle w:val="ListParagraph"/>
        <w:spacing w:after="0" w:line="257" w:lineRule="auto"/>
        <w:ind w:left="360"/>
        <w:rPr>
          <w:rFonts w:ascii="Times New Roman" w:eastAsia="Times New Roman" w:hAnsi="Times New Roman" w:cs="Times New Roman"/>
          <w:color w:val="000000" w:themeColor="text1"/>
        </w:rPr>
      </w:pPr>
    </w:p>
    <w:p w14:paraId="1291AE03" w14:textId="5E523DCA"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529B(2) contemplates that there will be some cases where the implementation of a control measure specified in paragraph 529B(1)(b) may not be reasonably practicable. In such cases, the processing of the CSS may be controlled through the use of RPE only. The PCBU will still need to ensure that it complies with its primary health and safety duty in section 19 of the </w:t>
      </w:r>
      <w:r w:rsidR="006229C2">
        <w:rPr>
          <w:rFonts w:ascii="Times New Roman" w:eastAsia="Times New Roman" w:hAnsi="Times New Roman" w:cs="Times New Roman"/>
          <w:color w:val="000000" w:themeColor="text1"/>
        </w:rPr>
        <w:t>WHS</w:t>
      </w:r>
      <w:r w:rsidR="025162F0" w:rsidRPr="00EC2648">
        <w:rPr>
          <w:rFonts w:ascii="Times New Roman" w:eastAsia="Times New Roman" w:hAnsi="Times New Roman" w:cs="Times New Roman"/>
          <w:color w:val="000000" w:themeColor="text1"/>
        </w:rPr>
        <w:t xml:space="preserve"> Act.</w:t>
      </w:r>
    </w:p>
    <w:p w14:paraId="2E1E4EB6" w14:textId="77777777" w:rsidR="00B7520C" w:rsidRPr="00EC2648" w:rsidRDefault="00B7520C" w:rsidP="00C333DE">
      <w:pPr>
        <w:pStyle w:val="ListParagraph"/>
        <w:spacing w:after="0" w:line="257" w:lineRule="auto"/>
        <w:ind w:left="360"/>
        <w:rPr>
          <w:rFonts w:ascii="Times New Roman" w:eastAsia="Times New Roman" w:hAnsi="Times New Roman" w:cs="Times New Roman"/>
          <w:color w:val="000000" w:themeColor="text1"/>
        </w:rPr>
      </w:pPr>
    </w:p>
    <w:p w14:paraId="10198BA1" w14:textId="05E02AF3"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529B(3) defines RPE for the purpose of regulation 529B </w:t>
      </w:r>
      <w:r w:rsidR="006229C2" w:rsidRPr="002D106C">
        <w:rPr>
          <w:rFonts w:ascii="Times New Roman" w:eastAsia="Times New Roman" w:hAnsi="Times New Roman" w:cs="Times New Roman"/>
          <w:b/>
          <w:i/>
          <w:color w:val="000000" w:themeColor="text1"/>
        </w:rPr>
        <w:t>respiratory protective equipment</w:t>
      </w:r>
      <w:r w:rsidR="006229C2" w:rsidRPr="50CB6689">
        <w:rPr>
          <w:rFonts w:ascii="Times New Roman" w:eastAsia="Times New Roman" w:hAnsi="Times New Roman" w:cs="Times New Roman"/>
          <w:color w:val="000000" w:themeColor="text1"/>
        </w:rPr>
        <w:t xml:space="preserve"> mean</w:t>
      </w:r>
      <w:r w:rsidR="006229C2">
        <w:rPr>
          <w:rFonts w:ascii="Times New Roman" w:eastAsia="Times New Roman" w:hAnsi="Times New Roman" w:cs="Times New Roman"/>
          <w:color w:val="000000" w:themeColor="text1"/>
        </w:rPr>
        <w:t>s</w:t>
      </w:r>
      <w:r w:rsidR="025162F0" w:rsidRPr="00EC2648">
        <w:rPr>
          <w:rFonts w:ascii="Times New Roman" w:eastAsia="Times New Roman" w:hAnsi="Times New Roman" w:cs="Times New Roman"/>
          <w:color w:val="000000" w:themeColor="text1"/>
        </w:rPr>
        <w:t xml:space="preserve"> personal protective equipment (PPE) that is designed to prevent a person wearing the equipment from inhaling airborne contaminants, and complies with Australian standards:</w:t>
      </w:r>
    </w:p>
    <w:p w14:paraId="66833472" w14:textId="77777777" w:rsidR="00B7520C" w:rsidRPr="00EC2648" w:rsidRDefault="00B7520C" w:rsidP="00C333DE">
      <w:pPr>
        <w:spacing w:after="0" w:line="257" w:lineRule="auto"/>
        <w:rPr>
          <w:rFonts w:ascii="Times New Roman" w:eastAsia="Times New Roman" w:hAnsi="Times New Roman" w:cs="Times New Roman"/>
          <w:color w:val="000000" w:themeColor="text1"/>
        </w:rPr>
      </w:pPr>
    </w:p>
    <w:p w14:paraId="3C29FF2B"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AS/NZS 1716:2012 (Respiratory protective devices), and</w:t>
      </w:r>
    </w:p>
    <w:p w14:paraId="2E551ECD" w14:textId="54641037" w:rsidR="00324670" w:rsidRPr="00EC2648" w:rsidRDefault="025162F0" w:rsidP="00E1337D">
      <w:pPr>
        <w:pStyle w:val="ListParagraph"/>
        <w:numPr>
          <w:ilvl w:val="0"/>
          <w:numId w:val="14"/>
        </w:numPr>
        <w:spacing w:after="0"/>
        <w:ind w:right="792"/>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AS/NZS 1715:2009 (Selection, use and maintenance of respiratory protective equipment).</w:t>
      </w:r>
    </w:p>
    <w:p w14:paraId="68A67B6E" w14:textId="77777777" w:rsidR="00562CFB" w:rsidRPr="00EC2648" w:rsidRDefault="00562CFB" w:rsidP="00C333DE">
      <w:pPr>
        <w:pStyle w:val="ListParagraph"/>
        <w:spacing w:after="0"/>
        <w:ind w:right="792"/>
        <w:rPr>
          <w:rFonts w:ascii="Times New Roman" w:eastAsia="Times New Roman" w:hAnsi="Times New Roman" w:cs="Times New Roman"/>
          <w:color w:val="000000" w:themeColor="text1"/>
        </w:rPr>
      </w:pPr>
    </w:p>
    <w:p w14:paraId="235B70A6" w14:textId="72C817F0"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529B(</w:t>
      </w:r>
      <w:r w:rsidR="006229C2">
        <w:rPr>
          <w:rFonts w:ascii="Times New Roman" w:eastAsia="Times New Roman" w:hAnsi="Times New Roman" w:cs="Times New Roman"/>
          <w:color w:val="000000" w:themeColor="text1"/>
        </w:rPr>
        <w:t>3</w:t>
      </w:r>
      <w:r w:rsidRPr="00EC2648">
        <w:rPr>
          <w:rFonts w:ascii="Times New Roman" w:eastAsia="Times New Roman" w:hAnsi="Times New Roman" w:cs="Times New Roman"/>
          <w:color w:val="000000" w:themeColor="text1"/>
        </w:rPr>
        <w:t xml:space="preserve">) </w:t>
      </w:r>
      <w:r w:rsidR="000F0120" w:rsidRPr="00EC2648">
        <w:rPr>
          <w:rFonts w:ascii="Times New Roman" w:eastAsia="Times New Roman" w:hAnsi="Times New Roman" w:cs="Times New Roman"/>
          <w:color w:val="000000" w:themeColor="text1"/>
        </w:rPr>
        <w:t>provides</w:t>
      </w:r>
      <w:r w:rsidRPr="00EC2648">
        <w:rPr>
          <w:rFonts w:ascii="Times New Roman" w:eastAsia="Times New Roman" w:hAnsi="Times New Roman" w:cs="Times New Roman"/>
          <w:color w:val="000000" w:themeColor="text1"/>
        </w:rPr>
        <w:t xml:space="preserve"> that regulations 44-46 apply to the provision and use of PPE, including the RPE provided under </w:t>
      </w:r>
      <w:r w:rsidR="006229C2">
        <w:rPr>
          <w:rFonts w:ascii="Times New Roman" w:eastAsia="Times New Roman" w:hAnsi="Times New Roman" w:cs="Times New Roman"/>
          <w:color w:val="000000" w:themeColor="text1"/>
        </w:rPr>
        <w:t>paragraph</w:t>
      </w:r>
      <w:r w:rsidRPr="00EC2648">
        <w:rPr>
          <w:rFonts w:ascii="Times New Roman" w:eastAsia="Times New Roman" w:hAnsi="Times New Roman" w:cs="Times New Roman"/>
          <w:color w:val="000000" w:themeColor="text1"/>
        </w:rPr>
        <w:t xml:space="preserve"> 529B(1)(c) and </w:t>
      </w:r>
      <w:r w:rsidR="006229C2">
        <w:rPr>
          <w:rFonts w:ascii="Times New Roman" w:eastAsia="Times New Roman" w:hAnsi="Times New Roman" w:cs="Times New Roman"/>
          <w:color w:val="000000" w:themeColor="text1"/>
        </w:rPr>
        <w:t xml:space="preserve">subregulation </w:t>
      </w:r>
      <w:r w:rsidRPr="00EC2648">
        <w:rPr>
          <w:rFonts w:ascii="Times New Roman" w:eastAsia="Times New Roman" w:hAnsi="Times New Roman" w:cs="Times New Roman"/>
          <w:color w:val="000000" w:themeColor="text1"/>
        </w:rPr>
        <w:t>(2). These regulations deal with the provision by a PCBU of PPE to workers and other persons (including in relation to its suitability, maintenance and use) and the duties of workers who are provided with PPE.</w:t>
      </w:r>
    </w:p>
    <w:p w14:paraId="6789B071" w14:textId="189367E6" w:rsidR="00324670" w:rsidRPr="00EC2648" w:rsidRDefault="025162F0" w:rsidP="1E0D23C5">
      <w:pPr>
        <w:spacing w:before="186"/>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529C Duty for processing of CSS to be controlled</w:t>
      </w:r>
    </w:p>
    <w:p w14:paraId="372E3EA3" w14:textId="54641037"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529C prohibits a PCBU from carrying out, or directing or allowing a worker to carry out, processing of a CSS unless the processing is controlled.</w:t>
      </w:r>
    </w:p>
    <w:p w14:paraId="5E34D280" w14:textId="77777777" w:rsidR="00D42A35" w:rsidRPr="00EC2648" w:rsidRDefault="00D42A35" w:rsidP="00C333DE">
      <w:pPr>
        <w:pStyle w:val="ListParagraph"/>
        <w:spacing w:after="0" w:line="257" w:lineRule="auto"/>
        <w:ind w:left="360"/>
        <w:rPr>
          <w:rFonts w:ascii="Times New Roman" w:eastAsia="Times New Roman" w:hAnsi="Times New Roman" w:cs="Times New Roman"/>
          <w:color w:val="000000" w:themeColor="text1"/>
        </w:rPr>
      </w:pPr>
    </w:p>
    <w:p w14:paraId="65A7643C" w14:textId="1142868E"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529C sets out that regulations 529D and 529F apply to the processing of engineered stone. Regulation 529D prohibits the processing of engineered stone benchtops, panels and slabs. Regulation 529F sets out limited exceptions to this prohibition, and requires that any permitted processing is controlled.</w:t>
      </w:r>
    </w:p>
    <w:p w14:paraId="48C33507" w14:textId="77777777" w:rsidR="00D42A35" w:rsidRPr="00EC2648" w:rsidRDefault="00D42A35" w:rsidP="00C333DE">
      <w:pPr>
        <w:spacing w:after="0" w:line="257" w:lineRule="auto"/>
        <w:rPr>
          <w:rFonts w:ascii="Times New Roman" w:eastAsia="Times New Roman" w:hAnsi="Times New Roman" w:cs="Times New Roman"/>
          <w:color w:val="000000" w:themeColor="text1"/>
        </w:rPr>
      </w:pPr>
    </w:p>
    <w:p w14:paraId="1E2D7FFB" w14:textId="612248F7" w:rsidR="3222700C" w:rsidRPr="00EC2648" w:rsidRDefault="3222700C"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2 to regulation 529C provides that section 12F of the WHS Act provides that strict liability applies to each physical element of each offence under the WHS Act, unless otherwise stated. The reference in section 12F of the WHS Act includes these Regulations.</w:t>
      </w:r>
    </w:p>
    <w:p w14:paraId="0D5CF6DE" w14:textId="77777777" w:rsidR="00D42A35" w:rsidRPr="00EC2648" w:rsidRDefault="00D42A35" w:rsidP="00C333DE">
      <w:pPr>
        <w:spacing w:after="0" w:line="257" w:lineRule="auto"/>
        <w:rPr>
          <w:rFonts w:ascii="Times New Roman" w:eastAsia="Times New Roman" w:hAnsi="Times New Roman" w:cs="Times New Roman"/>
          <w:color w:val="000000" w:themeColor="text1"/>
        </w:rPr>
      </w:pPr>
    </w:p>
    <w:p w14:paraId="03B5F468" w14:textId="247993C3" w:rsidR="3222700C" w:rsidRPr="00EC2648" w:rsidRDefault="3222700C"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295545DE" w14:textId="77777777" w:rsidR="00D42A35" w:rsidRPr="00EC2648" w:rsidRDefault="00D42A35" w:rsidP="00C333DE">
      <w:pPr>
        <w:spacing w:after="0" w:line="257" w:lineRule="auto"/>
        <w:rPr>
          <w:rFonts w:ascii="Times New Roman" w:eastAsia="Times New Roman" w:hAnsi="Times New Roman" w:cs="Times New Roman"/>
          <w:color w:val="000000" w:themeColor="text1"/>
        </w:rPr>
      </w:pPr>
    </w:p>
    <w:p w14:paraId="60636003" w14:textId="244F83E1" w:rsidR="5E386020" w:rsidRPr="00EC2648" w:rsidRDefault="5E38602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penalty for contravening regulation 529C is a tier E monetary penalty.</w:t>
      </w:r>
    </w:p>
    <w:p w14:paraId="44420F36" w14:textId="5D98995E" w:rsidR="00324670" w:rsidRPr="00EC2648" w:rsidRDefault="025162F0" w:rsidP="1E0D23C5">
      <w:pPr>
        <w:spacing w:before="183"/>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529CA Identifying processing of CSS that is a high risk</w:t>
      </w:r>
    </w:p>
    <w:p w14:paraId="647491DC" w14:textId="07317859" w:rsidR="00324670" w:rsidRDefault="19B116AD"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529CA(1) requires a PCBU at a workplace to assess the processing of a CSS carried out by the business or undertaking at the workplace to determine if the processing is high risk.</w:t>
      </w:r>
    </w:p>
    <w:p w14:paraId="43BB873C" w14:textId="77777777" w:rsidR="006229C2" w:rsidRPr="00EC2648" w:rsidRDefault="006229C2" w:rsidP="006229C2">
      <w:pPr>
        <w:pStyle w:val="ListParagraph"/>
        <w:spacing w:after="0" w:line="257" w:lineRule="auto"/>
        <w:ind w:left="360"/>
        <w:rPr>
          <w:rFonts w:ascii="Times New Roman" w:eastAsia="Times New Roman" w:hAnsi="Times New Roman" w:cs="Times New Roman"/>
          <w:color w:val="000000" w:themeColor="text1"/>
        </w:rPr>
      </w:pPr>
    </w:p>
    <w:p w14:paraId="7DDC65C2" w14:textId="1A1A5622" w:rsidR="6F215EEE" w:rsidRPr="00EC2648" w:rsidRDefault="6F215EEE"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529CA(1) provides that section 12F of the WHS Act provides that strict liability applies to each physical element of each offence under the WHS Act, unless otherwise stated. The reference in section 12F of the WHS Act includes these Regulations.</w:t>
      </w:r>
    </w:p>
    <w:p w14:paraId="7B2AD8A4" w14:textId="77777777" w:rsidR="00D42A35" w:rsidRPr="00EC2648" w:rsidRDefault="00D42A35" w:rsidP="00C333DE">
      <w:pPr>
        <w:pStyle w:val="ListParagraph"/>
        <w:spacing w:after="0" w:line="257" w:lineRule="auto"/>
        <w:ind w:left="360"/>
        <w:rPr>
          <w:rFonts w:ascii="Times New Roman" w:eastAsia="Times New Roman" w:hAnsi="Times New Roman" w:cs="Times New Roman"/>
          <w:color w:val="000000" w:themeColor="text1"/>
        </w:rPr>
      </w:pPr>
    </w:p>
    <w:p w14:paraId="227BF934" w14:textId="67265E2E" w:rsidR="6F215EEE" w:rsidRPr="00EC2648" w:rsidRDefault="6F215EEE"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The use of strict liability in WHS offences is explained above in Schedule 1.</w:t>
      </w:r>
    </w:p>
    <w:p w14:paraId="0AA8BC38" w14:textId="77777777" w:rsidR="00D42A35" w:rsidRPr="00EC2648" w:rsidRDefault="00D42A35" w:rsidP="00C333DE">
      <w:pPr>
        <w:spacing w:after="0" w:line="257" w:lineRule="auto"/>
        <w:rPr>
          <w:rFonts w:ascii="Times New Roman" w:eastAsia="Times New Roman" w:hAnsi="Times New Roman" w:cs="Times New Roman"/>
          <w:color w:val="000000" w:themeColor="text1"/>
        </w:rPr>
      </w:pPr>
    </w:p>
    <w:p w14:paraId="6C0392A0" w14:textId="4FC56437"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529CA(1) is a tier E monetary penalty.</w:t>
      </w:r>
    </w:p>
    <w:p w14:paraId="6C7FC4D8" w14:textId="77777777" w:rsidR="00D879A2" w:rsidRPr="00EC2648" w:rsidRDefault="00D879A2" w:rsidP="00C333DE">
      <w:pPr>
        <w:pStyle w:val="ListParagraph"/>
        <w:rPr>
          <w:rFonts w:ascii="Times New Roman" w:eastAsia="Times New Roman" w:hAnsi="Times New Roman" w:cs="Times New Roman"/>
          <w:color w:val="000000" w:themeColor="text1"/>
        </w:rPr>
      </w:pPr>
    </w:p>
    <w:p w14:paraId="05FCEF40" w14:textId="633D1E5E"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In assessing whether the processing of a CSS is high risk,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529CA(2) requires the person to have regard to the matters listed at paragraphs 529CA(2)(a)-(</w:t>
      </w:r>
      <w:r w:rsidR="00245112" w:rsidRPr="00EC2648">
        <w:rPr>
          <w:rFonts w:ascii="Times New Roman" w:eastAsia="Times New Roman" w:hAnsi="Times New Roman" w:cs="Times New Roman"/>
          <w:color w:val="000000" w:themeColor="text1"/>
        </w:rPr>
        <w:t>g</w:t>
      </w:r>
      <w:r w:rsidRPr="00EC2648">
        <w:rPr>
          <w:rFonts w:ascii="Times New Roman" w:eastAsia="Times New Roman" w:hAnsi="Times New Roman" w:cs="Times New Roman"/>
          <w:color w:val="000000" w:themeColor="text1"/>
        </w:rPr>
        <w:t>) which are:</w:t>
      </w:r>
    </w:p>
    <w:p w14:paraId="16AC2CAB" w14:textId="77777777" w:rsidR="00D879A2" w:rsidRPr="00EC2648" w:rsidRDefault="00D879A2" w:rsidP="00C333DE">
      <w:pPr>
        <w:pStyle w:val="ListParagraph"/>
        <w:spacing w:after="0" w:line="257" w:lineRule="auto"/>
        <w:ind w:left="360"/>
        <w:rPr>
          <w:rFonts w:ascii="Times New Roman" w:eastAsia="Times New Roman" w:hAnsi="Times New Roman" w:cs="Times New Roman"/>
          <w:color w:val="000000" w:themeColor="text1"/>
        </w:rPr>
      </w:pPr>
    </w:p>
    <w:p w14:paraId="5932A588" w14:textId="54641037" w:rsidR="00324670" w:rsidRPr="00EC2648" w:rsidRDefault="025162F0" w:rsidP="00E1337D">
      <w:pPr>
        <w:pStyle w:val="ListParagraph"/>
        <w:numPr>
          <w:ilvl w:val="0"/>
          <w:numId w:val="14"/>
        </w:numPr>
        <w:spacing w:after="0"/>
        <w:rPr>
          <w:rFonts w:ascii="Times New Roman" w:eastAsia="Times New Roman" w:hAnsi="Times New Roman" w:cs="Times New Roman"/>
        </w:rPr>
      </w:pPr>
      <w:r w:rsidRPr="00EC2648">
        <w:rPr>
          <w:rFonts w:ascii="Times New Roman" w:eastAsia="Times New Roman" w:hAnsi="Times New Roman" w:cs="Times New Roman"/>
        </w:rPr>
        <w:t>the specific processing that will be undertaken</w:t>
      </w:r>
    </w:p>
    <w:p w14:paraId="2D852B24" w14:textId="54641037" w:rsidR="00324670" w:rsidRPr="00EC2648" w:rsidRDefault="025162F0" w:rsidP="00E1337D">
      <w:pPr>
        <w:pStyle w:val="ListParagraph"/>
        <w:numPr>
          <w:ilvl w:val="0"/>
          <w:numId w:val="14"/>
        </w:numPr>
        <w:spacing w:after="0"/>
        <w:rPr>
          <w:rFonts w:ascii="Times New Roman" w:eastAsia="Times New Roman" w:hAnsi="Times New Roman" w:cs="Times New Roman"/>
        </w:rPr>
      </w:pPr>
      <w:r w:rsidRPr="00EC2648">
        <w:rPr>
          <w:rFonts w:ascii="Times New Roman" w:eastAsia="Times New Roman" w:hAnsi="Times New Roman" w:cs="Times New Roman"/>
        </w:rPr>
        <w:t>the form or forms of crystalline silica present in the CSS</w:t>
      </w:r>
    </w:p>
    <w:p w14:paraId="03B8AADF" w14:textId="54641037" w:rsidR="00324670" w:rsidRPr="00EC2648" w:rsidRDefault="025162F0" w:rsidP="00E1337D">
      <w:pPr>
        <w:pStyle w:val="ListParagraph"/>
        <w:numPr>
          <w:ilvl w:val="0"/>
          <w:numId w:val="14"/>
        </w:numPr>
        <w:spacing w:after="0"/>
        <w:ind w:right="1296"/>
        <w:rPr>
          <w:rFonts w:ascii="Times New Roman" w:eastAsia="Times New Roman" w:hAnsi="Times New Roman" w:cs="Times New Roman"/>
        </w:rPr>
      </w:pPr>
      <w:r w:rsidRPr="00EC2648">
        <w:rPr>
          <w:rFonts w:ascii="Times New Roman" w:eastAsia="Times New Roman" w:hAnsi="Times New Roman" w:cs="Times New Roman"/>
        </w:rPr>
        <w:t>the proportion of crystalline silica contained in the CSS (determined as a weight/weight (w/w) concentration)</w:t>
      </w:r>
    </w:p>
    <w:p w14:paraId="561D7365" w14:textId="6BB39982" w:rsidR="00324670" w:rsidRPr="00EC2648" w:rsidRDefault="025162F0" w:rsidP="00E1337D">
      <w:pPr>
        <w:pStyle w:val="ListParagraph"/>
        <w:numPr>
          <w:ilvl w:val="0"/>
          <w:numId w:val="14"/>
        </w:numPr>
        <w:spacing w:after="0"/>
        <w:ind w:right="72"/>
        <w:jc w:val="both"/>
        <w:rPr>
          <w:rFonts w:ascii="Times New Roman" w:eastAsia="Times New Roman" w:hAnsi="Times New Roman" w:cs="Times New Roman"/>
        </w:rPr>
      </w:pPr>
      <w:r w:rsidRPr="00EC2648">
        <w:rPr>
          <w:rFonts w:ascii="Times New Roman" w:eastAsia="Times New Roman" w:hAnsi="Times New Roman" w:cs="Times New Roman"/>
        </w:rPr>
        <w:t>the hazards associated with the work, including the likely frequency and duration that a person will be exposed to respirable crystalline silica</w:t>
      </w:r>
    </w:p>
    <w:p w14:paraId="088BCBB5" w14:textId="447C8CF8" w:rsidR="00324670" w:rsidRPr="00EC2648" w:rsidRDefault="025162F0" w:rsidP="00E1337D">
      <w:pPr>
        <w:pStyle w:val="ListParagraph"/>
        <w:numPr>
          <w:ilvl w:val="0"/>
          <w:numId w:val="14"/>
        </w:numPr>
        <w:spacing w:after="0"/>
        <w:ind w:right="792"/>
        <w:rPr>
          <w:rFonts w:ascii="Times New Roman" w:eastAsia="Times New Roman" w:hAnsi="Times New Roman" w:cs="Times New Roman"/>
        </w:rPr>
      </w:pPr>
      <w:r w:rsidRPr="00EC2648">
        <w:rPr>
          <w:rFonts w:ascii="Times New Roman" w:eastAsia="Times New Roman" w:hAnsi="Times New Roman" w:cs="Times New Roman"/>
        </w:rPr>
        <w:t>whether the airborne concentration of RCS that is present at the workplace is reasonably likely to exceed half the workplace exposure standard</w:t>
      </w:r>
    </w:p>
    <w:p w14:paraId="0A5167AC" w14:textId="56BB3A6D" w:rsidR="00945C61" w:rsidRPr="00EC2648" w:rsidRDefault="00945C61" w:rsidP="00945C61">
      <w:pPr>
        <w:pStyle w:val="ListParagraph"/>
        <w:numPr>
          <w:ilvl w:val="0"/>
          <w:numId w:val="14"/>
        </w:numPr>
        <w:spacing w:after="0"/>
        <w:ind w:right="792"/>
        <w:rPr>
          <w:rFonts w:ascii="Times New Roman" w:eastAsia="Times New Roman" w:hAnsi="Times New Roman" w:cs="Times New Roman"/>
          <w:lang w:val="en-GB"/>
        </w:rPr>
      </w:pPr>
      <w:r w:rsidRPr="00EC2648">
        <w:rPr>
          <w:rFonts w:ascii="Times New Roman" w:eastAsia="Times New Roman" w:hAnsi="Times New Roman" w:cs="Times New Roman"/>
        </w:rPr>
        <w:t>any relevant air and health monitoring</w:t>
      </w:r>
      <w:r w:rsidR="00EE5CDF" w:rsidRPr="00EC2648">
        <w:rPr>
          <w:rFonts w:ascii="Times New Roman" w:eastAsia="Times New Roman" w:hAnsi="Times New Roman" w:cs="Times New Roman"/>
        </w:rPr>
        <w:t xml:space="preserve"> results</w:t>
      </w:r>
      <w:r w:rsidRPr="00EC2648">
        <w:rPr>
          <w:rFonts w:ascii="Times New Roman" w:eastAsia="Times New Roman" w:hAnsi="Times New Roman" w:cs="Times New Roman"/>
        </w:rPr>
        <w:t xml:space="preserve"> previously undertaken at the workplace, and</w:t>
      </w:r>
    </w:p>
    <w:p w14:paraId="13CBBE54" w14:textId="31F51A80" w:rsidR="00945C61" w:rsidRPr="00EC2648" w:rsidRDefault="00945C61" w:rsidP="00945C61">
      <w:pPr>
        <w:pStyle w:val="ListParagraph"/>
        <w:numPr>
          <w:ilvl w:val="0"/>
          <w:numId w:val="14"/>
        </w:numPr>
        <w:spacing w:after="0"/>
        <w:ind w:right="792"/>
        <w:rPr>
          <w:rFonts w:ascii="Times New Roman" w:eastAsia="Times New Roman" w:hAnsi="Times New Roman" w:cs="Times New Roman"/>
          <w:lang w:val="en-GB"/>
        </w:rPr>
      </w:pPr>
      <w:r w:rsidRPr="00EC2648">
        <w:rPr>
          <w:rFonts w:ascii="Times New Roman" w:eastAsia="Times New Roman" w:hAnsi="Times New Roman" w:cs="Times New Roman"/>
        </w:rPr>
        <w:t>any previous incidents, illnesses or diseases associated with exposure to respirable crystalline silica at the workplace.</w:t>
      </w:r>
    </w:p>
    <w:p w14:paraId="7C8BD6B0" w14:textId="54641037" w:rsidR="00324670" w:rsidRPr="00EC2648" w:rsidRDefault="025162F0" w:rsidP="358883A3">
      <w:pPr>
        <w:tabs>
          <w:tab w:val="left" w:pos="720"/>
        </w:tabs>
        <w:spacing w:before="18" w:after="0"/>
        <w:ind w:left="720" w:right="792"/>
      </w:pPr>
      <w:r w:rsidRPr="00EC2648">
        <w:rPr>
          <w:rFonts w:ascii="Times New Roman" w:eastAsia="Times New Roman" w:hAnsi="Times New Roman" w:cs="Times New Roman"/>
          <w:color w:val="000000" w:themeColor="text1"/>
        </w:rPr>
        <w:t xml:space="preserve"> </w:t>
      </w:r>
    </w:p>
    <w:p w14:paraId="1F73CCDA" w14:textId="67BD3B24"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Paragraph 529CA(3)(a) provides that in assessing whether the processing of a CSS is high risk, the person must not rely on the control measures implemented under paragraph 529B(1)(b). This is because a PCBU must have regard to all the matters specified in paragraphs 529CA(2)(a)-(</w:t>
      </w:r>
      <w:r w:rsidR="001647EF" w:rsidRPr="00EC2648">
        <w:rPr>
          <w:rFonts w:ascii="Times New Roman" w:eastAsia="Times New Roman" w:hAnsi="Times New Roman" w:cs="Times New Roman"/>
          <w:color w:val="000000" w:themeColor="text1"/>
        </w:rPr>
        <w:t>g</w:t>
      </w:r>
      <w:r w:rsidRPr="00EC2648">
        <w:rPr>
          <w:rFonts w:ascii="Times New Roman" w:eastAsia="Times New Roman" w:hAnsi="Times New Roman" w:cs="Times New Roman"/>
          <w:color w:val="000000" w:themeColor="text1"/>
        </w:rPr>
        <w:t>) to determine if the processing is high risk. The implementation of control measures, including the implementation of control measures in accordance regulation 529B, will not necessarily mean that the processing is not high risk.</w:t>
      </w:r>
    </w:p>
    <w:p w14:paraId="27E0B9D5" w14:textId="77777777" w:rsidR="00D879A2" w:rsidRPr="00EC2648" w:rsidRDefault="00D879A2" w:rsidP="00C333DE">
      <w:pPr>
        <w:pStyle w:val="ListParagraph"/>
        <w:spacing w:after="0" w:line="257" w:lineRule="auto"/>
        <w:ind w:left="360"/>
        <w:rPr>
          <w:rFonts w:ascii="Times New Roman" w:eastAsia="Times New Roman" w:hAnsi="Times New Roman" w:cs="Times New Roman"/>
          <w:color w:val="000000" w:themeColor="text1"/>
        </w:rPr>
      </w:pPr>
    </w:p>
    <w:p w14:paraId="7C7499C0" w14:textId="54641037"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Paragraph 529CA(3)(b) provides that in assessing whether the processing of a CSS is high risk, the person must not have regard to the use of PPE and administrative controls used to control the risks associated with RCS. These types of control measures are excluded from the assessment on the basis that they provide the lowest level of protection and reliability.</w:t>
      </w:r>
    </w:p>
    <w:p w14:paraId="4EB962BA" w14:textId="77777777" w:rsidR="00D879A2" w:rsidRPr="00EC2648" w:rsidRDefault="00D879A2" w:rsidP="00C333DE">
      <w:pPr>
        <w:pStyle w:val="ListParagraph"/>
        <w:rPr>
          <w:rFonts w:ascii="Times New Roman" w:eastAsia="Times New Roman" w:hAnsi="Times New Roman" w:cs="Times New Roman"/>
          <w:color w:val="000000" w:themeColor="text1"/>
        </w:rPr>
      </w:pPr>
    </w:p>
    <w:p w14:paraId="7A4BD4F3" w14:textId="6EDA5F35" w:rsidR="00D879A2"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529CA(4) provides that the PCBU must ensure that a risk assessment conducted under </w:t>
      </w: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529CA(1) is recorded in writing</w:t>
      </w:r>
      <w:r w:rsidR="00A416B6" w:rsidRPr="00EC2648">
        <w:rPr>
          <w:rFonts w:ascii="Times New Roman" w:eastAsia="Times New Roman" w:hAnsi="Times New Roman" w:cs="Times New Roman"/>
          <w:color w:val="000000" w:themeColor="text1"/>
        </w:rPr>
        <w:t>.</w:t>
      </w:r>
    </w:p>
    <w:p w14:paraId="539B2F94" w14:textId="77777777" w:rsidR="00D879A2" w:rsidRPr="00EC2648" w:rsidRDefault="00D879A2" w:rsidP="00C333DE"/>
    <w:p w14:paraId="654F2DA0" w14:textId="23B4367D" w:rsidR="246BE5B8" w:rsidRPr="00EC2648" w:rsidRDefault="246BE5B8"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529CA(4) provides that section 12F of the WHS Act provides that strict liability applies to each physical element of each offence under the WHS Act, unless otherwise stated. The reference in section 12F of the WHS Act includes these Regulations.</w:t>
      </w:r>
    </w:p>
    <w:p w14:paraId="65496B1F" w14:textId="77777777" w:rsidR="00D879A2" w:rsidRPr="00EC2648" w:rsidRDefault="00D879A2" w:rsidP="00C333DE">
      <w:pPr>
        <w:pStyle w:val="ListParagraph"/>
        <w:spacing w:after="0" w:line="257" w:lineRule="auto"/>
        <w:ind w:left="360"/>
        <w:rPr>
          <w:rFonts w:ascii="Times New Roman" w:eastAsia="Times New Roman" w:hAnsi="Times New Roman" w:cs="Times New Roman"/>
          <w:color w:val="000000" w:themeColor="text1"/>
        </w:rPr>
      </w:pPr>
    </w:p>
    <w:p w14:paraId="59D283DD" w14:textId="45F7E958" w:rsidR="246BE5B8" w:rsidRPr="00EC2648" w:rsidRDefault="246BE5B8"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301B85E3" w14:textId="77777777" w:rsidR="00D879A2" w:rsidRPr="00EC2648" w:rsidRDefault="00D879A2" w:rsidP="00C333DE">
      <w:pPr>
        <w:pStyle w:val="ListParagraph"/>
        <w:rPr>
          <w:rFonts w:ascii="Times New Roman" w:eastAsia="Times New Roman" w:hAnsi="Times New Roman" w:cs="Times New Roman"/>
          <w:color w:val="000000" w:themeColor="text1"/>
        </w:rPr>
      </w:pPr>
    </w:p>
    <w:p w14:paraId="6F7953C7" w14:textId="63E8C4E2"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529CA(4) is a tier I monetary penalty.</w:t>
      </w:r>
    </w:p>
    <w:p w14:paraId="58ECF64C" w14:textId="77777777" w:rsidR="00D879A2" w:rsidRPr="00EC2648" w:rsidRDefault="00D879A2" w:rsidP="00C333DE">
      <w:pPr>
        <w:pStyle w:val="ListParagraph"/>
        <w:spacing w:after="0" w:line="257" w:lineRule="auto"/>
        <w:ind w:left="360"/>
        <w:rPr>
          <w:rFonts w:ascii="Times New Roman" w:eastAsia="Times New Roman" w:hAnsi="Times New Roman" w:cs="Times New Roman"/>
          <w:color w:val="000000" w:themeColor="text1"/>
        </w:rPr>
      </w:pPr>
    </w:p>
    <w:p w14:paraId="4E332628" w14:textId="5C46BE26"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If a PCBU is unable to determine whether the processing of CSS carried out at the workplace is high risk, the processing is taken to be high risk until the person determines —in accordance with the process in regulation 529CA — that the processing is not high risk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529CA(5)).</w:t>
      </w:r>
    </w:p>
    <w:p w14:paraId="3C45A349" w14:textId="77777777" w:rsidR="00D879A2" w:rsidRPr="00EC2648" w:rsidRDefault="00D879A2" w:rsidP="00C333DE">
      <w:pPr>
        <w:spacing w:after="0" w:line="257" w:lineRule="auto"/>
        <w:rPr>
          <w:rFonts w:ascii="Times New Roman" w:eastAsia="Times New Roman" w:hAnsi="Times New Roman" w:cs="Times New Roman"/>
          <w:color w:val="000000" w:themeColor="text1"/>
        </w:rPr>
      </w:pPr>
    </w:p>
    <w:p w14:paraId="021ADCF4" w14:textId="2BF5823A" w:rsidR="00324670" w:rsidRPr="00EC2648" w:rsidRDefault="025162F0" w:rsidP="1E0D23C5">
      <w:pPr>
        <w:spacing w:before="168"/>
        <w:ind w:right="144"/>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529CB Silica risk control plan required for processing of CSS that is high risk</w:t>
      </w:r>
    </w:p>
    <w:p w14:paraId="01F196E3" w14:textId="5520BA6C"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529CB(1) requires that where a PCBU is carrying out the processing of a CSS that is high risk, before the processing commences, the PCBU must ensure that a silica risk control plan for the processing is prepared, or has already been prepared by another person.</w:t>
      </w:r>
    </w:p>
    <w:p w14:paraId="4B97C034" w14:textId="77777777" w:rsidR="00BD3BA7" w:rsidRPr="00EC2648" w:rsidRDefault="00BD3BA7" w:rsidP="00C333DE">
      <w:pPr>
        <w:pStyle w:val="ListParagraph"/>
        <w:spacing w:after="0" w:line="257" w:lineRule="auto"/>
        <w:ind w:left="360"/>
        <w:rPr>
          <w:rFonts w:ascii="Times New Roman" w:eastAsia="Times New Roman" w:hAnsi="Times New Roman" w:cs="Times New Roman"/>
          <w:color w:val="000000" w:themeColor="text1"/>
        </w:rPr>
      </w:pPr>
    </w:p>
    <w:p w14:paraId="4C8A3981" w14:textId="77777777" w:rsidR="004410DC"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regulation 529CB(1) is a tier E monetary penalty. </w:t>
      </w:r>
    </w:p>
    <w:p w14:paraId="6DCCE4E6" w14:textId="77777777" w:rsidR="004410DC" w:rsidRPr="00EC2648" w:rsidRDefault="004410DC" w:rsidP="00C333DE">
      <w:pPr>
        <w:pStyle w:val="ListParagraph"/>
        <w:rPr>
          <w:rFonts w:ascii="Times New Roman" w:eastAsia="Times New Roman" w:hAnsi="Times New Roman" w:cs="Times New Roman"/>
          <w:color w:val="000000" w:themeColor="text1"/>
        </w:rPr>
      </w:pPr>
    </w:p>
    <w:p w14:paraId="63037685" w14:textId="7676F462"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Paragraphs 529CB(2)(a)-(</w:t>
      </w:r>
      <w:r w:rsidR="0030792C" w:rsidRPr="00EC2648">
        <w:rPr>
          <w:rFonts w:ascii="Times New Roman" w:eastAsia="Times New Roman" w:hAnsi="Times New Roman" w:cs="Times New Roman"/>
          <w:color w:val="000000" w:themeColor="text1"/>
        </w:rPr>
        <w:t xml:space="preserve">d) </w:t>
      </w:r>
      <w:r w:rsidRPr="00EC2648">
        <w:rPr>
          <w:rFonts w:ascii="Times New Roman" w:eastAsia="Times New Roman" w:hAnsi="Times New Roman" w:cs="Times New Roman"/>
          <w:color w:val="000000" w:themeColor="text1"/>
        </w:rPr>
        <w:t>set out a list of requirements for a silica risk control plan.</w:t>
      </w:r>
    </w:p>
    <w:p w14:paraId="0C1F33B3" w14:textId="77777777" w:rsidR="00BD3BA7" w:rsidRPr="00EC2648" w:rsidRDefault="00BD3BA7" w:rsidP="00C333DE">
      <w:pPr>
        <w:spacing w:after="0" w:line="257" w:lineRule="auto"/>
        <w:rPr>
          <w:rFonts w:ascii="Times New Roman" w:eastAsia="Times New Roman" w:hAnsi="Times New Roman" w:cs="Times New Roman"/>
          <w:color w:val="000000" w:themeColor="text1"/>
        </w:rPr>
      </w:pPr>
    </w:p>
    <w:p w14:paraId="4E0C4A88" w14:textId="1E25E69B"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529CB(3) provides that a silica risk control plan is not required to be prepared before the processing of a CSS that is high risk if:</w:t>
      </w:r>
    </w:p>
    <w:p w14:paraId="28C84368" w14:textId="77777777" w:rsidR="00BD3BA7" w:rsidRPr="00EC2648" w:rsidRDefault="00BD3BA7" w:rsidP="00C333DE">
      <w:pPr>
        <w:pStyle w:val="ListParagraph"/>
        <w:rPr>
          <w:rFonts w:ascii="Times New Roman" w:eastAsia="Times New Roman" w:hAnsi="Times New Roman" w:cs="Times New Roman"/>
          <w:color w:val="000000" w:themeColor="text1"/>
        </w:rPr>
      </w:pPr>
    </w:p>
    <w:p w14:paraId="58010E88" w14:textId="54641037" w:rsidR="00324670" w:rsidRPr="00EC2648" w:rsidRDefault="025162F0" w:rsidP="00E1337D">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processing is also high risk construction work, and</w:t>
      </w:r>
    </w:p>
    <w:p w14:paraId="70933AB9" w14:textId="54641037" w:rsidR="00324670" w:rsidRPr="00EC2648" w:rsidRDefault="025162F0" w:rsidP="00E1337D">
      <w:pPr>
        <w:pStyle w:val="ListParagraph"/>
        <w:numPr>
          <w:ilvl w:val="0"/>
          <w:numId w:val="14"/>
        </w:numPr>
        <w:spacing w:after="0"/>
        <w:ind w:right="144"/>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safe work method statement is prepared or has already been prepared by another person before the processing commences, and</w:t>
      </w:r>
    </w:p>
    <w:p w14:paraId="12CC2225" w14:textId="396BE643" w:rsidR="00324670" w:rsidRPr="00EC2648" w:rsidRDefault="025162F0" w:rsidP="00E1337D">
      <w:pPr>
        <w:pStyle w:val="ListParagraph"/>
        <w:numPr>
          <w:ilvl w:val="0"/>
          <w:numId w:val="14"/>
        </w:numPr>
        <w:spacing w:after="0"/>
        <w:ind w:right="936"/>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safe work method statement satisfies the requirements in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529CB(2).</w:t>
      </w:r>
    </w:p>
    <w:p w14:paraId="235473F9" w14:textId="4966163B" w:rsidR="00324670" w:rsidRPr="00EC2648" w:rsidRDefault="025162F0" w:rsidP="358883A3">
      <w:pPr>
        <w:spacing w:before="177"/>
      </w:pPr>
      <w:r w:rsidRPr="00EC2648">
        <w:rPr>
          <w:rFonts w:ascii="Times New Roman" w:eastAsia="Times New Roman" w:hAnsi="Times New Roman" w:cs="Times New Roman"/>
          <w:b/>
          <w:bCs/>
          <w:color w:val="000000" w:themeColor="text1"/>
        </w:rPr>
        <w:t>529CC Compliance with silica risk control plan</w:t>
      </w:r>
    </w:p>
    <w:p w14:paraId="0238C7D5" w14:textId="59DEF8CC"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529CC(1) requires a PCBU, carrying out the processing of a CSS that is high risk, to put in place arrangements for ensuring that processing is carried out in accordance with the silica risk control plan, including by ensuring that the silica risk control plan is available to all workers and provided to all workers before they commence the processing.</w:t>
      </w:r>
    </w:p>
    <w:p w14:paraId="7E7E2546"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1541F9F7" w14:textId="05D3B40B" w:rsidR="5E17C433" w:rsidRPr="00EC2648" w:rsidRDefault="5E17C433"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529CC(1) provides that section 12F of the WHS Act provides that strict liability applies to each physical element of each offence under the WHS Act, unless otherwise stated. The reference in section 12F of the WHS Act includes these Regulations.</w:t>
      </w:r>
    </w:p>
    <w:p w14:paraId="24D68E16" w14:textId="77777777" w:rsidR="007E04E3" w:rsidRPr="00EC2648" w:rsidRDefault="007E04E3" w:rsidP="00C333DE">
      <w:pPr>
        <w:spacing w:after="0" w:line="257" w:lineRule="auto"/>
        <w:rPr>
          <w:rFonts w:ascii="Times New Roman" w:eastAsia="Times New Roman" w:hAnsi="Times New Roman" w:cs="Times New Roman"/>
          <w:color w:val="000000" w:themeColor="text1"/>
        </w:rPr>
      </w:pPr>
    </w:p>
    <w:p w14:paraId="4FE67F3E" w14:textId="52BFBE9E" w:rsidR="5E17C433" w:rsidRPr="00EC2648" w:rsidRDefault="5E17C433"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3F4B6923"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47007FE5" w14:textId="6B517F68"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529CC(1) is a tier E monetary penalty.</w:t>
      </w:r>
    </w:p>
    <w:p w14:paraId="1621EA12"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2EF27890" w14:textId="7E389ACF"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529CC(2) provides that if the processing of a CSS that is high risk is not carried out in accordance with the silica risk control plan for the process, the person must ensure that the processing is stopped immediately and </w:t>
      </w:r>
      <w:r w:rsidR="001F7CA6" w:rsidRPr="00EC2648">
        <w:rPr>
          <w:rFonts w:ascii="Times New Roman" w:eastAsia="Times New Roman" w:hAnsi="Times New Roman" w:cs="Times New Roman"/>
          <w:color w:val="000000" w:themeColor="text1"/>
        </w:rPr>
        <w:t xml:space="preserve">is </w:t>
      </w:r>
      <w:r w:rsidR="025162F0" w:rsidRPr="00EC2648">
        <w:rPr>
          <w:rFonts w:ascii="Times New Roman" w:eastAsia="Times New Roman" w:hAnsi="Times New Roman" w:cs="Times New Roman"/>
          <w:color w:val="000000" w:themeColor="text1"/>
        </w:rPr>
        <w:t>resumed only in accordance with the silica risk control plan.</w:t>
      </w:r>
    </w:p>
    <w:p w14:paraId="38347EB6"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1B580BD7" w14:textId="449C464D" w:rsidR="7395AC2A" w:rsidRPr="00EC2648" w:rsidRDefault="7395AC2A"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529CC(2) provides that section 12F of the WHS Act provides that strict liability applies to each physical element of each offence under the WHS Act, unless otherwise stated. The reference in section 12F of the WHS Act includes these Regulations.</w:t>
      </w:r>
    </w:p>
    <w:p w14:paraId="0014B250"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6C114275" w14:textId="21009196" w:rsidR="7395AC2A" w:rsidRPr="00EC2648" w:rsidRDefault="7395AC2A"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48CA4B1A"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38445DC3" w14:textId="26B2CCDC"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529CC(2) is a tier E monetary penalty.</w:t>
      </w:r>
    </w:p>
    <w:p w14:paraId="0E82954B"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3BB756A4" w14:textId="24379A0E"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529CC(3) requires a PCBU to ensure that a silica risk control plan is reviewed and revised as necessary if relevant control measures are revised under regulation 38 (Review of control measures).</w:t>
      </w:r>
    </w:p>
    <w:p w14:paraId="4D561E9E"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36077209" w14:textId="7693BAAD"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529CC(3) is a tier G monetary penalty.</w:t>
      </w:r>
    </w:p>
    <w:p w14:paraId="4FCCDC6E" w14:textId="72A8FF17" w:rsidR="00324670" w:rsidRPr="00EC2648" w:rsidRDefault="025162F0" w:rsidP="358883A3">
      <w:pPr>
        <w:spacing w:before="182"/>
      </w:pPr>
      <w:r w:rsidRPr="00EC2648">
        <w:rPr>
          <w:rFonts w:ascii="Times New Roman" w:eastAsia="Times New Roman" w:hAnsi="Times New Roman" w:cs="Times New Roman"/>
          <w:b/>
          <w:bCs/>
          <w:color w:val="000000" w:themeColor="text1"/>
        </w:rPr>
        <w:t>529CD Duty to train workers about the risks of crystalline silica</w:t>
      </w:r>
    </w:p>
    <w:p w14:paraId="4DAEBEFA" w14:textId="6C04C7E9"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529CD(1) requires a PCBU to ensure that a worker receives crystalline silica training if the PCBU reasonably believes that the worker may be involved in the processing of a CSS that is high risk, or may be at risk of exposure to RCS because of the processing of a CSS that is high risk. The training must either be a course accredited by the National VET Regulator or approved by the WHS regulator.</w:t>
      </w:r>
    </w:p>
    <w:p w14:paraId="763E7BF9"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35094C0C" w14:textId="18691C13" w:rsidR="624526BE" w:rsidRPr="00EC2648" w:rsidRDefault="624526BE"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529CD(1) provides that section 12F of the WHS Act provides that strict liability applies to each physical element of each offence under the WHS Act, unless otherwise stated. The reference in section 12F of the WHS Act includes these Regulations.</w:t>
      </w:r>
    </w:p>
    <w:p w14:paraId="5F9A8D2D"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5C75A4A2" w14:textId="2DDDE755" w:rsidR="624526BE" w:rsidRPr="00EC2648" w:rsidRDefault="624526BE"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7DF5AE44"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23A9B5D7" w14:textId="617F76C7"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529CD(1) is a tier E monetary penalty.</w:t>
      </w:r>
    </w:p>
    <w:p w14:paraId="534DAFD2"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4A3E937C" w14:textId="089A102D"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 PCBU must ensure that a record is kept of the training undertaken by the worker while the worker is carrying out the processing of a CSS that is high risk, and for 5 years after the day the worker ceases working for the person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529CD(2)).</w:t>
      </w:r>
    </w:p>
    <w:p w14:paraId="151E5B8C"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05124CD0" w14:textId="03DD8B10" w:rsidR="36D95446" w:rsidRPr="00EC2648" w:rsidRDefault="36D95446"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 xml:space="preserve">The note to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529CD(</w:t>
      </w:r>
      <w:r w:rsidR="1CBCA965" w:rsidRPr="00EC2648">
        <w:rPr>
          <w:rFonts w:ascii="Times New Roman" w:eastAsia="Times New Roman" w:hAnsi="Times New Roman" w:cs="Times New Roman"/>
          <w:color w:val="000000" w:themeColor="text1"/>
        </w:rPr>
        <w:t>2</w:t>
      </w:r>
      <w:r w:rsidRPr="00EC2648">
        <w:rPr>
          <w:rFonts w:ascii="Times New Roman" w:eastAsia="Times New Roman" w:hAnsi="Times New Roman" w:cs="Times New Roman"/>
          <w:color w:val="000000" w:themeColor="text1"/>
        </w:rPr>
        <w:t>) provides that section 12F of the WHS Act provides that strict liability applies to each physical element of each offence under the WHS Act, unless otherwise stated. The reference in section 12F of the WHS Act includes these Regulations.</w:t>
      </w:r>
    </w:p>
    <w:p w14:paraId="5F93315C"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0BF560AB" w14:textId="3500786E" w:rsidR="36D95446" w:rsidRPr="00EC2648" w:rsidRDefault="36D95446"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30346883"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36D9AADE" w14:textId="76BF5303"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529CD(2) is a tier I monetary penalty.</w:t>
      </w:r>
    </w:p>
    <w:p w14:paraId="0CA1C064"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4754C5D0" w14:textId="5972AF4E" w:rsidR="00324670" w:rsidRPr="00EC2648" w:rsidRDefault="19B116A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Subregulation</w:t>
      </w:r>
      <w:r w:rsidR="025162F0" w:rsidRPr="00EC2648">
        <w:rPr>
          <w:rFonts w:ascii="Times New Roman" w:eastAsia="Times New Roman" w:hAnsi="Times New Roman" w:cs="Times New Roman"/>
          <w:color w:val="000000" w:themeColor="text1"/>
        </w:rPr>
        <w:t xml:space="preserve"> 529CD(3) requires the PCBU to keep the record available for inspection under the Act. </w:t>
      </w:r>
    </w:p>
    <w:p w14:paraId="3A0C1BC8"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40472753" w14:textId="129AEF28" w:rsidR="00324670" w:rsidRPr="00EC2648" w:rsidRDefault="7C0F1BF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note to </w:t>
      </w:r>
      <w:r w:rsidR="006229C2">
        <w:rPr>
          <w:rFonts w:ascii="Times New Roman" w:eastAsia="Times New Roman" w:hAnsi="Times New Roman" w:cs="Times New Roman"/>
          <w:color w:val="000000" w:themeColor="text1"/>
        </w:rPr>
        <w:t>sub</w:t>
      </w:r>
      <w:r w:rsidRPr="00EC2648">
        <w:rPr>
          <w:rFonts w:ascii="Times New Roman" w:eastAsia="Times New Roman" w:hAnsi="Times New Roman" w:cs="Times New Roman"/>
          <w:color w:val="000000" w:themeColor="text1"/>
        </w:rPr>
        <w:t>regulation 529CD(3) provides that section 12F of the WHS Act provides that strict liability applies to each physical element of each offence under the WHS Act, unless otherwise stated. The reference in section 12F of the WHS Act includes these Regulations.</w:t>
      </w:r>
    </w:p>
    <w:p w14:paraId="613B2E3B"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4EBB6164" w14:textId="6E18D18D" w:rsidR="00324670" w:rsidRPr="00EC2648" w:rsidRDefault="7C0F1BFD"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1B539F07"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15696ABB" w14:textId="39B8602D"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w:t>
      </w:r>
      <w:r w:rsidR="134A8049" w:rsidRPr="00EC2648">
        <w:rPr>
          <w:rFonts w:ascii="Times New Roman" w:eastAsia="Times New Roman" w:hAnsi="Times New Roman" w:cs="Times New Roman"/>
          <w:color w:val="000000" w:themeColor="text1"/>
        </w:rPr>
        <w:t>penalty</w:t>
      </w:r>
      <w:r w:rsidRPr="00EC2648">
        <w:rPr>
          <w:rFonts w:ascii="Times New Roman" w:eastAsia="Times New Roman" w:hAnsi="Times New Roman" w:cs="Times New Roman"/>
          <w:color w:val="000000" w:themeColor="text1"/>
        </w:rPr>
        <w:t xml:space="preserve"> for contravening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529CD(3) is a tier I monetary penalty.</w:t>
      </w:r>
    </w:p>
    <w:p w14:paraId="544F6336" w14:textId="77777777" w:rsidR="007E04E3" w:rsidRPr="00EC2648" w:rsidRDefault="007E04E3" w:rsidP="00C333DE">
      <w:pPr>
        <w:pStyle w:val="ListParagraph"/>
        <w:rPr>
          <w:rFonts w:ascii="Times New Roman" w:eastAsia="Times New Roman" w:hAnsi="Times New Roman" w:cs="Times New Roman"/>
          <w:color w:val="000000" w:themeColor="text1"/>
        </w:rPr>
      </w:pPr>
    </w:p>
    <w:p w14:paraId="702F9571" w14:textId="0AA82902"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For the purposes of regulation 529CD, crystalline silica training is training that is accredited, or training approved by the regulator, in relation to the health risks associated with exposure to RCS and the need for, and proper use of, any risk control measures required by the Regulations (</w:t>
      </w:r>
      <w:r w:rsidR="19B116AD" w:rsidRPr="00EC2648">
        <w:rPr>
          <w:rFonts w:ascii="Times New Roman" w:eastAsia="Times New Roman" w:hAnsi="Times New Roman" w:cs="Times New Roman"/>
          <w:color w:val="000000" w:themeColor="text1"/>
        </w:rPr>
        <w:t>subregulation</w:t>
      </w:r>
      <w:r w:rsidRPr="00EC2648">
        <w:rPr>
          <w:rFonts w:ascii="Times New Roman" w:eastAsia="Times New Roman" w:hAnsi="Times New Roman" w:cs="Times New Roman"/>
          <w:color w:val="000000" w:themeColor="text1"/>
        </w:rPr>
        <w:t xml:space="preserve"> 529CD(4)).</w:t>
      </w:r>
    </w:p>
    <w:p w14:paraId="222E8938" w14:textId="77777777" w:rsidR="007E04E3" w:rsidRPr="00EC2648" w:rsidRDefault="007E04E3" w:rsidP="00C333DE">
      <w:pPr>
        <w:pStyle w:val="ListParagraph"/>
        <w:spacing w:after="0" w:line="257" w:lineRule="auto"/>
        <w:ind w:left="360"/>
        <w:rPr>
          <w:rFonts w:ascii="Times New Roman" w:eastAsia="Times New Roman" w:hAnsi="Times New Roman" w:cs="Times New Roman"/>
          <w:color w:val="000000" w:themeColor="text1"/>
        </w:rPr>
      </w:pPr>
    </w:p>
    <w:p w14:paraId="319E0F0A" w14:textId="54641037"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note to regulation 529CD makes clear that Division 1 of Part 3.2 (Information, training and instruction) also applies to a PCBU involving processing of a CSS.</w:t>
      </w:r>
    </w:p>
    <w:p w14:paraId="75508160" w14:textId="79490826" w:rsidR="00324670" w:rsidRPr="00EC2648" w:rsidRDefault="025162F0" w:rsidP="1E0D23C5">
      <w:pPr>
        <w:spacing w:before="178"/>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529CE Monitoring in relation to processing of a CSS that is high risk</w:t>
      </w:r>
    </w:p>
    <w:p w14:paraId="1F2F3467" w14:textId="54641037"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Regulation 529CE requires a PCBU that is carrying out, or directing or allowing a worker to carry out, processing of a CSS that is high risk to undertake air monitoring for RCS in accordance with regulation 50 (Monitoring airborne contaminant levels).</w:t>
      </w:r>
    </w:p>
    <w:p w14:paraId="49C93477" w14:textId="77777777" w:rsidR="00571EAF" w:rsidRPr="00EC2648" w:rsidRDefault="00571EAF" w:rsidP="00C333DE">
      <w:pPr>
        <w:pStyle w:val="ListParagraph"/>
        <w:spacing w:after="0" w:line="257" w:lineRule="auto"/>
        <w:ind w:left="360"/>
        <w:rPr>
          <w:rFonts w:ascii="Times New Roman" w:eastAsia="Times New Roman" w:hAnsi="Times New Roman" w:cs="Times New Roman"/>
          <w:color w:val="000000" w:themeColor="text1"/>
        </w:rPr>
      </w:pPr>
    </w:p>
    <w:p w14:paraId="7A626BE4" w14:textId="2EEB7C45"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If the airborne concentration of RCS has exceeded the workplace exposure standard, the PCBU must provide air monitoring results to the regulator. The results must be provided in a form approved by the regulator as soon as reasonably practicable, and no more than 14 days from the date that the air monitoring result was reported to the PCBU. </w:t>
      </w:r>
    </w:p>
    <w:p w14:paraId="017CA362" w14:textId="77777777" w:rsidR="00571EAF" w:rsidRPr="00EC2648" w:rsidRDefault="00571EAF" w:rsidP="00C333DE">
      <w:pPr>
        <w:pStyle w:val="ListParagraph"/>
        <w:rPr>
          <w:rFonts w:ascii="Times New Roman" w:eastAsia="Times New Roman" w:hAnsi="Times New Roman" w:cs="Times New Roman"/>
          <w:color w:val="000000" w:themeColor="text1"/>
        </w:rPr>
      </w:pPr>
    </w:p>
    <w:p w14:paraId="02AD425D" w14:textId="76FEB18F" w:rsidR="00324670" w:rsidRPr="00EC2648" w:rsidRDefault="025162F0"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PCBU must also provide health monitoring for all workers carrying out the processing of a CSS that is high risk in accordance with Division 6 of Part 7.1 (Health monitoring - Hazardous chemicals) of the Regulations.</w:t>
      </w:r>
    </w:p>
    <w:p w14:paraId="65C96BB6" w14:textId="77777777" w:rsidR="00571EAF" w:rsidRPr="00EC2648" w:rsidRDefault="00571EAF" w:rsidP="00C333DE">
      <w:pPr>
        <w:spacing w:after="0" w:line="257" w:lineRule="auto"/>
        <w:rPr>
          <w:rFonts w:ascii="Times New Roman" w:eastAsia="Times New Roman" w:hAnsi="Times New Roman" w:cs="Times New Roman"/>
          <w:color w:val="000000" w:themeColor="text1"/>
        </w:rPr>
      </w:pPr>
    </w:p>
    <w:p w14:paraId="368A23D9" w14:textId="3AA96689" w:rsidR="61648EC5" w:rsidRPr="00EC2648" w:rsidRDefault="61648EC5"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lastRenderedPageBreak/>
        <w:t>The note to regulation 529CE provides that section 12F of the WHS Act provides that strict liability applies to each physical element of each offence under the WHS Act, unless otherwise stated. The reference in section 12F of the WHS Act includes these Regulations.</w:t>
      </w:r>
    </w:p>
    <w:p w14:paraId="4B953435" w14:textId="77777777" w:rsidR="00571EAF" w:rsidRPr="00EC2648" w:rsidRDefault="00571EAF" w:rsidP="00C333DE">
      <w:pPr>
        <w:pStyle w:val="ListParagraph"/>
        <w:spacing w:after="0" w:line="257" w:lineRule="auto"/>
        <w:ind w:left="360"/>
        <w:rPr>
          <w:rFonts w:ascii="Times New Roman" w:eastAsia="Times New Roman" w:hAnsi="Times New Roman" w:cs="Times New Roman"/>
          <w:color w:val="000000" w:themeColor="text1"/>
        </w:rPr>
      </w:pPr>
    </w:p>
    <w:p w14:paraId="7239F662" w14:textId="492BF3E6" w:rsidR="61648EC5" w:rsidRPr="00EC2648" w:rsidRDefault="61648EC5"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use of strict liability in WHS offences is explained above in Schedule 1.</w:t>
      </w:r>
    </w:p>
    <w:p w14:paraId="3BA59E73" w14:textId="77777777" w:rsidR="00571EAF" w:rsidRPr="00EC2648" w:rsidRDefault="00571EAF" w:rsidP="00C333DE">
      <w:pPr>
        <w:spacing w:after="0" w:line="257" w:lineRule="auto"/>
        <w:rPr>
          <w:rFonts w:ascii="Times New Roman" w:eastAsia="Times New Roman" w:hAnsi="Times New Roman" w:cs="Times New Roman"/>
          <w:color w:val="000000" w:themeColor="text1"/>
        </w:rPr>
      </w:pPr>
    </w:p>
    <w:p w14:paraId="0AD59EB2" w14:textId="7CC73FB7" w:rsidR="61648EC5" w:rsidRPr="00EC2648" w:rsidRDefault="61648EC5"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penalty for contravening regulation 529CE is a tier E monetary penalty.</w:t>
      </w:r>
    </w:p>
    <w:p w14:paraId="09B6CBAE" w14:textId="77777777" w:rsidR="00571EAF" w:rsidRPr="00EC2648" w:rsidRDefault="00571EAF" w:rsidP="00C333DE">
      <w:pPr>
        <w:pStyle w:val="ListParagraph"/>
        <w:rPr>
          <w:rFonts w:ascii="Times New Roman" w:eastAsia="Times New Roman" w:hAnsi="Times New Roman" w:cs="Times New Roman"/>
          <w:color w:val="000000" w:themeColor="text1"/>
        </w:rPr>
      </w:pPr>
    </w:p>
    <w:p w14:paraId="02D1A52F" w14:textId="69E2A790" w:rsidR="00324670" w:rsidRPr="00EC2648" w:rsidRDefault="68392D71"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Principal Regulations require health monitoring for a range of work, including work with RCS. Health monitoring for workers exposed to crystalline silica primarily involves screening the changes in a worker’s body that may indicate the development of silica related-injury, illness or disease. Health monitoring is necessary to: </w:t>
      </w:r>
    </w:p>
    <w:p w14:paraId="5A69A935" w14:textId="77777777" w:rsidR="00571EAF" w:rsidRPr="00EC2648" w:rsidRDefault="00571EAF" w:rsidP="00C333DE">
      <w:pPr>
        <w:pStyle w:val="ListParagraph"/>
        <w:spacing w:after="0" w:line="257" w:lineRule="auto"/>
        <w:ind w:left="360"/>
        <w:rPr>
          <w:rFonts w:ascii="Times New Roman" w:eastAsia="Times New Roman" w:hAnsi="Times New Roman" w:cs="Times New Roman"/>
          <w:color w:val="000000" w:themeColor="text1"/>
        </w:rPr>
      </w:pPr>
    </w:p>
    <w:p w14:paraId="532D985F" w14:textId="35705927" w:rsidR="00324670"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detect the early signs of adverse health effects </w:t>
      </w:r>
    </w:p>
    <w:p w14:paraId="07DF775F" w14:textId="70C3CFBA" w:rsidR="00324670"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help identify control measures that are not working effectively; and </w:t>
      </w:r>
    </w:p>
    <w:p w14:paraId="7432D1CA" w14:textId="67C3156C" w:rsidR="00324670" w:rsidRPr="00EC2648" w:rsidRDefault="68392D71" w:rsidP="00E62DAA">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assist in protecting workers from the risk of exposure to silica dust. </w:t>
      </w:r>
    </w:p>
    <w:p w14:paraId="46959329" w14:textId="77777777" w:rsidR="00571EAF" w:rsidRPr="00EC2648" w:rsidRDefault="00571EAF" w:rsidP="00C333DE">
      <w:pPr>
        <w:pStyle w:val="ListParagraph"/>
        <w:spacing w:after="0"/>
        <w:rPr>
          <w:rFonts w:ascii="Times New Roman" w:eastAsia="Times New Roman" w:hAnsi="Times New Roman" w:cs="Times New Roman"/>
          <w:color w:val="000000" w:themeColor="text1"/>
        </w:rPr>
      </w:pPr>
    </w:p>
    <w:p w14:paraId="2C425FC4" w14:textId="19E8F21A" w:rsidR="00324670" w:rsidRPr="00EC2648" w:rsidRDefault="68392D71"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Principal Regulations require a PCBU to ensure health monitoring occurs and to provide certain information to the relevant health practitioner. Information provided to a health practitioner includes personal information in the form of the worker’s name, address, date of birth and details about the work they do. The disclosure of this information is necessary for the health monitoring to be undertaken and would be subject to patient confidentiality once received by the health practitioner.</w:t>
      </w:r>
    </w:p>
    <w:p w14:paraId="097C1E9C" w14:textId="77777777" w:rsidR="00571EAF" w:rsidRPr="00EC2648" w:rsidRDefault="00571EAF" w:rsidP="00C333DE">
      <w:pPr>
        <w:pStyle w:val="ListParagraph"/>
        <w:spacing w:after="0" w:line="257" w:lineRule="auto"/>
        <w:ind w:left="360"/>
        <w:rPr>
          <w:rFonts w:ascii="Times New Roman" w:eastAsia="Times New Roman" w:hAnsi="Times New Roman" w:cs="Times New Roman"/>
          <w:color w:val="000000" w:themeColor="text1"/>
        </w:rPr>
      </w:pPr>
    </w:p>
    <w:p w14:paraId="19FF0AC5" w14:textId="1D76C837" w:rsidR="00324670" w:rsidRPr="00EC2648" w:rsidRDefault="68392D71"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Principal Regulations also require the PCBU to take all reasonable steps to obtain a health monitoring report from the registered medical practitioner who carries out the monitoring.</w:t>
      </w:r>
    </w:p>
    <w:p w14:paraId="6A44CB1C" w14:textId="77777777" w:rsidR="00571EAF" w:rsidRPr="00EC2648" w:rsidRDefault="00571EAF" w:rsidP="00C333DE">
      <w:pPr>
        <w:pStyle w:val="ListParagraph"/>
        <w:rPr>
          <w:rFonts w:ascii="Times New Roman" w:eastAsia="Times New Roman" w:hAnsi="Times New Roman" w:cs="Times New Roman"/>
          <w:color w:val="000000" w:themeColor="text1"/>
        </w:rPr>
      </w:pPr>
    </w:p>
    <w:p w14:paraId="3727093D" w14:textId="77777777" w:rsidR="00324670" w:rsidRPr="00EC2648" w:rsidRDefault="68392D71"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Records are required to be kept confidential (regulation 378) but disclosure is required in certain circumstances: </w:t>
      </w:r>
    </w:p>
    <w:p w14:paraId="0A3846FD" w14:textId="77777777" w:rsidR="00571EAF" w:rsidRPr="00EC2648" w:rsidRDefault="00571EAF" w:rsidP="00C333DE">
      <w:pPr>
        <w:pStyle w:val="ListParagraph"/>
        <w:spacing w:after="0" w:line="257" w:lineRule="auto"/>
        <w:ind w:left="360"/>
        <w:rPr>
          <w:rFonts w:ascii="Times New Roman" w:eastAsia="Times New Roman" w:hAnsi="Times New Roman" w:cs="Times New Roman"/>
          <w:color w:val="000000" w:themeColor="text1"/>
        </w:rPr>
      </w:pPr>
    </w:p>
    <w:p w14:paraId="72EDF5C4" w14:textId="7503C6F5" w:rsidR="00324670"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report must be given to the worker </w:t>
      </w:r>
    </w:p>
    <w:p w14:paraId="3C365475" w14:textId="2E17ACFF" w:rsidR="00883DD1"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if the report indicates the worker may have contracted a disease or includes recommendations that remedial measures occur at the workplace, the report must be provided to Comcare, the Commonwealth WHS regulator (regulation 376)</w:t>
      </w:r>
    </w:p>
    <w:p w14:paraId="12AB1582" w14:textId="0817D644" w:rsidR="00324670" w:rsidRPr="00EC2648" w:rsidRDefault="68392D71" w:rsidP="00C333DE">
      <w:pPr>
        <w:pStyle w:val="ListParagraph"/>
        <w:numPr>
          <w:ilvl w:val="1"/>
          <w:numId w:val="14"/>
        </w:numPr>
        <w:spacing w:after="0"/>
        <w:rPr>
          <w:rFonts w:ascii="Times New Roman" w:hAnsi="Times New Roman" w:cs="Times New Roman"/>
        </w:rPr>
      </w:pPr>
      <w:r w:rsidRPr="00EC2648">
        <w:rPr>
          <w:rFonts w:ascii="Times New Roman" w:hAnsi="Times New Roman" w:cs="Times New Roman"/>
        </w:rPr>
        <w:t>This ensures that the regulator has appropriate visibility over injuries and illnesses and can undertake monitoring, compliance and enforcement activities as appropriate.</w:t>
      </w:r>
    </w:p>
    <w:p w14:paraId="41B1CBC6" w14:textId="31FA0317" w:rsidR="00883DD1"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reports must be shared with other PCBUs which are also obliged to arrange for monitoring of the same worker (regulation 377).</w:t>
      </w:r>
    </w:p>
    <w:p w14:paraId="315744AB" w14:textId="5D2BC3F6" w:rsidR="00324670" w:rsidRPr="00EC2648" w:rsidRDefault="68392D71" w:rsidP="00E62DAA">
      <w:pPr>
        <w:pStyle w:val="ListParagraph"/>
        <w:numPr>
          <w:ilvl w:val="1"/>
          <w:numId w:val="14"/>
        </w:numPr>
        <w:spacing w:after="0"/>
        <w:rPr>
          <w:rFonts w:ascii="Times New Roman" w:hAnsi="Times New Roman" w:cs="Times New Roman"/>
        </w:rPr>
      </w:pPr>
      <w:r w:rsidRPr="00EC2648">
        <w:rPr>
          <w:rFonts w:ascii="Times New Roman" w:hAnsi="Times New Roman" w:cs="Times New Roman"/>
        </w:rPr>
        <w:t xml:space="preserve">This is necessary because more than one PCBU may have a duty in relation to the same worker (WHS Act section 16), for example if the workplace is shared by </w:t>
      </w:r>
      <w:r w:rsidRPr="00EC2648">
        <w:rPr>
          <w:rFonts w:ascii="Times New Roman" w:hAnsi="Times New Roman" w:cs="Times New Roman"/>
        </w:rPr>
        <w:lastRenderedPageBreak/>
        <w:t>two employers. It is important that duty holders cooperate and coordinate activities to ensure the health and safety of affected workers.</w:t>
      </w:r>
    </w:p>
    <w:p w14:paraId="511F4674" w14:textId="77777777" w:rsidR="00883DD1" w:rsidRPr="00EC2648" w:rsidRDefault="00883DD1" w:rsidP="00C333DE">
      <w:pPr>
        <w:pStyle w:val="ListParagraph"/>
        <w:spacing w:after="0"/>
        <w:ind w:left="1440"/>
        <w:rPr>
          <w:rFonts w:ascii="Times New Roman" w:hAnsi="Times New Roman" w:cs="Times New Roman"/>
        </w:rPr>
      </w:pPr>
    </w:p>
    <w:p w14:paraId="61769B6A" w14:textId="5A47D303" w:rsidR="00324670" w:rsidRPr="00EC2648" w:rsidRDefault="68392D71"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A health monitoring record will contain a range of sensitive information. Regulation 374 provides that it must contain the name and date of birth of the worker and the results of the monitoring which would pertain to the person’s health. </w:t>
      </w:r>
    </w:p>
    <w:p w14:paraId="5685FF7D" w14:textId="77777777" w:rsidR="00883DD1" w:rsidRPr="00EC2648" w:rsidRDefault="00883DD1" w:rsidP="00C333DE">
      <w:pPr>
        <w:pStyle w:val="ListParagraph"/>
        <w:spacing w:after="0" w:line="257" w:lineRule="auto"/>
        <w:ind w:left="360"/>
        <w:rPr>
          <w:rFonts w:ascii="Times New Roman" w:eastAsia="Times New Roman" w:hAnsi="Times New Roman" w:cs="Times New Roman"/>
          <w:color w:val="000000" w:themeColor="text1"/>
        </w:rPr>
      </w:pPr>
    </w:p>
    <w:p w14:paraId="4E89C01E" w14:textId="533B76FD" w:rsidR="00324670" w:rsidRPr="00EC2648" w:rsidRDefault="68392D71" w:rsidP="00E62DAA">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There are protections which apply to the information once it is received: </w:t>
      </w:r>
    </w:p>
    <w:p w14:paraId="68ABAD18" w14:textId="77777777" w:rsidR="00883DD1" w:rsidRPr="00EC2648" w:rsidRDefault="00883DD1" w:rsidP="00C333DE">
      <w:pPr>
        <w:spacing w:after="0" w:line="257" w:lineRule="auto"/>
        <w:rPr>
          <w:rFonts w:ascii="Times New Roman" w:eastAsia="Times New Roman" w:hAnsi="Times New Roman" w:cs="Times New Roman"/>
          <w:color w:val="000000" w:themeColor="text1"/>
        </w:rPr>
      </w:pPr>
    </w:p>
    <w:p w14:paraId="33E8C43C" w14:textId="245CE392" w:rsidR="00324670"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Information obtained by Comcare in performing functions under the WHS Act is subject to strict confidentiality provisions (section 271). Information collected by Comcare that is personal information is also subject to the requirements of the Privacy Act 1988 (Privacy Act) which governs its collection, use, disclosure, storage and disposal. </w:t>
      </w:r>
    </w:p>
    <w:p w14:paraId="5CF68901" w14:textId="68D0CCD7" w:rsidR="00324670" w:rsidRPr="00EC2648" w:rsidRDefault="68392D71" w:rsidP="00C333DE">
      <w:pPr>
        <w:pStyle w:val="ListParagraph"/>
        <w:numPr>
          <w:ilvl w:val="0"/>
          <w:numId w:val="14"/>
        </w:num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The Commonwealth WHS jurisdiction is unique in that it applies to the Commonwealth, public authorities and non-Commonwealth licensees (large companies). These entities would be subject to the Privacy Act. There may be scope for contractors to be provided information where the Commonwealth entity and the contractor are both responsible for a worker’s health monitoring. Whether the Privacy Act applies would be a question of fact.</w:t>
      </w:r>
    </w:p>
    <w:p w14:paraId="751EA250" w14:textId="5F554453" w:rsidR="00E57C24" w:rsidRPr="00EC2648" w:rsidRDefault="00564B82"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w:t>
      </w:r>
      <w:r w:rsidR="68392D71" w:rsidRPr="00EC2648">
        <w:rPr>
          <w:rFonts w:ascii="Times New Roman" w:eastAsia="Times New Roman" w:hAnsi="Times New Roman" w:cs="Times New Roman"/>
          <w:color w:val="000000" w:themeColor="text1"/>
        </w:rPr>
        <w:t>he Amendment Regulations also require a PCBU to undertake a risk assessment for any processing of CSS to determine if the processing is high risk. In doing this assessment, the PCBU must have regard to any relevant health monitoring results previously undertaken at the workplace (paragraph 529CA(2)(f)) and previous incidents, illnesses or diseases associated with exposure to RCS at the workplace (paragraph 529CA(2)(g)). The risk assessment outcome (e.g</w:t>
      </w:r>
      <w:r w:rsidRPr="00EC2648">
        <w:rPr>
          <w:rFonts w:ascii="Times New Roman" w:eastAsia="Times New Roman" w:hAnsi="Times New Roman" w:cs="Times New Roman"/>
          <w:color w:val="000000" w:themeColor="text1"/>
        </w:rPr>
        <w:t>.</w:t>
      </w:r>
      <w:r w:rsidR="68392D71" w:rsidRPr="00EC2648">
        <w:rPr>
          <w:rFonts w:ascii="Times New Roman" w:eastAsia="Times New Roman" w:hAnsi="Times New Roman" w:cs="Times New Roman"/>
          <w:color w:val="000000" w:themeColor="text1"/>
        </w:rPr>
        <w:t xml:space="preserve"> the reasons for determining whether the processing is high risk or not) must be documented in writing (paragraph 529CA(4)). Any reports containing personal information would not be included in the risk assessment.</w:t>
      </w:r>
    </w:p>
    <w:p w14:paraId="7297EE2E" w14:textId="517253DA" w:rsidR="00324670" w:rsidRPr="00EC2648" w:rsidRDefault="025162F0" w:rsidP="5602C6F0">
      <w:pPr>
        <w:spacing w:before="17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 xml:space="preserve">Item </w:t>
      </w:r>
      <w:r w:rsidR="006229C2">
        <w:rPr>
          <w:rFonts w:ascii="Times New Roman" w:eastAsia="Times New Roman" w:hAnsi="Times New Roman" w:cs="Times New Roman"/>
          <w:b/>
          <w:bCs/>
          <w:color w:val="000000" w:themeColor="text1"/>
        </w:rPr>
        <w:t>[</w:t>
      </w:r>
      <w:r w:rsidR="371C5659" w:rsidRPr="00EC2648">
        <w:rPr>
          <w:rFonts w:ascii="Times New Roman" w:eastAsia="Times New Roman" w:hAnsi="Times New Roman" w:cs="Times New Roman"/>
          <w:b/>
          <w:bCs/>
          <w:color w:val="000000" w:themeColor="text1"/>
        </w:rPr>
        <w:t>7</w:t>
      </w:r>
      <w:r w:rsidR="006229C2">
        <w:rPr>
          <w:rFonts w:ascii="Times New Roman" w:eastAsia="Times New Roman" w:hAnsi="Times New Roman" w:cs="Times New Roman"/>
          <w:b/>
          <w:bCs/>
          <w:color w:val="000000" w:themeColor="text1"/>
        </w:rPr>
        <w:t>]</w:t>
      </w:r>
      <w:r w:rsidRPr="00EC2648">
        <w:rPr>
          <w:rFonts w:ascii="Times New Roman" w:eastAsia="Times New Roman" w:hAnsi="Times New Roman" w:cs="Times New Roman"/>
          <w:b/>
          <w:bCs/>
          <w:color w:val="000000" w:themeColor="text1"/>
        </w:rPr>
        <w:t xml:space="preserve"> Parts 8A.4 and 8A.5</w:t>
      </w:r>
    </w:p>
    <w:p w14:paraId="2E82DA9B" w14:textId="007B6A0D" w:rsidR="00324670" w:rsidRPr="00EC2648" w:rsidRDefault="025162F0" w:rsidP="00C333DE">
      <w:pPr>
        <w:pStyle w:val="ListParagraph"/>
        <w:numPr>
          <w:ilvl w:val="0"/>
          <w:numId w:val="16"/>
        </w:numPr>
        <w:spacing w:after="0" w:line="257" w:lineRule="auto"/>
        <w:ind w:left="36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This item </w:t>
      </w:r>
      <w:r w:rsidR="00114E26" w:rsidRPr="00EC2648">
        <w:rPr>
          <w:rFonts w:ascii="Times New Roman" w:eastAsia="Times New Roman" w:hAnsi="Times New Roman" w:cs="Times New Roman"/>
          <w:color w:val="000000" w:themeColor="text1"/>
        </w:rPr>
        <w:t xml:space="preserve">repeals </w:t>
      </w:r>
      <w:r w:rsidRPr="00EC2648">
        <w:rPr>
          <w:rFonts w:ascii="Times New Roman" w:eastAsia="Times New Roman" w:hAnsi="Times New Roman" w:cs="Times New Roman"/>
          <w:color w:val="000000" w:themeColor="text1"/>
        </w:rPr>
        <w:t xml:space="preserve">parts 8A.4 (Processing engineered stone other than benchtops, panels or slabs) and 8A.5 (Processing porcelain products and sintered stone). These </w:t>
      </w:r>
      <w:r w:rsidR="00860E92" w:rsidRPr="00EC2648">
        <w:rPr>
          <w:rFonts w:ascii="Times New Roman" w:eastAsia="Times New Roman" w:hAnsi="Times New Roman" w:cs="Times New Roman"/>
          <w:color w:val="000000" w:themeColor="text1"/>
        </w:rPr>
        <w:t xml:space="preserve">Parts relate to </w:t>
      </w:r>
      <w:r w:rsidRPr="00EC2648">
        <w:rPr>
          <w:rFonts w:ascii="Times New Roman" w:eastAsia="Times New Roman" w:hAnsi="Times New Roman" w:cs="Times New Roman"/>
          <w:color w:val="000000" w:themeColor="text1"/>
        </w:rPr>
        <w:t xml:space="preserve">products are </w:t>
      </w:r>
      <w:r w:rsidR="00860E92" w:rsidRPr="00EC2648">
        <w:rPr>
          <w:rFonts w:ascii="Times New Roman" w:eastAsia="Times New Roman" w:hAnsi="Times New Roman" w:cs="Times New Roman"/>
          <w:color w:val="000000" w:themeColor="text1"/>
        </w:rPr>
        <w:t xml:space="preserve">that are </w:t>
      </w:r>
      <w:r w:rsidRPr="00EC2648">
        <w:rPr>
          <w:rFonts w:ascii="Times New Roman" w:eastAsia="Times New Roman" w:hAnsi="Times New Roman" w:cs="Times New Roman"/>
          <w:color w:val="000000" w:themeColor="text1"/>
        </w:rPr>
        <w:t>CS</w:t>
      </w:r>
      <w:r w:rsidR="00860E92" w:rsidRPr="00EC2648">
        <w:rPr>
          <w:rFonts w:ascii="Times New Roman" w:eastAsia="Times New Roman" w:hAnsi="Times New Roman" w:cs="Times New Roman"/>
          <w:color w:val="000000" w:themeColor="text1"/>
        </w:rPr>
        <w:t xml:space="preserve">. The </w:t>
      </w:r>
      <w:r w:rsidRPr="00EC2648">
        <w:rPr>
          <w:rFonts w:ascii="Times New Roman" w:eastAsia="Times New Roman" w:hAnsi="Times New Roman" w:cs="Times New Roman"/>
          <w:color w:val="000000" w:themeColor="text1"/>
        </w:rPr>
        <w:t>obligations regarding their processing is now dealt with by the</w:t>
      </w:r>
      <w:r w:rsidR="00483DF0" w:rsidRPr="00EC2648">
        <w:rPr>
          <w:rFonts w:ascii="Times New Roman" w:eastAsia="Times New Roman" w:hAnsi="Times New Roman" w:cs="Times New Roman"/>
          <w:color w:val="000000" w:themeColor="text1"/>
        </w:rPr>
        <w:t xml:space="preserve"> </w:t>
      </w:r>
      <w:r w:rsidR="006229C2">
        <w:rPr>
          <w:rFonts w:ascii="Times New Roman" w:eastAsia="Times New Roman" w:hAnsi="Times New Roman" w:cs="Times New Roman"/>
          <w:color w:val="000000" w:themeColor="text1"/>
        </w:rPr>
        <w:t>Amendment</w:t>
      </w:r>
      <w:r w:rsidR="00483DF0" w:rsidRPr="00EC2648">
        <w:rPr>
          <w:rFonts w:ascii="Times New Roman" w:eastAsia="Times New Roman" w:hAnsi="Times New Roman" w:cs="Times New Roman"/>
          <w:color w:val="000000" w:themeColor="text1"/>
        </w:rPr>
        <w:t xml:space="preserve"> Regulations</w:t>
      </w:r>
      <w:r w:rsidRPr="00EC2648">
        <w:rPr>
          <w:rFonts w:ascii="Times New Roman" w:eastAsia="Times New Roman" w:hAnsi="Times New Roman" w:cs="Times New Roman"/>
          <w:color w:val="000000" w:themeColor="text1"/>
        </w:rPr>
        <w:t xml:space="preserve"> which apply generally to processing of CSS.</w:t>
      </w:r>
    </w:p>
    <w:p w14:paraId="7CEB60D7" w14:textId="4B420B8E" w:rsidR="00393368" w:rsidRPr="00EC2648" w:rsidRDefault="00393368" w:rsidP="55125DFC">
      <w:pPr>
        <w:spacing w:before="158" w:after="240"/>
        <w:ind w:right="360"/>
        <w:rPr>
          <w:rFonts w:ascii="Times New Roman" w:eastAsia="Times New Roman" w:hAnsi="Times New Roman" w:cs="Times New Roman"/>
          <w:color w:val="000000" w:themeColor="text1"/>
        </w:rPr>
      </w:pPr>
    </w:p>
    <w:p w14:paraId="611BA325" w14:textId="77777777" w:rsidR="00F90C56" w:rsidRPr="00EC2648" w:rsidRDefault="00F90C56">
      <w:pPr>
        <w:rPr>
          <w:rFonts w:ascii="Times New Roman" w:eastAsia="Times New Roman" w:hAnsi="Times New Roman" w:cs="Times New Roman"/>
          <w:u w:val="single"/>
        </w:rPr>
      </w:pPr>
      <w:r w:rsidRPr="00EC2648">
        <w:rPr>
          <w:rFonts w:ascii="Times New Roman" w:eastAsia="Times New Roman" w:hAnsi="Times New Roman" w:cs="Times New Roman"/>
          <w:u w:val="single"/>
        </w:rPr>
        <w:br w:type="page"/>
      </w:r>
    </w:p>
    <w:p w14:paraId="5CF90FD4" w14:textId="506F83AF" w:rsidR="00393368" w:rsidRPr="00EC2648" w:rsidRDefault="00393368" w:rsidP="55125DFC">
      <w:pPr>
        <w:spacing w:after="0"/>
        <w:jc w:val="right"/>
        <w:rPr>
          <w:rFonts w:ascii="Times New Roman" w:eastAsia="Times New Roman" w:hAnsi="Times New Roman" w:cs="Times New Roman"/>
          <w:u w:val="single"/>
        </w:rPr>
      </w:pPr>
      <w:r w:rsidRPr="00EC2648">
        <w:rPr>
          <w:rFonts w:ascii="Times New Roman" w:eastAsia="Times New Roman" w:hAnsi="Times New Roman" w:cs="Times New Roman"/>
          <w:u w:val="single"/>
        </w:rPr>
        <w:lastRenderedPageBreak/>
        <w:t>Attachment B</w:t>
      </w:r>
    </w:p>
    <w:p w14:paraId="59E11513" w14:textId="77777777" w:rsidR="00393368" w:rsidRPr="00EC2648" w:rsidRDefault="00393368" w:rsidP="00393368">
      <w:pPr>
        <w:spacing w:after="0"/>
        <w:jc w:val="center"/>
      </w:pPr>
      <w:r w:rsidRPr="00EC2648">
        <w:rPr>
          <w:rFonts w:ascii="Times New Roman" w:eastAsia="Times New Roman" w:hAnsi="Times New Roman" w:cs="Times New Roman"/>
          <w:b/>
          <w:bCs/>
        </w:rPr>
        <w:t>Statement of Compatibility with Human Rights</w:t>
      </w:r>
    </w:p>
    <w:p w14:paraId="2AF26AAC" w14:textId="77777777" w:rsidR="00393368" w:rsidRPr="00EC2648" w:rsidRDefault="00393368" w:rsidP="00393368">
      <w:pPr>
        <w:spacing w:after="0"/>
        <w:jc w:val="center"/>
      </w:pPr>
      <w:r w:rsidRPr="00EC2648">
        <w:rPr>
          <w:rFonts w:ascii="Times New Roman" w:eastAsia="Times New Roman" w:hAnsi="Times New Roman" w:cs="Times New Roman"/>
        </w:rPr>
        <w:t xml:space="preserve"> </w:t>
      </w:r>
    </w:p>
    <w:p w14:paraId="30F30A1F" w14:textId="77777777" w:rsidR="00393368" w:rsidRPr="00EC2648" w:rsidRDefault="00393368" w:rsidP="00393368">
      <w:pPr>
        <w:spacing w:after="0"/>
        <w:jc w:val="center"/>
      </w:pPr>
      <w:r w:rsidRPr="00EC2648">
        <w:rPr>
          <w:rFonts w:ascii="Times New Roman" w:eastAsia="Times New Roman" w:hAnsi="Times New Roman" w:cs="Times New Roman"/>
          <w:color w:val="000000" w:themeColor="text1"/>
        </w:rPr>
        <w:t>Issued by the Minister for Employment and Workplace Relations</w:t>
      </w:r>
    </w:p>
    <w:p w14:paraId="76D82598" w14:textId="77777777" w:rsidR="00393368" w:rsidRPr="00EC2648" w:rsidRDefault="00393368" w:rsidP="00393368">
      <w:pPr>
        <w:spacing w:after="0"/>
        <w:jc w:val="center"/>
      </w:pPr>
      <w:r w:rsidRPr="00EC2648">
        <w:rPr>
          <w:rFonts w:ascii="Times New Roman" w:eastAsia="Times New Roman" w:hAnsi="Times New Roman" w:cs="Times New Roman"/>
          <w:b/>
          <w:bCs/>
        </w:rPr>
        <w:t xml:space="preserve"> </w:t>
      </w:r>
    </w:p>
    <w:p w14:paraId="5D272C5B" w14:textId="77777777" w:rsidR="00393368" w:rsidRPr="00EC2648" w:rsidRDefault="00393368" w:rsidP="00393368">
      <w:pPr>
        <w:spacing w:after="0"/>
        <w:jc w:val="center"/>
      </w:pPr>
      <w:r w:rsidRPr="00EC2648">
        <w:rPr>
          <w:rFonts w:ascii="Times New Roman" w:eastAsia="Times New Roman" w:hAnsi="Times New Roman" w:cs="Times New Roman"/>
          <w:i/>
          <w:iCs/>
        </w:rPr>
        <w:t>Prepared in accordance with Part 3 of the Human Rights (Parliamentary Scrutiny) Act 2011</w:t>
      </w:r>
    </w:p>
    <w:p w14:paraId="42DD8DE1" w14:textId="77777777" w:rsidR="00393368" w:rsidRPr="00EC2648" w:rsidRDefault="00393368" w:rsidP="00393368">
      <w:pPr>
        <w:spacing w:after="0"/>
        <w:jc w:val="center"/>
      </w:pPr>
      <w:r w:rsidRPr="00EC2648">
        <w:rPr>
          <w:rFonts w:ascii="Times New Roman" w:eastAsia="Times New Roman" w:hAnsi="Times New Roman" w:cs="Times New Roman"/>
          <w:i/>
          <w:iCs/>
        </w:rPr>
        <w:t xml:space="preserve"> </w:t>
      </w:r>
    </w:p>
    <w:p w14:paraId="73271CEB" w14:textId="39055945" w:rsidR="0085361F" w:rsidRPr="00EC2648" w:rsidRDefault="0085361F" w:rsidP="0085361F">
      <w:pPr>
        <w:spacing w:after="0"/>
        <w:jc w:val="center"/>
        <w:rPr>
          <w:rFonts w:ascii="Times New Roman" w:eastAsia="Times New Roman" w:hAnsi="Times New Roman" w:cs="Times New Roman"/>
          <w:b/>
          <w:bCs/>
          <w:color w:val="000000" w:themeColor="text1"/>
          <w:sz w:val="32"/>
          <w:szCs w:val="32"/>
        </w:rPr>
      </w:pPr>
      <w:r w:rsidRPr="00EC2648">
        <w:rPr>
          <w:rFonts w:ascii="Times New Roman" w:eastAsia="Times New Roman" w:hAnsi="Times New Roman" w:cs="Times New Roman"/>
          <w:b/>
          <w:bCs/>
          <w:i/>
          <w:iCs/>
        </w:rPr>
        <w:t>Work Health and Safety Amendment Regulations 2024</w:t>
      </w:r>
    </w:p>
    <w:p w14:paraId="3E8D618D" w14:textId="77777777" w:rsidR="0085361F" w:rsidRPr="00EC2648" w:rsidRDefault="0085361F" w:rsidP="0085361F">
      <w:pPr>
        <w:spacing w:after="0"/>
        <w:rPr>
          <w:rFonts w:ascii="Times New Roman" w:eastAsia="Times New Roman" w:hAnsi="Times New Roman" w:cs="Times New Roman"/>
          <w:color w:val="000000" w:themeColor="text1"/>
        </w:rPr>
      </w:pPr>
    </w:p>
    <w:p w14:paraId="50E43391" w14:textId="77777777" w:rsidR="0085361F" w:rsidRPr="00EC2648" w:rsidRDefault="0085361F" w:rsidP="1E0D23C5">
      <w:pPr>
        <w:spacing w:after="0"/>
        <w:rPr>
          <w:rFonts w:ascii="Times New Roman" w:eastAsia="Times New Roman" w:hAnsi="Times New Roman" w:cs="Times New Roman"/>
          <w:i/>
          <w:iCs/>
          <w:color w:val="000000" w:themeColor="text1"/>
        </w:rPr>
      </w:pPr>
      <w:r w:rsidRPr="00EC2648">
        <w:rPr>
          <w:rFonts w:ascii="Times New Roman" w:eastAsia="Times New Roman" w:hAnsi="Times New Roman" w:cs="Times New Roman"/>
          <w:color w:val="000000" w:themeColor="text1"/>
        </w:rPr>
        <w:t xml:space="preserve">This Disallowable Legislative Instrument is compatible with human rights and freedoms recognised or declared in the international instruments listed in section 3 of the </w:t>
      </w:r>
      <w:r w:rsidRPr="00EC2648">
        <w:rPr>
          <w:rFonts w:ascii="Times New Roman" w:eastAsia="Times New Roman" w:hAnsi="Times New Roman" w:cs="Times New Roman"/>
          <w:i/>
          <w:iCs/>
          <w:color w:val="000000" w:themeColor="text1"/>
        </w:rPr>
        <w:t xml:space="preserve">Human Rights (Parliamentary Scrutiny) Act 2011. </w:t>
      </w:r>
    </w:p>
    <w:p w14:paraId="5D9B173E" w14:textId="77777777" w:rsidR="0085361F" w:rsidRPr="00EC2648" w:rsidRDefault="0085361F" w:rsidP="0085361F">
      <w:pPr>
        <w:spacing w:after="0"/>
        <w:jc w:val="center"/>
        <w:rPr>
          <w:rFonts w:ascii="Times New Roman" w:eastAsia="Times New Roman" w:hAnsi="Times New Roman" w:cs="Times New Roman"/>
          <w:color w:val="000000" w:themeColor="text1"/>
        </w:rPr>
      </w:pPr>
    </w:p>
    <w:p w14:paraId="21D79000" w14:textId="77777777" w:rsidR="0085361F" w:rsidRPr="00EC2648" w:rsidRDefault="0085361F" w:rsidP="0085361F">
      <w:pPr>
        <w:spacing w:after="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Overview of the Legislative Instrument</w:t>
      </w:r>
    </w:p>
    <w:p w14:paraId="65BC07BF" w14:textId="77777777" w:rsidR="0085361F" w:rsidRPr="00EC2648" w:rsidRDefault="0085361F" w:rsidP="0085361F">
      <w:pPr>
        <w:spacing w:after="0"/>
        <w:rPr>
          <w:rFonts w:ascii="Times New Roman" w:eastAsia="Times New Roman" w:hAnsi="Times New Roman" w:cs="Times New Roman"/>
          <w:b/>
          <w:bCs/>
          <w:color w:val="000000" w:themeColor="text1"/>
        </w:rPr>
      </w:pPr>
    </w:p>
    <w:p w14:paraId="5EC23EC6" w14:textId="143F091A" w:rsidR="00393368" w:rsidRPr="00EC2648" w:rsidRDefault="0085361F" w:rsidP="007621D0">
      <w:pPr>
        <w:spacing w:after="0"/>
        <w:rPr>
          <w:rFonts w:ascii="Times New Roman" w:eastAsia="Times New Roman" w:hAnsi="Times New Roman" w:cs="Times New Roman"/>
        </w:rPr>
      </w:pPr>
      <w:r w:rsidRPr="00EC2648">
        <w:rPr>
          <w:rFonts w:ascii="Times New Roman" w:eastAsia="Times New Roman" w:hAnsi="Times New Roman" w:cs="Times New Roman"/>
          <w:color w:val="262626" w:themeColor="text1" w:themeTint="D9"/>
        </w:rPr>
        <w:t xml:space="preserve">The </w:t>
      </w:r>
      <w:r w:rsidRPr="00EC2648">
        <w:rPr>
          <w:rFonts w:ascii="Times New Roman" w:eastAsia="Times New Roman" w:hAnsi="Times New Roman" w:cs="Times New Roman"/>
          <w:i/>
          <w:iCs/>
          <w:color w:val="262626" w:themeColor="text1" w:themeTint="D9"/>
        </w:rPr>
        <w:t>Work Health and Safety Act 2011</w:t>
      </w:r>
      <w:r w:rsidRPr="00EC2648">
        <w:rPr>
          <w:rFonts w:ascii="Times New Roman" w:eastAsia="Times New Roman" w:hAnsi="Times New Roman" w:cs="Times New Roman"/>
          <w:color w:val="262626" w:themeColor="text1" w:themeTint="D9"/>
        </w:rPr>
        <w:t xml:space="preserve"> (WHS Act) and the </w:t>
      </w:r>
      <w:r w:rsidRPr="00EC2648">
        <w:rPr>
          <w:rFonts w:ascii="Times New Roman" w:eastAsia="Times New Roman" w:hAnsi="Times New Roman" w:cs="Times New Roman"/>
          <w:i/>
          <w:iCs/>
          <w:color w:val="262626" w:themeColor="text1" w:themeTint="D9"/>
        </w:rPr>
        <w:t>Work Health and Safety Regulations 2011</w:t>
      </w:r>
      <w:r w:rsidRPr="00EC2648">
        <w:rPr>
          <w:rFonts w:ascii="Times New Roman" w:eastAsia="Times New Roman" w:hAnsi="Times New Roman" w:cs="Times New Roman"/>
          <w:color w:val="262626" w:themeColor="text1" w:themeTint="D9"/>
        </w:rPr>
        <w:t xml:space="preserve"> (Principal Regulations) provide the primary work health and safety (WHS) legislation for the Commonwealth jurisdiction. They are based on model WHS laws (model laws) developed by Safe Work Australia (SWA).</w:t>
      </w:r>
    </w:p>
    <w:p w14:paraId="0BDC4491" w14:textId="77777777" w:rsidR="007621D0" w:rsidRPr="00EC2648" w:rsidRDefault="007621D0" w:rsidP="007621D0">
      <w:pPr>
        <w:spacing w:after="0"/>
        <w:rPr>
          <w:rFonts w:ascii="Times New Roman" w:eastAsia="Times New Roman" w:hAnsi="Times New Roman" w:cs="Times New Roman"/>
        </w:rPr>
      </w:pPr>
    </w:p>
    <w:p w14:paraId="6D7123A0" w14:textId="5458CC7E" w:rsidR="00EF6402" w:rsidRPr="00EC2648" w:rsidRDefault="007621D0" w:rsidP="00BA29F9">
      <w:pPr>
        <w:spacing w:after="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purpose of the </w:t>
      </w:r>
      <w:r w:rsidRPr="00EC2648">
        <w:rPr>
          <w:rFonts w:ascii="Times New Roman" w:eastAsia="Times New Roman" w:hAnsi="Times New Roman" w:cs="Times New Roman"/>
          <w:i/>
          <w:iCs/>
          <w:color w:val="000000" w:themeColor="text1"/>
        </w:rPr>
        <w:t>Work Health and Safety Amendment (</w:t>
      </w:r>
      <w:r w:rsidR="005B3044" w:rsidRPr="00EC2648">
        <w:rPr>
          <w:rFonts w:ascii="Times New Roman" w:eastAsia="Times New Roman" w:hAnsi="Times New Roman" w:cs="Times New Roman"/>
          <w:i/>
          <w:iCs/>
          <w:color w:val="000000" w:themeColor="text1"/>
        </w:rPr>
        <w:t>Penalties and Engineered Stone and Crystalline Silica Substances</w:t>
      </w:r>
      <w:r w:rsidRPr="00EC2648">
        <w:rPr>
          <w:rFonts w:ascii="Times New Roman" w:eastAsia="Times New Roman" w:hAnsi="Times New Roman" w:cs="Times New Roman"/>
          <w:i/>
          <w:iCs/>
          <w:color w:val="000000" w:themeColor="text1"/>
        </w:rPr>
        <w:t>) Regulations 202</w:t>
      </w:r>
      <w:r w:rsidR="6091FFA6" w:rsidRPr="00EC2648">
        <w:rPr>
          <w:rFonts w:ascii="Times New Roman" w:eastAsia="Times New Roman" w:hAnsi="Times New Roman" w:cs="Times New Roman"/>
          <w:i/>
          <w:iCs/>
          <w:color w:val="000000" w:themeColor="text1"/>
        </w:rPr>
        <w:t>4</w:t>
      </w:r>
      <w:r w:rsidRPr="00EC2648">
        <w:rPr>
          <w:rFonts w:ascii="Times New Roman" w:eastAsia="Times New Roman" w:hAnsi="Times New Roman" w:cs="Times New Roman"/>
          <w:i/>
          <w:iCs/>
          <w:color w:val="000000" w:themeColor="text1"/>
        </w:rPr>
        <w:t xml:space="preserve"> </w:t>
      </w:r>
      <w:r w:rsidRPr="00EC2648">
        <w:rPr>
          <w:rFonts w:ascii="Times New Roman" w:eastAsia="Times New Roman" w:hAnsi="Times New Roman" w:cs="Times New Roman"/>
          <w:color w:val="000000" w:themeColor="text1"/>
        </w:rPr>
        <w:t xml:space="preserve">(Amendment Regulations) is to improve work health and safety outcomes by </w:t>
      </w:r>
      <w:r w:rsidR="58CA0F79" w:rsidRPr="00EC2648">
        <w:rPr>
          <w:rFonts w:ascii="Times New Roman" w:eastAsia="Times New Roman" w:hAnsi="Times New Roman" w:cs="Times New Roman"/>
          <w:color w:val="000000" w:themeColor="text1"/>
        </w:rPr>
        <w:t>introducing</w:t>
      </w:r>
      <w:r w:rsidR="00904A68" w:rsidRPr="00EC2648">
        <w:rPr>
          <w:rFonts w:ascii="Times New Roman" w:eastAsia="Times New Roman" w:hAnsi="Times New Roman" w:cs="Times New Roman"/>
          <w:color w:val="000000" w:themeColor="text1"/>
        </w:rPr>
        <w:t xml:space="preserve"> rece</w:t>
      </w:r>
      <w:r w:rsidR="001034F3" w:rsidRPr="00EC2648">
        <w:rPr>
          <w:rFonts w:ascii="Times New Roman" w:eastAsia="Times New Roman" w:hAnsi="Times New Roman" w:cs="Times New Roman"/>
          <w:color w:val="000000" w:themeColor="text1"/>
        </w:rPr>
        <w:t>nt amendments to the model WHS regulations to:</w:t>
      </w:r>
    </w:p>
    <w:p w14:paraId="0347DC9B" w14:textId="77777777" w:rsidR="00EF6402" w:rsidRPr="00EC2648" w:rsidRDefault="00EF6402" w:rsidP="00EF6402">
      <w:pPr>
        <w:spacing w:after="0"/>
        <w:rPr>
          <w:rFonts w:ascii="Times New Roman" w:eastAsia="Times New Roman" w:hAnsi="Times New Roman" w:cs="Times New Roman"/>
          <w:color w:val="000000" w:themeColor="text1"/>
        </w:rPr>
      </w:pPr>
    </w:p>
    <w:p w14:paraId="107A4E7E" w14:textId="0C9383CA" w:rsidR="00EF6402" w:rsidRPr="00EC2648" w:rsidRDefault="001034F3" w:rsidP="00B737A3">
      <w:pPr>
        <w:pStyle w:val="ListParagraph"/>
        <w:numPr>
          <w:ilvl w:val="0"/>
          <w:numId w:val="22"/>
        </w:numPr>
        <w:spacing w:after="0"/>
        <w:rPr>
          <w:rFonts w:ascii="Times New Roman" w:hAnsi="Times New Roman" w:cs="Times New Roman"/>
        </w:rPr>
      </w:pPr>
      <w:r w:rsidRPr="00EC2648">
        <w:rPr>
          <w:rFonts w:ascii="Times New Roman" w:hAnsi="Times New Roman" w:cs="Times New Roman"/>
        </w:rPr>
        <w:t>p</w:t>
      </w:r>
      <w:r w:rsidR="00B737A3" w:rsidRPr="00EC2648">
        <w:rPr>
          <w:rFonts w:ascii="Times New Roman" w:hAnsi="Times New Roman" w:cs="Times New Roman"/>
        </w:rPr>
        <w:t>rohibit the use, supply and manufacture of engineered stone benchtops, panels and slabs</w:t>
      </w:r>
      <w:r w:rsidR="22E96AE7" w:rsidRPr="00EC2648">
        <w:rPr>
          <w:rFonts w:ascii="Times New Roman" w:hAnsi="Times New Roman" w:cs="Times New Roman"/>
        </w:rPr>
        <w:t>,</w:t>
      </w:r>
    </w:p>
    <w:p w14:paraId="3C746217" w14:textId="40B2BCE9" w:rsidR="00904A68" w:rsidRPr="00EC2648" w:rsidRDefault="00996EC5" w:rsidP="00B737A3">
      <w:pPr>
        <w:pStyle w:val="ListParagraph"/>
        <w:numPr>
          <w:ilvl w:val="0"/>
          <w:numId w:val="22"/>
        </w:numPr>
        <w:spacing w:after="0"/>
        <w:rPr>
          <w:rFonts w:ascii="Times New Roman" w:hAnsi="Times New Roman" w:cs="Times New Roman"/>
        </w:rPr>
      </w:pPr>
      <w:r w:rsidRPr="00EC2648">
        <w:rPr>
          <w:rFonts w:ascii="Times New Roman" w:hAnsi="Times New Roman" w:cs="Times New Roman"/>
        </w:rPr>
        <w:t>i</w:t>
      </w:r>
      <w:r w:rsidR="00910878" w:rsidRPr="00EC2648">
        <w:rPr>
          <w:rFonts w:ascii="Times New Roman" w:hAnsi="Times New Roman" w:cs="Times New Roman"/>
        </w:rPr>
        <w:t xml:space="preserve">nclude additional obligations on a person conducting business or undertaking who carries out </w:t>
      </w:r>
      <w:r w:rsidR="3280B377" w:rsidRPr="00EC2648">
        <w:rPr>
          <w:rFonts w:ascii="Times New Roman" w:hAnsi="Times New Roman" w:cs="Times New Roman"/>
        </w:rPr>
        <w:t xml:space="preserve">work </w:t>
      </w:r>
      <w:r w:rsidR="00910878" w:rsidRPr="00EC2648">
        <w:rPr>
          <w:rFonts w:ascii="Times New Roman" w:hAnsi="Times New Roman" w:cs="Times New Roman"/>
        </w:rPr>
        <w:t>with</w:t>
      </w:r>
      <w:r w:rsidR="00C25B6A" w:rsidRPr="00EC2648">
        <w:rPr>
          <w:rFonts w:ascii="Times New Roman" w:hAnsi="Times New Roman" w:cs="Times New Roman"/>
        </w:rPr>
        <w:t xml:space="preserve"> a</w:t>
      </w:r>
      <w:r w:rsidR="736EE741" w:rsidRPr="00EC2648">
        <w:rPr>
          <w:rFonts w:ascii="Times New Roman" w:hAnsi="Times New Roman" w:cs="Times New Roman"/>
        </w:rPr>
        <w:t xml:space="preserve"> crystalline silica substance</w:t>
      </w:r>
      <w:r w:rsidR="00C25B6A" w:rsidRPr="00EC2648">
        <w:rPr>
          <w:rFonts w:ascii="Times New Roman" w:hAnsi="Times New Roman" w:cs="Times New Roman"/>
        </w:rPr>
        <w:t xml:space="preserve"> </w:t>
      </w:r>
      <w:r w:rsidR="4DE0487E" w:rsidRPr="00EC2648">
        <w:rPr>
          <w:rFonts w:ascii="Times New Roman" w:hAnsi="Times New Roman" w:cs="Times New Roman"/>
        </w:rPr>
        <w:t>(</w:t>
      </w:r>
      <w:r w:rsidR="00C25B6A" w:rsidRPr="00EC2648">
        <w:rPr>
          <w:rFonts w:ascii="Times New Roman" w:hAnsi="Times New Roman" w:cs="Times New Roman"/>
        </w:rPr>
        <w:t>CSS</w:t>
      </w:r>
      <w:r w:rsidR="0A98F143" w:rsidRPr="00EC2648">
        <w:rPr>
          <w:rFonts w:ascii="Times New Roman" w:hAnsi="Times New Roman" w:cs="Times New Roman"/>
        </w:rPr>
        <w:t>)</w:t>
      </w:r>
      <w:r w:rsidR="00B27B77" w:rsidRPr="00EC2648">
        <w:rPr>
          <w:rFonts w:ascii="Times New Roman" w:hAnsi="Times New Roman" w:cs="Times New Roman"/>
        </w:rPr>
        <w:t xml:space="preserve">. This provides </w:t>
      </w:r>
      <w:r w:rsidR="007C3116" w:rsidRPr="00EC2648">
        <w:rPr>
          <w:rFonts w:ascii="Times New Roman" w:hAnsi="Times New Roman" w:cs="Times New Roman"/>
        </w:rPr>
        <w:t xml:space="preserve">stronger regulation of </w:t>
      </w:r>
      <w:r w:rsidRPr="00EC2648">
        <w:rPr>
          <w:rFonts w:ascii="Times New Roman" w:hAnsi="Times New Roman" w:cs="Times New Roman"/>
        </w:rPr>
        <w:t>high-risk</w:t>
      </w:r>
      <w:r w:rsidR="007C3116" w:rsidRPr="00EC2648">
        <w:rPr>
          <w:rFonts w:ascii="Times New Roman" w:hAnsi="Times New Roman" w:cs="Times New Roman"/>
        </w:rPr>
        <w:t xml:space="preserve"> crystalline silica processes (that is, where the processing of a CSS is high risk) for all materials (including engineered stone) across all industries</w:t>
      </w:r>
      <w:r w:rsidR="009076EE" w:rsidRPr="00EC2648">
        <w:rPr>
          <w:rFonts w:ascii="Times New Roman" w:hAnsi="Times New Roman" w:cs="Times New Roman"/>
        </w:rPr>
        <w:t xml:space="preserve">, and </w:t>
      </w:r>
    </w:p>
    <w:p w14:paraId="0003D404" w14:textId="05D7930F" w:rsidR="00996EC5" w:rsidRPr="00EC2648" w:rsidRDefault="00996EC5" w:rsidP="00B737A3">
      <w:pPr>
        <w:pStyle w:val="ListParagraph"/>
        <w:numPr>
          <w:ilvl w:val="0"/>
          <w:numId w:val="22"/>
        </w:numPr>
        <w:spacing w:after="0"/>
        <w:rPr>
          <w:rFonts w:ascii="Times New Roman" w:hAnsi="Times New Roman" w:cs="Times New Roman"/>
        </w:rPr>
      </w:pPr>
      <w:r w:rsidRPr="00EC2648">
        <w:rPr>
          <w:rFonts w:ascii="Times New Roman" w:hAnsi="Times New Roman" w:cs="Times New Roman"/>
        </w:rPr>
        <w:t>increase monetary penalties</w:t>
      </w:r>
      <w:r w:rsidR="009076EE" w:rsidRPr="00EC2648">
        <w:rPr>
          <w:rFonts w:ascii="Times New Roman" w:hAnsi="Times New Roman" w:cs="Times New Roman"/>
        </w:rPr>
        <w:t>.</w:t>
      </w:r>
    </w:p>
    <w:p w14:paraId="54147AA8" w14:textId="0BA8D105" w:rsidR="00B42D71" w:rsidRPr="00EC2648" w:rsidRDefault="00B42D71" w:rsidP="17187F2A">
      <w:pPr>
        <w:spacing w:after="0"/>
        <w:rPr>
          <w:rFonts w:ascii="Times New Roman" w:eastAsia="Times New Roman" w:hAnsi="Times New Roman" w:cs="Times New Roman"/>
          <w:b/>
          <w:bCs/>
          <w:color w:val="000000" w:themeColor="text1"/>
        </w:rPr>
      </w:pPr>
    </w:p>
    <w:p w14:paraId="2E2D585B" w14:textId="1BF65480" w:rsidR="00127D69" w:rsidRPr="00EC2648" w:rsidRDefault="00127D69" w:rsidP="00127D69">
      <w:pPr>
        <w:spacing w:after="0"/>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Human rights implications</w:t>
      </w:r>
    </w:p>
    <w:p w14:paraId="1CA36251" w14:textId="77777777" w:rsidR="00127D69" w:rsidRPr="00EC2648" w:rsidRDefault="00127D69" w:rsidP="00127D69">
      <w:pPr>
        <w:spacing w:after="0"/>
        <w:rPr>
          <w:rFonts w:ascii="Times New Roman" w:eastAsia="Times New Roman" w:hAnsi="Times New Roman" w:cs="Times New Roman"/>
          <w:color w:val="000000" w:themeColor="text1"/>
        </w:rPr>
      </w:pPr>
    </w:p>
    <w:p w14:paraId="42FF8D4D" w14:textId="77777777" w:rsidR="00127D69" w:rsidRPr="00EC2648" w:rsidRDefault="00127D69" w:rsidP="00127D69">
      <w:pPr>
        <w:spacing w:afterLines="160" w:after="384"/>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Disallowable Legislative Instrument engages the following human rights:</w:t>
      </w:r>
    </w:p>
    <w:p w14:paraId="60DC8E93" w14:textId="77777777" w:rsidR="00127D69" w:rsidRPr="00EC2648" w:rsidRDefault="00127D69" w:rsidP="00127D69">
      <w:pPr>
        <w:pStyle w:val="EMfirstbullet"/>
        <w:numPr>
          <w:ilvl w:val="0"/>
          <w:numId w:val="23"/>
        </w:numPr>
        <w:spacing w:afterLines="160" w:after="384"/>
        <w:rPr>
          <w:rFonts w:eastAsia="Times New Roman"/>
          <w:color w:val="000000" w:themeColor="text1"/>
          <w:sz w:val="24"/>
          <w:szCs w:val="24"/>
          <w:lang w:val="en-AU"/>
        </w:rPr>
      </w:pPr>
      <w:r w:rsidRPr="00EC2648">
        <w:rPr>
          <w:rFonts w:eastAsia="Times New Roman"/>
          <w:color w:val="000000" w:themeColor="text1"/>
          <w:sz w:val="24"/>
          <w:szCs w:val="24"/>
        </w:rPr>
        <w:t>The right to the enjoyment of just and favourable conditions of work under Article 7 of the International Covenant on Economic Social and Cultural Rights (ICESCR);</w:t>
      </w:r>
    </w:p>
    <w:p w14:paraId="166F3A0A" w14:textId="525DA331" w:rsidR="04B832C5" w:rsidRPr="00EC2648" w:rsidRDefault="04B832C5" w:rsidP="56B2BC1C">
      <w:pPr>
        <w:pStyle w:val="EMfirstbullet"/>
        <w:numPr>
          <w:ilvl w:val="0"/>
          <w:numId w:val="23"/>
        </w:numPr>
        <w:spacing w:afterLines="160" w:after="384"/>
        <w:rPr>
          <w:rFonts w:eastAsia="Times New Roman"/>
          <w:color w:val="000000" w:themeColor="text1"/>
          <w:sz w:val="24"/>
          <w:szCs w:val="24"/>
          <w:lang w:val="en-AU"/>
        </w:rPr>
      </w:pPr>
      <w:r w:rsidRPr="00EC2648">
        <w:rPr>
          <w:rFonts w:eastAsia="Times New Roman"/>
          <w:color w:val="000000" w:themeColor="text1"/>
          <w:sz w:val="24"/>
          <w:szCs w:val="24"/>
        </w:rPr>
        <w:t>The right to physical and mental health</w:t>
      </w:r>
      <w:r w:rsidR="1C1082D8" w:rsidRPr="00EC2648">
        <w:rPr>
          <w:rFonts w:eastAsia="Times New Roman"/>
          <w:color w:val="000000" w:themeColor="text1"/>
          <w:sz w:val="24"/>
          <w:szCs w:val="24"/>
        </w:rPr>
        <w:t xml:space="preserve"> under Article 12 of the ICESCR</w:t>
      </w:r>
      <w:r w:rsidR="00554357" w:rsidRPr="00EC2648">
        <w:rPr>
          <w:rFonts w:eastAsia="Times New Roman"/>
          <w:color w:val="000000" w:themeColor="text1"/>
          <w:sz w:val="24"/>
          <w:szCs w:val="24"/>
        </w:rPr>
        <w:t>;</w:t>
      </w:r>
    </w:p>
    <w:p w14:paraId="5196A599" w14:textId="505EF7FC" w:rsidR="04B832C5" w:rsidRPr="00EC2648" w:rsidRDefault="6673002F" w:rsidP="56B2BC1C">
      <w:pPr>
        <w:pStyle w:val="EMfirstbullet"/>
        <w:numPr>
          <w:ilvl w:val="0"/>
          <w:numId w:val="23"/>
        </w:numPr>
        <w:spacing w:afterLines="160" w:after="384"/>
        <w:rPr>
          <w:rFonts w:eastAsia="Times New Roman"/>
          <w:color w:val="000000" w:themeColor="text1"/>
          <w:sz w:val="24"/>
          <w:szCs w:val="24"/>
          <w:lang w:val="en-AU"/>
        </w:rPr>
      </w:pPr>
      <w:r w:rsidRPr="00EC2648">
        <w:rPr>
          <w:rFonts w:eastAsia="Times New Roman"/>
          <w:color w:val="000000" w:themeColor="text1"/>
          <w:sz w:val="24"/>
          <w:szCs w:val="24"/>
        </w:rPr>
        <w:lastRenderedPageBreak/>
        <w:t>The right to be presumed innocent until proven guilty according to law</w:t>
      </w:r>
      <w:r w:rsidR="1EC6B875" w:rsidRPr="00EC2648">
        <w:rPr>
          <w:rFonts w:eastAsia="Times New Roman"/>
          <w:color w:val="000000" w:themeColor="text1"/>
          <w:sz w:val="24"/>
          <w:szCs w:val="24"/>
        </w:rPr>
        <w:t xml:space="preserve"> under article 14(2) of the Inter</w:t>
      </w:r>
      <w:r w:rsidR="6FCD1EC3" w:rsidRPr="00EC2648">
        <w:rPr>
          <w:rFonts w:eastAsia="Times New Roman"/>
          <w:color w:val="000000" w:themeColor="text1"/>
          <w:sz w:val="24"/>
          <w:szCs w:val="24"/>
        </w:rPr>
        <w:t>national Covenant on Civil and Political Rights (ICCPR)</w:t>
      </w:r>
      <w:r w:rsidRPr="00EC2648">
        <w:rPr>
          <w:rFonts w:eastAsia="Times New Roman"/>
          <w:color w:val="000000" w:themeColor="text1"/>
          <w:sz w:val="24"/>
          <w:szCs w:val="24"/>
        </w:rPr>
        <w:t xml:space="preserve">; </w:t>
      </w:r>
      <w:r w:rsidR="00F45EAF" w:rsidRPr="00EC2648">
        <w:rPr>
          <w:rFonts w:eastAsia="Times New Roman"/>
          <w:color w:val="000000" w:themeColor="text1"/>
          <w:sz w:val="24"/>
          <w:szCs w:val="24"/>
        </w:rPr>
        <w:t>and</w:t>
      </w:r>
    </w:p>
    <w:p w14:paraId="79BEA4F5" w14:textId="49A176AB" w:rsidR="00127D69" w:rsidRPr="00EC2648" w:rsidRDefault="00127D69" w:rsidP="33F151C8">
      <w:pPr>
        <w:pStyle w:val="EMfirstbullet"/>
        <w:numPr>
          <w:ilvl w:val="0"/>
          <w:numId w:val="23"/>
        </w:numPr>
        <w:spacing w:afterLines="160" w:after="384"/>
        <w:rPr>
          <w:rFonts w:eastAsia="Times New Roman"/>
          <w:color w:val="000000" w:themeColor="text1"/>
          <w:sz w:val="24"/>
          <w:szCs w:val="24"/>
          <w:lang w:val="en-AU"/>
        </w:rPr>
      </w:pPr>
      <w:r w:rsidRPr="00EC2648">
        <w:rPr>
          <w:rFonts w:eastAsia="Times New Roman"/>
          <w:color w:val="000000" w:themeColor="text1"/>
          <w:sz w:val="24"/>
          <w:szCs w:val="24"/>
        </w:rPr>
        <w:t xml:space="preserve">The right to privacy under article 17 of the </w:t>
      </w:r>
      <w:r w:rsidR="5AA654DC" w:rsidRPr="00EC2648">
        <w:rPr>
          <w:rFonts w:eastAsia="Times New Roman"/>
          <w:color w:val="000000" w:themeColor="text1"/>
          <w:sz w:val="24"/>
          <w:szCs w:val="24"/>
        </w:rPr>
        <w:t>ICCPR</w:t>
      </w:r>
      <w:r w:rsidRPr="00EC2648">
        <w:rPr>
          <w:rFonts w:eastAsia="Times New Roman"/>
          <w:color w:val="000000" w:themeColor="text1"/>
          <w:sz w:val="24"/>
          <w:szCs w:val="24"/>
        </w:rPr>
        <w:t xml:space="preserve">. </w:t>
      </w:r>
    </w:p>
    <w:p w14:paraId="21CB4524" w14:textId="77777777" w:rsidR="00127D69" w:rsidRPr="00EC2648" w:rsidRDefault="00127D69" w:rsidP="00127D69">
      <w:pPr>
        <w:keepNext/>
        <w:keepLines/>
        <w:rPr>
          <w:rFonts w:ascii="Times New Roman" w:eastAsia="Times New Roman" w:hAnsi="Times New Roman" w:cs="Times New Roman"/>
        </w:rPr>
      </w:pPr>
      <w:r w:rsidRPr="00EC2648">
        <w:rPr>
          <w:rFonts w:ascii="Times New Roman" w:eastAsia="Times New Roman" w:hAnsi="Times New Roman" w:cs="Times New Roman"/>
          <w:u w:val="single"/>
        </w:rPr>
        <w:t>Rights to enjoyment of just and favourable conditions of work</w:t>
      </w:r>
    </w:p>
    <w:p w14:paraId="7B3B54B3" w14:textId="14CBC566" w:rsidR="00127D69" w:rsidRPr="00EC2648" w:rsidRDefault="00127D69" w:rsidP="009C52D0">
      <w:pPr>
        <w:keepNext/>
        <w:keepLines/>
        <w:rPr>
          <w:rFonts w:ascii="Times New Roman" w:eastAsia="Times New Roman" w:hAnsi="Times New Roman" w:cs="Times New Roman"/>
        </w:rPr>
      </w:pPr>
      <w:r w:rsidRPr="00EC2648">
        <w:rPr>
          <w:rFonts w:ascii="Times New Roman" w:eastAsia="Times New Roman" w:hAnsi="Times New Roman" w:cs="Times New Roman"/>
          <w:color w:val="000000" w:themeColor="text1"/>
        </w:rPr>
        <w:t>Article 7 of the ICESCR provides that everyone has the right to the ‘enjoyment of just and favourable conditions of work, which ensure, in particular…[s]afe and healthy working conditions’.</w:t>
      </w:r>
    </w:p>
    <w:p w14:paraId="44CD4EB7" w14:textId="77777777" w:rsidR="009C52D0" w:rsidRPr="00EC2648" w:rsidRDefault="009C52D0" w:rsidP="009C52D0">
      <w:pPr>
        <w:pStyle w:val="SCHRnumbers"/>
        <w:numPr>
          <w:ilvl w:val="0"/>
          <w:numId w:val="0"/>
        </w:numPr>
        <w:rPr>
          <w:rFonts w:ascii="Times New Roman" w:eastAsia="Times New Roman" w:hAnsi="Times New Roman" w:cs="Times New Roman"/>
          <w:color w:val="000000" w:themeColor="text1"/>
          <w:sz w:val="24"/>
          <w:szCs w:val="24"/>
          <w:lang w:val="en-AU"/>
        </w:rPr>
      </w:pPr>
      <w:r w:rsidRPr="00EC2648">
        <w:rPr>
          <w:rFonts w:ascii="Times New Roman" w:eastAsia="Times New Roman" w:hAnsi="Times New Roman" w:cs="Times New Roman"/>
          <w:color w:val="000000" w:themeColor="text1"/>
          <w:sz w:val="24"/>
          <w:szCs w:val="24"/>
        </w:rPr>
        <w:t xml:space="preserve">The content of the right to just and favourable conditions of work can be informed by specific obligations in treaties of the International Labour Organization, including, the </w:t>
      </w:r>
      <w:r w:rsidRPr="00EC2648">
        <w:rPr>
          <w:rFonts w:ascii="Times New Roman" w:eastAsia="Times New Roman" w:hAnsi="Times New Roman" w:cs="Times New Roman"/>
          <w:i/>
          <w:iCs/>
          <w:color w:val="000000" w:themeColor="text1"/>
          <w:sz w:val="24"/>
          <w:szCs w:val="24"/>
        </w:rPr>
        <w:t>Occupational Safety and Health Convention 1981</w:t>
      </w:r>
      <w:r w:rsidRPr="00EC2648">
        <w:rPr>
          <w:rFonts w:ascii="Times New Roman" w:eastAsia="Times New Roman" w:hAnsi="Times New Roman" w:cs="Times New Roman"/>
          <w:color w:val="000000" w:themeColor="text1"/>
          <w:sz w:val="24"/>
          <w:szCs w:val="24"/>
        </w:rPr>
        <w:t xml:space="preserve"> (No. 155) which requires the adoption of a coherent national policy on occupational safety, occupational health and the working environment.</w:t>
      </w:r>
    </w:p>
    <w:p w14:paraId="1351A038" w14:textId="098B2816" w:rsidR="009C52D0" w:rsidRPr="00EC2648" w:rsidRDefault="009C52D0" w:rsidP="009C52D0">
      <w:pPr>
        <w:spacing w:before="220" w:after="12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 xml:space="preserve">The prevention of occupational diseases is a fundamental aspect of the right to just and favourable conditions of work. Its realisation requires the adoption of a national policy for the prevention of work-related </w:t>
      </w:r>
      <w:r w:rsidR="000243A3" w:rsidRPr="00EC2648">
        <w:rPr>
          <w:rFonts w:ascii="Times New Roman" w:eastAsia="Times New Roman" w:hAnsi="Times New Roman" w:cs="Times New Roman"/>
          <w:color w:val="000000" w:themeColor="text1"/>
        </w:rPr>
        <w:t>d</w:t>
      </w:r>
      <w:r w:rsidR="73070B16" w:rsidRPr="00EC2648">
        <w:rPr>
          <w:rFonts w:ascii="Times New Roman" w:eastAsia="Times New Roman" w:hAnsi="Times New Roman" w:cs="Times New Roman"/>
          <w:color w:val="000000" w:themeColor="text1"/>
        </w:rPr>
        <w:t xml:space="preserve">iseases and </w:t>
      </w:r>
      <w:r w:rsidR="000243A3" w:rsidRPr="00EC2648">
        <w:rPr>
          <w:rFonts w:ascii="Times New Roman" w:eastAsia="Times New Roman" w:hAnsi="Times New Roman" w:cs="Times New Roman"/>
          <w:color w:val="000000" w:themeColor="text1"/>
        </w:rPr>
        <w:t>deaths</w:t>
      </w:r>
      <w:r w:rsidRPr="00EC2648">
        <w:rPr>
          <w:rFonts w:ascii="Times New Roman" w:eastAsia="Times New Roman" w:hAnsi="Times New Roman" w:cs="Times New Roman"/>
          <w:color w:val="000000" w:themeColor="text1"/>
        </w:rPr>
        <w:t xml:space="preserve"> by minimising hazards in the working environment and ensuring broad participation in its formulation, implementation and review, of workers and employers and their representative organisations.</w:t>
      </w:r>
    </w:p>
    <w:p w14:paraId="37FE22AC" w14:textId="7C6A74B8" w:rsidR="009C52D0" w:rsidRPr="00EC2648" w:rsidRDefault="009C52D0" w:rsidP="009C52D0">
      <w:pPr>
        <w:spacing w:after="120"/>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Australia complies with its obligation under Article 7 of the ICESCR through the harmonised system of Commonwealth, state and territory WHS laws (including the Principal Regulations).</w:t>
      </w:r>
    </w:p>
    <w:p w14:paraId="7B9522CE" w14:textId="6BAAFD77" w:rsidR="517ACF48" w:rsidRPr="00EC2648" w:rsidRDefault="517ACF48" w:rsidP="56B2BC1C">
      <w:pPr>
        <w:spacing w:after="120"/>
        <w:rPr>
          <w:rFonts w:ascii="Times New Roman" w:eastAsia="Times New Roman" w:hAnsi="Times New Roman" w:cs="Times New Roman"/>
          <w:color w:val="000000" w:themeColor="text1"/>
          <w:lang w:val="en-GB"/>
        </w:rPr>
      </w:pPr>
      <w:r w:rsidRPr="00EC2648">
        <w:rPr>
          <w:rFonts w:ascii="Times New Roman" w:eastAsia="Times New Roman" w:hAnsi="Times New Roman" w:cs="Times New Roman"/>
        </w:rPr>
        <w:t xml:space="preserve">Workplace exposure to respirable crystalline silica </w:t>
      </w:r>
      <w:r w:rsidR="06CF84D4" w:rsidRPr="00EC2648">
        <w:rPr>
          <w:rFonts w:ascii="Times New Roman" w:eastAsia="Times New Roman" w:hAnsi="Times New Roman" w:cs="Times New Roman"/>
        </w:rPr>
        <w:t xml:space="preserve">(RCS) </w:t>
      </w:r>
      <w:r w:rsidRPr="00EC2648">
        <w:rPr>
          <w:rFonts w:ascii="Times New Roman" w:eastAsia="Times New Roman" w:hAnsi="Times New Roman" w:cs="Times New Roman"/>
        </w:rPr>
        <w:t xml:space="preserve">is a serious issue threatening the lives of Australian workers. The increase in silicosis and other silica-related occupational diseases has </w:t>
      </w:r>
      <w:r w:rsidR="002D6DBE" w:rsidRPr="00EC2648">
        <w:rPr>
          <w:rFonts w:ascii="Times New Roman" w:eastAsia="Times New Roman" w:hAnsi="Times New Roman" w:cs="Times New Roman"/>
        </w:rPr>
        <w:t>led to</w:t>
      </w:r>
      <w:r w:rsidRPr="00EC2648">
        <w:rPr>
          <w:rFonts w:ascii="Times New Roman" w:eastAsia="Times New Roman" w:hAnsi="Times New Roman" w:cs="Times New Roman"/>
        </w:rPr>
        <w:t xml:space="preserve"> urgent national reform. </w:t>
      </w:r>
    </w:p>
    <w:p w14:paraId="2BDBE590" w14:textId="22A214A7" w:rsidR="56B2BC1C" w:rsidRPr="00EC2648" w:rsidRDefault="1D9C648B" w:rsidP="67939FCF">
      <w:pPr>
        <w:spacing w:after="120" w:line="257" w:lineRule="auto"/>
        <w:rPr>
          <w:rFonts w:ascii="Times New Roman" w:eastAsia="Times New Roman" w:hAnsi="Times New Roman" w:cs="Times New Roman"/>
          <w:color w:val="000000" w:themeColor="text1"/>
          <w:lang w:val="en-GB"/>
        </w:rPr>
      </w:pPr>
      <w:r w:rsidRPr="00EC2648">
        <w:rPr>
          <w:rFonts w:ascii="Times New Roman" w:eastAsia="Times New Roman" w:hAnsi="Times New Roman" w:cs="Times New Roman"/>
          <w:color w:val="000000" w:themeColor="text1"/>
        </w:rPr>
        <w:t xml:space="preserve">Engineered stone contains crystalline silica, and when it is processed by cutting, grinding, trimming, sanding, polishing or drilling, dust containing RCS is released. </w:t>
      </w:r>
      <w:r w:rsidR="34740AFF" w:rsidRPr="00EC2648">
        <w:rPr>
          <w:rFonts w:ascii="Times New Roman" w:eastAsia="Times New Roman" w:hAnsi="Times New Roman" w:cs="Times New Roman"/>
          <w:color w:val="000000" w:themeColor="text1"/>
        </w:rPr>
        <w:t xml:space="preserve">RCS is also </w:t>
      </w:r>
      <w:r w:rsidR="34740AFF" w:rsidRPr="00EC2648">
        <w:rPr>
          <w:rFonts w:ascii="Times New Roman" w:eastAsia="Times New Roman" w:hAnsi="Times New Roman" w:cs="Times New Roman"/>
          <w:color w:val="262626" w:themeColor="text1" w:themeTint="D9"/>
        </w:rPr>
        <w:t>generated during mechanical processing materials containing crystalline silica, such as quarrying, tunnelling, crushing, cutting, drilling, grinding, or sanding.</w:t>
      </w:r>
      <w:r w:rsidR="34740AFF" w:rsidRPr="00EC2648">
        <w:rPr>
          <w:rFonts w:ascii="Times New Roman" w:eastAsia="Times New Roman" w:hAnsi="Times New Roman" w:cs="Times New Roman"/>
          <w:color w:val="000000" w:themeColor="text1"/>
        </w:rPr>
        <w:t xml:space="preserve"> </w:t>
      </w:r>
      <w:r w:rsidR="4FBF2892" w:rsidRPr="00EC2648">
        <w:rPr>
          <w:rFonts w:ascii="Times New Roman" w:eastAsia="Times New Roman" w:hAnsi="Times New Roman" w:cs="Times New Roman"/>
          <w:color w:val="000000" w:themeColor="text1"/>
        </w:rPr>
        <w:t>Other c</w:t>
      </w:r>
      <w:r w:rsidR="4FBF2892" w:rsidRPr="00EC2648">
        <w:rPr>
          <w:rFonts w:ascii="Times New Roman" w:eastAsia="Times New Roman" w:hAnsi="Times New Roman" w:cs="Times New Roman"/>
          <w:color w:val="262626" w:themeColor="text1" w:themeTint="D9"/>
        </w:rPr>
        <w:t xml:space="preserve">ommon material containing crystalline silica include natural stone, bricks, pavers, cement, grout, mortar and tiles. </w:t>
      </w:r>
      <w:r w:rsidRPr="00EC2648">
        <w:rPr>
          <w:rFonts w:ascii="Times New Roman" w:eastAsia="Times New Roman" w:hAnsi="Times New Roman" w:cs="Times New Roman"/>
          <w:color w:val="000000" w:themeColor="text1"/>
        </w:rPr>
        <w:t>Inhaling RCS can cause silicosis and other silica-related diseases. Silicosis can cause permanent disability and death and has no cure except for lung transplantation.</w:t>
      </w:r>
    </w:p>
    <w:p w14:paraId="6E51D0E6" w14:textId="2B906E69" w:rsidR="00937F2E" w:rsidRPr="00EC2648" w:rsidRDefault="001D6E01" w:rsidP="00937F2E">
      <w:pPr>
        <w:rPr>
          <w:rFonts w:ascii="Times New Roman" w:eastAsia="Times New Roman" w:hAnsi="Times New Roman" w:cs="Times New Roman"/>
        </w:rPr>
      </w:pPr>
      <w:r w:rsidRPr="00EC2648">
        <w:rPr>
          <w:rFonts w:ascii="Times New Roman" w:eastAsia="Times New Roman" w:hAnsi="Times New Roman" w:cs="Times New Roman"/>
          <w:color w:val="000000" w:themeColor="text1"/>
        </w:rPr>
        <w:t xml:space="preserve">The Amendment Regulations promote the right to safe and healthy working conditions by </w:t>
      </w:r>
      <w:r w:rsidRPr="00EC2648">
        <w:rPr>
          <w:rFonts w:ascii="Times New Roman" w:eastAsia="Times New Roman" w:hAnsi="Times New Roman" w:cs="Times New Roman"/>
        </w:rPr>
        <w:t>prohibiting the use, supply and manufacture of engineered stone benchtops, panels and slabs</w:t>
      </w:r>
      <w:r w:rsidR="0F79E426" w:rsidRPr="00EC2648">
        <w:rPr>
          <w:rFonts w:ascii="Times New Roman" w:eastAsia="Times New Roman" w:hAnsi="Times New Roman" w:cs="Times New Roman"/>
        </w:rPr>
        <w:t xml:space="preserve"> to</w:t>
      </w:r>
      <w:r w:rsidR="3C1A55C2" w:rsidRPr="00EC2648">
        <w:rPr>
          <w:rFonts w:ascii="Times New Roman" w:eastAsia="Times New Roman" w:hAnsi="Times New Roman" w:cs="Times New Roman"/>
        </w:rPr>
        <w:t xml:space="preserve"> protect</w:t>
      </w:r>
      <w:r w:rsidRPr="00EC2648">
        <w:rPr>
          <w:rFonts w:ascii="Times New Roman" w:eastAsia="Times New Roman" w:hAnsi="Times New Roman" w:cs="Times New Roman"/>
        </w:rPr>
        <w:t xml:space="preserve"> the health and safety of workers in </w:t>
      </w:r>
      <w:r w:rsidR="64AA54C0" w:rsidRPr="00EC2648">
        <w:rPr>
          <w:rFonts w:ascii="Times New Roman" w:eastAsia="Times New Roman" w:hAnsi="Times New Roman" w:cs="Times New Roman"/>
        </w:rPr>
        <w:t>the</w:t>
      </w:r>
      <w:r w:rsidRPr="00EC2648">
        <w:rPr>
          <w:rFonts w:ascii="Times New Roman" w:eastAsia="Times New Roman" w:hAnsi="Times New Roman" w:cs="Times New Roman"/>
        </w:rPr>
        <w:t xml:space="preserve"> engineered stone</w:t>
      </w:r>
      <w:r w:rsidR="1CFF6515" w:rsidRPr="00EC2648">
        <w:rPr>
          <w:rFonts w:ascii="Times New Roman" w:eastAsia="Times New Roman" w:hAnsi="Times New Roman" w:cs="Times New Roman"/>
        </w:rPr>
        <w:t xml:space="preserve"> industry</w:t>
      </w:r>
      <w:r w:rsidRPr="00EC2648">
        <w:rPr>
          <w:rFonts w:ascii="Times New Roman" w:eastAsia="Times New Roman" w:hAnsi="Times New Roman" w:cs="Times New Roman"/>
        </w:rPr>
        <w:t>.</w:t>
      </w:r>
      <w:r w:rsidR="004D3B7E" w:rsidRPr="00EC2648">
        <w:rPr>
          <w:rFonts w:ascii="Times New Roman" w:eastAsia="Times New Roman" w:hAnsi="Times New Roman" w:cs="Times New Roman"/>
        </w:rPr>
        <w:t xml:space="preserve"> Further, it also </w:t>
      </w:r>
      <w:r w:rsidR="00BA77FA" w:rsidRPr="00EC2648">
        <w:rPr>
          <w:rFonts w:ascii="Times New Roman" w:eastAsia="Times New Roman" w:hAnsi="Times New Roman" w:cs="Times New Roman"/>
        </w:rPr>
        <w:t>prescribes additional</w:t>
      </w:r>
      <w:r w:rsidR="00F5669B" w:rsidRPr="00EC2648">
        <w:rPr>
          <w:rFonts w:ascii="Times New Roman" w:eastAsia="Times New Roman" w:hAnsi="Times New Roman" w:cs="Times New Roman"/>
        </w:rPr>
        <w:t xml:space="preserve"> obligations on PCBU</w:t>
      </w:r>
      <w:r w:rsidR="00BA77FA" w:rsidRPr="00EC2648">
        <w:rPr>
          <w:rFonts w:ascii="Times New Roman" w:eastAsia="Times New Roman" w:hAnsi="Times New Roman" w:cs="Times New Roman"/>
        </w:rPr>
        <w:t>s</w:t>
      </w:r>
      <w:r w:rsidR="00F5669B" w:rsidRPr="00EC2648">
        <w:rPr>
          <w:rFonts w:ascii="Times New Roman" w:eastAsia="Times New Roman" w:hAnsi="Times New Roman" w:cs="Times New Roman"/>
        </w:rPr>
        <w:t xml:space="preserve"> </w:t>
      </w:r>
      <w:r w:rsidR="00F07635" w:rsidRPr="00EC2648">
        <w:rPr>
          <w:rFonts w:ascii="Times New Roman" w:eastAsia="Times New Roman" w:hAnsi="Times New Roman" w:cs="Times New Roman"/>
        </w:rPr>
        <w:t xml:space="preserve">across all industries </w:t>
      </w:r>
      <w:r w:rsidR="00F5669B" w:rsidRPr="00EC2648">
        <w:rPr>
          <w:rFonts w:ascii="Times New Roman" w:eastAsia="Times New Roman" w:hAnsi="Times New Roman" w:cs="Times New Roman"/>
        </w:rPr>
        <w:t xml:space="preserve">to </w:t>
      </w:r>
      <w:r w:rsidR="003360AA" w:rsidRPr="00EC2648">
        <w:rPr>
          <w:rFonts w:ascii="Times New Roman" w:eastAsia="Times New Roman" w:hAnsi="Times New Roman" w:cs="Times New Roman"/>
        </w:rPr>
        <w:t>take proactive measures to eliminate or minimise risk</w:t>
      </w:r>
      <w:r w:rsidR="00FE464B" w:rsidRPr="00EC2648">
        <w:rPr>
          <w:rFonts w:ascii="Times New Roman" w:eastAsia="Times New Roman" w:hAnsi="Times New Roman" w:cs="Times New Roman"/>
        </w:rPr>
        <w:t>s</w:t>
      </w:r>
      <w:r w:rsidR="003360AA" w:rsidRPr="00EC2648">
        <w:rPr>
          <w:rFonts w:ascii="Times New Roman" w:eastAsia="Times New Roman" w:hAnsi="Times New Roman" w:cs="Times New Roman"/>
        </w:rPr>
        <w:t xml:space="preserve"> associated </w:t>
      </w:r>
      <w:r w:rsidR="002F16AC" w:rsidRPr="00EC2648">
        <w:rPr>
          <w:rFonts w:ascii="Times New Roman" w:eastAsia="Times New Roman" w:hAnsi="Times New Roman" w:cs="Times New Roman"/>
        </w:rPr>
        <w:t xml:space="preserve">with </w:t>
      </w:r>
      <w:r w:rsidR="00245492" w:rsidRPr="00EC2648">
        <w:rPr>
          <w:rFonts w:ascii="Times New Roman" w:eastAsia="Times New Roman" w:hAnsi="Times New Roman" w:cs="Times New Roman"/>
        </w:rPr>
        <w:t xml:space="preserve">working with </w:t>
      </w:r>
      <w:r w:rsidR="002B77FD" w:rsidRPr="00EC2648">
        <w:rPr>
          <w:rFonts w:ascii="Times New Roman" w:eastAsia="Times New Roman" w:hAnsi="Times New Roman" w:cs="Times New Roman"/>
        </w:rPr>
        <w:t>CSS</w:t>
      </w:r>
      <w:r w:rsidR="00446A1E" w:rsidRPr="00EC2648">
        <w:rPr>
          <w:rFonts w:ascii="Times New Roman" w:eastAsia="Times New Roman" w:hAnsi="Times New Roman" w:cs="Times New Roman"/>
        </w:rPr>
        <w:t xml:space="preserve">, so far as is reasonably practicable. </w:t>
      </w:r>
      <w:r w:rsidR="002C4D9C" w:rsidRPr="00EC2648">
        <w:rPr>
          <w:rFonts w:ascii="Times New Roman" w:eastAsia="Times New Roman" w:hAnsi="Times New Roman" w:cs="Times New Roman"/>
        </w:rPr>
        <w:t>This approach helps to create safer working environments and reduce silic</w:t>
      </w:r>
      <w:r w:rsidR="00BA77FA" w:rsidRPr="00EC2648">
        <w:rPr>
          <w:rFonts w:ascii="Times New Roman" w:eastAsia="Times New Roman" w:hAnsi="Times New Roman" w:cs="Times New Roman"/>
        </w:rPr>
        <w:t>a</w:t>
      </w:r>
      <w:r w:rsidR="4D9310C0" w:rsidRPr="00EC2648">
        <w:rPr>
          <w:rFonts w:ascii="Times New Roman" w:eastAsia="Times New Roman" w:hAnsi="Times New Roman" w:cs="Times New Roman"/>
        </w:rPr>
        <w:t>-</w:t>
      </w:r>
      <w:r w:rsidR="00BA77FA" w:rsidRPr="00EC2648">
        <w:rPr>
          <w:rFonts w:ascii="Times New Roman" w:eastAsia="Times New Roman" w:hAnsi="Times New Roman" w:cs="Times New Roman"/>
        </w:rPr>
        <w:t xml:space="preserve">related diseases. </w:t>
      </w:r>
    </w:p>
    <w:p w14:paraId="3E13B50D" w14:textId="03414078" w:rsidR="1A662CDA" w:rsidRPr="00EC2648" w:rsidRDefault="1A662CDA" w:rsidP="64341CC3">
      <w:pPr>
        <w:rPr>
          <w:rFonts w:ascii="Times New Roman" w:eastAsia="Times New Roman" w:hAnsi="Times New Roman" w:cs="Times New Roman"/>
        </w:rPr>
      </w:pPr>
      <w:r w:rsidRPr="00EC2648">
        <w:rPr>
          <w:rFonts w:ascii="Times New Roman" w:eastAsia="Times New Roman" w:hAnsi="Times New Roman" w:cs="Times New Roman"/>
        </w:rPr>
        <w:lastRenderedPageBreak/>
        <w:t>The Amendment Regulations also promote the right to safe and healthy working conditions by increasing penalty amounts across the</w:t>
      </w:r>
      <w:r w:rsidR="007F7DD8" w:rsidRPr="00EC2648">
        <w:rPr>
          <w:rFonts w:ascii="Times New Roman" w:eastAsia="Times New Roman" w:hAnsi="Times New Roman" w:cs="Times New Roman"/>
        </w:rPr>
        <w:t xml:space="preserve"> Principal Regulations</w:t>
      </w:r>
      <w:r w:rsidR="00320BBA" w:rsidRPr="00EC2648">
        <w:rPr>
          <w:rFonts w:ascii="Times New Roman" w:eastAsia="Times New Roman" w:hAnsi="Times New Roman" w:cs="Times New Roman"/>
        </w:rPr>
        <w:t xml:space="preserve"> and implementing reforms which will ensure penalties </w:t>
      </w:r>
      <w:r w:rsidR="0046627A" w:rsidRPr="00EC2648">
        <w:rPr>
          <w:rFonts w:ascii="Times New Roman" w:eastAsia="Times New Roman" w:hAnsi="Times New Roman" w:cs="Times New Roman"/>
        </w:rPr>
        <w:t>are automatically updated each year to maintain relative value</w:t>
      </w:r>
      <w:r w:rsidR="10CFE373" w:rsidRPr="00EC2648">
        <w:rPr>
          <w:rFonts w:ascii="Times New Roman" w:eastAsia="Times New Roman" w:hAnsi="Times New Roman" w:cs="Times New Roman"/>
        </w:rPr>
        <w:t>.</w:t>
      </w:r>
    </w:p>
    <w:p w14:paraId="5C00DC04" w14:textId="6DA9D4D6" w:rsidR="1A662CDA" w:rsidRPr="00EC2648" w:rsidRDefault="10CFE373" w:rsidP="56B2BC1C">
      <w:pPr>
        <w:rPr>
          <w:rFonts w:ascii="Times New Roman" w:eastAsia="Times New Roman" w:hAnsi="Times New Roman" w:cs="Times New Roman"/>
        </w:rPr>
      </w:pPr>
      <w:r w:rsidRPr="00EC2648">
        <w:rPr>
          <w:rFonts w:ascii="Times New Roman" w:eastAsia="Times New Roman" w:hAnsi="Times New Roman" w:cs="Times New Roman"/>
        </w:rPr>
        <w:t xml:space="preserve">Strengthening the Commonwealth WHS framework through these measures would promote the right to safe and healthy working conditions by </w:t>
      </w:r>
      <w:r w:rsidR="00B72564" w:rsidRPr="00EC2648">
        <w:rPr>
          <w:rFonts w:ascii="Times New Roman" w:eastAsia="Times New Roman" w:hAnsi="Times New Roman" w:cs="Times New Roman"/>
        </w:rPr>
        <w:t xml:space="preserve">introducing specific regulations for working with crystalline silica </w:t>
      </w:r>
      <w:r w:rsidR="00E00171" w:rsidRPr="00EC2648">
        <w:rPr>
          <w:rFonts w:ascii="Times New Roman" w:eastAsia="Times New Roman" w:hAnsi="Times New Roman" w:cs="Times New Roman"/>
        </w:rPr>
        <w:t xml:space="preserve">and </w:t>
      </w:r>
      <w:r w:rsidRPr="00EC2648">
        <w:rPr>
          <w:rFonts w:ascii="Times New Roman" w:eastAsia="Times New Roman" w:hAnsi="Times New Roman" w:cs="Times New Roman"/>
        </w:rPr>
        <w:t>deterring non-compliance with WHS laws.</w:t>
      </w:r>
    </w:p>
    <w:p w14:paraId="48507BAE" w14:textId="0C2895D8" w:rsidR="25E5B49A" w:rsidRPr="00EC2648" w:rsidRDefault="25E5B49A" w:rsidP="56B2BC1C">
      <w:pPr>
        <w:rPr>
          <w:rFonts w:ascii="Times New Roman" w:eastAsia="Times New Roman" w:hAnsi="Times New Roman" w:cs="Times New Roman"/>
          <w:u w:val="single"/>
        </w:rPr>
      </w:pPr>
      <w:r w:rsidRPr="00EC2648">
        <w:rPr>
          <w:rFonts w:ascii="Times New Roman" w:eastAsia="Times New Roman" w:hAnsi="Times New Roman" w:cs="Times New Roman"/>
          <w:u w:val="single"/>
        </w:rPr>
        <w:t>Right to physical and mental health</w:t>
      </w:r>
    </w:p>
    <w:p w14:paraId="1BE8226B" w14:textId="24CB6310" w:rsidR="218AEFB4" w:rsidRPr="00EC2648" w:rsidRDefault="218AEFB4" w:rsidP="56B2BC1C">
      <w:pPr>
        <w:rPr>
          <w:rFonts w:ascii="Times New Roman" w:hAnsi="Times New Roman" w:cs="Times New Roman"/>
        </w:rPr>
      </w:pPr>
      <w:r w:rsidRPr="00EC2648">
        <w:rPr>
          <w:rFonts w:ascii="Times New Roman" w:eastAsia="Times New Roman" w:hAnsi="Times New Roman" w:cs="Times New Roman"/>
        </w:rPr>
        <w:t>The right to physical and mental health expressed in Article 12 of the ICESCR is engaged by this Amendment Regulations as the United Nations Committee on Economic Social and Cultural Rights has stated that the right to health concerns safe and healthy working conditions. Guidance from the Attorney-General’s Department clarifies that where Article 12(2)(b) mentions ‘industrial hygiene’ this ‘refers to the minimisation, so far as is reasonably practicable, of the causes of health hazards inherent in the working environment’.</w:t>
      </w:r>
    </w:p>
    <w:p w14:paraId="7F6C66D6" w14:textId="2466D71C" w:rsidR="218AEFB4" w:rsidRPr="00EC2648" w:rsidRDefault="218AEFB4" w:rsidP="56B2BC1C">
      <w:pPr>
        <w:rPr>
          <w:rFonts w:ascii="Times New Roman" w:eastAsia="Times New Roman" w:hAnsi="Times New Roman" w:cs="Times New Roman"/>
        </w:rPr>
      </w:pPr>
      <w:r w:rsidRPr="00EC2648">
        <w:rPr>
          <w:rFonts w:ascii="Times New Roman" w:eastAsia="Times New Roman" w:hAnsi="Times New Roman" w:cs="Times New Roman"/>
        </w:rPr>
        <w:t xml:space="preserve">Promoting ‘industrial hygiene’ involves taking steps to protect the work environment by reducing workers’ exposure to substances that impact upon human health including where workplace exposure to </w:t>
      </w:r>
      <w:r w:rsidR="2D276761" w:rsidRPr="00EC2648">
        <w:rPr>
          <w:rFonts w:ascii="Times New Roman" w:eastAsia="Times New Roman" w:hAnsi="Times New Roman" w:cs="Times New Roman"/>
        </w:rPr>
        <w:t>RCS</w:t>
      </w:r>
      <w:r w:rsidRPr="00EC2648">
        <w:rPr>
          <w:rFonts w:ascii="Times New Roman" w:eastAsia="Times New Roman" w:hAnsi="Times New Roman" w:cs="Times New Roman"/>
        </w:rPr>
        <w:t xml:space="preserve"> results in people developing serious health conditions.</w:t>
      </w:r>
      <w:r w:rsidR="152F63C6" w:rsidRPr="00EC2648">
        <w:rPr>
          <w:rFonts w:ascii="Times New Roman" w:eastAsia="Times New Roman" w:hAnsi="Times New Roman" w:cs="Times New Roman"/>
        </w:rPr>
        <w:t xml:space="preserve"> The </w:t>
      </w:r>
      <w:r w:rsidR="274EA86E" w:rsidRPr="00EC2648">
        <w:rPr>
          <w:rFonts w:ascii="Times New Roman" w:eastAsia="Times New Roman" w:hAnsi="Times New Roman" w:cs="Times New Roman"/>
        </w:rPr>
        <w:t>new regulations which prohibit</w:t>
      </w:r>
      <w:r w:rsidR="152F63C6" w:rsidRPr="00EC2648">
        <w:rPr>
          <w:rFonts w:ascii="Times New Roman" w:eastAsia="Times New Roman" w:hAnsi="Times New Roman" w:cs="Times New Roman"/>
        </w:rPr>
        <w:t xml:space="preserve"> the use of engineered stone </w:t>
      </w:r>
      <w:r w:rsidR="00020E66" w:rsidRPr="00EC2648">
        <w:rPr>
          <w:rFonts w:ascii="Times New Roman" w:eastAsia="Times New Roman" w:hAnsi="Times New Roman" w:cs="Times New Roman"/>
        </w:rPr>
        <w:t xml:space="preserve">benchtops, panels and slabs </w:t>
      </w:r>
      <w:r w:rsidR="152F63C6" w:rsidRPr="00EC2648">
        <w:rPr>
          <w:rFonts w:ascii="Times New Roman" w:eastAsia="Times New Roman" w:hAnsi="Times New Roman" w:cs="Times New Roman"/>
        </w:rPr>
        <w:t>would eliminate silicosis and other silica-related diseases among engineered stone workers</w:t>
      </w:r>
      <w:r w:rsidR="73F5C7B0" w:rsidRPr="00EC2648">
        <w:rPr>
          <w:rFonts w:ascii="Times New Roman" w:eastAsia="Times New Roman" w:hAnsi="Times New Roman" w:cs="Times New Roman"/>
        </w:rPr>
        <w:t>. Further, the new</w:t>
      </w:r>
      <w:r w:rsidR="152F63C6" w:rsidRPr="00EC2648">
        <w:rPr>
          <w:rFonts w:ascii="Times New Roman" w:eastAsia="Times New Roman" w:hAnsi="Times New Roman" w:cs="Times New Roman"/>
        </w:rPr>
        <w:t xml:space="preserve"> strong</w:t>
      </w:r>
      <w:r w:rsidR="5F1F3DFE" w:rsidRPr="00EC2648">
        <w:rPr>
          <w:rFonts w:ascii="Times New Roman" w:eastAsia="Times New Roman" w:hAnsi="Times New Roman" w:cs="Times New Roman"/>
        </w:rPr>
        <w:t>er</w:t>
      </w:r>
      <w:r w:rsidR="152F63C6" w:rsidRPr="00EC2648">
        <w:rPr>
          <w:rFonts w:ascii="Times New Roman" w:eastAsia="Times New Roman" w:hAnsi="Times New Roman" w:cs="Times New Roman"/>
        </w:rPr>
        <w:t xml:space="preserve"> regulations on working with crystalline silica substances would </w:t>
      </w:r>
      <w:r w:rsidR="2608C578" w:rsidRPr="00EC2648">
        <w:rPr>
          <w:rFonts w:ascii="Times New Roman" w:eastAsia="Times New Roman" w:hAnsi="Times New Roman" w:cs="Times New Roman"/>
        </w:rPr>
        <w:t xml:space="preserve">result in eliminating or minimising exposure to </w:t>
      </w:r>
      <w:r w:rsidR="74FB53C4" w:rsidRPr="00EC2648">
        <w:rPr>
          <w:rFonts w:ascii="Times New Roman" w:eastAsia="Times New Roman" w:hAnsi="Times New Roman" w:cs="Times New Roman"/>
        </w:rPr>
        <w:t>RCS across all industries.</w:t>
      </w:r>
    </w:p>
    <w:p w14:paraId="4FC832A7" w14:textId="7C11EB29" w:rsidR="218AEFB4" w:rsidRPr="00EC2648" w:rsidRDefault="218AEFB4" w:rsidP="56B2BC1C">
      <w:pPr>
        <w:rPr>
          <w:rFonts w:ascii="Times New Roman" w:eastAsia="Times New Roman" w:hAnsi="Times New Roman" w:cs="Times New Roman"/>
        </w:rPr>
      </w:pPr>
      <w:r w:rsidRPr="00EC2648">
        <w:rPr>
          <w:rFonts w:ascii="Times New Roman" w:eastAsia="Times New Roman" w:hAnsi="Times New Roman" w:cs="Times New Roman"/>
        </w:rPr>
        <w:t xml:space="preserve">The Amendment Regulations </w:t>
      </w:r>
      <w:r w:rsidR="632B72E8" w:rsidRPr="00EC2648">
        <w:rPr>
          <w:rFonts w:ascii="Times New Roman" w:eastAsia="Times New Roman" w:hAnsi="Times New Roman" w:cs="Times New Roman"/>
        </w:rPr>
        <w:t xml:space="preserve">also </w:t>
      </w:r>
      <w:r w:rsidRPr="00EC2648">
        <w:rPr>
          <w:rFonts w:ascii="Times New Roman" w:eastAsia="Times New Roman" w:hAnsi="Times New Roman" w:cs="Times New Roman"/>
        </w:rPr>
        <w:t xml:space="preserve">promote the right to physical and mental health by </w:t>
      </w:r>
      <w:r w:rsidR="00C44C5B" w:rsidRPr="00EC2648">
        <w:rPr>
          <w:rFonts w:ascii="Times New Roman" w:eastAsia="Times New Roman" w:hAnsi="Times New Roman" w:cs="Times New Roman"/>
        </w:rPr>
        <w:t>introducing new</w:t>
      </w:r>
      <w:r w:rsidRPr="00EC2648">
        <w:rPr>
          <w:rFonts w:ascii="Times New Roman" w:eastAsia="Times New Roman" w:hAnsi="Times New Roman" w:cs="Times New Roman"/>
        </w:rPr>
        <w:t xml:space="preserve"> offences and </w:t>
      </w:r>
      <w:r w:rsidR="00C44C5B" w:rsidRPr="00EC2648">
        <w:rPr>
          <w:rFonts w:ascii="Times New Roman" w:eastAsia="Times New Roman" w:hAnsi="Times New Roman" w:cs="Times New Roman"/>
        </w:rPr>
        <w:t xml:space="preserve">strengthening </w:t>
      </w:r>
      <w:r w:rsidR="00245B9B" w:rsidRPr="00EC2648">
        <w:rPr>
          <w:rFonts w:ascii="Times New Roman" w:eastAsia="Times New Roman" w:hAnsi="Times New Roman" w:cs="Times New Roman"/>
        </w:rPr>
        <w:t xml:space="preserve">the </w:t>
      </w:r>
      <w:r w:rsidRPr="00EC2648">
        <w:rPr>
          <w:rFonts w:ascii="Times New Roman" w:eastAsia="Times New Roman" w:hAnsi="Times New Roman" w:cs="Times New Roman"/>
        </w:rPr>
        <w:t xml:space="preserve">penalties framework which accompany a person’s duty to minimise the causes of health hazards inherent in the working environment. The </w:t>
      </w:r>
      <w:r w:rsidR="7CE3E64C" w:rsidRPr="00EC2648">
        <w:rPr>
          <w:rFonts w:ascii="Times New Roman" w:eastAsia="Times New Roman" w:hAnsi="Times New Roman" w:cs="Times New Roman"/>
        </w:rPr>
        <w:t xml:space="preserve">Amendment Regulations </w:t>
      </w:r>
      <w:r w:rsidRPr="00EC2648">
        <w:rPr>
          <w:rFonts w:ascii="Times New Roman" w:eastAsia="Times New Roman" w:hAnsi="Times New Roman" w:cs="Times New Roman"/>
        </w:rPr>
        <w:t xml:space="preserve">achieves this by amending the </w:t>
      </w:r>
      <w:r w:rsidR="1C8E067A" w:rsidRPr="00EC2648">
        <w:rPr>
          <w:rFonts w:ascii="Times New Roman" w:eastAsia="Times New Roman" w:hAnsi="Times New Roman" w:cs="Times New Roman"/>
        </w:rPr>
        <w:t xml:space="preserve">Principal Regulations </w:t>
      </w:r>
      <w:r w:rsidRPr="00EC2648">
        <w:rPr>
          <w:rFonts w:ascii="Times New Roman" w:eastAsia="Times New Roman" w:hAnsi="Times New Roman" w:cs="Times New Roman"/>
        </w:rPr>
        <w:t>to better deter non-compliance with WHS duties</w:t>
      </w:r>
      <w:r w:rsidR="6CEB4435" w:rsidRPr="00EC2648">
        <w:rPr>
          <w:rFonts w:ascii="Times New Roman" w:eastAsia="Times New Roman" w:hAnsi="Times New Roman" w:cs="Times New Roman"/>
        </w:rPr>
        <w:t>.</w:t>
      </w:r>
    </w:p>
    <w:p w14:paraId="2B80012D" w14:textId="2757187E" w:rsidR="714BFE45" w:rsidRPr="00EC2648" w:rsidRDefault="00552F45" w:rsidP="5602C6F0">
      <w:pPr>
        <w:pStyle w:val="Heading4"/>
        <w:spacing w:before="120" w:after="0" w:line="276" w:lineRule="auto"/>
        <w:rPr>
          <w:rFonts w:ascii="Times New Roman" w:eastAsia="Times New Roman" w:hAnsi="Times New Roman" w:cs="Times New Roman"/>
          <w:i w:val="0"/>
          <w:iCs w:val="0"/>
          <w:color w:val="000000" w:themeColor="text1"/>
          <w:u w:val="single"/>
        </w:rPr>
      </w:pPr>
      <w:r w:rsidRPr="00EC2648">
        <w:rPr>
          <w:rFonts w:ascii="Times New Roman" w:eastAsia="Times New Roman" w:hAnsi="Times New Roman" w:cs="Times New Roman"/>
          <w:i w:val="0"/>
          <w:iCs w:val="0"/>
          <w:color w:val="000000" w:themeColor="text1"/>
          <w:u w:val="single"/>
        </w:rPr>
        <w:t xml:space="preserve">Right to be presumed innocent until proven guilty according to law </w:t>
      </w:r>
    </w:p>
    <w:p w14:paraId="137A9ACE" w14:textId="6EB10818" w:rsidR="714BFE45" w:rsidRPr="00EC2648" w:rsidRDefault="714BFE45" w:rsidP="5602C6F0">
      <w:pPr>
        <w:rPr>
          <w:rFonts w:ascii="Times New Roman" w:eastAsia="Times New Roman" w:hAnsi="Times New Roman" w:cs="Times New Roman"/>
        </w:rPr>
      </w:pPr>
      <w:r w:rsidRPr="00EC2648">
        <w:rPr>
          <w:rFonts w:ascii="Times New Roman" w:eastAsia="Times New Roman" w:hAnsi="Times New Roman" w:cs="Times New Roman"/>
        </w:rPr>
        <w:t>The Parliamentary Joint Committee on Human Rights has noted the imposition of strict or absolute liability will not violate Article 14(2) where it pursues a legitimate aim and is reasonable and proportionate to that aim.</w:t>
      </w:r>
    </w:p>
    <w:p w14:paraId="12992E17" w14:textId="4131A58F" w:rsidR="4ABC0C9C" w:rsidRPr="00EC2648" w:rsidRDefault="4ABC0C9C" w:rsidP="5602C6F0">
      <w:pPr>
        <w:spacing w:before="240" w:after="240" w:line="257" w:lineRule="auto"/>
        <w:jc w:val="both"/>
        <w:rPr>
          <w:rFonts w:ascii="Times New Roman" w:eastAsia="Times New Roman" w:hAnsi="Times New Roman" w:cs="Times New Roman"/>
          <w:lang w:val="en-US"/>
        </w:rPr>
      </w:pPr>
      <w:r w:rsidRPr="00EC2648">
        <w:rPr>
          <w:rFonts w:ascii="Times New Roman" w:eastAsia="Times New Roman" w:hAnsi="Times New Roman" w:cs="Times New Roman"/>
        </w:rPr>
        <w:t xml:space="preserve">The Amendment Regulations </w:t>
      </w:r>
      <w:r w:rsidR="08F49742" w:rsidRPr="00EC2648">
        <w:rPr>
          <w:rFonts w:ascii="Times New Roman" w:eastAsia="Times New Roman" w:hAnsi="Times New Roman" w:cs="Times New Roman"/>
        </w:rPr>
        <w:t>insert notes within penalty provisions to explain that section 12F of the WHS Act provides that strict liability applies to each physical element of each offence under the WHS Act, unless otherwise stated, and the reference in section 12F of the Act includes these Regulations.</w:t>
      </w:r>
    </w:p>
    <w:p w14:paraId="796FF0A2" w14:textId="5CDFE57B" w:rsidR="4ABC0C9C" w:rsidRPr="00EC2648" w:rsidRDefault="4ABC0C9C" w:rsidP="5602C6F0">
      <w:pPr>
        <w:rPr>
          <w:rFonts w:ascii="Times New Roman" w:eastAsia="Times New Roman" w:hAnsi="Times New Roman" w:cs="Times New Roman"/>
        </w:rPr>
      </w:pPr>
      <w:r w:rsidRPr="00EC2648">
        <w:rPr>
          <w:rFonts w:ascii="Times New Roman" w:eastAsia="Times New Roman" w:hAnsi="Times New Roman" w:cs="Times New Roman"/>
        </w:rPr>
        <w:t xml:space="preserve">The Amendment Regulations </w:t>
      </w:r>
      <w:r w:rsidR="375B4381" w:rsidRPr="00EC2648">
        <w:rPr>
          <w:rFonts w:ascii="Times New Roman" w:eastAsia="Times New Roman" w:hAnsi="Times New Roman" w:cs="Times New Roman"/>
        </w:rPr>
        <w:t xml:space="preserve">also </w:t>
      </w:r>
      <w:r w:rsidR="063E61A5" w:rsidRPr="00EC2648">
        <w:rPr>
          <w:rFonts w:ascii="Times New Roman" w:eastAsia="Times New Roman" w:hAnsi="Times New Roman" w:cs="Times New Roman"/>
        </w:rPr>
        <w:t xml:space="preserve">introduce a strict liability offence for </w:t>
      </w:r>
      <w:r w:rsidR="0F5B2DA6" w:rsidRPr="00EC2648">
        <w:rPr>
          <w:rFonts w:ascii="Times New Roman" w:eastAsia="Times New Roman" w:hAnsi="Times New Roman" w:cs="Times New Roman"/>
        </w:rPr>
        <w:t>carrying out, directing or allow</w:t>
      </w:r>
      <w:r w:rsidR="0C20C5E7" w:rsidRPr="00EC2648">
        <w:rPr>
          <w:rFonts w:ascii="Times New Roman" w:eastAsia="Times New Roman" w:hAnsi="Times New Roman" w:cs="Times New Roman"/>
        </w:rPr>
        <w:t>ing a worker to carry out, work that involves manufacturing, supplying,</w:t>
      </w:r>
      <w:r w:rsidR="4A9D165C" w:rsidRPr="00EC2648">
        <w:rPr>
          <w:rFonts w:ascii="Times New Roman" w:eastAsia="Times New Roman" w:hAnsi="Times New Roman" w:cs="Times New Roman"/>
        </w:rPr>
        <w:t xml:space="preserve"> processing or installing engineered stone benchtops, panels or slabs</w:t>
      </w:r>
      <w:r w:rsidR="60A16AC7" w:rsidRPr="00EC2648">
        <w:rPr>
          <w:rFonts w:ascii="Times New Roman" w:eastAsia="Times New Roman" w:hAnsi="Times New Roman" w:cs="Times New Roman"/>
        </w:rPr>
        <w:t xml:space="preserve"> (regulation 529)</w:t>
      </w:r>
      <w:r w:rsidR="096A904A" w:rsidRPr="00EC2648">
        <w:rPr>
          <w:rFonts w:ascii="Times New Roman" w:eastAsia="Times New Roman" w:hAnsi="Times New Roman" w:cs="Times New Roman"/>
        </w:rPr>
        <w:t xml:space="preserve">. New Part 8A.3 </w:t>
      </w:r>
      <w:r w:rsidR="096A904A" w:rsidRPr="00EC2648">
        <w:rPr>
          <w:rFonts w:ascii="Times New Roman" w:eastAsia="Times New Roman" w:hAnsi="Times New Roman" w:cs="Times New Roman"/>
        </w:rPr>
        <w:lastRenderedPageBreak/>
        <w:t>(Regulator to be notified of particular processing of eng</w:t>
      </w:r>
      <w:r w:rsidR="69413504" w:rsidRPr="00EC2648">
        <w:rPr>
          <w:rFonts w:ascii="Times New Roman" w:eastAsia="Times New Roman" w:hAnsi="Times New Roman" w:cs="Times New Roman"/>
        </w:rPr>
        <w:t>ineered stone) and new regulations on processing of crystalline silica substances</w:t>
      </w:r>
      <w:r w:rsidR="30F4AD1D" w:rsidRPr="00EC2648">
        <w:rPr>
          <w:rFonts w:ascii="Times New Roman" w:eastAsia="Times New Roman" w:hAnsi="Times New Roman" w:cs="Times New Roman"/>
        </w:rPr>
        <w:t xml:space="preserve"> at work</w:t>
      </w:r>
      <w:r w:rsidR="69413504" w:rsidRPr="00EC2648">
        <w:rPr>
          <w:rFonts w:ascii="Times New Roman" w:eastAsia="Times New Roman" w:hAnsi="Times New Roman" w:cs="Times New Roman"/>
        </w:rPr>
        <w:t xml:space="preserve"> (regulations 52</w:t>
      </w:r>
      <w:r w:rsidR="342F14DC" w:rsidRPr="00EC2648">
        <w:rPr>
          <w:rFonts w:ascii="Times New Roman" w:eastAsia="Times New Roman" w:hAnsi="Times New Roman" w:cs="Times New Roman"/>
        </w:rPr>
        <w:t xml:space="preserve">9C to 529CE) </w:t>
      </w:r>
      <w:r w:rsidR="5167F06C" w:rsidRPr="00EC2648">
        <w:rPr>
          <w:rFonts w:ascii="Times New Roman" w:eastAsia="Times New Roman" w:hAnsi="Times New Roman" w:cs="Times New Roman"/>
        </w:rPr>
        <w:t xml:space="preserve">also </w:t>
      </w:r>
      <w:r w:rsidR="342F14DC" w:rsidRPr="00EC2648">
        <w:rPr>
          <w:rFonts w:ascii="Times New Roman" w:eastAsia="Times New Roman" w:hAnsi="Times New Roman" w:cs="Times New Roman"/>
        </w:rPr>
        <w:t xml:space="preserve">contain strict liability offences. </w:t>
      </w:r>
    </w:p>
    <w:p w14:paraId="2124E2BD" w14:textId="714CD495" w:rsidR="213C68BB" w:rsidRPr="00EC2648" w:rsidRDefault="213C68BB" w:rsidP="5602C6F0">
      <w:pPr>
        <w:spacing w:before="240" w:after="240" w:line="257" w:lineRule="auto"/>
        <w:jc w:val="both"/>
        <w:rPr>
          <w:rFonts w:ascii="Times New Roman" w:eastAsia="Times New Roman" w:hAnsi="Times New Roman" w:cs="Times New Roman"/>
          <w:lang w:val="en-US"/>
        </w:rPr>
      </w:pPr>
      <w:r w:rsidRPr="00EC2648">
        <w:rPr>
          <w:rFonts w:ascii="Times New Roman" w:eastAsia="Times New Roman" w:hAnsi="Times New Roman" w:cs="Times New Roman"/>
        </w:rPr>
        <w:t xml:space="preserve">Due to the operation of subsection 12F(2) of the WHS Act, strict liability applies to the offences in the Amendment Regulations. Most offences in the WHS Act include strict liability elements or are strict liability. Including strict liability as a feature of offences was carefully considered when the WHS Act was first introduced as the presumption of innocence can be seen to be impinged by removing the requirement for the prosecution to prove fault in relation to one or more physical elements of an offence. </w:t>
      </w:r>
    </w:p>
    <w:p w14:paraId="661D6946" w14:textId="43536209" w:rsidR="213C68BB" w:rsidRPr="00EC2648" w:rsidRDefault="213C68BB" w:rsidP="5602C6F0">
      <w:pPr>
        <w:spacing w:after="0" w:line="276" w:lineRule="auto"/>
        <w:rPr>
          <w:rFonts w:ascii="Times New Roman" w:eastAsia="Times New Roman" w:hAnsi="Times New Roman" w:cs="Times New Roman"/>
          <w:lang w:val="en-US"/>
        </w:rPr>
      </w:pPr>
      <w:r w:rsidRPr="00EC2648">
        <w:rPr>
          <w:rFonts w:ascii="Times New Roman" w:eastAsia="Times New Roman" w:hAnsi="Times New Roman" w:cs="Times New Roman"/>
        </w:rPr>
        <w:t xml:space="preserve">WHS offences arise in a regulatory context where, for reasons such as public safety, and the public interest in ensuring regulatory schemes are observed, the sanction of criminal penalties is justified. The offences also arise in a context where a defendant can reasonably be expected, because of their professional involvement, to know the requirements of the law, and the mental, or fault, element can justifiably be excluded. The rationale </w:t>
      </w:r>
      <w:r w:rsidR="00915F0A" w:rsidRPr="00EC2648">
        <w:rPr>
          <w:rFonts w:ascii="Times New Roman" w:eastAsia="Times New Roman" w:hAnsi="Times New Roman" w:cs="Times New Roman"/>
        </w:rPr>
        <w:t xml:space="preserve">for this </w:t>
      </w:r>
      <w:r w:rsidRPr="00EC2648">
        <w:rPr>
          <w:rFonts w:ascii="Times New Roman" w:eastAsia="Times New Roman" w:hAnsi="Times New Roman" w:cs="Times New Roman"/>
        </w:rPr>
        <w:t>is that people who owe WHS duties such as employers, persons in control of aspects of work, and designers and manufacturers of work structures and products, as opposed to members of the general public, can be expected to be aware of their duties and obligations to workers and the wider public.</w:t>
      </w:r>
    </w:p>
    <w:p w14:paraId="712D50AD" w14:textId="0605B09D" w:rsidR="5602C6F0" w:rsidRPr="00EC2648" w:rsidRDefault="5602C6F0" w:rsidP="5602C6F0">
      <w:pPr>
        <w:spacing w:after="0" w:line="276" w:lineRule="auto"/>
        <w:rPr>
          <w:rFonts w:ascii="Times New Roman" w:eastAsia="Times New Roman" w:hAnsi="Times New Roman" w:cs="Times New Roman"/>
          <w:lang w:val="en-US"/>
        </w:rPr>
      </w:pPr>
    </w:p>
    <w:p w14:paraId="7321BAA7" w14:textId="634787B6" w:rsidR="213C68BB" w:rsidRPr="00EC2648" w:rsidRDefault="213C68BB" w:rsidP="5602C6F0">
      <w:pPr>
        <w:spacing w:after="0" w:line="276" w:lineRule="auto"/>
        <w:rPr>
          <w:rFonts w:ascii="Times New Roman" w:eastAsia="Times New Roman" w:hAnsi="Times New Roman" w:cs="Times New Roman"/>
          <w:lang w:val="en-US"/>
        </w:rPr>
      </w:pPr>
      <w:r w:rsidRPr="00EC2648">
        <w:rPr>
          <w:rFonts w:ascii="Times New Roman" w:eastAsia="Times New Roman" w:hAnsi="Times New Roman" w:cs="Times New Roman"/>
        </w:rPr>
        <w:t>The application of strict liability to a particular element means that the prosecution is not required to prove fault in relation to that matter. However, as per paragraph 6.1(2)(b) of the Criminal Code, the defence of mistake of fact under section 9.2 of the Criminal Code would be available in relation to these elements. This means where the accused produced evidence of an honest and reasonable, but mistaken, belief in the existence of certain facts which, if true, the conduct would not have constituted the offence, it will be incumbent on the prosecution to establish that there was not an honest and reasonable mistake of fact.</w:t>
      </w:r>
    </w:p>
    <w:p w14:paraId="63D3702C" w14:textId="62C7D515" w:rsidR="5602C6F0" w:rsidRPr="00EC2648" w:rsidRDefault="5602C6F0" w:rsidP="5602C6F0">
      <w:pPr>
        <w:spacing w:after="0" w:line="276" w:lineRule="auto"/>
        <w:rPr>
          <w:rFonts w:ascii="Times New Roman" w:eastAsia="Times New Roman" w:hAnsi="Times New Roman" w:cs="Times New Roman"/>
        </w:rPr>
      </w:pPr>
    </w:p>
    <w:p w14:paraId="133F8F30" w14:textId="2481DA6E" w:rsidR="213C68BB" w:rsidRPr="00EC2648" w:rsidRDefault="213C68BB" w:rsidP="5602C6F0">
      <w:pPr>
        <w:spacing w:after="0" w:line="276" w:lineRule="auto"/>
        <w:rPr>
          <w:rFonts w:ascii="Times New Roman" w:eastAsia="Times New Roman" w:hAnsi="Times New Roman" w:cs="Times New Roman"/>
        </w:rPr>
      </w:pPr>
      <w:r w:rsidRPr="00EC2648">
        <w:rPr>
          <w:rFonts w:ascii="Times New Roman" w:eastAsia="Times New Roman" w:hAnsi="Times New Roman" w:cs="Times New Roman"/>
        </w:rPr>
        <w:t>The legitimate aim of strict liability for WHS offences, is to ensure defendants operating in the WHS regulatory context are held accountable for breaches of their positive duties to ensure a safe and healthy workplace, is proportionate to any limitation it places on the presumption of innocence.</w:t>
      </w:r>
    </w:p>
    <w:p w14:paraId="33B7E57A" w14:textId="34D8A9EF" w:rsidR="5602C6F0" w:rsidRPr="00EC2648" w:rsidRDefault="5602C6F0" w:rsidP="5602C6F0">
      <w:pPr>
        <w:spacing w:after="0" w:line="276" w:lineRule="auto"/>
        <w:rPr>
          <w:rFonts w:ascii="Times New Roman" w:eastAsia="Times New Roman" w:hAnsi="Times New Roman" w:cs="Times New Roman"/>
        </w:rPr>
      </w:pPr>
    </w:p>
    <w:p w14:paraId="44229B63" w14:textId="1BC0B3CF" w:rsidR="00CA1D9D" w:rsidRPr="00EC2648" w:rsidRDefault="00EE1256" w:rsidP="67939FCF">
      <w:pPr>
        <w:spacing w:after="120"/>
        <w:rPr>
          <w:rFonts w:ascii="Times New Roman" w:eastAsia="Times New Roman" w:hAnsi="Times New Roman" w:cs="Times New Roman"/>
          <w:color w:val="000000" w:themeColor="text1"/>
          <w:u w:val="single"/>
        </w:rPr>
      </w:pPr>
      <w:r w:rsidRPr="00EC2648">
        <w:rPr>
          <w:rFonts w:ascii="Times New Roman" w:eastAsia="Times New Roman" w:hAnsi="Times New Roman" w:cs="Times New Roman"/>
          <w:color w:val="000000" w:themeColor="text1"/>
          <w:u w:val="single"/>
        </w:rPr>
        <w:t xml:space="preserve">Right to privacy </w:t>
      </w:r>
    </w:p>
    <w:p w14:paraId="45EDC81A" w14:textId="4306E8C5" w:rsidR="00EE1256" w:rsidRPr="00EC2648" w:rsidRDefault="006F38D7" w:rsidP="56B2BC1C">
      <w:pPr>
        <w:spacing w:after="120"/>
        <w:rPr>
          <w:rFonts w:ascii="Times New Roman" w:hAnsi="Times New Roman" w:cs="Times New Roman"/>
        </w:rPr>
      </w:pPr>
      <w:r w:rsidRPr="00EC2648">
        <w:rPr>
          <w:rFonts w:ascii="Times New Roman" w:hAnsi="Times New Roman" w:cs="Times New Roman"/>
        </w:rPr>
        <w:t>Article 17 of the ICCPR provides that no one shall be subjected to arbitrary or unlawful interference with their privacy, family, home and correspondence. This includes respect for informational privacy, including in respect of storing, using, and sharing private information and the right to control the dissemination of personal and private information. Privacy guarantees a right to secrecy from the publication of personal information.</w:t>
      </w:r>
    </w:p>
    <w:p w14:paraId="44867993" w14:textId="43CD0C0A" w:rsidR="5602C6F0" w:rsidRPr="00EC2648" w:rsidRDefault="5602C6F0" w:rsidP="5602C6F0">
      <w:pPr>
        <w:spacing w:after="120"/>
        <w:rPr>
          <w:rFonts w:ascii="Times New Roman" w:hAnsi="Times New Roman" w:cs="Times New Roman"/>
        </w:rPr>
      </w:pPr>
    </w:p>
    <w:p w14:paraId="4B908E2C" w14:textId="1FF9F227" w:rsidR="4C66ABA8" w:rsidRPr="00EC2648" w:rsidRDefault="4C66ABA8" w:rsidP="33F151C8">
      <w:pPr>
        <w:rPr>
          <w:rFonts w:ascii="Times New Roman" w:hAnsi="Times New Roman" w:cs="Times New Roman"/>
        </w:rPr>
      </w:pPr>
      <w:r w:rsidRPr="00EC2648">
        <w:rPr>
          <w:rFonts w:ascii="Times New Roman" w:hAnsi="Times New Roman" w:cs="Times New Roman"/>
        </w:rPr>
        <w:lastRenderedPageBreak/>
        <w:t xml:space="preserve">The Amendment Regulations requires PCBUs to </w:t>
      </w:r>
      <w:r w:rsidR="5611AC3A" w:rsidRPr="00EC2648">
        <w:rPr>
          <w:rFonts w:ascii="Times New Roman" w:hAnsi="Times New Roman" w:cs="Times New Roman"/>
        </w:rPr>
        <w:t xml:space="preserve">provide </w:t>
      </w:r>
      <w:r w:rsidRPr="00EC2648">
        <w:rPr>
          <w:rFonts w:ascii="Times New Roman" w:hAnsi="Times New Roman" w:cs="Times New Roman"/>
        </w:rPr>
        <w:t>health monitoring</w:t>
      </w:r>
      <w:r w:rsidR="7F99DA39" w:rsidRPr="00EC2648">
        <w:rPr>
          <w:rFonts w:ascii="Times New Roman" w:hAnsi="Times New Roman" w:cs="Times New Roman"/>
        </w:rPr>
        <w:t xml:space="preserve"> for</w:t>
      </w:r>
      <w:r w:rsidR="059AF3CA" w:rsidRPr="00EC2648">
        <w:rPr>
          <w:rFonts w:ascii="Times New Roman" w:hAnsi="Times New Roman" w:cs="Times New Roman"/>
        </w:rPr>
        <w:t xml:space="preserve"> all</w:t>
      </w:r>
      <w:r w:rsidR="7F99DA39" w:rsidRPr="00EC2648">
        <w:rPr>
          <w:rFonts w:ascii="Times New Roman" w:hAnsi="Times New Roman" w:cs="Times New Roman"/>
        </w:rPr>
        <w:t xml:space="preserve"> workers</w:t>
      </w:r>
      <w:r w:rsidR="307CA201" w:rsidRPr="00EC2648">
        <w:rPr>
          <w:rFonts w:ascii="Times New Roman" w:hAnsi="Times New Roman" w:cs="Times New Roman"/>
        </w:rPr>
        <w:t xml:space="preserve"> carrying out the processing of a CSS that is high risk </w:t>
      </w:r>
      <w:r w:rsidR="090E768C" w:rsidRPr="00EC2648">
        <w:rPr>
          <w:rFonts w:ascii="Times New Roman" w:hAnsi="Times New Roman" w:cs="Times New Roman"/>
        </w:rPr>
        <w:t>under Principal Regulations</w:t>
      </w:r>
      <w:r w:rsidR="307CA201" w:rsidRPr="00EC2648">
        <w:rPr>
          <w:rFonts w:ascii="Times New Roman" w:hAnsi="Times New Roman" w:cs="Times New Roman"/>
        </w:rPr>
        <w:t xml:space="preserve"> Division 6 of Part 7.1 (Health monitoring - Hazardous chemicals)</w:t>
      </w:r>
      <w:r w:rsidR="3738924E" w:rsidRPr="00EC2648">
        <w:rPr>
          <w:rFonts w:ascii="Times New Roman" w:hAnsi="Times New Roman" w:cs="Times New Roman"/>
        </w:rPr>
        <w:t xml:space="preserve"> (regulation 529CE(c))</w:t>
      </w:r>
      <w:r w:rsidR="7F99DA39" w:rsidRPr="00EC2648">
        <w:rPr>
          <w:rFonts w:ascii="Times New Roman" w:hAnsi="Times New Roman" w:cs="Times New Roman"/>
        </w:rPr>
        <w:t xml:space="preserve">. </w:t>
      </w:r>
    </w:p>
    <w:p w14:paraId="1CD27444" w14:textId="6D6E38D0" w:rsidR="0062B42E" w:rsidRPr="00EC2648" w:rsidRDefault="0062B42E" w:rsidP="1E0D23C5">
      <w:pPr>
        <w:rPr>
          <w:rFonts w:ascii="Times New Roman" w:eastAsia="Times New Roman" w:hAnsi="Times New Roman" w:cs="Times New Roman"/>
        </w:rPr>
      </w:pPr>
      <w:r w:rsidRPr="00EC2648">
        <w:rPr>
          <w:rFonts w:ascii="Times New Roman" w:eastAsia="Times New Roman" w:hAnsi="Times New Roman" w:cs="Times New Roman"/>
        </w:rPr>
        <w:t xml:space="preserve">The </w:t>
      </w:r>
      <w:r w:rsidR="5B6A6773" w:rsidRPr="00EC2648">
        <w:rPr>
          <w:rFonts w:ascii="Times New Roman" w:eastAsia="Times New Roman" w:hAnsi="Times New Roman" w:cs="Times New Roman"/>
        </w:rPr>
        <w:t xml:space="preserve">Principal </w:t>
      </w:r>
      <w:r w:rsidRPr="00EC2648">
        <w:rPr>
          <w:rFonts w:ascii="Times New Roman" w:eastAsia="Times New Roman" w:hAnsi="Times New Roman" w:cs="Times New Roman"/>
        </w:rPr>
        <w:t xml:space="preserve">Regulations require health monitoring for a range of work, including work with </w:t>
      </w:r>
      <w:r w:rsidR="4EA3FF4A" w:rsidRPr="00EC2648">
        <w:rPr>
          <w:rFonts w:ascii="Times New Roman" w:eastAsia="Times New Roman" w:hAnsi="Times New Roman" w:cs="Times New Roman"/>
        </w:rPr>
        <w:t>RCS</w:t>
      </w:r>
      <w:r w:rsidRPr="00EC2648">
        <w:rPr>
          <w:rFonts w:ascii="Times New Roman" w:eastAsia="Times New Roman" w:hAnsi="Times New Roman" w:cs="Times New Roman"/>
        </w:rPr>
        <w:t xml:space="preserve">. Health monitoring for workers exposed to crystalline silica primarily involves screening the changes in a worker’s body that may indicate the development of silica related-injury, illness or disease. Health monitoring is necessary to: </w:t>
      </w:r>
    </w:p>
    <w:p w14:paraId="04A91AAD" w14:textId="35705927" w:rsidR="0062B42E" w:rsidRPr="00EC2648" w:rsidRDefault="0062B42E" w:rsidP="1E0D23C5">
      <w:pPr>
        <w:pStyle w:val="ListParagraph"/>
        <w:numPr>
          <w:ilvl w:val="0"/>
          <w:numId w:val="4"/>
        </w:numPr>
        <w:rPr>
          <w:rFonts w:ascii="Times New Roman" w:eastAsia="Times New Roman" w:hAnsi="Times New Roman" w:cs="Times New Roman"/>
        </w:rPr>
      </w:pPr>
      <w:r w:rsidRPr="00EC2648">
        <w:rPr>
          <w:rFonts w:ascii="Times New Roman" w:eastAsia="Times New Roman" w:hAnsi="Times New Roman" w:cs="Times New Roman"/>
        </w:rPr>
        <w:t xml:space="preserve">detect the early signs of adverse health effects </w:t>
      </w:r>
    </w:p>
    <w:p w14:paraId="4A5230EC" w14:textId="70C3CFBA" w:rsidR="0062B42E" w:rsidRPr="00EC2648" w:rsidRDefault="0062B42E" w:rsidP="1E0D23C5">
      <w:pPr>
        <w:pStyle w:val="ListParagraph"/>
        <w:numPr>
          <w:ilvl w:val="0"/>
          <w:numId w:val="4"/>
        </w:numPr>
        <w:rPr>
          <w:rFonts w:ascii="Times New Roman" w:eastAsia="Times New Roman" w:hAnsi="Times New Roman" w:cs="Times New Roman"/>
        </w:rPr>
      </w:pPr>
      <w:r w:rsidRPr="00EC2648">
        <w:rPr>
          <w:rFonts w:ascii="Times New Roman" w:eastAsia="Times New Roman" w:hAnsi="Times New Roman" w:cs="Times New Roman"/>
        </w:rPr>
        <w:t xml:space="preserve">help identify control measures that are not working effectively; and </w:t>
      </w:r>
    </w:p>
    <w:p w14:paraId="67F9D294" w14:textId="67C3156C" w:rsidR="0062B42E" w:rsidRPr="00EC2648" w:rsidRDefault="0062B42E" w:rsidP="1E0D23C5">
      <w:pPr>
        <w:pStyle w:val="ListParagraph"/>
        <w:numPr>
          <w:ilvl w:val="0"/>
          <w:numId w:val="4"/>
        </w:numPr>
        <w:rPr>
          <w:rFonts w:ascii="Times New Roman" w:eastAsia="Times New Roman" w:hAnsi="Times New Roman" w:cs="Times New Roman"/>
        </w:rPr>
      </w:pPr>
      <w:r w:rsidRPr="00EC2648">
        <w:rPr>
          <w:rFonts w:ascii="Times New Roman" w:eastAsia="Times New Roman" w:hAnsi="Times New Roman" w:cs="Times New Roman"/>
        </w:rPr>
        <w:t xml:space="preserve">assist in protecting workers from the risk of exposure to silica dust. </w:t>
      </w:r>
    </w:p>
    <w:p w14:paraId="2A61EDEA" w14:textId="19E8F21A" w:rsidR="0062B42E" w:rsidRPr="00EC2648" w:rsidRDefault="0062B42E" w:rsidP="1E0D23C5">
      <w:pPr>
        <w:rPr>
          <w:rFonts w:ascii="Times New Roman" w:eastAsia="Times New Roman" w:hAnsi="Times New Roman" w:cs="Times New Roman"/>
        </w:rPr>
      </w:pPr>
      <w:r w:rsidRPr="00EC2648">
        <w:rPr>
          <w:rFonts w:ascii="Times New Roman" w:eastAsia="Times New Roman" w:hAnsi="Times New Roman" w:cs="Times New Roman"/>
        </w:rPr>
        <w:t xml:space="preserve">The </w:t>
      </w:r>
      <w:r w:rsidR="24D0938E" w:rsidRPr="00EC2648">
        <w:rPr>
          <w:rFonts w:ascii="Times New Roman" w:eastAsia="Times New Roman" w:hAnsi="Times New Roman" w:cs="Times New Roman"/>
        </w:rPr>
        <w:t xml:space="preserve">Principal </w:t>
      </w:r>
      <w:r w:rsidRPr="00EC2648">
        <w:rPr>
          <w:rFonts w:ascii="Times New Roman" w:eastAsia="Times New Roman" w:hAnsi="Times New Roman" w:cs="Times New Roman"/>
        </w:rPr>
        <w:t xml:space="preserve">Regulations require a </w:t>
      </w:r>
      <w:r w:rsidR="76AF03A0" w:rsidRPr="00EC2648">
        <w:rPr>
          <w:rFonts w:ascii="Times New Roman" w:eastAsia="Times New Roman" w:hAnsi="Times New Roman" w:cs="Times New Roman"/>
        </w:rPr>
        <w:t>PCBU</w:t>
      </w:r>
      <w:r w:rsidRPr="00EC2648">
        <w:rPr>
          <w:rFonts w:ascii="Times New Roman" w:eastAsia="Times New Roman" w:hAnsi="Times New Roman" w:cs="Times New Roman"/>
        </w:rPr>
        <w:t xml:space="preserve"> to ensure health monitoring occurs and to provide certain information to the relevant health practitioner. Information provided to a health practitioner includes personal information in the form of the worker’s name, address, date of birth and details about the work they do. The disclosure of this information is necessary for the health monitoring to be undertaken and would be subject to patient confidentiality once received by the health practitioner.</w:t>
      </w:r>
    </w:p>
    <w:p w14:paraId="6E0B00E8" w14:textId="1D76C837" w:rsidR="0062B42E" w:rsidRPr="00EC2648" w:rsidRDefault="0062B42E" w:rsidP="1E0D23C5">
      <w:pPr>
        <w:rPr>
          <w:rFonts w:ascii="Times New Roman" w:eastAsia="Times New Roman" w:hAnsi="Times New Roman" w:cs="Times New Roman"/>
        </w:rPr>
      </w:pPr>
      <w:r w:rsidRPr="00EC2648">
        <w:rPr>
          <w:rFonts w:ascii="Times New Roman" w:eastAsia="Times New Roman" w:hAnsi="Times New Roman" w:cs="Times New Roman"/>
        </w:rPr>
        <w:t xml:space="preserve">The </w:t>
      </w:r>
      <w:r w:rsidR="7FFAC10F" w:rsidRPr="00EC2648">
        <w:rPr>
          <w:rFonts w:ascii="Times New Roman" w:eastAsia="Times New Roman" w:hAnsi="Times New Roman" w:cs="Times New Roman"/>
        </w:rPr>
        <w:t xml:space="preserve">Principal </w:t>
      </w:r>
      <w:r w:rsidRPr="00EC2648">
        <w:rPr>
          <w:rFonts w:ascii="Times New Roman" w:eastAsia="Times New Roman" w:hAnsi="Times New Roman" w:cs="Times New Roman"/>
        </w:rPr>
        <w:t xml:space="preserve">Regulations also require the </w:t>
      </w:r>
      <w:r w:rsidR="5BAE9E73" w:rsidRPr="00EC2648">
        <w:rPr>
          <w:rFonts w:ascii="Times New Roman" w:eastAsia="Times New Roman" w:hAnsi="Times New Roman" w:cs="Times New Roman"/>
        </w:rPr>
        <w:t>PCBU</w:t>
      </w:r>
      <w:r w:rsidRPr="00EC2648">
        <w:rPr>
          <w:rFonts w:ascii="Times New Roman" w:eastAsia="Times New Roman" w:hAnsi="Times New Roman" w:cs="Times New Roman"/>
        </w:rPr>
        <w:t xml:space="preserve"> to take all reasonable steps to obtain a health monitoring report from the registered medical practitioner who carries out the monitoring.</w:t>
      </w:r>
    </w:p>
    <w:p w14:paraId="7B1CDDD2" w14:textId="77777777" w:rsidR="009B358E" w:rsidRPr="00EC2648" w:rsidRDefault="0062B42E" w:rsidP="68F3F07C">
      <w:pPr>
        <w:rPr>
          <w:rFonts w:ascii="Times New Roman" w:eastAsia="Times New Roman" w:hAnsi="Times New Roman" w:cs="Times New Roman"/>
        </w:rPr>
      </w:pPr>
      <w:r w:rsidRPr="00EC2648">
        <w:rPr>
          <w:rFonts w:ascii="Times New Roman" w:eastAsia="Times New Roman" w:hAnsi="Times New Roman" w:cs="Times New Roman"/>
        </w:rPr>
        <w:t>Records are required to be kept confidential (regulation 378) but disclosure is required in certain circumstances:</w:t>
      </w:r>
      <w:r w:rsidR="009B358E" w:rsidRPr="00EC2648">
        <w:rPr>
          <w:rFonts w:ascii="Times New Roman" w:eastAsia="Times New Roman" w:hAnsi="Times New Roman" w:cs="Times New Roman"/>
        </w:rPr>
        <w:t xml:space="preserve"> </w:t>
      </w:r>
    </w:p>
    <w:p w14:paraId="70FDBF90" w14:textId="7503C6F5" w:rsidR="009B358E" w:rsidRPr="00EC2648" w:rsidRDefault="003662D7" w:rsidP="1E0D23C5">
      <w:pPr>
        <w:pStyle w:val="ListParagraph"/>
        <w:numPr>
          <w:ilvl w:val="0"/>
          <w:numId w:val="33"/>
        </w:numPr>
        <w:rPr>
          <w:rFonts w:ascii="Times New Roman" w:hAnsi="Times New Roman" w:cs="Times New Roman"/>
        </w:rPr>
      </w:pPr>
      <w:r w:rsidRPr="00EC2648">
        <w:rPr>
          <w:rFonts w:ascii="Times New Roman" w:hAnsi="Times New Roman" w:cs="Times New Roman"/>
        </w:rPr>
        <w:t>t</w:t>
      </w:r>
      <w:r w:rsidR="009B358E" w:rsidRPr="00EC2648">
        <w:rPr>
          <w:rFonts w:ascii="Times New Roman" w:hAnsi="Times New Roman" w:cs="Times New Roman"/>
        </w:rPr>
        <w:t xml:space="preserve">he report must be given to the worker </w:t>
      </w:r>
    </w:p>
    <w:p w14:paraId="252ECF08" w14:textId="568BBD91" w:rsidR="00931D21" w:rsidRPr="00EC2648" w:rsidRDefault="003662D7" w:rsidP="0013271D">
      <w:pPr>
        <w:pStyle w:val="ListParagraph"/>
        <w:numPr>
          <w:ilvl w:val="0"/>
          <w:numId w:val="33"/>
        </w:numPr>
        <w:rPr>
          <w:rFonts w:ascii="Times New Roman" w:hAnsi="Times New Roman" w:cs="Times New Roman"/>
        </w:rPr>
      </w:pPr>
      <w:r w:rsidRPr="00EC2648">
        <w:rPr>
          <w:rFonts w:ascii="Times New Roman" w:hAnsi="Times New Roman" w:cs="Times New Roman"/>
        </w:rPr>
        <w:t>i</w:t>
      </w:r>
      <w:r w:rsidR="009B358E" w:rsidRPr="00EC2648">
        <w:rPr>
          <w:rFonts w:ascii="Times New Roman" w:hAnsi="Times New Roman" w:cs="Times New Roman"/>
        </w:rPr>
        <w:t>f the report indicates the worker may have contracted a disease or includes recommendations that remedial measures occur at the workplace, the report must be provided to Comcare, the Commonwealth WHS regulator (regulation 376)</w:t>
      </w:r>
    </w:p>
    <w:p w14:paraId="6A785A07" w14:textId="0817D644" w:rsidR="009B358E" w:rsidRPr="00EC2648" w:rsidRDefault="009B358E" w:rsidP="1E0D23C5">
      <w:pPr>
        <w:pStyle w:val="ListParagraph"/>
        <w:numPr>
          <w:ilvl w:val="0"/>
          <w:numId w:val="34"/>
        </w:numPr>
        <w:rPr>
          <w:rFonts w:ascii="Times New Roman" w:hAnsi="Times New Roman" w:cs="Times New Roman"/>
        </w:rPr>
      </w:pPr>
      <w:r w:rsidRPr="00EC2648">
        <w:rPr>
          <w:rFonts w:ascii="Times New Roman" w:hAnsi="Times New Roman" w:cs="Times New Roman"/>
        </w:rPr>
        <w:t>This ensures that the regulator has appropriate visibility over injuries and illnesses and can undertake monitoring, compliance and enforcement activities as appropriate.</w:t>
      </w:r>
    </w:p>
    <w:p w14:paraId="6FB82B64" w14:textId="7DC8068C" w:rsidR="009B358E" w:rsidRPr="00EC2648" w:rsidRDefault="003662D7" w:rsidP="0013271D">
      <w:pPr>
        <w:pStyle w:val="ListParagraph"/>
        <w:numPr>
          <w:ilvl w:val="0"/>
          <w:numId w:val="33"/>
        </w:numPr>
        <w:rPr>
          <w:rFonts w:ascii="Times New Roman" w:hAnsi="Times New Roman" w:cs="Times New Roman"/>
        </w:rPr>
      </w:pPr>
      <w:r w:rsidRPr="00EC2648">
        <w:rPr>
          <w:rFonts w:ascii="Times New Roman" w:hAnsi="Times New Roman" w:cs="Times New Roman"/>
        </w:rPr>
        <w:t>r</w:t>
      </w:r>
      <w:r w:rsidR="009B358E" w:rsidRPr="00EC2648">
        <w:rPr>
          <w:rFonts w:ascii="Times New Roman" w:hAnsi="Times New Roman" w:cs="Times New Roman"/>
        </w:rPr>
        <w:t>eports must be shared with other PCBUs which are also obliged to arrange for monitoring of the same worker (regulation 377).</w:t>
      </w:r>
    </w:p>
    <w:p w14:paraId="1076FF79" w14:textId="5D2BC3F6" w:rsidR="00931D21" w:rsidRPr="00EC2648" w:rsidRDefault="009B358E" w:rsidP="1E0D23C5">
      <w:pPr>
        <w:pStyle w:val="ListParagraph"/>
        <w:numPr>
          <w:ilvl w:val="0"/>
          <w:numId w:val="35"/>
        </w:numPr>
        <w:rPr>
          <w:rFonts w:ascii="Times New Roman" w:hAnsi="Times New Roman" w:cs="Times New Roman"/>
        </w:rPr>
      </w:pPr>
      <w:r w:rsidRPr="00EC2648">
        <w:rPr>
          <w:rFonts w:ascii="Times New Roman" w:hAnsi="Times New Roman" w:cs="Times New Roman"/>
        </w:rPr>
        <w:t>This is necessary because more than one PCBU may have a duty in relation to the same worker (WHS Act section 16), for example if the workplace is shared by two employers. It is important that duty holders cooperate and coordinate activities to ensure the health and safety of affected workers.</w:t>
      </w:r>
    </w:p>
    <w:p w14:paraId="3363B498" w14:textId="5A47D303" w:rsidR="0062B42E" w:rsidRPr="00EC2648" w:rsidRDefault="0062B42E" w:rsidP="68F3F07C">
      <w:pPr>
        <w:rPr>
          <w:rFonts w:ascii="Times New Roman" w:eastAsia="Times New Roman" w:hAnsi="Times New Roman" w:cs="Times New Roman"/>
        </w:rPr>
      </w:pPr>
      <w:r w:rsidRPr="00EC2648">
        <w:rPr>
          <w:rFonts w:ascii="Times New Roman" w:eastAsia="Times New Roman" w:hAnsi="Times New Roman" w:cs="Times New Roman"/>
        </w:rPr>
        <w:t xml:space="preserve">A health monitoring record will contain a range of sensitive information. </w:t>
      </w:r>
      <w:r w:rsidR="0C575B3C" w:rsidRPr="00EC2648">
        <w:rPr>
          <w:rFonts w:ascii="Times New Roman" w:eastAsia="Times New Roman" w:hAnsi="Times New Roman" w:cs="Times New Roman"/>
        </w:rPr>
        <w:t>R</w:t>
      </w:r>
      <w:r w:rsidRPr="00EC2648">
        <w:rPr>
          <w:rFonts w:ascii="Times New Roman" w:eastAsia="Times New Roman" w:hAnsi="Times New Roman" w:cs="Times New Roman"/>
        </w:rPr>
        <w:t xml:space="preserve">egulation 374 provides that it must contain the name and date of birth of the worker and the results of the monitoring which would pertain to the person’s health. </w:t>
      </w:r>
    </w:p>
    <w:p w14:paraId="0C773E1A" w14:textId="533B76FD" w:rsidR="0062B42E" w:rsidRPr="00EC2648" w:rsidRDefault="0062B42E" w:rsidP="1E0D23C5">
      <w:pPr>
        <w:rPr>
          <w:rFonts w:ascii="Times New Roman" w:eastAsia="Times New Roman" w:hAnsi="Times New Roman" w:cs="Times New Roman"/>
        </w:rPr>
      </w:pPr>
      <w:r w:rsidRPr="00EC2648">
        <w:rPr>
          <w:rFonts w:ascii="Times New Roman" w:eastAsia="Times New Roman" w:hAnsi="Times New Roman" w:cs="Times New Roman"/>
        </w:rPr>
        <w:t xml:space="preserve">There are protections which apply to the information once it is received: </w:t>
      </w:r>
    </w:p>
    <w:p w14:paraId="05830DC4" w14:textId="245CE392" w:rsidR="0062B42E" w:rsidRPr="00EC2648" w:rsidRDefault="0062B42E" w:rsidP="1E0D23C5">
      <w:pPr>
        <w:pStyle w:val="ListParagraph"/>
        <w:numPr>
          <w:ilvl w:val="0"/>
          <w:numId w:val="5"/>
        </w:numPr>
        <w:rPr>
          <w:rFonts w:ascii="Times New Roman" w:eastAsia="Times New Roman" w:hAnsi="Times New Roman" w:cs="Times New Roman"/>
        </w:rPr>
      </w:pPr>
      <w:r w:rsidRPr="00EC2648">
        <w:rPr>
          <w:rFonts w:ascii="Times New Roman" w:eastAsia="Times New Roman" w:hAnsi="Times New Roman" w:cs="Times New Roman"/>
        </w:rPr>
        <w:lastRenderedPageBreak/>
        <w:t xml:space="preserve">Information obtained by Comcare in performing functions under the WHS Act is subject to strict confidentiality provisions (section 271). Information collected by Comcare that is personal information is also subject to the requirements of the </w:t>
      </w:r>
      <w:r w:rsidRPr="00EC2648">
        <w:rPr>
          <w:rFonts w:ascii="Times New Roman" w:eastAsia="Times New Roman" w:hAnsi="Times New Roman" w:cs="Times New Roman"/>
          <w:i/>
          <w:iCs/>
        </w:rPr>
        <w:t>Privacy Act 1988</w:t>
      </w:r>
      <w:r w:rsidRPr="00EC2648">
        <w:rPr>
          <w:rFonts w:ascii="Times New Roman" w:eastAsia="Times New Roman" w:hAnsi="Times New Roman" w:cs="Times New Roman"/>
        </w:rPr>
        <w:t xml:space="preserve"> (Privacy Act) which governs its collection, use, disclosure, storage and disposal. </w:t>
      </w:r>
    </w:p>
    <w:p w14:paraId="46BE5D3E" w14:textId="68D0CCD7" w:rsidR="0062B42E" w:rsidRPr="00EC2648" w:rsidRDefault="0062B42E" w:rsidP="1E0D23C5">
      <w:pPr>
        <w:pStyle w:val="ListParagraph"/>
        <w:numPr>
          <w:ilvl w:val="0"/>
          <w:numId w:val="5"/>
        </w:numPr>
        <w:rPr>
          <w:rFonts w:ascii="Times New Roman" w:eastAsia="Times New Roman" w:hAnsi="Times New Roman" w:cs="Times New Roman"/>
        </w:rPr>
      </w:pPr>
      <w:r w:rsidRPr="00EC2648">
        <w:rPr>
          <w:rFonts w:ascii="Times New Roman" w:eastAsia="Times New Roman" w:hAnsi="Times New Roman" w:cs="Times New Roman"/>
        </w:rPr>
        <w:t>The Commonwealth WHS jurisdiction is unique in that it applies to the Commonwealth, public authorities and non-Commonwealth licensees (large companies). These entities would be subject to the Privacy Act. There may be scope for contractors to be provided information where the Commonwealth entity and the contractor are both responsible for a worker’s health monitoring. Whether the Privacy Act applies would be a question of fact.</w:t>
      </w:r>
    </w:p>
    <w:p w14:paraId="39203859" w14:textId="70E4CA1C" w:rsidR="5602C6F0" w:rsidRPr="00EC2648" w:rsidRDefault="00C6444F" w:rsidP="00C333DE">
      <w:pPr>
        <w:rPr>
          <w:rFonts w:ascii="Times New Roman" w:eastAsia="Times New Roman" w:hAnsi="Times New Roman" w:cs="Times New Roman"/>
        </w:rPr>
      </w:pPr>
      <w:r w:rsidRPr="00EC2648">
        <w:rPr>
          <w:rFonts w:ascii="Times New Roman" w:eastAsia="Times New Roman" w:hAnsi="Times New Roman" w:cs="Times New Roman"/>
        </w:rPr>
        <w:t>T</w:t>
      </w:r>
      <w:r w:rsidR="0080570D" w:rsidRPr="00EC2648">
        <w:rPr>
          <w:rFonts w:ascii="Times New Roman" w:eastAsia="Times New Roman" w:hAnsi="Times New Roman" w:cs="Times New Roman"/>
        </w:rPr>
        <w:t xml:space="preserve">he Amendment Regulations </w:t>
      </w:r>
      <w:r w:rsidR="00A33FD1" w:rsidRPr="00EC2648">
        <w:rPr>
          <w:rFonts w:ascii="Times New Roman" w:eastAsia="Times New Roman" w:hAnsi="Times New Roman" w:cs="Times New Roman"/>
        </w:rPr>
        <w:t xml:space="preserve">also </w:t>
      </w:r>
      <w:r w:rsidR="0080570D" w:rsidRPr="00EC2648">
        <w:rPr>
          <w:rFonts w:ascii="Times New Roman" w:eastAsia="Times New Roman" w:hAnsi="Times New Roman" w:cs="Times New Roman"/>
        </w:rPr>
        <w:t xml:space="preserve">require </w:t>
      </w:r>
      <w:r w:rsidR="00FD32DC" w:rsidRPr="00EC2648">
        <w:rPr>
          <w:rFonts w:ascii="Times New Roman" w:eastAsia="Times New Roman" w:hAnsi="Times New Roman" w:cs="Times New Roman"/>
        </w:rPr>
        <w:t xml:space="preserve">a </w:t>
      </w:r>
      <w:r w:rsidR="0080570D" w:rsidRPr="00EC2648">
        <w:rPr>
          <w:rFonts w:ascii="Times New Roman" w:eastAsia="Times New Roman" w:hAnsi="Times New Roman" w:cs="Times New Roman"/>
        </w:rPr>
        <w:t xml:space="preserve">PCBU to </w:t>
      </w:r>
      <w:r w:rsidR="00B634BC" w:rsidRPr="00EC2648">
        <w:rPr>
          <w:rFonts w:ascii="Times New Roman" w:eastAsia="Times New Roman" w:hAnsi="Times New Roman" w:cs="Times New Roman"/>
        </w:rPr>
        <w:t>underta</w:t>
      </w:r>
      <w:r w:rsidR="0039799A" w:rsidRPr="00EC2648">
        <w:rPr>
          <w:rFonts w:ascii="Times New Roman" w:eastAsia="Times New Roman" w:hAnsi="Times New Roman" w:cs="Times New Roman"/>
        </w:rPr>
        <w:t xml:space="preserve">ke a risk assessment for any processing of </w:t>
      </w:r>
      <w:r w:rsidR="002B77FD" w:rsidRPr="00EC2648">
        <w:rPr>
          <w:rFonts w:ascii="Times New Roman" w:eastAsia="Times New Roman" w:hAnsi="Times New Roman" w:cs="Times New Roman"/>
        </w:rPr>
        <w:t>CSS</w:t>
      </w:r>
      <w:r w:rsidR="0039799A" w:rsidRPr="00EC2648">
        <w:rPr>
          <w:rFonts w:ascii="Times New Roman" w:eastAsia="Times New Roman" w:hAnsi="Times New Roman" w:cs="Times New Roman"/>
        </w:rPr>
        <w:t xml:space="preserve"> to determine if the processing is high risk. In doing this assessment, the PCBU must have </w:t>
      </w:r>
      <w:r w:rsidR="00FC60D1" w:rsidRPr="00EC2648">
        <w:rPr>
          <w:rFonts w:ascii="Times New Roman" w:eastAsia="Times New Roman" w:hAnsi="Times New Roman" w:cs="Times New Roman"/>
        </w:rPr>
        <w:t xml:space="preserve">regard to </w:t>
      </w:r>
      <w:r w:rsidR="004A59AA" w:rsidRPr="00EC2648">
        <w:rPr>
          <w:rFonts w:ascii="Times New Roman" w:eastAsia="Times New Roman" w:hAnsi="Times New Roman" w:cs="Times New Roman"/>
        </w:rPr>
        <w:t xml:space="preserve">any relevant </w:t>
      </w:r>
      <w:r w:rsidR="00FC60D1" w:rsidRPr="00EC2648">
        <w:rPr>
          <w:rFonts w:ascii="Times New Roman" w:eastAsia="Times New Roman" w:hAnsi="Times New Roman" w:cs="Times New Roman"/>
        </w:rPr>
        <w:t>health monitoring results previously undertaken at the workplace (</w:t>
      </w:r>
      <w:r w:rsidR="004A59AA" w:rsidRPr="00EC2648">
        <w:rPr>
          <w:rFonts w:ascii="Times New Roman" w:eastAsia="Times New Roman" w:hAnsi="Times New Roman" w:cs="Times New Roman"/>
        </w:rPr>
        <w:t>paragraph 529CA(2)(f)) and previous incidents, illnesses or diseases associated with exposure to RCS at the workplace</w:t>
      </w:r>
      <w:r w:rsidR="00191F46" w:rsidRPr="00EC2648">
        <w:rPr>
          <w:rFonts w:ascii="Times New Roman" w:eastAsia="Times New Roman" w:hAnsi="Times New Roman" w:cs="Times New Roman"/>
        </w:rPr>
        <w:t xml:space="preserve"> (paragraph 529CA(2)(g)).</w:t>
      </w:r>
      <w:r w:rsidR="00331033" w:rsidRPr="00EC2648">
        <w:rPr>
          <w:rFonts w:ascii="Times New Roman" w:eastAsia="Times New Roman" w:hAnsi="Times New Roman" w:cs="Times New Roman"/>
        </w:rPr>
        <w:t xml:space="preserve"> </w:t>
      </w:r>
      <w:r w:rsidR="0045708E" w:rsidRPr="00EC2648">
        <w:rPr>
          <w:rFonts w:ascii="Times New Roman" w:eastAsia="Times New Roman" w:hAnsi="Times New Roman" w:cs="Times New Roman"/>
        </w:rPr>
        <w:t>The risk</w:t>
      </w:r>
      <w:r w:rsidR="00BA1735" w:rsidRPr="00EC2648">
        <w:rPr>
          <w:rFonts w:ascii="Times New Roman" w:eastAsia="Times New Roman" w:hAnsi="Times New Roman" w:cs="Times New Roman"/>
        </w:rPr>
        <w:t xml:space="preserve"> assessment outcome (e.g the reasons for determining whether the </w:t>
      </w:r>
      <w:r w:rsidR="00424A82" w:rsidRPr="00EC2648">
        <w:rPr>
          <w:rFonts w:ascii="Times New Roman" w:eastAsia="Times New Roman" w:hAnsi="Times New Roman" w:cs="Times New Roman"/>
        </w:rPr>
        <w:t>processing</w:t>
      </w:r>
      <w:r w:rsidR="009A2474" w:rsidRPr="00EC2648">
        <w:rPr>
          <w:rFonts w:ascii="Times New Roman" w:eastAsia="Times New Roman" w:hAnsi="Times New Roman" w:cs="Times New Roman"/>
        </w:rPr>
        <w:t xml:space="preserve"> is</w:t>
      </w:r>
      <w:r w:rsidR="00BA1735" w:rsidRPr="00EC2648">
        <w:rPr>
          <w:rFonts w:ascii="Times New Roman" w:eastAsia="Times New Roman" w:hAnsi="Times New Roman" w:cs="Times New Roman"/>
        </w:rPr>
        <w:t xml:space="preserve"> high risk or not) </w:t>
      </w:r>
      <w:r w:rsidR="0045708E" w:rsidRPr="00EC2648">
        <w:rPr>
          <w:rFonts w:ascii="Times New Roman" w:eastAsia="Times New Roman" w:hAnsi="Times New Roman" w:cs="Times New Roman"/>
        </w:rPr>
        <w:t>must be documented in writing (paragraph 529CA(4))</w:t>
      </w:r>
      <w:r w:rsidR="0083244F" w:rsidRPr="00EC2648">
        <w:rPr>
          <w:rFonts w:ascii="Times New Roman" w:eastAsia="Times New Roman" w:hAnsi="Times New Roman" w:cs="Times New Roman"/>
        </w:rPr>
        <w:t>.</w:t>
      </w:r>
      <w:r w:rsidR="00191F46" w:rsidRPr="00EC2648">
        <w:rPr>
          <w:rFonts w:ascii="Times New Roman" w:eastAsia="Times New Roman" w:hAnsi="Times New Roman" w:cs="Times New Roman"/>
        </w:rPr>
        <w:t xml:space="preserve"> </w:t>
      </w:r>
      <w:r w:rsidR="00541D85" w:rsidRPr="00EC2648">
        <w:rPr>
          <w:rFonts w:ascii="Times New Roman" w:eastAsia="Times New Roman" w:hAnsi="Times New Roman" w:cs="Times New Roman"/>
        </w:rPr>
        <w:t xml:space="preserve">Any </w:t>
      </w:r>
      <w:r w:rsidR="00430961" w:rsidRPr="00EC2648">
        <w:rPr>
          <w:rFonts w:ascii="Times New Roman" w:eastAsia="Times New Roman" w:hAnsi="Times New Roman" w:cs="Times New Roman"/>
        </w:rPr>
        <w:t>reports containing personal information would not be included in the risk assessment.</w:t>
      </w:r>
    </w:p>
    <w:p w14:paraId="22247338" w14:textId="223FFB98" w:rsidR="009076EE" w:rsidRPr="00EC2648" w:rsidRDefault="712A9D98" w:rsidP="17187F2A">
      <w:pPr>
        <w:pStyle w:val="Heading4"/>
        <w:spacing w:before="120" w:after="0" w:line="276" w:lineRule="auto"/>
        <w:rPr>
          <w:rFonts w:ascii="Times New Roman" w:eastAsia="Times New Roman" w:hAnsi="Times New Roman" w:cs="Times New Roman"/>
          <w:b/>
          <w:bCs/>
          <w:i w:val="0"/>
          <w:iCs w:val="0"/>
          <w:color w:val="000000" w:themeColor="text1"/>
        </w:rPr>
      </w:pPr>
      <w:r w:rsidRPr="00EC2648">
        <w:rPr>
          <w:rFonts w:ascii="Times New Roman" w:eastAsia="Times New Roman" w:hAnsi="Times New Roman" w:cs="Times New Roman"/>
          <w:b/>
          <w:bCs/>
          <w:i w:val="0"/>
          <w:iCs w:val="0"/>
          <w:color w:val="000000" w:themeColor="text1"/>
        </w:rPr>
        <w:t>Conclusion</w:t>
      </w:r>
    </w:p>
    <w:p w14:paraId="709F74AE" w14:textId="5EE1715C" w:rsidR="009076EE" w:rsidRPr="00EC2648" w:rsidRDefault="712A9D98" w:rsidP="17187F2A">
      <w:pPr>
        <w:spacing w:after="200" w:line="276" w:lineRule="auto"/>
        <w:rPr>
          <w:rFonts w:ascii="Times New Roman" w:eastAsia="Times New Roman" w:hAnsi="Times New Roman" w:cs="Times New Roman"/>
          <w:color w:val="000000" w:themeColor="text1"/>
        </w:rPr>
      </w:pPr>
      <w:r w:rsidRPr="00EC2648">
        <w:rPr>
          <w:rFonts w:ascii="Times New Roman" w:eastAsia="Times New Roman" w:hAnsi="Times New Roman" w:cs="Times New Roman"/>
          <w:color w:val="000000" w:themeColor="text1"/>
        </w:rPr>
        <w:t>This Legislative Instrument is compatible with human rights because it seeks to promote the right to safe and healthy working conditions by clarifying and improving the Commonwealth WHS laws. To the extent that it may limit human rights, those limitations are reasonable, necessary and proportionate.</w:t>
      </w:r>
    </w:p>
    <w:p w14:paraId="68E7DAF2" w14:textId="34089CBB" w:rsidR="009076EE" w:rsidRPr="009076EE" w:rsidRDefault="712A9D98" w:rsidP="17187F2A">
      <w:pPr>
        <w:spacing w:after="0" w:line="257" w:lineRule="auto"/>
        <w:jc w:val="center"/>
        <w:rPr>
          <w:rFonts w:ascii="Times New Roman" w:eastAsia="Times New Roman" w:hAnsi="Times New Roman" w:cs="Times New Roman"/>
          <w:b/>
          <w:bCs/>
          <w:color w:val="000000" w:themeColor="text1"/>
        </w:rPr>
      </w:pPr>
      <w:r w:rsidRPr="00EC2648">
        <w:rPr>
          <w:rFonts w:ascii="Times New Roman" w:eastAsia="Times New Roman" w:hAnsi="Times New Roman" w:cs="Times New Roman"/>
          <w:b/>
          <w:bCs/>
          <w:color w:val="000000" w:themeColor="text1"/>
        </w:rPr>
        <w:t>Minister for Employment and Workplace Relations, the Hon Tony Burke MP</w:t>
      </w:r>
    </w:p>
    <w:p w14:paraId="211A816F" w14:textId="37556C19" w:rsidR="009076EE" w:rsidRPr="009076EE" w:rsidRDefault="009076EE" w:rsidP="17187F2A">
      <w:pPr>
        <w:spacing w:after="0" w:line="257" w:lineRule="auto"/>
        <w:rPr>
          <w:rFonts w:ascii="Times New Roman" w:eastAsia="Times New Roman" w:hAnsi="Times New Roman" w:cs="Times New Roman"/>
          <w:color w:val="000000" w:themeColor="text1"/>
        </w:rPr>
      </w:pPr>
    </w:p>
    <w:p w14:paraId="43AD0514" w14:textId="2B90A228" w:rsidR="009076EE" w:rsidRPr="009076EE" w:rsidRDefault="009076EE" w:rsidP="1E0D23C5">
      <w:pPr>
        <w:spacing w:after="120"/>
        <w:rPr>
          <w:rFonts w:ascii="Times New Roman" w:hAnsi="Times New Roman" w:cs="Times New Roman"/>
        </w:rPr>
      </w:pPr>
    </w:p>
    <w:sectPr w:rsidR="009076EE" w:rsidRPr="009076E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31D4" w14:textId="77777777" w:rsidR="00803C7D" w:rsidRDefault="00803C7D" w:rsidP="008A7AF5">
      <w:pPr>
        <w:spacing w:after="0" w:line="240" w:lineRule="auto"/>
      </w:pPr>
      <w:r>
        <w:separator/>
      </w:r>
    </w:p>
  </w:endnote>
  <w:endnote w:type="continuationSeparator" w:id="0">
    <w:p w14:paraId="260E04D2" w14:textId="77777777" w:rsidR="00803C7D" w:rsidRDefault="00803C7D" w:rsidP="008A7AF5">
      <w:pPr>
        <w:spacing w:after="0" w:line="240" w:lineRule="auto"/>
      </w:pPr>
      <w:r>
        <w:continuationSeparator/>
      </w:r>
    </w:p>
  </w:endnote>
  <w:endnote w:type="continuationNotice" w:id="1">
    <w:p w14:paraId="3F5BEA90" w14:textId="77777777" w:rsidR="00803C7D" w:rsidRDefault="00803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5709"/>
      <w:docPartObj>
        <w:docPartGallery w:val="Page Numbers (Bottom of Page)"/>
        <w:docPartUnique/>
      </w:docPartObj>
    </w:sdtPr>
    <w:sdtEndPr>
      <w:rPr>
        <w:rFonts w:ascii="Times New Roman" w:hAnsi="Times New Roman" w:cs="Times New Roman"/>
        <w:noProof/>
      </w:rPr>
    </w:sdtEndPr>
    <w:sdtContent>
      <w:p w14:paraId="7342324B" w14:textId="59754BB3" w:rsidR="00E57C24" w:rsidRPr="00C333DE" w:rsidRDefault="00E57C24">
        <w:pPr>
          <w:pStyle w:val="Footer"/>
          <w:rPr>
            <w:rFonts w:ascii="Times New Roman" w:hAnsi="Times New Roman" w:cs="Times New Roman"/>
          </w:rPr>
        </w:pPr>
        <w:r w:rsidRPr="00C333DE">
          <w:rPr>
            <w:rFonts w:ascii="Times New Roman" w:hAnsi="Times New Roman" w:cs="Times New Roman"/>
          </w:rPr>
          <w:fldChar w:fldCharType="begin"/>
        </w:r>
        <w:r w:rsidRPr="00C333DE">
          <w:rPr>
            <w:rFonts w:ascii="Times New Roman" w:hAnsi="Times New Roman" w:cs="Times New Roman"/>
          </w:rPr>
          <w:instrText xml:space="preserve"> PAGE   \* MERGEFORMAT </w:instrText>
        </w:r>
        <w:r w:rsidRPr="00C333DE">
          <w:rPr>
            <w:rFonts w:ascii="Times New Roman" w:hAnsi="Times New Roman" w:cs="Times New Roman"/>
          </w:rPr>
          <w:fldChar w:fldCharType="separate"/>
        </w:r>
        <w:r w:rsidRPr="00C333DE">
          <w:rPr>
            <w:rFonts w:ascii="Times New Roman" w:hAnsi="Times New Roman" w:cs="Times New Roman"/>
            <w:noProof/>
          </w:rPr>
          <w:t>2</w:t>
        </w:r>
        <w:r w:rsidRPr="00C333DE">
          <w:rPr>
            <w:rFonts w:ascii="Times New Roman" w:hAnsi="Times New Roman" w:cs="Times New Roman"/>
            <w:noProof/>
          </w:rPr>
          <w:fldChar w:fldCharType="end"/>
        </w:r>
      </w:p>
    </w:sdtContent>
  </w:sdt>
  <w:p w14:paraId="666FB67F" w14:textId="77777777" w:rsidR="00E57C24" w:rsidRDefault="00E57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A8D3" w14:textId="77777777" w:rsidR="00803C7D" w:rsidRDefault="00803C7D" w:rsidP="008A7AF5">
      <w:pPr>
        <w:spacing w:after="0" w:line="240" w:lineRule="auto"/>
      </w:pPr>
      <w:r>
        <w:separator/>
      </w:r>
    </w:p>
  </w:footnote>
  <w:footnote w:type="continuationSeparator" w:id="0">
    <w:p w14:paraId="0D9F7BFC" w14:textId="77777777" w:rsidR="00803C7D" w:rsidRDefault="00803C7D" w:rsidP="008A7AF5">
      <w:pPr>
        <w:spacing w:after="0" w:line="240" w:lineRule="auto"/>
      </w:pPr>
      <w:r>
        <w:continuationSeparator/>
      </w:r>
    </w:p>
  </w:footnote>
  <w:footnote w:type="continuationNotice" w:id="1">
    <w:p w14:paraId="2F8680AE" w14:textId="77777777" w:rsidR="00803C7D" w:rsidRDefault="00803C7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E96"/>
    <w:multiLevelType w:val="hybridMultilevel"/>
    <w:tmpl w:val="4C7EE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A4458"/>
    <w:multiLevelType w:val="hybridMultilevel"/>
    <w:tmpl w:val="FFFFFFFF"/>
    <w:lvl w:ilvl="0" w:tplc="FFFFFFFF">
      <w:start w:val="1"/>
      <w:numFmt w:val="bullet"/>
      <w:lvlText w:val="·"/>
      <w:lvlJc w:val="left"/>
      <w:pPr>
        <w:ind w:left="720" w:hanging="360"/>
      </w:pPr>
      <w:rPr>
        <w:rFonts w:ascii="Symbol" w:hAnsi="Symbol" w:hint="default"/>
      </w:rPr>
    </w:lvl>
    <w:lvl w:ilvl="1" w:tplc="3E70DBBA">
      <w:start w:val="1"/>
      <w:numFmt w:val="bullet"/>
      <w:lvlText w:val="o"/>
      <w:lvlJc w:val="left"/>
      <w:pPr>
        <w:ind w:left="1440" w:hanging="360"/>
      </w:pPr>
      <w:rPr>
        <w:rFonts w:ascii="Courier New" w:hAnsi="Courier New" w:hint="default"/>
      </w:rPr>
    </w:lvl>
    <w:lvl w:ilvl="2" w:tplc="2F5C550A">
      <w:start w:val="1"/>
      <w:numFmt w:val="bullet"/>
      <w:lvlText w:val=""/>
      <w:lvlJc w:val="left"/>
      <w:pPr>
        <w:ind w:left="2160" w:hanging="360"/>
      </w:pPr>
      <w:rPr>
        <w:rFonts w:ascii="Wingdings" w:hAnsi="Wingdings" w:hint="default"/>
      </w:rPr>
    </w:lvl>
    <w:lvl w:ilvl="3" w:tplc="ECDA1450">
      <w:start w:val="1"/>
      <w:numFmt w:val="bullet"/>
      <w:lvlText w:val=""/>
      <w:lvlJc w:val="left"/>
      <w:pPr>
        <w:ind w:left="2880" w:hanging="360"/>
      </w:pPr>
      <w:rPr>
        <w:rFonts w:ascii="Symbol" w:hAnsi="Symbol" w:hint="default"/>
      </w:rPr>
    </w:lvl>
    <w:lvl w:ilvl="4" w:tplc="BD4A40A0">
      <w:start w:val="1"/>
      <w:numFmt w:val="bullet"/>
      <w:lvlText w:val="o"/>
      <w:lvlJc w:val="left"/>
      <w:pPr>
        <w:ind w:left="3600" w:hanging="360"/>
      </w:pPr>
      <w:rPr>
        <w:rFonts w:ascii="Courier New" w:hAnsi="Courier New" w:hint="default"/>
      </w:rPr>
    </w:lvl>
    <w:lvl w:ilvl="5" w:tplc="A2121F42">
      <w:start w:val="1"/>
      <w:numFmt w:val="bullet"/>
      <w:lvlText w:val=""/>
      <w:lvlJc w:val="left"/>
      <w:pPr>
        <w:ind w:left="4320" w:hanging="360"/>
      </w:pPr>
      <w:rPr>
        <w:rFonts w:ascii="Wingdings" w:hAnsi="Wingdings" w:hint="default"/>
      </w:rPr>
    </w:lvl>
    <w:lvl w:ilvl="6" w:tplc="912E328C">
      <w:start w:val="1"/>
      <w:numFmt w:val="bullet"/>
      <w:lvlText w:val=""/>
      <w:lvlJc w:val="left"/>
      <w:pPr>
        <w:ind w:left="5040" w:hanging="360"/>
      </w:pPr>
      <w:rPr>
        <w:rFonts w:ascii="Symbol" w:hAnsi="Symbol" w:hint="default"/>
      </w:rPr>
    </w:lvl>
    <w:lvl w:ilvl="7" w:tplc="71E60186">
      <w:start w:val="1"/>
      <w:numFmt w:val="bullet"/>
      <w:lvlText w:val="o"/>
      <w:lvlJc w:val="left"/>
      <w:pPr>
        <w:ind w:left="5760" w:hanging="360"/>
      </w:pPr>
      <w:rPr>
        <w:rFonts w:ascii="Courier New" w:hAnsi="Courier New" w:hint="default"/>
      </w:rPr>
    </w:lvl>
    <w:lvl w:ilvl="8" w:tplc="F43665F0">
      <w:start w:val="1"/>
      <w:numFmt w:val="bullet"/>
      <w:lvlText w:val=""/>
      <w:lvlJc w:val="left"/>
      <w:pPr>
        <w:ind w:left="6480" w:hanging="360"/>
      </w:pPr>
      <w:rPr>
        <w:rFonts w:ascii="Wingdings" w:hAnsi="Wingdings" w:hint="default"/>
      </w:rPr>
    </w:lvl>
  </w:abstractNum>
  <w:abstractNum w:abstractNumId="2" w15:restartNumberingAfterBreak="0">
    <w:nsid w:val="046E2961"/>
    <w:multiLevelType w:val="hybridMultilevel"/>
    <w:tmpl w:val="4C0E0C5A"/>
    <w:lvl w:ilvl="0" w:tplc="C0843718">
      <w:start w:val="1"/>
      <w:numFmt w:val="bullet"/>
      <w:lvlText w:val="o"/>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5818641"/>
    <w:multiLevelType w:val="hybridMultilevel"/>
    <w:tmpl w:val="FFFFFFFF"/>
    <w:lvl w:ilvl="0" w:tplc="A54491F6">
      <w:start w:val="1"/>
      <w:numFmt w:val="bullet"/>
      <w:lvlText w:val=""/>
      <w:lvlJc w:val="left"/>
      <w:pPr>
        <w:ind w:left="720" w:hanging="360"/>
      </w:pPr>
      <w:rPr>
        <w:rFonts w:ascii="Symbol" w:hAnsi="Symbol" w:hint="default"/>
      </w:rPr>
    </w:lvl>
    <w:lvl w:ilvl="1" w:tplc="30164BAE">
      <w:start w:val="1"/>
      <w:numFmt w:val="bullet"/>
      <w:lvlText w:val="o"/>
      <w:lvlJc w:val="left"/>
      <w:pPr>
        <w:ind w:left="1440" w:hanging="360"/>
      </w:pPr>
      <w:rPr>
        <w:rFonts w:ascii="Courier New" w:hAnsi="Courier New" w:hint="default"/>
      </w:rPr>
    </w:lvl>
    <w:lvl w:ilvl="2" w:tplc="C5DE7472">
      <w:start w:val="1"/>
      <w:numFmt w:val="bullet"/>
      <w:lvlText w:val=""/>
      <w:lvlJc w:val="left"/>
      <w:pPr>
        <w:ind w:left="2160" w:hanging="360"/>
      </w:pPr>
      <w:rPr>
        <w:rFonts w:ascii="Wingdings" w:hAnsi="Wingdings" w:hint="default"/>
      </w:rPr>
    </w:lvl>
    <w:lvl w:ilvl="3" w:tplc="DA30E82A">
      <w:start w:val="1"/>
      <w:numFmt w:val="bullet"/>
      <w:lvlText w:val=""/>
      <w:lvlJc w:val="left"/>
      <w:pPr>
        <w:ind w:left="2880" w:hanging="360"/>
      </w:pPr>
      <w:rPr>
        <w:rFonts w:ascii="Symbol" w:hAnsi="Symbol" w:hint="default"/>
      </w:rPr>
    </w:lvl>
    <w:lvl w:ilvl="4" w:tplc="1E0E7B7A">
      <w:start w:val="1"/>
      <w:numFmt w:val="bullet"/>
      <w:lvlText w:val="o"/>
      <w:lvlJc w:val="left"/>
      <w:pPr>
        <w:ind w:left="3600" w:hanging="360"/>
      </w:pPr>
      <w:rPr>
        <w:rFonts w:ascii="Courier New" w:hAnsi="Courier New" w:hint="default"/>
      </w:rPr>
    </w:lvl>
    <w:lvl w:ilvl="5" w:tplc="7B6A1A58">
      <w:start w:val="1"/>
      <w:numFmt w:val="bullet"/>
      <w:lvlText w:val=""/>
      <w:lvlJc w:val="left"/>
      <w:pPr>
        <w:ind w:left="4320" w:hanging="360"/>
      </w:pPr>
      <w:rPr>
        <w:rFonts w:ascii="Wingdings" w:hAnsi="Wingdings" w:hint="default"/>
      </w:rPr>
    </w:lvl>
    <w:lvl w:ilvl="6" w:tplc="12CA3F22">
      <w:start w:val="1"/>
      <w:numFmt w:val="bullet"/>
      <w:lvlText w:val=""/>
      <w:lvlJc w:val="left"/>
      <w:pPr>
        <w:ind w:left="5040" w:hanging="360"/>
      </w:pPr>
      <w:rPr>
        <w:rFonts w:ascii="Symbol" w:hAnsi="Symbol" w:hint="default"/>
      </w:rPr>
    </w:lvl>
    <w:lvl w:ilvl="7" w:tplc="869EE428">
      <w:start w:val="1"/>
      <w:numFmt w:val="bullet"/>
      <w:lvlText w:val="o"/>
      <w:lvlJc w:val="left"/>
      <w:pPr>
        <w:ind w:left="5760" w:hanging="360"/>
      </w:pPr>
      <w:rPr>
        <w:rFonts w:ascii="Courier New" w:hAnsi="Courier New" w:hint="default"/>
      </w:rPr>
    </w:lvl>
    <w:lvl w:ilvl="8" w:tplc="92FC3AE4">
      <w:start w:val="1"/>
      <w:numFmt w:val="bullet"/>
      <w:lvlText w:val=""/>
      <w:lvlJc w:val="left"/>
      <w:pPr>
        <w:ind w:left="6480" w:hanging="360"/>
      </w:pPr>
      <w:rPr>
        <w:rFonts w:ascii="Wingdings" w:hAnsi="Wingdings" w:hint="default"/>
      </w:rPr>
    </w:lvl>
  </w:abstractNum>
  <w:abstractNum w:abstractNumId="4" w15:restartNumberingAfterBreak="0">
    <w:nsid w:val="0583E19A"/>
    <w:multiLevelType w:val="hybridMultilevel"/>
    <w:tmpl w:val="FFFFFFFF"/>
    <w:lvl w:ilvl="0" w:tplc="FFFFFFFF">
      <w:start w:val="1"/>
      <w:numFmt w:val="bullet"/>
      <w:lvlText w:val="·"/>
      <w:lvlJc w:val="left"/>
      <w:pPr>
        <w:ind w:left="720" w:hanging="360"/>
      </w:pPr>
      <w:rPr>
        <w:rFonts w:ascii="Symbol" w:hAnsi="Symbol" w:hint="default"/>
      </w:rPr>
    </w:lvl>
    <w:lvl w:ilvl="1" w:tplc="6004F6A6">
      <w:start w:val="1"/>
      <w:numFmt w:val="bullet"/>
      <w:lvlText w:val="o"/>
      <w:lvlJc w:val="left"/>
      <w:pPr>
        <w:ind w:left="1440" w:hanging="360"/>
      </w:pPr>
      <w:rPr>
        <w:rFonts w:ascii="Courier New" w:hAnsi="Courier New" w:hint="default"/>
      </w:rPr>
    </w:lvl>
    <w:lvl w:ilvl="2" w:tplc="C7BA9E82">
      <w:start w:val="1"/>
      <w:numFmt w:val="bullet"/>
      <w:lvlText w:val=""/>
      <w:lvlJc w:val="left"/>
      <w:pPr>
        <w:ind w:left="2160" w:hanging="360"/>
      </w:pPr>
      <w:rPr>
        <w:rFonts w:ascii="Wingdings" w:hAnsi="Wingdings" w:hint="default"/>
      </w:rPr>
    </w:lvl>
    <w:lvl w:ilvl="3" w:tplc="75D83AAE">
      <w:start w:val="1"/>
      <w:numFmt w:val="bullet"/>
      <w:lvlText w:val=""/>
      <w:lvlJc w:val="left"/>
      <w:pPr>
        <w:ind w:left="2880" w:hanging="360"/>
      </w:pPr>
      <w:rPr>
        <w:rFonts w:ascii="Symbol" w:hAnsi="Symbol" w:hint="default"/>
      </w:rPr>
    </w:lvl>
    <w:lvl w:ilvl="4" w:tplc="86668696">
      <w:start w:val="1"/>
      <w:numFmt w:val="bullet"/>
      <w:lvlText w:val="o"/>
      <w:lvlJc w:val="left"/>
      <w:pPr>
        <w:ind w:left="3600" w:hanging="360"/>
      </w:pPr>
      <w:rPr>
        <w:rFonts w:ascii="Courier New" w:hAnsi="Courier New" w:hint="default"/>
      </w:rPr>
    </w:lvl>
    <w:lvl w:ilvl="5" w:tplc="C7105D62">
      <w:start w:val="1"/>
      <w:numFmt w:val="bullet"/>
      <w:lvlText w:val=""/>
      <w:lvlJc w:val="left"/>
      <w:pPr>
        <w:ind w:left="4320" w:hanging="360"/>
      </w:pPr>
      <w:rPr>
        <w:rFonts w:ascii="Wingdings" w:hAnsi="Wingdings" w:hint="default"/>
      </w:rPr>
    </w:lvl>
    <w:lvl w:ilvl="6" w:tplc="13760D6E">
      <w:start w:val="1"/>
      <w:numFmt w:val="bullet"/>
      <w:lvlText w:val=""/>
      <w:lvlJc w:val="left"/>
      <w:pPr>
        <w:ind w:left="5040" w:hanging="360"/>
      </w:pPr>
      <w:rPr>
        <w:rFonts w:ascii="Symbol" w:hAnsi="Symbol" w:hint="default"/>
      </w:rPr>
    </w:lvl>
    <w:lvl w:ilvl="7" w:tplc="7304C236">
      <w:start w:val="1"/>
      <w:numFmt w:val="bullet"/>
      <w:lvlText w:val="o"/>
      <w:lvlJc w:val="left"/>
      <w:pPr>
        <w:ind w:left="5760" w:hanging="360"/>
      </w:pPr>
      <w:rPr>
        <w:rFonts w:ascii="Courier New" w:hAnsi="Courier New" w:hint="default"/>
      </w:rPr>
    </w:lvl>
    <w:lvl w:ilvl="8" w:tplc="366297C4">
      <w:start w:val="1"/>
      <w:numFmt w:val="bullet"/>
      <w:lvlText w:val=""/>
      <w:lvlJc w:val="left"/>
      <w:pPr>
        <w:ind w:left="6480" w:hanging="360"/>
      </w:pPr>
      <w:rPr>
        <w:rFonts w:ascii="Wingdings" w:hAnsi="Wingdings" w:hint="default"/>
      </w:rPr>
    </w:lvl>
  </w:abstractNum>
  <w:abstractNum w:abstractNumId="5" w15:restartNumberingAfterBreak="0">
    <w:nsid w:val="115C224E"/>
    <w:multiLevelType w:val="hybridMultilevel"/>
    <w:tmpl w:val="6C72D76A"/>
    <w:lvl w:ilvl="0" w:tplc="D04A64BE">
      <w:start w:val="1"/>
      <w:numFmt w:val="decimal"/>
      <w:lvlText w:val="%1."/>
      <w:lvlJc w:val="left"/>
      <w:pPr>
        <w:ind w:left="720" w:hanging="360"/>
      </w:pPr>
      <w:rPr>
        <w:rFonts w:ascii="Times New Roman" w:hAnsi="Times New Roman" w:cs="Times New Roman"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9C785F"/>
    <w:multiLevelType w:val="hybridMultilevel"/>
    <w:tmpl w:val="FFFFFFFF"/>
    <w:lvl w:ilvl="0" w:tplc="4FA86218">
      <w:start w:val="1"/>
      <w:numFmt w:val="bullet"/>
      <w:lvlText w:val=""/>
      <w:lvlJc w:val="left"/>
      <w:pPr>
        <w:ind w:left="720" w:hanging="360"/>
      </w:pPr>
      <w:rPr>
        <w:rFonts w:ascii="Symbol" w:hAnsi="Symbol" w:hint="default"/>
      </w:rPr>
    </w:lvl>
    <w:lvl w:ilvl="1" w:tplc="8AB6EAC6">
      <w:start w:val="1"/>
      <w:numFmt w:val="bullet"/>
      <w:lvlText w:val="o"/>
      <w:lvlJc w:val="left"/>
      <w:pPr>
        <w:ind w:left="1440" w:hanging="360"/>
      </w:pPr>
      <w:rPr>
        <w:rFonts w:ascii="Courier New" w:hAnsi="Courier New" w:hint="default"/>
      </w:rPr>
    </w:lvl>
    <w:lvl w:ilvl="2" w:tplc="3C1A02AC">
      <w:start w:val="1"/>
      <w:numFmt w:val="bullet"/>
      <w:lvlText w:val=""/>
      <w:lvlJc w:val="left"/>
      <w:pPr>
        <w:ind w:left="2160" w:hanging="360"/>
      </w:pPr>
      <w:rPr>
        <w:rFonts w:ascii="Wingdings" w:hAnsi="Wingdings" w:hint="default"/>
      </w:rPr>
    </w:lvl>
    <w:lvl w:ilvl="3" w:tplc="C86A11A0">
      <w:start w:val="1"/>
      <w:numFmt w:val="bullet"/>
      <w:lvlText w:val=""/>
      <w:lvlJc w:val="left"/>
      <w:pPr>
        <w:ind w:left="2880" w:hanging="360"/>
      </w:pPr>
      <w:rPr>
        <w:rFonts w:ascii="Symbol" w:hAnsi="Symbol" w:hint="default"/>
      </w:rPr>
    </w:lvl>
    <w:lvl w:ilvl="4" w:tplc="6C1CF116">
      <w:start w:val="1"/>
      <w:numFmt w:val="bullet"/>
      <w:lvlText w:val="o"/>
      <w:lvlJc w:val="left"/>
      <w:pPr>
        <w:ind w:left="3600" w:hanging="360"/>
      </w:pPr>
      <w:rPr>
        <w:rFonts w:ascii="Courier New" w:hAnsi="Courier New" w:hint="default"/>
      </w:rPr>
    </w:lvl>
    <w:lvl w:ilvl="5" w:tplc="8AE4E04A">
      <w:start w:val="1"/>
      <w:numFmt w:val="bullet"/>
      <w:lvlText w:val=""/>
      <w:lvlJc w:val="left"/>
      <w:pPr>
        <w:ind w:left="4320" w:hanging="360"/>
      </w:pPr>
      <w:rPr>
        <w:rFonts w:ascii="Wingdings" w:hAnsi="Wingdings" w:hint="default"/>
      </w:rPr>
    </w:lvl>
    <w:lvl w:ilvl="6" w:tplc="F15860D8">
      <w:start w:val="1"/>
      <w:numFmt w:val="bullet"/>
      <w:lvlText w:val=""/>
      <w:lvlJc w:val="left"/>
      <w:pPr>
        <w:ind w:left="5040" w:hanging="360"/>
      </w:pPr>
      <w:rPr>
        <w:rFonts w:ascii="Symbol" w:hAnsi="Symbol" w:hint="default"/>
      </w:rPr>
    </w:lvl>
    <w:lvl w:ilvl="7" w:tplc="D910B55C">
      <w:start w:val="1"/>
      <w:numFmt w:val="bullet"/>
      <w:lvlText w:val="o"/>
      <w:lvlJc w:val="left"/>
      <w:pPr>
        <w:ind w:left="5760" w:hanging="360"/>
      </w:pPr>
      <w:rPr>
        <w:rFonts w:ascii="Courier New" w:hAnsi="Courier New" w:hint="default"/>
      </w:rPr>
    </w:lvl>
    <w:lvl w:ilvl="8" w:tplc="3AE85C32">
      <w:start w:val="1"/>
      <w:numFmt w:val="bullet"/>
      <w:lvlText w:val=""/>
      <w:lvlJc w:val="left"/>
      <w:pPr>
        <w:ind w:left="6480" w:hanging="360"/>
      </w:pPr>
      <w:rPr>
        <w:rFonts w:ascii="Wingdings" w:hAnsi="Wingdings" w:hint="default"/>
      </w:rPr>
    </w:lvl>
  </w:abstractNum>
  <w:abstractNum w:abstractNumId="7" w15:restartNumberingAfterBreak="0">
    <w:nsid w:val="1438D8CE"/>
    <w:multiLevelType w:val="hybridMultilevel"/>
    <w:tmpl w:val="FFFFFFFF"/>
    <w:lvl w:ilvl="0" w:tplc="59101ED8">
      <w:start w:val="1"/>
      <w:numFmt w:val="bullet"/>
      <w:lvlText w:val="·"/>
      <w:lvlJc w:val="left"/>
      <w:pPr>
        <w:ind w:left="720" w:hanging="360"/>
      </w:pPr>
      <w:rPr>
        <w:rFonts w:ascii="Symbol" w:hAnsi="Symbol" w:hint="default"/>
      </w:rPr>
    </w:lvl>
    <w:lvl w:ilvl="1" w:tplc="AD52A346">
      <w:start w:val="1"/>
      <w:numFmt w:val="bullet"/>
      <w:lvlText w:val="o"/>
      <w:lvlJc w:val="left"/>
      <w:pPr>
        <w:ind w:left="1440" w:hanging="360"/>
      </w:pPr>
      <w:rPr>
        <w:rFonts w:ascii="Courier New" w:hAnsi="Courier New" w:hint="default"/>
      </w:rPr>
    </w:lvl>
    <w:lvl w:ilvl="2" w:tplc="671C1EC2">
      <w:start w:val="1"/>
      <w:numFmt w:val="bullet"/>
      <w:lvlText w:val=""/>
      <w:lvlJc w:val="left"/>
      <w:pPr>
        <w:ind w:left="2160" w:hanging="360"/>
      </w:pPr>
      <w:rPr>
        <w:rFonts w:ascii="Wingdings" w:hAnsi="Wingdings" w:hint="default"/>
      </w:rPr>
    </w:lvl>
    <w:lvl w:ilvl="3" w:tplc="63C623C8">
      <w:start w:val="1"/>
      <w:numFmt w:val="bullet"/>
      <w:lvlText w:val=""/>
      <w:lvlJc w:val="left"/>
      <w:pPr>
        <w:ind w:left="2880" w:hanging="360"/>
      </w:pPr>
      <w:rPr>
        <w:rFonts w:ascii="Symbol" w:hAnsi="Symbol" w:hint="default"/>
      </w:rPr>
    </w:lvl>
    <w:lvl w:ilvl="4" w:tplc="293417A8">
      <w:start w:val="1"/>
      <w:numFmt w:val="bullet"/>
      <w:lvlText w:val="o"/>
      <w:lvlJc w:val="left"/>
      <w:pPr>
        <w:ind w:left="3600" w:hanging="360"/>
      </w:pPr>
      <w:rPr>
        <w:rFonts w:ascii="Courier New" w:hAnsi="Courier New" w:hint="default"/>
      </w:rPr>
    </w:lvl>
    <w:lvl w:ilvl="5" w:tplc="092AE4DE">
      <w:start w:val="1"/>
      <w:numFmt w:val="bullet"/>
      <w:lvlText w:val=""/>
      <w:lvlJc w:val="left"/>
      <w:pPr>
        <w:ind w:left="4320" w:hanging="360"/>
      </w:pPr>
      <w:rPr>
        <w:rFonts w:ascii="Wingdings" w:hAnsi="Wingdings" w:hint="default"/>
      </w:rPr>
    </w:lvl>
    <w:lvl w:ilvl="6" w:tplc="AC26A708">
      <w:start w:val="1"/>
      <w:numFmt w:val="bullet"/>
      <w:lvlText w:val=""/>
      <w:lvlJc w:val="left"/>
      <w:pPr>
        <w:ind w:left="5040" w:hanging="360"/>
      </w:pPr>
      <w:rPr>
        <w:rFonts w:ascii="Symbol" w:hAnsi="Symbol" w:hint="default"/>
      </w:rPr>
    </w:lvl>
    <w:lvl w:ilvl="7" w:tplc="79F880B8">
      <w:start w:val="1"/>
      <w:numFmt w:val="bullet"/>
      <w:lvlText w:val="o"/>
      <w:lvlJc w:val="left"/>
      <w:pPr>
        <w:ind w:left="5760" w:hanging="360"/>
      </w:pPr>
      <w:rPr>
        <w:rFonts w:ascii="Courier New" w:hAnsi="Courier New" w:hint="default"/>
      </w:rPr>
    </w:lvl>
    <w:lvl w:ilvl="8" w:tplc="AC32ABCA">
      <w:start w:val="1"/>
      <w:numFmt w:val="bullet"/>
      <w:lvlText w:val=""/>
      <w:lvlJc w:val="left"/>
      <w:pPr>
        <w:ind w:left="6480" w:hanging="360"/>
      </w:pPr>
      <w:rPr>
        <w:rFonts w:ascii="Wingdings" w:hAnsi="Wingdings" w:hint="default"/>
      </w:rPr>
    </w:lvl>
  </w:abstractNum>
  <w:abstractNum w:abstractNumId="8" w15:restartNumberingAfterBreak="0">
    <w:nsid w:val="17AB42C7"/>
    <w:multiLevelType w:val="hybridMultilevel"/>
    <w:tmpl w:val="098C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EF7CB"/>
    <w:multiLevelType w:val="hybridMultilevel"/>
    <w:tmpl w:val="FFFFFFFF"/>
    <w:lvl w:ilvl="0" w:tplc="8AC631EC">
      <w:start w:val="1"/>
      <w:numFmt w:val="bullet"/>
      <w:lvlText w:val=""/>
      <w:lvlJc w:val="left"/>
      <w:pPr>
        <w:ind w:left="720" w:hanging="360"/>
      </w:pPr>
      <w:rPr>
        <w:rFonts w:ascii="Symbol" w:hAnsi="Symbol" w:hint="default"/>
      </w:rPr>
    </w:lvl>
    <w:lvl w:ilvl="1" w:tplc="7630A646">
      <w:start w:val="1"/>
      <w:numFmt w:val="bullet"/>
      <w:lvlText w:val="o"/>
      <w:lvlJc w:val="left"/>
      <w:pPr>
        <w:ind w:left="1440" w:hanging="360"/>
      </w:pPr>
      <w:rPr>
        <w:rFonts w:ascii="Courier New" w:hAnsi="Courier New" w:hint="default"/>
      </w:rPr>
    </w:lvl>
    <w:lvl w:ilvl="2" w:tplc="516E655E">
      <w:start w:val="1"/>
      <w:numFmt w:val="bullet"/>
      <w:lvlText w:val=""/>
      <w:lvlJc w:val="left"/>
      <w:pPr>
        <w:ind w:left="2160" w:hanging="360"/>
      </w:pPr>
      <w:rPr>
        <w:rFonts w:ascii="Wingdings" w:hAnsi="Wingdings" w:hint="default"/>
      </w:rPr>
    </w:lvl>
    <w:lvl w:ilvl="3" w:tplc="38DE2C1C">
      <w:start w:val="1"/>
      <w:numFmt w:val="bullet"/>
      <w:lvlText w:val=""/>
      <w:lvlJc w:val="left"/>
      <w:pPr>
        <w:ind w:left="2880" w:hanging="360"/>
      </w:pPr>
      <w:rPr>
        <w:rFonts w:ascii="Symbol" w:hAnsi="Symbol" w:hint="default"/>
      </w:rPr>
    </w:lvl>
    <w:lvl w:ilvl="4" w:tplc="A04AC94A">
      <w:start w:val="1"/>
      <w:numFmt w:val="bullet"/>
      <w:lvlText w:val="o"/>
      <w:lvlJc w:val="left"/>
      <w:pPr>
        <w:ind w:left="3600" w:hanging="360"/>
      </w:pPr>
      <w:rPr>
        <w:rFonts w:ascii="Courier New" w:hAnsi="Courier New" w:hint="default"/>
      </w:rPr>
    </w:lvl>
    <w:lvl w:ilvl="5" w:tplc="C07A9428">
      <w:start w:val="1"/>
      <w:numFmt w:val="bullet"/>
      <w:lvlText w:val=""/>
      <w:lvlJc w:val="left"/>
      <w:pPr>
        <w:ind w:left="4320" w:hanging="360"/>
      </w:pPr>
      <w:rPr>
        <w:rFonts w:ascii="Wingdings" w:hAnsi="Wingdings" w:hint="default"/>
      </w:rPr>
    </w:lvl>
    <w:lvl w:ilvl="6" w:tplc="2CFC2E3A">
      <w:start w:val="1"/>
      <w:numFmt w:val="bullet"/>
      <w:lvlText w:val=""/>
      <w:lvlJc w:val="left"/>
      <w:pPr>
        <w:ind w:left="5040" w:hanging="360"/>
      </w:pPr>
      <w:rPr>
        <w:rFonts w:ascii="Symbol" w:hAnsi="Symbol" w:hint="default"/>
      </w:rPr>
    </w:lvl>
    <w:lvl w:ilvl="7" w:tplc="E5B282DE">
      <w:start w:val="1"/>
      <w:numFmt w:val="bullet"/>
      <w:lvlText w:val="o"/>
      <w:lvlJc w:val="left"/>
      <w:pPr>
        <w:ind w:left="5760" w:hanging="360"/>
      </w:pPr>
      <w:rPr>
        <w:rFonts w:ascii="Courier New" w:hAnsi="Courier New" w:hint="default"/>
      </w:rPr>
    </w:lvl>
    <w:lvl w:ilvl="8" w:tplc="FD8C8ACA">
      <w:start w:val="1"/>
      <w:numFmt w:val="bullet"/>
      <w:lvlText w:val=""/>
      <w:lvlJc w:val="left"/>
      <w:pPr>
        <w:ind w:left="6480" w:hanging="360"/>
      </w:pPr>
      <w:rPr>
        <w:rFonts w:ascii="Wingdings" w:hAnsi="Wingdings" w:hint="default"/>
      </w:rPr>
    </w:lvl>
  </w:abstractNum>
  <w:abstractNum w:abstractNumId="10" w15:restartNumberingAfterBreak="0">
    <w:nsid w:val="1B6765CD"/>
    <w:multiLevelType w:val="hybridMultilevel"/>
    <w:tmpl w:val="FFFFFFFF"/>
    <w:lvl w:ilvl="0" w:tplc="FFFFFFFF">
      <w:start w:val="1"/>
      <w:numFmt w:val="bullet"/>
      <w:lvlText w:val="·"/>
      <w:lvlJc w:val="left"/>
      <w:pPr>
        <w:ind w:left="720" w:hanging="360"/>
      </w:pPr>
      <w:rPr>
        <w:rFonts w:ascii="Symbol" w:hAnsi="Symbol" w:hint="default"/>
      </w:rPr>
    </w:lvl>
    <w:lvl w:ilvl="1" w:tplc="D130C324">
      <w:start w:val="1"/>
      <w:numFmt w:val="bullet"/>
      <w:lvlText w:val="o"/>
      <w:lvlJc w:val="left"/>
      <w:pPr>
        <w:ind w:left="1440" w:hanging="360"/>
      </w:pPr>
      <w:rPr>
        <w:rFonts w:ascii="Courier New" w:hAnsi="Courier New" w:hint="default"/>
      </w:rPr>
    </w:lvl>
    <w:lvl w:ilvl="2" w:tplc="C7E67410">
      <w:start w:val="1"/>
      <w:numFmt w:val="bullet"/>
      <w:lvlText w:val=""/>
      <w:lvlJc w:val="left"/>
      <w:pPr>
        <w:ind w:left="2160" w:hanging="360"/>
      </w:pPr>
      <w:rPr>
        <w:rFonts w:ascii="Wingdings" w:hAnsi="Wingdings" w:hint="default"/>
      </w:rPr>
    </w:lvl>
    <w:lvl w:ilvl="3" w:tplc="1D36EF0A">
      <w:start w:val="1"/>
      <w:numFmt w:val="bullet"/>
      <w:lvlText w:val=""/>
      <w:lvlJc w:val="left"/>
      <w:pPr>
        <w:ind w:left="2880" w:hanging="360"/>
      </w:pPr>
      <w:rPr>
        <w:rFonts w:ascii="Symbol" w:hAnsi="Symbol" w:hint="default"/>
      </w:rPr>
    </w:lvl>
    <w:lvl w:ilvl="4" w:tplc="D3E21CEE">
      <w:start w:val="1"/>
      <w:numFmt w:val="bullet"/>
      <w:lvlText w:val="o"/>
      <w:lvlJc w:val="left"/>
      <w:pPr>
        <w:ind w:left="3600" w:hanging="360"/>
      </w:pPr>
      <w:rPr>
        <w:rFonts w:ascii="Courier New" w:hAnsi="Courier New" w:hint="default"/>
      </w:rPr>
    </w:lvl>
    <w:lvl w:ilvl="5" w:tplc="37F6678A">
      <w:start w:val="1"/>
      <w:numFmt w:val="bullet"/>
      <w:lvlText w:val=""/>
      <w:lvlJc w:val="left"/>
      <w:pPr>
        <w:ind w:left="4320" w:hanging="360"/>
      </w:pPr>
      <w:rPr>
        <w:rFonts w:ascii="Wingdings" w:hAnsi="Wingdings" w:hint="default"/>
      </w:rPr>
    </w:lvl>
    <w:lvl w:ilvl="6" w:tplc="B546C0D8">
      <w:start w:val="1"/>
      <w:numFmt w:val="bullet"/>
      <w:lvlText w:val=""/>
      <w:lvlJc w:val="left"/>
      <w:pPr>
        <w:ind w:left="5040" w:hanging="360"/>
      </w:pPr>
      <w:rPr>
        <w:rFonts w:ascii="Symbol" w:hAnsi="Symbol" w:hint="default"/>
      </w:rPr>
    </w:lvl>
    <w:lvl w:ilvl="7" w:tplc="A4D61810">
      <w:start w:val="1"/>
      <w:numFmt w:val="bullet"/>
      <w:lvlText w:val="o"/>
      <w:lvlJc w:val="left"/>
      <w:pPr>
        <w:ind w:left="5760" w:hanging="360"/>
      </w:pPr>
      <w:rPr>
        <w:rFonts w:ascii="Courier New" w:hAnsi="Courier New" w:hint="default"/>
      </w:rPr>
    </w:lvl>
    <w:lvl w:ilvl="8" w:tplc="7AD49B04">
      <w:start w:val="1"/>
      <w:numFmt w:val="bullet"/>
      <w:lvlText w:val=""/>
      <w:lvlJc w:val="left"/>
      <w:pPr>
        <w:ind w:left="6480" w:hanging="360"/>
      </w:pPr>
      <w:rPr>
        <w:rFonts w:ascii="Wingdings" w:hAnsi="Wingdings" w:hint="default"/>
      </w:rPr>
    </w:lvl>
  </w:abstractNum>
  <w:abstractNum w:abstractNumId="11" w15:restartNumberingAfterBreak="0">
    <w:nsid w:val="1C073D57"/>
    <w:multiLevelType w:val="hybridMultilevel"/>
    <w:tmpl w:val="FFFFFFFF"/>
    <w:lvl w:ilvl="0" w:tplc="A9CEEF40">
      <w:start w:val="1"/>
      <w:numFmt w:val="bullet"/>
      <w:lvlText w:val=""/>
      <w:lvlJc w:val="left"/>
      <w:pPr>
        <w:ind w:left="720" w:hanging="360"/>
      </w:pPr>
      <w:rPr>
        <w:rFonts w:ascii="Symbol" w:hAnsi="Symbol" w:hint="default"/>
      </w:rPr>
    </w:lvl>
    <w:lvl w:ilvl="1" w:tplc="FD786EE2">
      <w:start w:val="1"/>
      <w:numFmt w:val="bullet"/>
      <w:lvlText w:val="o"/>
      <w:lvlJc w:val="left"/>
      <w:pPr>
        <w:ind w:left="1440" w:hanging="360"/>
      </w:pPr>
      <w:rPr>
        <w:rFonts w:ascii="Courier New" w:hAnsi="Courier New" w:hint="default"/>
      </w:rPr>
    </w:lvl>
    <w:lvl w:ilvl="2" w:tplc="49F6C6C0">
      <w:start w:val="1"/>
      <w:numFmt w:val="bullet"/>
      <w:lvlText w:val=""/>
      <w:lvlJc w:val="left"/>
      <w:pPr>
        <w:ind w:left="2160" w:hanging="360"/>
      </w:pPr>
      <w:rPr>
        <w:rFonts w:ascii="Wingdings" w:hAnsi="Wingdings" w:hint="default"/>
      </w:rPr>
    </w:lvl>
    <w:lvl w:ilvl="3" w:tplc="3490FBF6">
      <w:start w:val="1"/>
      <w:numFmt w:val="bullet"/>
      <w:lvlText w:val=""/>
      <w:lvlJc w:val="left"/>
      <w:pPr>
        <w:ind w:left="2880" w:hanging="360"/>
      </w:pPr>
      <w:rPr>
        <w:rFonts w:ascii="Symbol" w:hAnsi="Symbol" w:hint="default"/>
      </w:rPr>
    </w:lvl>
    <w:lvl w:ilvl="4" w:tplc="9C9EDAB4">
      <w:start w:val="1"/>
      <w:numFmt w:val="bullet"/>
      <w:lvlText w:val="o"/>
      <w:lvlJc w:val="left"/>
      <w:pPr>
        <w:ind w:left="3600" w:hanging="360"/>
      </w:pPr>
      <w:rPr>
        <w:rFonts w:ascii="Courier New" w:hAnsi="Courier New" w:hint="default"/>
      </w:rPr>
    </w:lvl>
    <w:lvl w:ilvl="5" w:tplc="CDC45ABA">
      <w:start w:val="1"/>
      <w:numFmt w:val="bullet"/>
      <w:lvlText w:val=""/>
      <w:lvlJc w:val="left"/>
      <w:pPr>
        <w:ind w:left="4320" w:hanging="360"/>
      </w:pPr>
      <w:rPr>
        <w:rFonts w:ascii="Wingdings" w:hAnsi="Wingdings" w:hint="default"/>
      </w:rPr>
    </w:lvl>
    <w:lvl w:ilvl="6" w:tplc="23B2DB78">
      <w:start w:val="1"/>
      <w:numFmt w:val="bullet"/>
      <w:lvlText w:val=""/>
      <w:lvlJc w:val="left"/>
      <w:pPr>
        <w:ind w:left="5040" w:hanging="360"/>
      </w:pPr>
      <w:rPr>
        <w:rFonts w:ascii="Symbol" w:hAnsi="Symbol" w:hint="default"/>
      </w:rPr>
    </w:lvl>
    <w:lvl w:ilvl="7" w:tplc="216EDA7C">
      <w:start w:val="1"/>
      <w:numFmt w:val="bullet"/>
      <w:lvlText w:val="o"/>
      <w:lvlJc w:val="left"/>
      <w:pPr>
        <w:ind w:left="5760" w:hanging="360"/>
      </w:pPr>
      <w:rPr>
        <w:rFonts w:ascii="Courier New" w:hAnsi="Courier New" w:hint="default"/>
      </w:rPr>
    </w:lvl>
    <w:lvl w:ilvl="8" w:tplc="8266086E">
      <w:start w:val="1"/>
      <w:numFmt w:val="bullet"/>
      <w:lvlText w:val=""/>
      <w:lvlJc w:val="left"/>
      <w:pPr>
        <w:ind w:left="6480" w:hanging="360"/>
      </w:pPr>
      <w:rPr>
        <w:rFonts w:ascii="Wingdings" w:hAnsi="Wingdings" w:hint="default"/>
      </w:rPr>
    </w:lvl>
  </w:abstractNum>
  <w:abstractNum w:abstractNumId="12" w15:restartNumberingAfterBreak="0">
    <w:nsid w:val="22BD96B0"/>
    <w:multiLevelType w:val="hybridMultilevel"/>
    <w:tmpl w:val="FFFFFFFF"/>
    <w:lvl w:ilvl="0" w:tplc="1EE472FC">
      <w:start w:val="1"/>
      <w:numFmt w:val="bullet"/>
      <w:lvlText w:val=""/>
      <w:lvlJc w:val="left"/>
      <w:pPr>
        <w:ind w:left="720" w:hanging="360"/>
      </w:pPr>
      <w:rPr>
        <w:rFonts w:ascii="Symbol" w:hAnsi="Symbol" w:hint="default"/>
      </w:rPr>
    </w:lvl>
    <w:lvl w:ilvl="1" w:tplc="9B5CBF70">
      <w:start w:val="1"/>
      <w:numFmt w:val="bullet"/>
      <w:lvlText w:val="o"/>
      <w:lvlJc w:val="left"/>
      <w:pPr>
        <w:ind w:left="1440" w:hanging="360"/>
      </w:pPr>
      <w:rPr>
        <w:rFonts w:ascii="Courier New" w:hAnsi="Courier New" w:hint="default"/>
      </w:rPr>
    </w:lvl>
    <w:lvl w:ilvl="2" w:tplc="DE74C458">
      <w:start w:val="1"/>
      <w:numFmt w:val="bullet"/>
      <w:lvlText w:val=""/>
      <w:lvlJc w:val="left"/>
      <w:pPr>
        <w:ind w:left="2160" w:hanging="360"/>
      </w:pPr>
      <w:rPr>
        <w:rFonts w:ascii="Wingdings" w:hAnsi="Wingdings" w:hint="default"/>
      </w:rPr>
    </w:lvl>
    <w:lvl w:ilvl="3" w:tplc="FB06A910">
      <w:start w:val="1"/>
      <w:numFmt w:val="bullet"/>
      <w:lvlText w:val=""/>
      <w:lvlJc w:val="left"/>
      <w:pPr>
        <w:ind w:left="2880" w:hanging="360"/>
      </w:pPr>
      <w:rPr>
        <w:rFonts w:ascii="Symbol" w:hAnsi="Symbol" w:hint="default"/>
      </w:rPr>
    </w:lvl>
    <w:lvl w:ilvl="4" w:tplc="460EFD42">
      <w:start w:val="1"/>
      <w:numFmt w:val="bullet"/>
      <w:lvlText w:val="o"/>
      <w:lvlJc w:val="left"/>
      <w:pPr>
        <w:ind w:left="3600" w:hanging="360"/>
      </w:pPr>
      <w:rPr>
        <w:rFonts w:ascii="Courier New" w:hAnsi="Courier New" w:hint="default"/>
      </w:rPr>
    </w:lvl>
    <w:lvl w:ilvl="5" w:tplc="7ED07980">
      <w:start w:val="1"/>
      <w:numFmt w:val="bullet"/>
      <w:lvlText w:val=""/>
      <w:lvlJc w:val="left"/>
      <w:pPr>
        <w:ind w:left="4320" w:hanging="360"/>
      </w:pPr>
      <w:rPr>
        <w:rFonts w:ascii="Wingdings" w:hAnsi="Wingdings" w:hint="default"/>
      </w:rPr>
    </w:lvl>
    <w:lvl w:ilvl="6" w:tplc="8FF0870C">
      <w:start w:val="1"/>
      <w:numFmt w:val="bullet"/>
      <w:lvlText w:val=""/>
      <w:lvlJc w:val="left"/>
      <w:pPr>
        <w:ind w:left="5040" w:hanging="360"/>
      </w:pPr>
      <w:rPr>
        <w:rFonts w:ascii="Symbol" w:hAnsi="Symbol" w:hint="default"/>
      </w:rPr>
    </w:lvl>
    <w:lvl w:ilvl="7" w:tplc="773CA5E6">
      <w:start w:val="1"/>
      <w:numFmt w:val="bullet"/>
      <w:lvlText w:val="o"/>
      <w:lvlJc w:val="left"/>
      <w:pPr>
        <w:ind w:left="5760" w:hanging="360"/>
      </w:pPr>
      <w:rPr>
        <w:rFonts w:ascii="Courier New" w:hAnsi="Courier New" w:hint="default"/>
      </w:rPr>
    </w:lvl>
    <w:lvl w:ilvl="8" w:tplc="FE8AAC8E">
      <w:start w:val="1"/>
      <w:numFmt w:val="bullet"/>
      <w:lvlText w:val=""/>
      <w:lvlJc w:val="left"/>
      <w:pPr>
        <w:ind w:left="6480" w:hanging="360"/>
      </w:pPr>
      <w:rPr>
        <w:rFonts w:ascii="Wingdings" w:hAnsi="Wingdings" w:hint="default"/>
      </w:rPr>
    </w:lvl>
  </w:abstractNum>
  <w:abstractNum w:abstractNumId="13" w15:restartNumberingAfterBreak="0">
    <w:nsid w:val="2588D0F6"/>
    <w:multiLevelType w:val="hybridMultilevel"/>
    <w:tmpl w:val="FFFFFFFF"/>
    <w:lvl w:ilvl="0" w:tplc="567E7358">
      <w:start w:val="1"/>
      <w:numFmt w:val="bullet"/>
      <w:lvlText w:val=""/>
      <w:lvlJc w:val="left"/>
      <w:pPr>
        <w:ind w:left="720" w:hanging="360"/>
      </w:pPr>
      <w:rPr>
        <w:rFonts w:ascii="Symbol" w:hAnsi="Symbol" w:hint="default"/>
      </w:rPr>
    </w:lvl>
    <w:lvl w:ilvl="1" w:tplc="5B42888C">
      <w:start w:val="1"/>
      <w:numFmt w:val="bullet"/>
      <w:lvlText w:val="o"/>
      <w:lvlJc w:val="left"/>
      <w:pPr>
        <w:ind w:left="1440" w:hanging="360"/>
      </w:pPr>
      <w:rPr>
        <w:rFonts w:ascii="Courier New" w:hAnsi="Courier New" w:hint="default"/>
      </w:rPr>
    </w:lvl>
    <w:lvl w:ilvl="2" w:tplc="C95A3D02">
      <w:start w:val="1"/>
      <w:numFmt w:val="bullet"/>
      <w:lvlText w:val=""/>
      <w:lvlJc w:val="left"/>
      <w:pPr>
        <w:ind w:left="2160" w:hanging="360"/>
      </w:pPr>
      <w:rPr>
        <w:rFonts w:ascii="Wingdings" w:hAnsi="Wingdings" w:hint="default"/>
      </w:rPr>
    </w:lvl>
    <w:lvl w:ilvl="3" w:tplc="E94837BA">
      <w:start w:val="1"/>
      <w:numFmt w:val="bullet"/>
      <w:lvlText w:val=""/>
      <w:lvlJc w:val="left"/>
      <w:pPr>
        <w:ind w:left="2880" w:hanging="360"/>
      </w:pPr>
      <w:rPr>
        <w:rFonts w:ascii="Symbol" w:hAnsi="Symbol" w:hint="default"/>
      </w:rPr>
    </w:lvl>
    <w:lvl w:ilvl="4" w:tplc="2E8035F6">
      <w:start w:val="1"/>
      <w:numFmt w:val="bullet"/>
      <w:lvlText w:val="o"/>
      <w:lvlJc w:val="left"/>
      <w:pPr>
        <w:ind w:left="3600" w:hanging="360"/>
      </w:pPr>
      <w:rPr>
        <w:rFonts w:ascii="Courier New" w:hAnsi="Courier New" w:hint="default"/>
      </w:rPr>
    </w:lvl>
    <w:lvl w:ilvl="5" w:tplc="861EBDEE">
      <w:start w:val="1"/>
      <w:numFmt w:val="bullet"/>
      <w:lvlText w:val=""/>
      <w:lvlJc w:val="left"/>
      <w:pPr>
        <w:ind w:left="4320" w:hanging="360"/>
      </w:pPr>
      <w:rPr>
        <w:rFonts w:ascii="Wingdings" w:hAnsi="Wingdings" w:hint="default"/>
      </w:rPr>
    </w:lvl>
    <w:lvl w:ilvl="6" w:tplc="DF4052D2">
      <w:start w:val="1"/>
      <w:numFmt w:val="bullet"/>
      <w:lvlText w:val=""/>
      <w:lvlJc w:val="left"/>
      <w:pPr>
        <w:ind w:left="5040" w:hanging="360"/>
      </w:pPr>
      <w:rPr>
        <w:rFonts w:ascii="Symbol" w:hAnsi="Symbol" w:hint="default"/>
      </w:rPr>
    </w:lvl>
    <w:lvl w:ilvl="7" w:tplc="C220EB90">
      <w:start w:val="1"/>
      <w:numFmt w:val="bullet"/>
      <w:lvlText w:val="o"/>
      <w:lvlJc w:val="left"/>
      <w:pPr>
        <w:ind w:left="5760" w:hanging="360"/>
      </w:pPr>
      <w:rPr>
        <w:rFonts w:ascii="Courier New" w:hAnsi="Courier New" w:hint="default"/>
      </w:rPr>
    </w:lvl>
    <w:lvl w:ilvl="8" w:tplc="A83C9CB4">
      <w:start w:val="1"/>
      <w:numFmt w:val="bullet"/>
      <w:lvlText w:val=""/>
      <w:lvlJc w:val="left"/>
      <w:pPr>
        <w:ind w:left="6480" w:hanging="360"/>
      </w:pPr>
      <w:rPr>
        <w:rFonts w:ascii="Wingdings" w:hAnsi="Wingdings" w:hint="default"/>
      </w:rPr>
    </w:lvl>
  </w:abstractNum>
  <w:abstractNum w:abstractNumId="14" w15:restartNumberingAfterBreak="0">
    <w:nsid w:val="268A2551"/>
    <w:multiLevelType w:val="hybridMultilevel"/>
    <w:tmpl w:val="AB1600EC"/>
    <w:lvl w:ilvl="0" w:tplc="C0843718">
      <w:start w:val="1"/>
      <w:numFmt w:val="bullet"/>
      <w:lvlText w:val="o"/>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27003C45"/>
    <w:multiLevelType w:val="hybridMultilevel"/>
    <w:tmpl w:val="9CE22E3C"/>
    <w:lvl w:ilvl="0" w:tplc="0CE4E5C8">
      <w:start w:val="26"/>
      <w:numFmt w:val="decimal"/>
      <w:pStyle w:val="SCHRnumbers"/>
      <w:lvlText w:val="%1."/>
      <w:lvlJc w:val="left"/>
      <w:pPr>
        <w:ind w:left="720" w:hanging="360"/>
      </w:pPr>
    </w:lvl>
    <w:lvl w:ilvl="1" w:tplc="E2FEEAEC">
      <w:start w:val="1"/>
      <w:numFmt w:val="lowerLetter"/>
      <w:lvlText w:val="%2."/>
      <w:lvlJc w:val="left"/>
      <w:pPr>
        <w:ind w:left="1440" w:hanging="360"/>
      </w:pPr>
    </w:lvl>
    <w:lvl w:ilvl="2" w:tplc="1A547E6C">
      <w:start w:val="1"/>
      <w:numFmt w:val="lowerRoman"/>
      <w:lvlText w:val="%3."/>
      <w:lvlJc w:val="right"/>
      <w:pPr>
        <w:ind w:left="2160" w:hanging="180"/>
      </w:pPr>
    </w:lvl>
    <w:lvl w:ilvl="3" w:tplc="537ACC3E">
      <w:start w:val="1"/>
      <w:numFmt w:val="decimal"/>
      <w:lvlText w:val="%4."/>
      <w:lvlJc w:val="left"/>
      <w:pPr>
        <w:ind w:left="2880" w:hanging="360"/>
      </w:pPr>
    </w:lvl>
    <w:lvl w:ilvl="4" w:tplc="F8B86C98">
      <w:start w:val="1"/>
      <w:numFmt w:val="lowerLetter"/>
      <w:lvlText w:val="%5."/>
      <w:lvlJc w:val="left"/>
      <w:pPr>
        <w:ind w:left="3600" w:hanging="360"/>
      </w:pPr>
    </w:lvl>
    <w:lvl w:ilvl="5" w:tplc="77BCC708">
      <w:start w:val="1"/>
      <w:numFmt w:val="lowerRoman"/>
      <w:lvlText w:val="%6."/>
      <w:lvlJc w:val="right"/>
      <w:pPr>
        <w:ind w:left="4320" w:hanging="180"/>
      </w:pPr>
    </w:lvl>
    <w:lvl w:ilvl="6" w:tplc="366641A4">
      <w:start w:val="1"/>
      <w:numFmt w:val="decimal"/>
      <w:lvlText w:val="%7."/>
      <w:lvlJc w:val="left"/>
      <w:pPr>
        <w:ind w:left="5040" w:hanging="360"/>
      </w:pPr>
    </w:lvl>
    <w:lvl w:ilvl="7" w:tplc="9ADC8CA4">
      <w:start w:val="1"/>
      <w:numFmt w:val="lowerLetter"/>
      <w:lvlText w:val="%8."/>
      <w:lvlJc w:val="left"/>
      <w:pPr>
        <w:ind w:left="5760" w:hanging="360"/>
      </w:pPr>
    </w:lvl>
    <w:lvl w:ilvl="8" w:tplc="DEF6014E">
      <w:start w:val="1"/>
      <w:numFmt w:val="lowerRoman"/>
      <w:lvlText w:val="%9."/>
      <w:lvlJc w:val="right"/>
      <w:pPr>
        <w:ind w:left="6480" w:hanging="180"/>
      </w:pPr>
    </w:lvl>
  </w:abstractNum>
  <w:abstractNum w:abstractNumId="16" w15:restartNumberingAfterBreak="0">
    <w:nsid w:val="2D533B64"/>
    <w:multiLevelType w:val="hybridMultilevel"/>
    <w:tmpl w:val="65781BBE"/>
    <w:lvl w:ilvl="0" w:tplc="96CC86A6">
      <w:start w:val="1"/>
      <w:numFmt w:val="bullet"/>
      <w:pStyle w:val="EMfirstbullet"/>
      <w:lvlText w:val=""/>
      <w:lvlJc w:val="left"/>
      <w:pPr>
        <w:ind w:left="927" w:hanging="360"/>
      </w:pPr>
      <w:rPr>
        <w:rFonts w:ascii="Symbol" w:hAnsi="Symbol" w:hint="default"/>
      </w:rPr>
    </w:lvl>
    <w:lvl w:ilvl="1" w:tplc="186AF42C">
      <w:start w:val="1"/>
      <w:numFmt w:val="bullet"/>
      <w:lvlText w:val="o"/>
      <w:lvlJc w:val="left"/>
      <w:pPr>
        <w:ind w:left="1440" w:hanging="360"/>
      </w:pPr>
      <w:rPr>
        <w:rFonts w:ascii="Courier New" w:hAnsi="Courier New" w:hint="default"/>
      </w:rPr>
    </w:lvl>
    <w:lvl w:ilvl="2" w:tplc="E9C4BBF0">
      <w:start w:val="1"/>
      <w:numFmt w:val="bullet"/>
      <w:lvlText w:val=""/>
      <w:lvlJc w:val="left"/>
      <w:pPr>
        <w:ind w:left="2160" w:hanging="360"/>
      </w:pPr>
      <w:rPr>
        <w:rFonts w:ascii="Wingdings" w:hAnsi="Wingdings" w:hint="default"/>
      </w:rPr>
    </w:lvl>
    <w:lvl w:ilvl="3" w:tplc="800496DA">
      <w:start w:val="1"/>
      <w:numFmt w:val="bullet"/>
      <w:lvlText w:val=""/>
      <w:lvlJc w:val="left"/>
      <w:pPr>
        <w:ind w:left="2880" w:hanging="360"/>
      </w:pPr>
      <w:rPr>
        <w:rFonts w:ascii="Symbol" w:hAnsi="Symbol" w:hint="default"/>
      </w:rPr>
    </w:lvl>
    <w:lvl w:ilvl="4" w:tplc="B9B85F68">
      <w:start w:val="1"/>
      <w:numFmt w:val="bullet"/>
      <w:lvlText w:val="o"/>
      <w:lvlJc w:val="left"/>
      <w:pPr>
        <w:ind w:left="3600" w:hanging="360"/>
      </w:pPr>
      <w:rPr>
        <w:rFonts w:ascii="Courier New" w:hAnsi="Courier New" w:hint="default"/>
      </w:rPr>
    </w:lvl>
    <w:lvl w:ilvl="5" w:tplc="9BA4630E">
      <w:start w:val="1"/>
      <w:numFmt w:val="bullet"/>
      <w:lvlText w:val=""/>
      <w:lvlJc w:val="left"/>
      <w:pPr>
        <w:ind w:left="4320" w:hanging="360"/>
      </w:pPr>
      <w:rPr>
        <w:rFonts w:ascii="Wingdings" w:hAnsi="Wingdings" w:hint="default"/>
      </w:rPr>
    </w:lvl>
    <w:lvl w:ilvl="6" w:tplc="95A4357C">
      <w:start w:val="1"/>
      <w:numFmt w:val="bullet"/>
      <w:lvlText w:val=""/>
      <w:lvlJc w:val="left"/>
      <w:pPr>
        <w:ind w:left="5040" w:hanging="360"/>
      </w:pPr>
      <w:rPr>
        <w:rFonts w:ascii="Symbol" w:hAnsi="Symbol" w:hint="default"/>
      </w:rPr>
    </w:lvl>
    <w:lvl w:ilvl="7" w:tplc="23C0038A">
      <w:start w:val="1"/>
      <w:numFmt w:val="bullet"/>
      <w:lvlText w:val="o"/>
      <w:lvlJc w:val="left"/>
      <w:pPr>
        <w:ind w:left="5760" w:hanging="360"/>
      </w:pPr>
      <w:rPr>
        <w:rFonts w:ascii="Courier New" w:hAnsi="Courier New" w:hint="default"/>
      </w:rPr>
    </w:lvl>
    <w:lvl w:ilvl="8" w:tplc="004A76C0">
      <w:start w:val="1"/>
      <w:numFmt w:val="bullet"/>
      <w:lvlText w:val=""/>
      <w:lvlJc w:val="left"/>
      <w:pPr>
        <w:ind w:left="6480" w:hanging="360"/>
      </w:pPr>
      <w:rPr>
        <w:rFonts w:ascii="Wingdings" w:hAnsi="Wingdings" w:hint="default"/>
      </w:rPr>
    </w:lvl>
  </w:abstractNum>
  <w:abstractNum w:abstractNumId="17" w15:restartNumberingAfterBreak="0">
    <w:nsid w:val="300B53FD"/>
    <w:multiLevelType w:val="hybridMultilevel"/>
    <w:tmpl w:val="68784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206A32"/>
    <w:multiLevelType w:val="hybridMultilevel"/>
    <w:tmpl w:val="FFFFFFFF"/>
    <w:lvl w:ilvl="0" w:tplc="3CA291EA">
      <w:start w:val="1"/>
      <w:numFmt w:val="bullet"/>
      <w:lvlText w:val="o"/>
      <w:lvlJc w:val="left"/>
      <w:pPr>
        <w:ind w:left="720" w:hanging="360"/>
      </w:pPr>
      <w:rPr>
        <w:rFonts w:ascii="Courier New" w:hAnsi="Courier New" w:hint="default"/>
      </w:rPr>
    </w:lvl>
    <w:lvl w:ilvl="1" w:tplc="38044F10">
      <w:start w:val="1"/>
      <w:numFmt w:val="bullet"/>
      <w:lvlText w:val="o"/>
      <w:lvlJc w:val="left"/>
      <w:pPr>
        <w:ind w:left="1440" w:hanging="360"/>
      </w:pPr>
      <w:rPr>
        <w:rFonts w:ascii="Courier New" w:hAnsi="Courier New" w:hint="default"/>
      </w:rPr>
    </w:lvl>
    <w:lvl w:ilvl="2" w:tplc="751ACE0E">
      <w:start w:val="1"/>
      <w:numFmt w:val="bullet"/>
      <w:lvlText w:val=""/>
      <w:lvlJc w:val="left"/>
      <w:pPr>
        <w:ind w:left="2160" w:hanging="360"/>
      </w:pPr>
      <w:rPr>
        <w:rFonts w:ascii="Wingdings" w:hAnsi="Wingdings" w:hint="default"/>
      </w:rPr>
    </w:lvl>
    <w:lvl w:ilvl="3" w:tplc="A84AA418">
      <w:start w:val="1"/>
      <w:numFmt w:val="bullet"/>
      <w:lvlText w:val=""/>
      <w:lvlJc w:val="left"/>
      <w:pPr>
        <w:ind w:left="2880" w:hanging="360"/>
      </w:pPr>
      <w:rPr>
        <w:rFonts w:ascii="Symbol" w:hAnsi="Symbol" w:hint="default"/>
      </w:rPr>
    </w:lvl>
    <w:lvl w:ilvl="4" w:tplc="D840A882">
      <w:start w:val="1"/>
      <w:numFmt w:val="bullet"/>
      <w:lvlText w:val="o"/>
      <w:lvlJc w:val="left"/>
      <w:pPr>
        <w:ind w:left="3600" w:hanging="360"/>
      </w:pPr>
      <w:rPr>
        <w:rFonts w:ascii="Courier New" w:hAnsi="Courier New" w:hint="default"/>
      </w:rPr>
    </w:lvl>
    <w:lvl w:ilvl="5" w:tplc="1EB8D546">
      <w:start w:val="1"/>
      <w:numFmt w:val="bullet"/>
      <w:lvlText w:val=""/>
      <w:lvlJc w:val="left"/>
      <w:pPr>
        <w:ind w:left="4320" w:hanging="360"/>
      </w:pPr>
      <w:rPr>
        <w:rFonts w:ascii="Wingdings" w:hAnsi="Wingdings" w:hint="default"/>
      </w:rPr>
    </w:lvl>
    <w:lvl w:ilvl="6" w:tplc="9D568FD6">
      <w:start w:val="1"/>
      <w:numFmt w:val="bullet"/>
      <w:lvlText w:val=""/>
      <w:lvlJc w:val="left"/>
      <w:pPr>
        <w:ind w:left="5040" w:hanging="360"/>
      </w:pPr>
      <w:rPr>
        <w:rFonts w:ascii="Symbol" w:hAnsi="Symbol" w:hint="default"/>
      </w:rPr>
    </w:lvl>
    <w:lvl w:ilvl="7" w:tplc="873A610A">
      <w:start w:val="1"/>
      <w:numFmt w:val="bullet"/>
      <w:lvlText w:val="o"/>
      <w:lvlJc w:val="left"/>
      <w:pPr>
        <w:ind w:left="5760" w:hanging="360"/>
      </w:pPr>
      <w:rPr>
        <w:rFonts w:ascii="Courier New" w:hAnsi="Courier New" w:hint="default"/>
      </w:rPr>
    </w:lvl>
    <w:lvl w:ilvl="8" w:tplc="1DE6437E">
      <w:start w:val="1"/>
      <w:numFmt w:val="bullet"/>
      <w:lvlText w:val=""/>
      <w:lvlJc w:val="left"/>
      <w:pPr>
        <w:ind w:left="6480" w:hanging="360"/>
      </w:pPr>
      <w:rPr>
        <w:rFonts w:ascii="Wingdings" w:hAnsi="Wingdings" w:hint="default"/>
      </w:rPr>
    </w:lvl>
  </w:abstractNum>
  <w:abstractNum w:abstractNumId="19" w15:restartNumberingAfterBreak="0">
    <w:nsid w:val="311AAE56"/>
    <w:multiLevelType w:val="hybridMultilevel"/>
    <w:tmpl w:val="FFFFFFFF"/>
    <w:lvl w:ilvl="0" w:tplc="201083C0">
      <w:start w:val="1"/>
      <w:numFmt w:val="bullet"/>
      <w:lvlText w:val=""/>
      <w:lvlJc w:val="left"/>
      <w:pPr>
        <w:ind w:left="360" w:hanging="360"/>
      </w:pPr>
      <w:rPr>
        <w:rFonts w:ascii="Symbol" w:hAnsi="Symbol" w:hint="default"/>
      </w:rPr>
    </w:lvl>
    <w:lvl w:ilvl="1" w:tplc="D2629206">
      <w:start w:val="1"/>
      <w:numFmt w:val="bullet"/>
      <w:lvlText w:val="o"/>
      <w:lvlJc w:val="left"/>
      <w:pPr>
        <w:ind w:left="1080" w:hanging="360"/>
      </w:pPr>
      <w:rPr>
        <w:rFonts w:ascii="Courier New" w:hAnsi="Courier New" w:hint="default"/>
      </w:rPr>
    </w:lvl>
    <w:lvl w:ilvl="2" w:tplc="8E6414BE">
      <w:start w:val="1"/>
      <w:numFmt w:val="bullet"/>
      <w:lvlText w:val=""/>
      <w:lvlJc w:val="left"/>
      <w:pPr>
        <w:ind w:left="1800" w:hanging="360"/>
      </w:pPr>
      <w:rPr>
        <w:rFonts w:ascii="Wingdings" w:hAnsi="Wingdings" w:hint="default"/>
      </w:rPr>
    </w:lvl>
    <w:lvl w:ilvl="3" w:tplc="2F288A00">
      <w:start w:val="1"/>
      <w:numFmt w:val="bullet"/>
      <w:lvlText w:val=""/>
      <w:lvlJc w:val="left"/>
      <w:pPr>
        <w:ind w:left="2520" w:hanging="360"/>
      </w:pPr>
      <w:rPr>
        <w:rFonts w:ascii="Symbol" w:hAnsi="Symbol" w:hint="default"/>
      </w:rPr>
    </w:lvl>
    <w:lvl w:ilvl="4" w:tplc="9726FB9E">
      <w:start w:val="1"/>
      <w:numFmt w:val="bullet"/>
      <w:lvlText w:val="o"/>
      <w:lvlJc w:val="left"/>
      <w:pPr>
        <w:ind w:left="3240" w:hanging="360"/>
      </w:pPr>
      <w:rPr>
        <w:rFonts w:ascii="Courier New" w:hAnsi="Courier New" w:hint="default"/>
      </w:rPr>
    </w:lvl>
    <w:lvl w:ilvl="5" w:tplc="89C81E4C">
      <w:start w:val="1"/>
      <w:numFmt w:val="bullet"/>
      <w:lvlText w:val=""/>
      <w:lvlJc w:val="left"/>
      <w:pPr>
        <w:ind w:left="3960" w:hanging="360"/>
      </w:pPr>
      <w:rPr>
        <w:rFonts w:ascii="Wingdings" w:hAnsi="Wingdings" w:hint="default"/>
      </w:rPr>
    </w:lvl>
    <w:lvl w:ilvl="6" w:tplc="C57E08A8">
      <w:start w:val="1"/>
      <w:numFmt w:val="bullet"/>
      <w:lvlText w:val=""/>
      <w:lvlJc w:val="left"/>
      <w:pPr>
        <w:ind w:left="4680" w:hanging="360"/>
      </w:pPr>
      <w:rPr>
        <w:rFonts w:ascii="Symbol" w:hAnsi="Symbol" w:hint="default"/>
      </w:rPr>
    </w:lvl>
    <w:lvl w:ilvl="7" w:tplc="842272A0">
      <w:start w:val="1"/>
      <w:numFmt w:val="bullet"/>
      <w:lvlText w:val="o"/>
      <w:lvlJc w:val="left"/>
      <w:pPr>
        <w:ind w:left="5400" w:hanging="360"/>
      </w:pPr>
      <w:rPr>
        <w:rFonts w:ascii="Courier New" w:hAnsi="Courier New" w:hint="default"/>
      </w:rPr>
    </w:lvl>
    <w:lvl w:ilvl="8" w:tplc="FD5C66C4">
      <w:start w:val="1"/>
      <w:numFmt w:val="bullet"/>
      <w:lvlText w:val=""/>
      <w:lvlJc w:val="left"/>
      <w:pPr>
        <w:ind w:left="6120" w:hanging="360"/>
      </w:pPr>
      <w:rPr>
        <w:rFonts w:ascii="Wingdings" w:hAnsi="Wingdings" w:hint="default"/>
      </w:rPr>
    </w:lvl>
  </w:abstractNum>
  <w:abstractNum w:abstractNumId="20" w15:restartNumberingAfterBreak="0">
    <w:nsid w:val="328F616C"/>
    <w:multiLevelType w:val="hybridMultilevel"/>
    <w:tmpl w:val="730ABFCE"/>
    <w:lvl w:ilvl="0" w:tplc="D04A64BE">
      <w:start w:val="1"/>
      <w:numFmt w:val="decimal"/>
      <w:lvlText w:val="%1."/>
      <w:lvlJc w:val="left"/>
      <w:pPr>
        <w:ind w:left="720" w:hanging="360"/>
      </w:pPr>
      <w:rPr>
        <w:rFonts w:ascii="Times New Roman" w:hAnsi="Times New Roman" w:cs="Times New Roman"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5F2D4"/>
    <w:multiLevelType w:val="hybridMultilevel"/>
    <w:tmpl w:val="7F2E660A"/>
    <w:lvl w:ilvl="0" w:tplc="0C090001">
      <w:start w:val="1"/>
      <w:numFmt w:val="bullet"/>
      <w:lvlText w:val=""/>
      <w:lvlJc w:val="left"/>
      <w:pPr>
        <w:ind w:left="360" w:hanging="360"/>
      </w:pPr>
      <w:rPr>
        <w:rFonts w:ascii="Symbol" w:hAnsi="Symbol" w:hint="default"/>
      </w:rPr>
    </w:lvl>
    <w:lvl w:ilvl="1" w:tplc="1862BA7A">
      <w:start w:val="1"/>
      <w:numFmt w:val="bullet"/>
      <w:lvlText w:val="o"/>
      <w:lvlJc w:val="left"/>
      <w:pPr>
        <w:ind w:left="1080" w:hanging="360"/>
      </w:pPr>
      <w:rPr>
        <w:rFonts w:ascii="Courier New" w:hAnsi="Courier New" w:hint="default"/>
      </w:rPr>
    </w:lvl>
    <w:lvl w:ilvl="2" w:tplc="5224854C">
      <w:start w:val="1"/>
      <w:numFmt w:val="bullet"/>
      <w:lvlText w:val=""/>
      <w:lvlJc w:val="left"/>
      <w:pPr>
        <w:ind w:left="1800" w:hanging="360"/>
      </w:pPr>
      <w:rPr>
        <w:rFonts w:ascii="Wingdings" w:hAnsi="Wingdings" w:hint="default"/>
      </w:rPr>
    </w:lvl>
    <w:lvl w:ilvl="3" w:tplc="3C9E023E">
      <w:start w:val="1"/>
      <w:numFmt w:val="bullet"/>
      <w:lvlText w:val=""/>
      <w:lvlJc w:val="left"/>
      <w:pPr>
        <w:ind w:left="2520" w:hanging="360"/>
      </w:pPr>
      <w:rPr>
        <w:rFonts w:ascii="Symbol" w:hAnsi="Symbol" w:hint="default"/>
      </w:rPr>
    </w:lvl>
    <w:lvl w:ilvl="4" w:tplc="5A968922">
      <w:start w:val="1"/>
      <w:numFmt w:val="bullet"/>
      <w:lvlText w:val="o"/>
      <w:lvlJc w:val="left"/>
      <w:pPr>
        <w:ind w:left="3240" w:hanging="360"/>
      </w:pPr>
      <w:rPr>
        <w:rFonts w:ascii="Courier New" w:hAnsi="Courier New" w:hint="default"/>
      </w:rPr>
    </w:lvl>
    <w:lvl w:ilvl="5" w:tplc="829C2CA0">
      <w:start w:val="1"/>
      <w:numFmt w:val="bullet"/>
      <w:lvlText w:val=""/>
      <w:lvlJc w:val="left"/>
      <w:pPr>
        <w:ind w:left="3960" w:hanging="360"/>
      </w:pPr>
      <w:rPr>
        <w:rFonts w:ascii="Wingdings" w:hAnsi="Wingdings" w:hint="default"/>
      </w:rPr>
    </w:lvl>
    <w:lvl w:ilvl="6" w:tplc="711A81A6">
      <w:start w:val="1"/>
      <w:numFmt w:val="bullet"/>
      <w:lvlText w:val=""/>
      <w:lvlJc w:val="left"/>
      <w:pPr>
        <w:ind w:left="4680" w:hanging="360"/>
      </w:pPr>
      <w:rPr>
        <w:rFonts w:ascii="Symbol" w:hAnsi="Symbol" w:hint="default"/>
      </w:rPr>
    </w:lvl>
    <w:lvl w:ilvl="7" w:tplc="3EE06588">
      <w:start w:val="1"/>
      <w:numFmt w:val="bullet"/>
      <w:lvlText w:val="o"/>
      <w:lvlJc w:val="left"/>
      <w:pPr>
        <w:ind w:left="5400" w:hanging="360"/>
      </w:pPr>
      <w:rPr>
        <w:rFonts w:ascii="Courier New" w:hAnsi="Courier New" w:hint="default"/>
      </w:rPr>
    </w:lvl>
    <w:lvl w:ilvl="8" w:tplc="6B90D82E">
      <w:start w:val="1"/>
      <w:numFmt w:val="bullet"/>
      <w:lvlText w:val=""/>
      <w:lvlJc w:val="left"/>
      <w:pPr>
        <w:ind w:left="6120" w:hanging="360"/>
      </w:pPr>
      <w:rPr>
        <w:rFonts w:ascii="Wingdings" w:hAnsi="Wingdings" w:hint="default"/>
      </w:rPr>
    </w:lvl>
  </w:abstractNum>
  <w:abstractNum w:abstractNumId="22" w15:restartNumberingAfterBreak="0">
    <w:nsid w:val="404A7483"/>
    <w:multiLevelType w:val="hybridMultilevel"/>
    <w:tmpl w:val="FFFFFFFF"/>
    <w:lvl w:ilvl="0" w:tplc="D148668A">
      <w:start w:val="1"/>
      <w:numFmt w:val="bullet"/>
      <w:lvlText w:val=""/>
      <w:lvlJc w:val="left"/>
      <w:pPr>
        <w:ind w:left="720" w:hanging="360"/>
      </w:pPr>
      <w:rPr>
        <w:rFonts w:ascii="Symbol" w:hAnsi="Symbol" w:hint="default"/>
      </w:rPr>
    </w:lvl>
    <w:lvl w:ilvl="1" w:tplc="1B807D1C">
      <w:start w:val="1"/>
      <w:numFmt w:val="bullet"/>
      <w:lvlText w:val="o"/>
      <w:lvlJc w:val="left"/>
      <w:pPr>
        <w:ind w:left="1440" w:hanging="360"/>
      </w:pPr>
      <w:rPr>
        <w:rFonts w:ascii="Courier New" w:hAnsi="Courier New" w:hint="default"/>
      </w:rPr>
    </w:lvl>
    <w:lvl w:ilvl="2" w:tplc="1E249D76">
      <w:start w:val="1"/>
      <w:numFmt w:val="bullet"/>
      <w:lvlText w:val=""/>
      <w:lvlJc w:val="left"/>
      <w:pPr>
        <w:ind w:left="2160" w:hanging="360"/>
      </w:pPr>
      <w:rPr>
        <w:rFonts w:ascii="Wingdings" w:hAnsi="Wingdings" w:hint="default"/>
      </w:rPr>
    </w:lvl>
    <w:lvl w:ilvl="3" w:tplc="5A08775C">
      <w:start w:val="1"/>
      <w:numFmt w:val="bullet"/>
      <w:lvlText w:val=""/>
      <w:lvlJc w:val="left"/>
      <w:pPr>
        <w:ind w:left="2880" w:hanging="360"/>
      </w:pPr>
      <w:rPr>
        <w:rFonts w:ascii="Symbol" w:hAnsi="Symbol" w:hint="default"/>
      </w:rPr>
    </w:lvl>
    <w:lvl w:ilvl="4" w:tplc="79484886">
      <w:start w:val="1"/>
      <w:numFmt w:val="bullet"/>
      <w:lvlText w:val="o"/>
      <w:lvlJc w:val="left"/>
      <w:pPr>
        <w:ind w:left="3600" w:hanging="360"/>
      </w:pPr>
      <w:rPr>
        <w:rFonts w:ascii="Courier New" w:hAnsi="Courier New" w:hint="default"/>
      </w:rPr>
    </w:lvl>
    <w:lvl w:ilvl="5" w:tplc="B1A22364">
      <w:start w:val="1"/>
      <w:numFmt w:val="bullet"/>
      <w:lvlText w:val=""/>
      <w:lvlJc w:val="left"/>
      <w:pPr>
        <w:ind w:left="4320" w:hanging="360"/>
      </w:pPr>
      <w:rPr>
        <w:rFonts w:ascii="Wingdings" w:hAnsi="Wingdings" w:hint="default"/>
      </w:rPr>
    </w:lvl>
    <w:lvl w:ilvl="6" w:tplc="208E4824">
      <w:start w:val="1"/>
      <w:numFmt w:val="bullet"/>
      <w:lvlText w:val=""/>
      <w:lvlJc w:val="left"/>
      <w:pPr>
        <w:ind w:left="5040" w:hanging="360"/>
      </w:pPr>
      <w:rPr>
        <w:rFonts w:ascii="Symbol" w:hAnsi="Symbol" w:hint="default"/>
      </w:rPr>
    </w:lvl>
    <w:lvl w:ilvl="7" w:tplc="EC3443BC">
      <w:start w:val="1"/>
      <w:numFmt w:val="bullet"/>
      <w:lvlText w:val="o"/>
      <w:lvlJc w:val="left"/>
      <w:pPr>
        <w:ind w:left="5760" w:hanging="360"/>
      </w:pPr>
      <w:rPr>
        <w:rFonts w:ascii="Courier New" w:hAnsi="Courier New" w:hint="default"/>
      </w:rPr>
    </w:lvl>
    <w:lvl w:ilvl="8" w:tplc="E9C0F9C0">
      <w:start w:val="1"/>
      <w:numFmt w:val="bullet"/>
      <w:lvlText w:val=""/>
      <w:lvlJc w:val="left"/>
      <w:pPr>
        <w:ind w:left="6480" w:hanging="360"/>
      </w:pPr>
      <w:rPr>
        <w:rFonts w:ascii="Wingdings" w:hAnsi="Wingdings" w:hint="default"/>
      </w:rPr>
    </w:lvl>
  </w:abstractNum>
  <w:abstractNum w:abstractNumId="23" w15:restartNumberingAfterBreak="0">
    <w:nsid w:val="431FE141"/>
    <w:multiLevelType w:val="hybridMultilevel"/>
    <w:tmpl w:val="7374B7F4"/>
    <w:lvl w:ilvl="0" w:tplc="B8F4E230">
      <w:start w:val="1"/>
      <w:numFmt w:val="bullet"/>
      <w:lvlText w:val="·"/>
      <w:lvlJc w:val="left"/>
      <w:pPr>
        <w:ind w:left="720" w:hanging="360"/>
      </w:pPr>
      <w:rPr>
        <w:rFonts w:ascii="Symbol" w:hAnsi="Symbol" w:hint="default"/>
      </w:rPr>
    </w:lvl>
    <w:lvl w:ilvl="1" w:tplc="1200D104">
      <w:start w:val="1"/>
      <w:numFmt w:val="bullet"/>
      <w:lvlText w:val="o"/>
      <w:lvlJc w:val="left"/>
      <w:pPr>
        <w:ind w:left="1440" w:hanging="360"/>
      </w:pPr>
      <w:rPr>
        <w:rFonts w:ascii="Courier New" w:hAnsi="Courier New" w:hint="default"/>
      </w:rPr>
    </w:lvl>
    <w:lvl w:ilvl="2" w:tplc="245E866C">
      <w:start w:val="1"/>
      <w:numFmt w:val="bullet"/>
      <w:lvlText w:val=""/>
      <w:lvlJc w:val="left"/>
      <w:pPr>
        <w:ind w:left="2160" w:hanging="360"/>
      </w:pPr>
      <w:rPr>
        <w:rFonts w:ascii="Wingdings" w:hAnsi="Wingdings" w:hint="default"/>
      </w:rPr>
    </w:lvl>
    <w:lvl w:ilvl="3" w:tplc="7B282218">
      <w:start w:val="1"/>
      <w:numFmt w:val="bullet"/>
      <w:lvlText w:val=""/>
      <w:lvlJc w:val="left"/>
      <w:pPr>
        <w:ind w:left="2880" w:hanging="360"/>
      </w:pPr>
      <w:rPr>
        <w:rFonts w:ascii="Symbol" w:hAnsi="Symbol" w:hint="default"/>
      </w:rPr>
    </w:lvl>
    <w:lvl w:ilvl="4" w:tplc="6890F9B2">
      <w:start w:val="1"/>
      <w:numFmt w:val="bullet"/>
      <w:lvlText w:val="o"/>
      <w:lvlJc w:val="left"/>
      <w:pPr>
        <w:ind w:left="3600" w:hanging="360"/>
      </w:pPr>
      <w:rPr>
        <w:rFonts w:ascii="Courier New" w:hAnsi="Courier New" w:hint="default"/>
      </w:rPr>
    </w:lvl>
    <w:lvl w:ilvl="5" w:tplc="A5E85A62">
      <w:start w:val="1"/>
      <w:numFmt w:val="bullet"/>
      <w:lvlText w:val=""/>
      <w:lvlJc w:val="left"/>
      <w:pPr>
        <w:ind w:left="4320" w:hanging="360"/>
      </w:pPr>
      <w:rPr>
        <w:rFonts w:ascii="Wingdings" w:hAnsi="Wingdings" w:hint="default"/>
      </w:rPr>
    </w:lvl>
    <w:lvl w:ilvl="6" w:tplc="C4A0E3A2">
      <w:start w:val="1"/>
      <w:numFmt w:val="bullet"/>
      <w:lvlText w:val=""/>
      <w:lvlJc w:val="left"/>
      <w:pPr>
        <w:ind w:left="5040" w:hanging="360"/>
      </w:pPr>
      <w:rPr>
        <w:rFonts w:ascii="Symbol" w:hAnsi="Symbol" w:hint="default"/>
      </w:rPr>
    </w:lvl>
    <w:lvl w:ilvl="7" w:tplc="38E61B28">
      <w:start w:val="1"/>
      <w:numFmt w:val="bullet"/>
      <w:lvlText w:val="o"/>
      <w:lvlJc w:val="left"/>
      <w:pPr>
        <w:ind w:left="5760" w:hanging="360"/>
      </w:pPr>
      <w:rPr>
        <w:rFonts w:ascii="Courier New" w:hAnsi="Courier New" w:hint="default"/>
      </w:rPr>
    </w:lvl>
    <w:lvl w:ilvl="8" w:tplc="31505816">
      <w:start w:val="1"/>
      <w:numFmt w:val="bullet"/>
      <w:lvlText w:val=""/>
      <w:lvlJc w:val="left"/>
      <w:pPr>
        <w:ind w:left="6480" w:hanging="360"/>
      </w:pPr>
      <w:rPr>
        <w:rFonts w:ascii="Wingdings" w:hAnsi="Wingdings" w:hint="default"/>
      </w:rPr>
    </w:lvl>
  </w:abstractNum>
  <w:abstractNum w:abstractNumId="24" w15:restartNumberingAfterBreak="0">
    <w:nsid w:val="43722F13"/>
    <w:multiLevelType w:val="hybridMultilevel"/>
    <w:tmpl w:val="FFFFFFFF"/>
    <w:lvl w:ilvl="0" w:tplc="5BD21B80">
      <w:start w:val="1"/>
      <w:numFmt w:val="bullet"/>
      <w:lvlText w:val=""/>
      <w:lvlJc w:val="left"/>
      <w:pPr>
        <w:ind w:left="360" w:hanging="360"/>
      </w:pPr>
      <w:rPr>
        <w:rFonts w:ascii="Symbol" w:hAnsi="Symbol" w:hint="default"/>
      </w:rPr>
    </w:lvl>
    <w:lvl w:ilvl="1" w:tplc="3C424268">
      <w:start w:val="1"/>
      <w:numFmt w:val="bullet"/>
      <w:lvlText w:val="o"/>
      <w:lvlJc w:val="left"/>
      <w:pPr>
        <w:ind w:left="1080" w:hanging="360"/>
      </w:pPr>
      <w:rPr>
        <w:rFonts w:ascii="Courier New" w:hAnsi="Courier New" w:hint="default"/>
      </w:rPr>
    </w:lvl>
    <w:lvl w:ilvl="2" w:tplc="E3442B9C">
      <w:start w:val="1"/>
      <w:numFmt w:val="bullet"/>
      <w:lvlText w:val=""/>
      <w:lvlJc w:val="left"/>
      <w:pPr>
        <w:ind w:left="1800" w:hanging="360"/>
      </w:pPr>
      <w:rPr>
        <w:rFonts w:ascii="Wingdings" w:hAnsi="Wingdings" w:hint="default"/>
      </w:rPr>
    </w:lvl>
    <w:lvl w:ilvl="3" w:tplc="54046FFE">
      <w:start w:val="1"/>
      <w:numFmt w:val="bullet"/>
      <w:lvlText w:val=""/>
      <w:lvlJc w:val="left"/>
      <w:pPr>
        <w:ind w:left="2520" w:hanging="360"/>
      </w:pPr>
      <w:rPr>
        <w:rFonts w:ascii="Symbol" w:hAnsi="Symbol" w:hint="default"/>
      </w:rPr>
    </w:lvl>
    <w:lvl w:ilvl="4" w:tplc="F13ACB84">
      <w:start w:val="1"/>
      <w:numFmt w:val="bullet"/>
      <w:lvlText w:val="o"/>
      <w:lvlJc w:val="left"/>
      <w:pPr>
        <w:ind w:left="3240" w:hanging="360"/>
      </w:pPr>
      <w:rPr>
        <w:rFonts w:ascii="Courier New" w:hAnsi="Courier New" w:hint="default"/>
      </w:rPr>
    </w:lvl>
    <w:lvl w:ilvl="5" w:tplc="0FF48618">
      <w:start w:val="1"/>
      <w:numFmt w:val="bullet"/>
      <w:lvlText w:val=""/>
      <w:lvlJc w:val="left"/>
      <w:pPr>
        <w:ind w:left="3960" w:hanging="360"/>
      </w:pPr>
      <w:rPr>
        <w:rFonts w:ascii="Wingdings" w:hAnsi="Wingdings" w:hint="default"/>
      </w:rPr>
    </w:lvl>
    <w:lvl w:ilvl="6" w:tplc="E5105272">
      <w:start w:val="1"/>
      <w:numFmt w:val="bullet"/>
      <w:lvlText w:val=""/>
      <w:lvlJc w:val="left"/>
      <w:pPr>
        <w:ind w:left="4680" w:hanging="360"/>
      </w:pPr>
      <w:rPr>
        <w:rFonts w:ascii="Symbol" w:hAnsi="Symbol" w:hint="default"/>
      </w:rPr>
    </w:lvl>
    <w:lvl w:ilvl="7" w:tplc="34784228">
      <w:start w:val="1"/>
      <w:numFmt w:val="bullet"/>
      <w:lvlText w:val="o"/>
      <w:lvlJc w:val="left"/>
      <w:pPr>
        <w:ind w:left="5400" w:hanging="360"/>
      </w:pPr>
      <w:rPr>
        <w:rFonts w:ascii="Courier New" w:hAnsi="Courier New" w:hint="default"/>
      </w:rPr>
    </w:lvl>
    <w:lvl w:ilvl="8" w:tplc="65CE07B6">
      <w:start w:val="1"/>
      <w:numFmt w:val="bullet"/>
      <w:lvlText w:val=""/>
      <w:lvlJc w:val="left"/>
      <w:pPr>
        <w:ind w:left="6120" w:hanging="360"/>
      </w:pPr>
      <w:rPr>
        <w:rFonts w:ascii="Wingdings" w:hAnsi="Wingdings" w:hint="default"/>
      </w:rPr>
    </w:lvl>
  </w:abstractNum>
  <w:abstractNum w:abstractNumId="25" w15:restartNumberingAfterBreak="0">
    <w:nsid w:val="4376B419"/>
    <w:multiLevelType w:val="hybridMultilevel"/>
    <w:tmpl w:val="FFFFFFFF"/>
    <w:lvl w:ilvl="0" w:tplc="FFFFFFFF">
      <w:start w:val="1"/>
      <w:numFmt w:val="bullet"/>
      <w:lvlText w:val=""/>
      <w:lvlJc w:val="left"/>
      <w:pPr>
        <w:ind w:left="720" w:hanging="360"/>
      </w:pPr>
      <w:rPr>
        <w:rFonts w:ascii="Symbol" w:hAnsi="Symbol" w:hint="default"/>
      </w:rPr>
    </w:lvl>
    <w:lvl w:ilvl="1" w:tplc="3E548220">
      <w:start w:val="1"/>
      <w:numFmt w:val="bullet"/>
      <w:lvlText w:val="o"/>
      <w:lvlJc w:val="left"/>
      <w:pPr>
        <w:ind w:left="1440" w:hanging="360"/>
      </w:pPr>
      <w:rPr>
        <w:rFonts w:ascii="Courier New" w:hAnsi="Courier New" w:hint="default"/>
      </w:rPr>
    </w:lvl>
    <w:lvl w:ilvl="2" w:tplc="7C2051BE">
      <w:start w:val="1"/>
      <w:numFmt w:val="bullet"/>
      <w:lvlText w:val=""/>
      <w:lvlJc w:val="left"/>
      <w:pPr>
        <w:ind w:left="2160" w:hanging="360"/>
      </w:pPr>
      <w:rPr>
        <w:rFonts w:ascii="Wingdings" w:hAnsi="Wingdings" w:hint="default"/>
      </w:rPr>
    </w:lvl>
    <w:lvl w:ilvl="3" w:tplc="5BAC5204">
      <w:start w:val="1"/>
      <w:numFmt w:val="bullet"/>
      <w:lvlText w:val=""/>
      <w:lvlJc w:val="left"/>
      <w:pPr>
        <w:ind w:left="2880" w:hanging="360"/>
      </w:pPr>
      <w:rPr>
        <w:rFonts w:ascii="Symbol" w:hAnsi="Symbol" w:hint="default"/>
      </w:rPr>
    </w:lvl>
    <w:lvl w:ilvl="4" w:tplc="CBFE8272">
      <w:start w:val="1"/>
      <w:numFmt w:val="bullet"/>
      <w:lvlText w:val="o"/>
      <w:lvlJc w:val="left"/>
      <w:pPr>
        <w:ind w:left="3600" w:hanging="360"/>
      </w:pPr>
      <w:rPr>
        <w:rFonts w:ascii="Courier New" w:hAnsi="Courier New" w:hint="default"/>
      </w:rPr>
    </w:lvl>
    <w:lvl w:ilvl="5" w:tplc="F0CC6A8C">
      <w:start w:val="1"/>
      <w:numFmt w:val="bullet"/>
      <w:lvlText w:val=""/>
      <w:lvlJc w:val="left"/>
      <w:pPr>
        <w:ind w:left="4320" w:hanging="360"/>
      </w:pPr>
      <w:rPr>
        <w:rFonts w:ascii="Wingdings" w:hAnsi="Wingdings" w:hint="default"/>
      </w:rPr>
    </w:lvl>
    <w:lvl w:ilvl="6" w:tplc="035E7F16">
      <w:start w:val="1"/>
      <w:numFmt w:val="bullet"/>
      <w:lvlText w:val=""/>
      <w:lvlJc w:val="left"/>
      <w:pPr>
        <w:ind w:left="5040" w:hanging="360"/>
      </w:pPr>
      <w:rPr>
        <w:rFonts w:ascii="Symbol" w:hAnsi="Symbol" w:hint="default"/>
      </w:rPr>
    </w:lvl>
    <w:lvl w:ilvl="7" w:tplc="F51606D0">
      <w:start w:val="1"/>
      <w:numFmt w:val="bullet"/>
      <w:lvlText w:val="o"/>
      <w:lvlJc w:val="left"/>
      <w:pPr>
        <w:ind w:left="5760" w:hanging="360"/>
      </w:pPr>
      <w:rPr>
        <w:rFonts w:ascii="Courier New" w:hAnsi="Courier New" w:hint="default"/>
      </w:rPr>
    </w:lvl>
    <w:lvl w:ilvl="8" w:tplc="DE2E38EE">
      <w:start w:val="1"/>
      <w:numFmt w:val="bullet"/>
      <w:lvlText w:val=""/>
      <w:lvlJc w:val="left"/>
      <w:pPr>
        <w:ind w:left="6480" w:hanging="360"/>
      </w:pPr>
      <w:rPr>
        <w:rFonts w:ascii="Wingdings" w:hAnsi="Wingdings" w:hint="default"/>
      </w:rPr>
    </w:lvl>
  </w:abstractNum>
  <w:abstractNum w:abstractNumId="26" w15:restartNumberingAfterBreak="0">
    <w:nsid w:val="49FED866"/>
    <w:multiLevelType w:val="hybridMultilevel"/>
    <w:tmpl w:val="FFFFFFFF"/>
    <w:lvl w:ilvl="0" w:tplc="5BD0AFB6">
      <w:start w:val="1"/>
      <w:numFmt w:val="bullet"/>
      <w:lvlText w:val=""/>
      <w:lvlJc w:val="left"/>
      <w:pPr>
        <w:ind w:left="720" w:hanging="360"/>
      </w:pPr>
      <w:rPr>
        <w:rFonts w:ascii="Symbol" w:hAnsi="Symbol" w:hint="default"/>
      </w:rPr>
    </w:lvl>
    <w:lvl w:ilvl="1" w:tplc="7DB87C58">
      <w:start w:val="1"/>
      <w:numFmt w:val="bullet"/>
      <w:lvlText w:val="o"/>
      <w:lvlJc w:val="left"/>
      <w:pPr>
        <w:ind w:left="1440" w:hanging="360"/>
      </w:pPr>
      <w:rPr>
        <w:rFonts w:ascii="Courier New" w:hAnsi="Courier New" w:hint="default"/>
      </w:rPr>
    </w:lvl>
    <w:lvl w:ilvl="2" w:tplc="CF00C886">
      <w:start w:val="1"/>
      <w:numFmt w:val="bullet"/>
      <w:lvlText w:val=""/>
      <w:lvlJc w:val="left"/>
      <w:pPr>
        <w:ind w:left="2160" w:hanging="360"/>
      </w:pPr>
      <w:rPr>
        <w:rFonts w:ascii="Wingdings" w:hAnsi="Wingdings" w:hint="default"/>
      </w:rPr>
    </w:lvl>
    <w:lvl w:ilvl="3" w:tplc="52D2D9DC">
      <w:start w:val="1"/>
      <w:numFmt w:val="bullet"/>
      <w:lvlText w:val=""/>
      <w:lvlJc w:val="left"/>
      <w:pPr>
        <w:ind w:left="2880" w:hanging="360"/>
      </w:pPr>
      <w:rPr>
        <w:rFonts w:ascii="Symbol" w:hAnsi="Symbol" w:hint="default"/>
      </w:rPr>
    </w:lvl>
    <w:lvl w:ilvl="4" w:tplc="507C3956">
      <w:start w:val="1"/>
      <w:numFmt w:val="bullet"/>
      <w:lvlText w:val="o"/>
      <w:lvlJc w:val="left"/>
      <w:pPr>
        <w:ind w:left="3600" w:hanging="360"/>
      </w:pPr>
      <w:rPr>
        <w:rFonts w:ascii="Courier New" w:hAnsi="Courier New" w:hint="default"/>
      </w:rPr>
    </w:lvl>
    <w:lvl w:ilvl="5" w:tplc="E19473C4">
      <w:start w:val="1"/>
      <w:numFmt w:val="bullet"/>
      <w:lvlText w:val=""/>
      <w:lvlJc w:val="left"/>
      <w:pPr>
        <w:ind w:left="4320" w:hanging="360"/>
      </w:pPr>
      <w:rPr>
        <w:rFonts w:ascii="Wingdings" w:hAnsi="Wingdings" w:hint="default"/>
      </w:rPr>
    </w:lvl>
    <w:lvl w:ilvl="6" w:tplc="808E24EA">
      <w:start w:val="1"/>
      <w:numFmt w:val="bullet"/>
      <w:lvlText w:val=""/>
      <w:lvlJc w:val="left"/>
      <w:pPr>
        <w:ind w:left="5040" w:hanging="360"/>
      </w:pPr>
      <w:rPr>
        <w:rFonts w:ascii="Symbol" w:hAnsi="Symbol" w:hint="default"/>
      </w:rPr>
    </w:lvl>
    <w:lvl w:ilvl="7" w:tplc="9D3EEBA2">
      <w:start w:val="1"/>
      <w:numFmt w:val="bullet"/>
      <w:lvlText w:val="o"/>
      <w:lvlJc w:val="left"/>
      <w:pPr>
        <w:ind w:left="5760" w:hanging="360"/>
      </w:pPr>
      <w:rPr>
        <w:rFonts w:ascii="Courier New" w:hAnsi="Courier New" w:hint="default"/>
      </w:rPr>
    </w:lvl>
    <w:lvl w:ilvl="8" w:tplc="441C5862">
      <w:start w:val="1"/>
      <w:numFmt w:val="bullet"/>
      <w:lvlText w:val=""/>
      <w:lvlJc w:val="left"/>
      <w:pPr>
        <w:ind w:left="6480" w:hanging="360"/>
      </w:pPr>
      <w:rPr>
        <w:rFonts w:ascii="Wingdings" w:hAnsi="Wingdings" w:hint="default"/>
      </w:rPr>
    </w:lvl>
  </w:abstractNum>
  <w:abstractNum w:abstractNumId="27" w15:restartNumberingAfterBreak="0">
    <w:nsid w:val="5183DF66"/>
    <w:multiLevelType w:val="hybridMultilevel"/>
    <w:tmpl w:val="FFFFFFFF"/>
    <w:lvl w:ilvl="0" w:tplc="131EE414">
      <w:start w:val="1"/>
      <w:numFmt w:val="bullet"/>
      <w:lvlText w:val="·"/>
      <w:lvlJc w:val="left"/>
      <w:pPr>
        <w:ind w:left="720" w:hanging="360"/>
      </w:pPr>
      <w:rPr>
        <w:rFonts w:ascii="Symbol" w:hAnsi="Symbol" w:hint="default"/>
      </w:rPr>
    </w:lvl>
    <w:lvl w:ilvl="1" w:tplc="9A6EE2B8">
      <w:start w:val="1"/>
      <w:numFmt w:val="bullet"/>
      <w:lvlText w:val="o"/>
      <w:lvlJc w:val="left"/>
      <w:pPr>
        <w:ind w:left="1440" w:hanging="360"/>
      </w:pPr>
      <w:rPr>
        <w:rFonts w:ascii="Courier New" w:hAnsi="Courier New" w:hint="default"/>
      </w:rPr>
    </w:lvl>
    <w:lvl w:ilvl="2" w:tplc="3356B90A">
      <w:start w:val="1"/>
      <w:numFmt w:val="bullet"/>
      <w:lvlText w:val=""/>
      <w:lvlJc w:val="left"/>
      <w:pPr>
        <w:ind w:left="2160" w:hanging="360"/>
      </w:pPr>
      <w:rPr>
        <w:rFonts w:ascii="Wingdings" w:hAnsi="Wingdings" w:hint="default"/>
      </w:rPr>
    </w:lvl>
    <w:lvl w:ilvl="3" w:tplc="461AE48C">
      <w:start w:val="1"/>
      <w:numFmt w:val="bullet"/>
      <w:lvlText w:val=""/>
      <w:lvlJc w:val="left"/>
      <w:pPr>
        <w:ind w:left="2880" w:hanging="360"/>
      </w:pPr>
      <w:rPr>
        <w:rFonts w:ascii="Symbol" w:hAnsi="Symbol" w:hint="default"/>
      </w:rPr>
    </w:lvl>
    <w:lvl w:ilvl="4" w:tplc="5F243FFE">
      <w:start w:val="1"/>
      <w:numFmt w:val="bullet"/>
      <w:lvlText w:val="o"/>
      <w:lvlJc w:val="left"/>
      <w:pPr>
        <w:ind w:left="3600" w:hanging="360"/>
      </w:pPr>
      <w:rPr>
        <w:rFonts w:ascii="Courier New" w:hAnsi="Courier New" w:hint="default"/>
      </w:rPr>
    </w:lvl>
    <w:lvl w:ilvl="5" w:tplc="54965D7C">
      <w:start w:val="1"/>
      <w:numFmt w:val="bullet"/>
      <w:lvlText w:val=""/>
      <w:lvlJc w:val="left"/>
      <w:pPr>
        <w:ind w:left="4320" w:hanging="360"/>
      </w:pPr>
      <w:rPr>
        <w:rFonts w:ascii="Wingdings" w:hAnsi="Wingdings" w:hint="default"/>
      </w:rPr>
    </w:lvl>
    <w:lvl w:ilvl="6" w:tplc="D46CBA74">
      <w:start w:val="1"/>
      <w:numFmt w:val="bullet"/>
      <w:lvlText w:val=""/>
      <w:lvlJc w:val="left"/>
      <w:pPr>
        <w:ind w:left="5040" w:hanging="360"/>
      </w:pPr>
      <w:rPr>
        <w:rFonts w:ascii="Symbol" w:hAnsi="Symbol" w:hint="default"/>
      </w:rPr>
    </w:lvl>
    <w:lvl w:ilvl="7" w:tplc="959CEC90">
      <w:start w:val="1"/>
      <w:numFmt w:val="bullet"/>
      <w:lvlText w:val="o"/>
      <w:lvlJc w:val="left"/>
      <w:pPr>
        <w:ind w:left="5760" w:hanging="360"/>
      </w:pPr>
      <w:rPr>
        <w:rFonts w:ascii="Courier New" w:hAnsi="Courier New" w:hint="default"/>
      </w:rPr>
    </w:lvl>
    <w:lvl w:ilvl="8" w:tplc="E236C76A">
      <w:start w:val="1"/>
      <w:numFmt w:val="bullet"/>
      <w:lvlText w:val=""/>
      <w:lvlJc w:val="left"/>
      <w:pPr>
        <w:ind w:left="6480" w:hanging="360"/>
      </w:pPr>
      <w:rPr>
        <w:rFonts w:ascii="Wingdings" w:hAnsi="Wingdings" w:hint="default"/>
      </w:rPr>
    </w:lvl>
  </w:abstractNum>
  <w:abstractNum w:abstractNumId="28" w15:restartNumberingAfterBreak="0">
    <w:nsid w:val="52D15069"/>
    <w:multiLevelType w:val="hybridMultilevel"/>
    <w:tmpl w:val="0BC26668"/>
    <w:lvl w:ilvl="0" w:tplc="D04A64BE">
      <w:start w:val="1"/>
      <w:numFmt w:val="decimal"/>
      <w:lvlText w:val="%1."/>
      <w:lvlJc w:val="left"/>
      <w:pPr>
        <w:ind w:left="720" w:hanging="360"/>
      </w:pPr>
      <w:rPr>
        <w:rFonts w:ascii="Times New Roman" w:hAnsi="Times New Roman" w:cs="Times New Roman"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757E4C"/>
    <w:multiLevelType w:val="hybridMultilevel"/>
    <w:tmpl w:val="0AF2620C"/>
    <w:lvl w:ilvl="0" w:tplc="C0843718">
      <w:start w:val="1"/>
      <w:numFmt w:val="bullet"/>
      <w:lvlText w:val="o"/>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15:restartNumberingAfterBreak="0">
    <w:nsid w:val="5385442D"/>
    <w:multiLevelType w:val="hybridMultilevel"/>
    <w:tmpl w:val="89200A10"/>
    <w:lvl w:ilvl="0" w:tplc="FFFFFFFF">
      <w:start w:val="1"/>
      <w:numFmt w:val="bullet"/>
      <w:lvlText w:val=""/>
      <w:lvlJc w:val="left"/>
      <w:pPr>
        <w:ind w:left="720" w:hanging="360"/>
      </w:pPr>
      <w:rPr>
        <w:rFonts w:ascii="Symbol" w:hAnsi="Symbol" w:hint="default"/>
      </w:rPr>
    </w:lvl>
    <w:lvl w:ilvl="1" w:tplc="D4F6595C">
      <w:start w:val="1"/>
      <w:numFmt w:val="bullet"/>
      <w:lvlText w:val="o"/>
      <w:lvlJc w:val="left"/>
      <w:pPr>
        <w:ind w:left="1440" w:hanging="360"/>
      </w:pPr>
      <w:rPr>
        <w:rFonts w:ascii="Courier New" w:hAnsi="Courier New" w:hint="default"/>
      </w:rPr>
    </w:lvl>
    <w:lvl w:ilvl="2" w:tplc="A46C646C">
      <w:start w:val="1"/>
      <w:numFmt w:val="bullet"/>
      <w:lvlText w:val=""/>
      <w:lvlJc w:val="left"/>
      <w:pPr>
        <w:ind w:left="2160" w:hanging="360"/>
      </w:pPr>
      <w:rPr>
        <w:rFonts w:ascii="Wingdings" w:hAnsi="Wingdings" w:hint="default"/>
      </w:rPr>
    </w:lvl>
    <w:lvl w:ilvl="3" w:tplc="15606FA4">
      <w:start w:val="1"/>
      <w:numFmt w:val="bullet"/>
      <w:lvlText w:val=""/>
      <w:lvlJc w:val="left"/>
      <w:pPr>
        <w:ind w:left="2880" w:hanging="360"/>
      </w:pPr>
      <w:rPr>
        <w:rFonts w:ascii="Symbol" w:hAnsi="Symbol" w:hint="default"/>
      </w:rPr>
    </w:lvl>
    <w:lvl w:ilvl="4" w:tplc="65ECA310">
      <w:start w:val="1"/>
      <w:numFmt w:val="bullet"/>
      <w:lvlText w:val="o"/>
      <w:lvlJc w:val="left"/>
      <w:pPr>
        <w:ind w:left="3600" w:hanging="360"/>
      </w:pPr>
      <w:rPr>
        <w:rFonts w:ascii="Courier New" w:hAnsi="Courier New" w:hint="default"/>
      </w:rPr>
    </w:lvl>
    <w:lvl w:ilvl="5" w:tplc="48D45196">
      <w:start w:val="1"/>
      <w:numFmt w:val="bullet"/>
      <w:lvlText w:val=""/>
      <w:lvlJc w:val="left"/>
      <w:pPr>
        <w:ind w:left="4320" w:hanging="360"/>
      </w:pPr>
      <w:rPr>
        <w:rFonts w:ascii="Wingdings" w:hAnsi="Wingdings" w:hint="default"/>
      </w:rPr>
    </w:lvl>
    <w:lvl w:ilvl="6" w:tplc="738664FC">
      <w:start w:val="1"/>
      <w:numFmt w:val="bullet"/>
      <w:lvlText w:val=""/>
      <w:lvlJc w:val="left"/>
      <w:pPr>
        <w:ind w:left="5040" w:hanging="360"/>
      </w:pPr>
      <w:rPr>
        <w:rFonts w:ascii="Symbol" w:hAnsi="Symbol" w:hint="default"/>
      </w:rPr>
    </w:lvl>
    <w:lvl w:ilvl="7" w:tplc="AEF8DEF2">
      <w:start w:val="1"/>
      <w:numFmt w:val="bullet"/>
      <w:lvlText w:val="o"/>
      <w:lvlJc w:val="left"/>
      <w:pPr>
        <w:ind w:left="5760" w:hanging="360"/>
      </w:pPr>
      <w:rPr>
        <w:rFonts w:ascii="Courier New" w:hAnsi="Courier New" w:hint="default"/>
      </w:rPr>
    </w:lvl>
    <w:lvl w:ilvl="8" w:tplc="A676927A">
      <w:start w:val="1"/>
      <w:numFmt w:val="bullet"/>
      <w:lvlText w:val=""/>
      <w:lvlJc w:val="left"/>
      <w:pPr>
        <w:ind w:left="6480" w:hanging="360"/>
      </w:pPr>
      <w:rPr>
        <w:rFonts w:ascii="Wingdings" w:hAnsi="Wingdings" w:hint="default"/>
      </w:rPr>
    </w:lvl>
  </w:abstractNum>
  <w:abstractNum w:abstractNumId="31" w15:restartNumberingAfterBreak="0">
    <w:nsid w:val="56F30490"/>
    <w:multiLevelType w:val="hybridMultilevel"/>
    <w:tmpl w:val="FFFFFFFF"/>
    <w:lvl w:ilvl="0" w:tplc="9C420434">
      <w:start w:val="1"/>
      <w:numFmt w:val="bullet"/>
      <w:lvlText w:val="·"/>
      <w:lvlJc w:val="left"/>
      <w:pPr>
        <w:ind w:left="720" w:hanging="360"/>
      </w:pPr>
      <w:rPr>
        <w:rFonts w:ascii="Symbol" w:hAnsi="Symbol" w:hint="default"/>
      </w:rPr>
    </w:lvl>
    <w:lvl w:ilvl="1" w:tplc="7A9888A0">
      <w:start w:val="1"/>
      <w:numFmt w:val="bullet"/>
      <w:lvlText w:val="o"/>
      <w:lvlJc w:val="left"/>
      <w:pPr>
        <w:ind w:left="1440" w:hanging="360"/>
      </w:pPr>
      <w:rPr>
        <w:rFonts w:ascii="Courier New" w:hAnsi="Courier New" w:hint="default"/>
      </w:rPr>
    </w:lvl>
    <w:lvl w:ilvl="2" w:tplc="FACE54FC">
      <w:start w:val="1"/>
      <w:numFmt w:val="bullet"/>
      <w:lvlText w:val=""/>
      <w:lvlJc w:val="left"/>
      <w:pPr>
        <w:ind w:left="2160" w:hanging="360"/>
      </w:pPr>
      <w:rPr>
        <w:rFonts w:ascii="Wingdings" w:hAnsi="Wingdings" w:hint="default"/>
      </w:rPr>
    </w:lvl>
    <w:lvl w:ilvl="3" w:tplc="9C96D346">
      <w:start w:val="1"/>
      <w:numFmt w:val="bullet"/>
      <w:lvlText w:val=""/>
      <w:lvlJc w:val="left"/>
      <w:pPr>
        <w:ind w:left="2880" w:hanging="360"/>
      </w:pPr>
      <w:rPr>
        <w:rFonts w:ascii="Symbol" w:hAnsi="Symbol" w:hint="default"/>
      </w:rPr>
    </w:lvl>
    <w:lvl w:ilvl="4" w:tplc="CDB8B8FC">
      <w:start w:val="1"/>
      <w:numFmt w:val="bullet"/>
      <w:lvlText w:val="o"/>
      <w:lvlJc w:val="left"/>
      <w:pPr>
        <w:ind w:left="3600" w:hanging="360"/>
      </w:pPr>
      <w:rPr>
        <w:rFonts w:ascii="Courier New" w:hAnsi="Courier New" w:hint="default"/>
      </w:rPr>
    </w:lvl>
    <w:lvl w:ilvl="5" w:tplc="26CE0F8E">
      <w:start w:val="1"/>
      <w:numFmt w:val="bullet"/>
      <w:lvlText w:val=""/>
      <w:lvlJc w:val="left"/>
      <w:pPr>
        <w:ind w:left="4320" w:hanging="360"/>
      </w:pPr>
      <w:rPr>
        <w:rFonts w:ascii="Wingdings" w:hAnsi="Wingdings" w:hint="default"/>
      </w:rPr>
    </w:lvl>
    <w:lvl w:ilvl="6" w:tplc="04A6BAB2">
      <w:start w:val="1"/>
      <w:numFmt w:val="bullet"/>
      <w:lvlText w:val=""/>
      <w:lvlJc w:val="left"/>
      <w:pPr>
        <w:ind w:left="5040" w:hanging="360"/>
      </w:pPr>
      <w:rPr>
        <w:rFonts w:ascii="Symbol" w:hAnsi="Symbol" w:hint="default"/>
      </w:rPr>
    </w:lvl>
    <w:lvl w:ilvl="7" w:tplc="DCFAFA12">
      <w:start w:val="1"/>
      <w:numFmt w:val="bullet"/>
      <w:lvlText w:val="o"/>
      <w:lvlJc w:val="left"/>
      <w:pPr>
        <w:ind w:left="5760" w:hanging="360"/>
      </w:pPr>
      <w:rPr>
        <w:rFonts w:ascii="Courier New" w:hAnsi="Courier New" w:hint="default"/>
      </w:rPr>
    </w:lvl>
    <w:lvl w:ilvl="8" w:tplc="5170C94E">
      <w:start w:val="1"/>
      <w:numFmt w:val="bullet"/>
      <w:lvlText w:val=""/>
      <w:lvlJc w:val="left"/>
      <w:pPr>
        <w:ind w:left="6480" w:hanging="360"/>
      </w:pPr>
      <w:rPr>
        <w:rFonts w:ascii="Wingdings" w:hAnsi="Wingdings" w:hint="default"/>
      </w:rPr>
    </w:lvl>
  </w:abstractNum>
  <w:abstractNum w:abstractNumId="32" w15:restartNumberingAfterBreak="0">
    <w:nsid w:val="5DAEE30D"/>
    <w:multiLevelType w:val="hybridMultilevel"/>
    <w:tmpl w:val="DB0623A2"/>
    <w:lvl w:ilvl="0" w:tplc="6E7AB4C4">
      <w:start w:val="1"/>
      <w:numFmt w:val="decimal"/>
      <w:lvlText w:val="%1."/>
      <w:lvlJc w:val="left"/>
      <w:pPr>
        <w:ind w:left="720" w:hanging="360"/>
      </w:pPr>
      <w:rPr>
        <w:rFonts w:ascii="Times New Roman" w:hAnsi="Times New Roman" w:cs="Times New Roman" w:hint="default"/>
        <w:i w:val="0"/>
        <w:iCs w:val="0"/>
        <w:color w:val="auto"/>
      </w:rPr>
    </w:lvl>
    <w:lvl w:ilvl="1" w:tplc="12EAE322">
      <w:start w:val="1"/>
      <w:numFmt w:val="lowerLetter"/>
      <w:lvlText w:val="%2."/>
      <w:lvlJc w:val="left"/>
      <w:pPr>
        <w:ind w:left="1440" w:hanging="360"/>
      </w:pPr>
    </w:lvl>
    <w:lvl w:ilvl="2" w:tplc="1E6A3768">
      <w:start w:val="1"/>
      <w:numFmt w:val="lowerRoman"/>
      <w:lvlText w:val="%3."/>
      <w:lvlJc w:val="right"/>
      <w:pPr>
        <w:ind w:left="2160" w:hanging="180"/>
      </w:pPr>
    </w:lvl>
    <w:lvl w:ilvl="3" w:tplc="17987032">
      <w:start w:val="1"/>
      <w:numFmt w:val="decimal"/>
      <w:lvlText w:val="%4."/>
      <w:lvlJc w:val="left"/>
      <w:pPr>
        <w:ind w:left="2880" w:hanging="360"/>
      </w:pPr>
    </w:lvl>
    <w:lvl w:ilvl="4" w:tplc="AC9C8D08">
      <w:start w:val="1"/>
      <w:numFmt w:val="lowerLetter"/>
      <w:lvlText w:val="%5."/>
      <w:lvlJc w:val="left"/>
      <w:pPr>
        <w:ind w:left="3600" w:hanging="360"/>
      </w:pPr>
    </w:lvl>
    <w:lvl w:ilvl="5" w:tplc="F052362C">
      <w:start w:val="1"/>
      <w:numFmt w:val="lowerRoman"/>
      <w:lvlText w:val="%6."/>
      <w:lvlJc w:val="right"/>
      <w:pPr>
        <w:ind w:left="4320" w:hanging="180"/>
      </w:pPr>
    </w:lvl>
    <w:lvl w:ilvl="6" w:tplc="AC863A52">
      <w:start w:val="1"/>
      <w:numFmt w:val="decimal"/>
      <w:lvlText w:val="%7."/>
      <w:lvlJc w:val="left"/>
      <w:pPr>
        <w:ind w:left="5040" w:hanging="360"/>
      </w:pPr>
    </w:lvl>
    <w:lvl w:ilvl="7" w:tplc="A566D434">
      <w:start w:val="1"/>
      <w:numFmt w:val="lowerLetter"/>
      <w:lvlText w:val="%8."/>
      <w:lvlJc w:val="left"/>
      <w:pPr>
        <w:ind w:left="5760" w:hanging="360"/>
      </w:pPr>
    </w:lvl>
    <w:lvl w:ilvl="8" w:tplc="7C0A3206">
      <w:start w:val="1"/>
      <w:numFmt w:val="lowerRoman"/>
      <w:lvlText w:val="%9."/>
      <w:lvlJc w:val="right"/>
      <w:pPr>
        <w:ind w:left="6480" w:hanging="180"/>
      </w:pPr>
    </w:lvl>
  </w:abstractNum>
  <w:abstractNum w:abstractNumId="33" w15:restartNumberingAfterBreak="0">
    <w:nsid w:val="5DE721B2"/>
    <w:multiLevelType w:val="hybridMultilevel"/>
    <w:tmpl w:val="E5AA2DD4"/>
    <w:lvl w:ilvl="0" w:tplc="89783C48">
      <w:start w:val="1"/>
      <w:numFmt w:val="bullet"/>
      <w:lvlText w:val=""/>
      <w:lvlJc w:val="left"/>
      <w:pPr>
        <w:ind w:left="720" w:hanging="360"/>
      </w:pPr>
      <w:rPr>
        <w:rFonts w:ascii="Symbol" w:hAnsi="Symbol" w:hint="default"/>
      </w:rPr>
    </w:lvl>
    <w:lvl w:ilvl="1" w:tplc="03EA619A">
      <w:start w:val="1"/>
      <w:numFmt w:val="bullet"/>
      <w:lvlText w:val="o"/>
      <w:lvlJc w:val="left"/>
      <w:pPr>
        <w:ind w:left="1440" w:hanging="360"/>
      </w:pPr>
      <w:rPr>
        <w:rFonts w:ascii="Courier New" w:hAnsi="Courier New" w:hint="default"/>
      </w:rPr>
    </w:lvl>
    <w:lvl w:ilvl="2" w:tplc="C3ECE576">
      <w:start w:val="1"/>
      <w:numFmt w:val="bullet"/>
      <w:lvlText w:val=""/>
      <w:lvlJc w:val="left"/>
      <w:pPr>
        <w:ind w:left="2160" w:hanging="360"/>
      </w:pPr>
      <w:rPr>
        <w:rFonts w:ascii="Wingdings" w:hAnsi="Wingdings" w:hint="default"/>
      </w:rPr>
    </w:lvl>
    <w:lvl w:ilvl="3" w:tplc="61D0E654">
      <w:start w:val="1"/>
      <w:numFmt w:val="bullet"/>
      <w:lvlText w:val=""/>
      <w:lvlJc w:val="left"/>
      <w:pPr>
        <w:ind w:left="2880" w:hanging="360"/>
      </w:pPr>
      <w:rPr>
        <w:rFonts w:ascii="Symbol" w:hAnsi="Symbol" w:hint="default"/>
      </w:rPr>
    </w:lvl>
    <w:lvl w:ilvl="4" w:tplc="A0AA418E">
      <w:start w:val="1"/>
      <w:numFmt w:val="bullet"/>
      <w:lvlText w:val="o"/>
      <w:lvlJc w:val="left"/>
      <w:pPr>
        <w:ind w:left="3600" w:hanging="360"/>
      </w:pPr>
      <w:rPr>
        <w:rFonts w:ascii="Courier New" w:hAnsi="Courier New" w:hint="default"/>
      </w:rPr>
    </w:lvl>
    <w:lvl w:ilvl="5" w:tplc="39E462B8">
      <w:start w:val="1"/>
      <w:numFmt w:val="bullet"/>
      <w:lvlText w:val=""/>
      <w:lvlJc w:val="left"/>
      <w:pPr>
        <w:ind w:left="4320" w:hanging="360"/>
      </w:pPr>
      <w:rPr>
        <w:rFonts w:ascii="Wingdings" w:hAnsi="Wingdings" w:hint="default"/>
      </w:rPr>
    </w:lvl>
    <w:lvl w:ilvl="6" w:tplc="CD32ACF8">
      <w:start w:val="1"/>
      <w:numFmt w:val="bullet"/>
      <w:lvlText w:val=""/>
      <w:lvlJc w:val="left"/>
      <w:pPr>
        <w:ind w:left="5040" w:hanging="360"/>
      </w:pPr>
      <w:rPr>
        <w:rFonts w:ascii="Symbol" w:hAnsi="Symbol" w:hint="default"/>
      </w:rPr>
    </w:lvl>
    <w:lvl w:ilvl="7" w:tplc="2EF4AD34">
      <w:start w:val="1"/>
      <w:numFmt w:val="bullet"/>
      <w:lvlText w:val="o"/>
      <w:lvlJc w:val="left"/>
      <w:pPr>
        <w:ind w:left="5760" w:hanging="360"/>
      </w:pPr>
      <w:rPr>
        <w:rFonts w:ascii="Courier New" w:hAnsi="Courier New" w:hint="default"/>
      </w:rPr>
    </w:lvl>
    <w:lvl w:ilvl="8" w:tplc="0E1A721C">
      <w:start w:val="1"/>
      <w:numFmt w:val="bullet"/>
      <w:lvlText w:val=""/>
      <w:lvlJc w:val="left"/>
      <w:pPr>
        <w:ind w:left="6480" w:hanging="360"/>
      </w:pPr>
      <w:rPr>
        <w:rFonts w:ascii="Wingdings" w:hAnsi="Wingdings" w:hint="default"/>
      </w:rPr>
    </w:lvl>
  </w:abstractNum>
  <w:abstractNum w:abstractNumId="34" w15:restartNumberingAfterBreak="0">
    <w:nsid w:val="614B00D4"/>
    <w:multiLevelType w:val="hybridMultilevel"/>
    <w:tmpl w:val="FFFFFFFF"/>
    <w:lvl w:ilvl="0" w:tplc="FFFFFFFF">
      <w:start w:val="1"/>
      <w:numFmt w:val="bullet"/>
      <w:lvlText w:val="·"/>
      <w:lvlJc w:val="left"/>
      <w:pPr>
        <w:ind w:left="720" w:hanging="360"/>
      </w:pPr>
      <w:rPr>
        <w:rFonts w:ascii="Symbol" w:hAnsi="Symbol" w:hint="default"/>
      </w:rPr>
    </w:lvl>
    <w:lvl w:ilvl="1" w:tplc="69F2F16E">
      <w:start w:val="1"/>
      <w:numFmt w:val="bullet"/>
      <w:lvlText w:val="o"/>
      <w:lvlJc w:val="left"/>
      <w:pPr>
        <w:ind w:left="1440" w:hanging="360"/>
      </w:pPr>
      <w:rPr>
        <w:rFonts w:ascii="Courier New" w:hAnsi="Courier New" w:hint="default"/>
      </w:rPr>
    </w:lvl>
    <w:lvl w:ilvl="2" w:tplc="B9C08392">
      <w:start w:val="1"/>
      <w:numFmt w:val="bullet"/>
      <w:lvlText w:val=""/>
      <w:lvlJc w:val="left"/>
      <w:pPr>
        <w:ind w:left="2160" w:hanging="360"/>
      </w:pPr>
      <w:rPr>
        <w:rFonts w:ascii="Wingdings" w:hAnsi="Wingdings" w:hint="default"/>
      </w:rPr>
    </w:lvl>
    <w:lvl w:ilvl="3" w:tplc="02443E1C">
      <w:start w:val="1"/>
      <w:numFmt w:val="bullet"/>
      <w:lvlText w:val=""/>
      <w:lvlJc w:val="left"/>
      <w:pPr>
        <w:ind w:left="2880" w:hanging="360"/>
      </w:pPr>
      <w:rPr>
        <w:rFonts w:ascii="Symbol" w:hAnsi="Symbol" w:hint="default"/>
      </w:rPr>
    </w:lvl>
    <w:lvl w:ilvl="4" w:tplc="19507CCE">
      <w:start w:val="1"/>
      <w:numFmt w:val="bullet"/>
      <w:lvlText w:val="o"/>
      <w:lvlJc w:val="left"/>
      <w:pPr>
        <w:ind w:left="3600" w:hanging="360"/>
      </w:pPr>
      <w:rPr>
        <w:rFonts w:ascii="Courier New" w:hAnsi="Courier New" w:hint="default"/>
      </w:rPr>
    </w:lvl>
    <w:lvl w:ilvl="5" w:tplc="61684002">
      <w:start w:val="1"/>
      <w:numFmt w:val="bullet"/>
      <w:lvlText w:val=""/>
      <w:lvlJc w:val="left"/>
      <w:pPr>
        <w:ind w:left="4320" w:hanging="360"/>
      </w:pPr>
      <w:rPr>
        <w:rFonts w:ascii="Wingdings" w:hAnsi="Wingdings" w:hint="default"/>
      </w:rPr>
    </w:lvl>
    <w:lvl w:ilvl="6" w:tplc="1ACE915A">
      <w:start w:val="1"/>
      <w:numFmt w:val="bullet"/>
      <w:lvlText w:val=""/>
      <w:lvlJc w:val="left"/>
      <w:pPr>
        <w:ind w:left="5040" w:hanging="360"/>
      </w:pPr>
      <w:rPr>
        <w:rFonts w:ascii="Symbol" w:hAnsi="Symbol" w:hint="default"/>
      </w:rPr>
    </w:lvl>
    <w:lvl w:ilvl="7" w:tplc="BB7C3A88">
      <w:start w:val="1"/>
      <w:numFmt w:val="bullet"/>
      <w:lvlText w:val="o"/>
      <w:lvlJc w:val="left"/>
      <w:pPr>
        <w:ind w:left="5760" w:hanging="360"/>
      </w:pPr>
      <w:rPr>
        <w:rFonts w:ascii="Courier New" w:hAnsi="Courier New" w:hint="default"/>
      </w:rPr>
    </w:lvl>
    <w:lvl w:ilvl="8" w:tplc="CB8C4B54">
      <w:start w:val="1"/>
      <w:numFmt w:val="bullet"/>
      <w:lvlText w:val=""/>
      <w:lvlJc w:val="left"/>
      <w:pPr>
        <w:ind w:left="6480" w:hanging="360"/>
      </w:pPr>
      <w:rPr>
        <w:rFonts w:ascii="Wingdings" w:hAnsi="Wingdings" w:hint="default"/>
      </w:rPr>
    </w:lvl>
  </w:abstractNum>
  <w:abstractNum w:abstractNumId="35" w15:restartNumberingAfterBreak="0">
    <w:nsid w:val="62A645F6"/>
    <w:multiLevelType w:val="hybridMultilevel"/>
    <w:tmpl w:val="53B2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A7A3AD"/>
    <w:multiLevelType w:val="hybridMultilevel"/>
    <w:tmpl w:val="FFFFFFFF"/>
    <w:lvl w:ilvl="0" w:tplc="C47071BC">
      <w:start w:val="1"/>
      <w:numFmt w:val="bullet"/>
      <w:lvlText w:val="·"/>
      <w:lvlJc w:val="left"/>
      <w:pPr>
        <w:ind w:left="786" w:hanging="360"/>
      </w:pPr>
      <w:rPr>
        <w:rFonts w:ascii="Symbol" w:hAnsi="Symbol" w:hint="default"/>
      </w:rPr>
    </w:lvl>
    <w:lvl w:ilvl="1" w:tplc="B442D20A">
      <w:start w:val="1"/>
      <w:numFmt w:val="bullet"/>
      <w:lvlText w:val="o"/>
      <w:lvlJc w:val="left"/>
      <w:pPr>
        <w:ind w:left="1440" w:hanging="360"/>
      </w:pPr>
      <w:rPr>
        <w:rFonts w:ascii="Courier New" w:hAnsi="Courier New" w:hint="default"/>
      </w:rPr>
    </w:lvl>
    <w:lvl w:ilvl="2" w:tplc="63901F0A">
      <w:start w:val="1"/>
      <w:numFmt w:val="bullet"/>
      <w:lvlText w:val=""/>
      <w:lvlJc w:val="left"/>
      <w:pPr>
        <w:ind w:left="2160" w:hanging="360"/>
      </w:pPr>
      <w:rPr>
        <w:rFonts w:ascii="Wingdings" w:hAnsi="Wingdings" w:hint="default"/>
      </w:rPr>
    </w:lvl>
    <w:lvl w:ilvl="3" w:tplc="4492EDF6">
      <w:start w:val="1"/>
      <w:numFmt w:val="bullet"/>
      <w:lvlText w:val=""/>
      <w:lvlJc w:val="left"/>
      <w:pPr>
        <w:ind w:left="2880" w:hanging="360"/>
      </w:pPr>
      <w:rPr>
        <w:rFonts w:ascii="Symbol" w:hAnsi="Symbol" w:hint="default"/>
      </w:rPr>
    </w:lvl>
    <w:lvl w:ilvl="4" w:tplc="A6AC8268">
      <w:start w:val="1"/>
      <w:numFmt w:val="bullet"/>
      <w:lvlText w:val="o"/>
      <w:lvlJc w:val="left"/>
      <w:pPr>
        <w:ind w:left="3600" w:hanging="360"/>
      </w:pPr>
      <w:rPr>
        <w:rFonts w:ascii="Courier New" w:hAnsi="Courier New" w:hint="default"/>
      </w:rPr>
    </w:lvl>
    <w:lvl w:ilvl="5" w:tplc="59660D82">
      <w:start w:val="1"/>
      <w:numFmt w:val="bullet"/>
      <w:lvlText w:val=""/>
      <w:lvlJc w:val="left"/>
      <w:pPr>
        <w:ind w:left="4320" w:hanging="360"/>
      </w:pPr>
      <w:rPr>
        <w:rFonts w:ascii="Wingdings" w:hAnsi="Wingdings" w:hint="default"/>
      </w:rPr>
    </w:lvl>
    <w:lvl w:ilvl="6" w:tplc="81F0347E">
      <w:start w:val="1"/>
      <w:numFmt w:val="bullet"/>
      <w:lvlText w:val=""/>
      <w:lvlJc w:val="left"/>
      <w:pPr>
        <w:ind w:left="5040" w:hanging="360"/>
      </w:pPr>
      <w:rPr>
        <w:rFonts w:ascii="Symbol" w:hAnsi="Symbol" w:hint="default"/>
      </w:rPr>
    </w:lvl>
    <w:lvl w:ilvl="7" w:tplc="153C1EFA">
      <w:start w:val="1"/>
      <w:numFmt w:val="bullet"/>
      <w:lvlText w:val="o"/>
      <w:lvlJc w:val="left"/>
      <w:pPr>
        <w:ind w:left="5760" w:hanging="360"/>
      </w:pPr>
      <w:rPr>
        <w:rFonts w:ascii="Courier New" w:hAnsi="Courier New" w:hint="default"/>
      </w:rPr>
    </w:lvl>
    <w:lvl w:ilvl="8" w:tplc="CBBC6A10">
      <w:start w:val="1"/>
      <w:numFmt w:val="bullet"/>
      <w:lvlText w:val=""/>
      <w:lvlJc w:val="left"/>
      <w:pPr>
        <w:ind w:left="6480" w:hanging="360"/>
      </w:pPr>
      <w:rPr>
        <w:rFonts w:ascii="Wingdings" w:hAnsi="Wingdings" w:hint="default"/>
      </w:rPr>
    </w:lvl>
  </w:abstractNum>
  <w:abstractNum w:abstractNumId="37" w15:restartNumberingAfterBreak="0">
    <w:nsid w:val="6E656339"/>
    <w:multiLevelType w:val="hybridMultilevel"/>
    <w:tmpl w:val="C0064BC2"/>
    <w:lvl w:ilvl="0" w:tplc="C0843718">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79212CB9"/>
    <w:multiLevelType w:val="hybridMultilevel"/>
    <w:tmpl w:val="032880D2"/>
    <w:lvl w:ilvl="0" w:tplc="C084371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BB073A"/>
    <w:multiLevelType w:val="hybridMultilevel"/>
    <w:tmpl w:val="D142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419359">
    <w:abstractNumId w:val="18"/>
  </w:num>
  <w:num w:numId="2" w16cid:durableId="1316060143">
    <w:abstractNumId w:val="21"/>
  </w:num>
  <w:num w:numId="3" w16cid:durableId="789860760">
    <w:abstractNumId w:val="19"/>
  </w:num>
  <w:num w:numId="4" w16cid:durableId="1561750554">
    <w:abstractNumId w:val="24"/>
  </w:num>
  <w:num w:numId="5" w16cid:durableId="532380662">
    <w:abstractNumId w:val="3"/>
  </w:num>
  <w:num w:numId="6" w16cid:durableId="17320943">
    <w:abstractNumId w:val="26"/>
  </w:num>
  <w:num w:numId="7" w16cid:durableId="1883590709">
    <w:abstractNumId w:val="6"/>
  </w:num>
  <w:num w:numId="8" w16cid:durableId="1526406169">
    <w:abstractNumId w:val="9"/>
  </w:num>
  <w:num w:numId="9" w16cid:durableId="1004086422">
    <w:abstractNumId w:val="22"/>
  </w:num>
  <w:num w:numId="10" w16cid:durableId="461968249">
    <w:abstractNumId w:val="11"/>
  </w:num>
  <w:num w:numId="11" w16cid:durableId="967320584">
    <w:abstractNumId w:val="31"/>
  </w:num>
  <w:num w:numId="12" w16cid:durableId="1302806956">
    <w:abstractNumId w:val="12"/>
  </w:num>
  <w:num w:numId="13" w16cid:durableId="712846797">
    <w:abstractNumId w:val="25"/>
  </w:num>
  <w:num w:numId="14" w16cid:durableId="68038448">
    <w:abstractNumId w:val="27"/>
  </w:num>
  <w:num w:numId="15" w16cid:durableId="552927671">
    <w:abstractNumId w:val="36"/>
  </w:num>
  <w:num w:numId="16" w16cid:durableId="780295297">
    <w:abstractNumId w:val="32"/>
  </w:num>
  <w:num w:numId="17" w16cid:durableId="1678851229">
    <w:abstractNumId w:val="4"/>
  </w:num>
  <w:num w:numId="18" w16cid:durableId="1814448234">
    <w:abstractNumId w:val="10"/>
  </w:num>
  <w:num w:numId="19" w16cid:durableId="1659652986">
    <w:abstractNumId w:val="34"/>
  </w:num>
  <w:num w:numId="20" w16cid:durableId="2096894129">
    <w:abstractNumId w:val="1"/>
  </w:num>
  <w:num w:numId="21" w16cid:durableId="1737896597">
    <w:abstractNumId w:val="7"/>
  </w:num>
  <w:num w:numId="22" w16cid:durableId="1510562287">
    <w:abstractNumId w:val="35"/>
  </w:num>
  <w:num w:numId="23" w16cid:durableId="2000495821">
    <w:abstractNumId w:val="33"/>
  </w:num>
  <w:num w:numId="24" w16cid:durableId="950474812">
    <w:abstractNumId w:val="16"/>
  </w:num>
  <w:num w:numId="25" w16cid:durableId="338167177">
    <w:abstractNumId w:val="15"/>
  </w:num>
  <w:num w:numId="26" w16cid:durableId="1758749996">
    <w:abstractNumId w:val="30"/>
  </w:num>
  <w:num w:numId="27" w16cid:durableId="1777285333">
    <w:abstractNumId w:val="13"/>
  </w:num>
  <w:num w:numId="28" w16cid:durableId="1125386163">
    <w:abstractNumId w:val="23"/>
  </w:num>
  <w:num w:numId="29" w16cid:durableId="1053310835">
    <w:abstractNumId w:val="37"/>
  </w:num>
  <w:num w:numId="30" w16cid:durableId="623345165">
    <w:abstractNumId w:val="2"/>
  </w:num>
  <w:num w:numId="31" w16cid:durableId="924151835">
    <w:abstractNumId w:val="38"/>
  </w:num>
  <w:num w:numId="32" w16cid:durableId="202791642">
    <w:abstractNumId w:val="17"/>
  </w:num>
  <w:num w:numId="33" w16cid:durableId="1608656485">
    <w:abstractNumId w:val="8"/>
  </w:num>
  <w:num w:numId="34" w16cid:durableId="42222054">
    <w:abstractNumId w:val="29"/>
  </w:num>
  <w:num w:numId="35" w16cid:durableId="1397319414">
    <w:abstractNumId w:val="14"/>
  </w:num>
  <w:num w:numId="36" w16cid:durableId="2103993203">
    <w:abstractNumId w:val="39"/>
  </w:num>
  <w:num w:numId="37" w16cid:durableId="506097587">
    <w:abstractNumId w:val="0"/>
  </w:num>
  <w:num w:numId="38" w16cid:durableId="843670981">
    <w:abstractNumId w:val="5"/>
  </w:num>
  <w:num w:numId="39" w16cid:durableId="251209254">
    <w:abstractNumId w:val="20"/>
  </w:num>
  <w:num w:numId="40" w16cid:durableId="210109681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6DF3A5"/>
    <w:rsid w:val="000007D4"/>
    <w:rsid w:val="00003A19"/>
    <w:rsid w:val="0000741B"/>
    <w:rsid w:val="00010A59"/>
    <w:rsid w:val="00011AD9"/>
    <w:rsid w:val="00011BF6"/>
    <w:rsid w:val="000133FB"/>
    <w:rsid w:val="00020E66"/>
    <w:rsid w:val="0002169B"/>
    <w:rsid w:val="000221EF"/>
    <w:rsid w:val="000243A3"/>
    <w:rsid w:val="00025F62"/>
    <w:rsid w:val="0002742C"/>
    <w:rsid w:val="000277C6"/>
    <w:rsid w:val="00031E7D"/>
    <w:rsid w:val="0003214A"/>
    <w:rsid w:val="0003412D"/>
    <w:rsid w:val="00036D6D"/>
    <w:rsid w:val="00036EE0"/>
    <w:rsid w:val="00040981"/>
    <w:rsid w:val="00044EED"/>
    <w:rsid w:val="00046622"/>
    <w:rsid w:val="00046DFF"/>
    <w:rsid w:val="0005000E"/>
    <w:rsid w:val="00051EE2"/>
    <w:rsid w:val="000542F0"/>
    <w:rsid w:val="00054887"/>
    <w:rsid w:val="000574A9"/>
    <w:rsid w:val="000611C7"/>
    <w:rsid w:val="0006249F"/>
    <w:rsid w:val="000651C5"/>
    <w:rsid w:val="00070624"/>
    <w:rsid w:val="000718BD"/>
    <w:rsid w:val="00071B1A"/>
    <w:rsid w:val="000733B1"/>
    <w:rsid w:val="00073A83"/>
    <w:rsid w:val="000778CB"/>
    <w:rsid w:val="00082E1B"/>
    <w:rsid w:val="0008339B"/>
    <w:rsid w:val="00083CC6"/>
    <w:rsid w:val="00084670"/>
    <w:rsid w:val="00091B63"/>
    <w:rsid w:val="000976D4"/>
    <w:rsid w:val="000A00C8"/>
    <w:rsid w:val="000A1329"/>
    <w:rsid w:val="000A3830"/>
    <w:rsid w:val="000A4012"/>
    <w:rsid w:val="000A4F30"/>
    <w:rsid w:val="000A4FBC"/>
    <w:rsid w:val="000A78FE"/>
    <w:rsid w:val="000A7AE4"/>
    <w:rsid w:val="000B0B91"/>
    <w:rsid w:val="000B1A03"/>
    <w:rsid w:val="000B38FF"/>
    <w:rsid w:val="000B5807"/>
    <w:rsid w:val="000B5A49"/>
    <w:rsid w:val="000C0595"/>
    <w:rsid w:val="000C1E1A"/>
    <w:rsid w:val="000C2870"/>
    <w:rsid w:val="000C6B1C"/>
    <w:rsid w:val="000C75FD"/>
    <w:rsid w:val="000D0F7F"/>
    <w:rsid w:val="000D1FEE"/>
    <w:rsid w:val="000D3D38"/>
    <w:rsid w:val="000E2063"/>
    <w:rsid w:val="000E6E45"/>
    <w:rsid w:val="000E7413"/>
    <w:rsid w:val="000E75FF"/>
    <w:rsid w:val="000F0120"/>
    <w:rsid w:val="000F180E"/>
    <w:rsid w:val="000F1E82"/>
    <w:rsid w:val="000F213C"/>
    <w:rsid w:val="000F401B"/>
    <w:rsid w:val="001034F3"/>
    <w:rsid w:val="0010359F"/>
    <w:rsid w:val="00104B5C"/>
    <w:rsid w:val="00105F5F"/>
    <w:rsid w:val="0010627A"/>
    <w:rsid w:val="00113D99"/>
    <w:rsid w:val="00114E26"/>
    <w:rsid w:val="00115CA1"/>
    <w:rsid w:val="00120787"/>
    <w:rsid w:val="00122E9B"/>
    <w:rsid w:val="0012453F"/>
    <w:rsid w:val="00127D69"/>
    <w:rsid w:val="0013229E"/>
    <w:rsid w:val="0013271D"/>
    <w:rsid w:val="001332B4"/>
    <w:rsid w:val="001343D6"/>
    <w:rsid w:val="00134857"/>
    <w:rsid w:val="001351B4"/>
    <w:rsid w:val="0013585C"/>
    <w:rsid w:val="00135B68"/>
    <w:rsid w:val="00140861"/>
    <w:rsid w:val="001416EC"/>
    <w:rsid w:val="00142F3C"/>
    <w:rsid w:val="0014436D"/>
    <w:rsid w:val="0015009D"/>
    <w:rsid w:val="00150378"/>
    <w:rsid w:val="0015186A"/>
    <w:rsid w:val="001540BE"/>
    <w:rsid w:val="00155ABB"/>
    <w:rsid w:val="00157DCC"/>
    <w:rsid w:val="00164260"/>
    <w:rsid w:val="001642A2"/>
    <w:rsid w:val="001643A6"/>
    <w:rsid w:val="001647EF"/>
    <w:rsid w:val="00164A44"/>
    <w:rsid w:val="00164CDF"/>
    <w:rsid w:val="0016559B"/>
    <w:rsid w:val="00165FA5"/>
    <w:rsid w:val="001701B9"/>
    <w:rsid w:val="00171F16"/>
    <w:rsid w:val="00174717"/>
    <w:rsid w:val="0017559D"/>
    <w:rsid w:val="001812E8"/>
    <w:rsid w:val="001814B6"/>
    <w:rsid w:val="00181A72"/>
    <w:rsid w:val="00182BFA"/>
    <w:rsid w:val="001842D4"/>
    <w:rsid w:val="00184D3F"/>
    <w:rsid w:val="00186E31"/>
    <w:rsid w:val="00191F46"/>
    <w:rsid w:val="0019367D"/>
    <w:rsid w:val="00195BF7"/>
    <w:rsid w:val="001970E8"/>
    <w:rsid w:val="001A1F7B"/>
    <w:rsid w:val="001B1F3B"/>
    <w:rsid w:val="001B2952"/>
    <w:rsid w:val="001B4148"/>
    <w:rsid w:val="001C07EF"/>
    <w:rsid w:val="001C31A7"/>
    <w:rsid w:val="001C6A70"/>
    <w:rsid w:val="001C76D8"/>
    <w:rsid w:val="001D2D6C"/>
    <w:rsid w:val="001D3CFE"/>
    <w:rsid w:val="001D53B5"/>
    <w:rsid w:val="001D58EB"/>
    <w:rsid w:val="001D6E01"/>
    <w:rsid w:val="001E07C9"/>
    <w:rsid w:val="001E1613"/>
    <w:rsid w:val="001E6467"/>
    <w:rsid w:val="001E6F3B"/>
    <w:rsid w:val="001E7FFB"/>
    <w:rsid w:val="001F13B3"/>
    <w:rsid w:val="001F2596"/>
    <w:rsid w:val="001F2D43"/>
    <w:rsid w:val="001F3234"/>
    <w:rsid w:val="001F7CA6"/>
    <w:rsid w:val="0020067C"/>
    <w:rsid w:val="00201D98"/>
    <w:rsid w:val="00203C78"/>
    <w:rsid w:val="00204934"/>
    <w:rsid w:val="00205E6E"/>
    <w:rsid w:val="00206117"/>
    <w:rsid w:val="00206438"/>
    <w:rsid w:val="00211907"/>
    <w:rsid w:val="00212312"/>
    <w:rsid w:val="00212A6E"/>
    <w:rsid w:val="002131E3"/>
    <w:rsid w:val="002149E4"/>
    <w:rsid w:val="00217615"/>
    <w:rsid w:val="00217C34"/>
    <w:rsid w:val="002220F7"/>
    <w:rsid w:val="00223C32"/>
    <w:rsid w:val="00224D3C"/>
    <w:rsid w:val="002251F5"/>
    <w:rsid w:val="0023092B"/>
    <w:rsid w:val="00233E51"/>
    <w:rsid w:val="002356E7"/>
    <w:rsid w:val="00236DB9"/>
    <w:rsid w:val="0023761B"/>
    <w:rsid w:val="00245112"/>
    <w:rsid w:val="002451E8"/>
    <w:rsid w:val="00245492"/>
    <w:rsid w:val="00245B9B"/>
    <w:rsid w:val="00255190"/>
    <w:rsid w:val="002612A5"/>
    <w:rsid w:val="00267FBC"/>
    <w:rsid w:val="00270B6F"/>
    <w:rsid w:val="002720AC"/>
    <w:rsid w:val="00272AA4"/>
    <w:rsid w:val="00281A70"/>
    <w:rsid w:val="00283A91"/>
    <w:rsid w:val="00285682"/>
    <w:rsid w:val="002862B1"/>
    <w:rsid w:val="00286FBD"/>
    <w:rsid w:val="00290379"/>
    <w:rsid w:val="00293860"/>
    <w:rsid w:val="0029530F"/>
    <w:rsid w:val="0029753F"/>
    <w:rsid w:val="002977B6"/>
    <w:rsid w:val="002A3190"/>
    <w:rsid w:val="002A3568"/>
    <w:rsid w:val="002A3ECD"/>
    <w:rsid w:val="002B2BF3"/>
    <w:rsid w:val="002B622F"/>
    <w:rsid w:val="002B6625"/>
    <w:rsid w:val="002B6AF5"/>
    <w:rsid w:val="002B77FD"/>
    <w:rsid w:val="002C0430"/>
    <w:rsid w:val="002C302C"/>
    <w:rsid w:val="002C3F07"/>
    <w:rsid w:val="002C41EC"/>
    <w:rsid w:val="002C4D9C"/>
    <w:rsid w:val="002D09A5"/>
    <w:rsid w:val="002D0B8D"/>
    <w:rsid w:val="002D1D70"/>
    <w:rsid w:val="002D51A3"/>
    <w:rsid w:val="002D6DBE"/>
    <w:rsid w:val="002D70F4"/>
    <w:rsid w:val="002D7179"/>
    <w:rsid w:val="002E3AC1"/>
    <w:rsid w:val="002E3F15"/>
    <w:rsid w:val="002E7122"/>
    <w:rsid w:val="002F0D04"/>
    <w:rsid w:val="002F15ED"/>
    <w:rsid w:val="002F16AC"/>
    <w:rsid w:val="002F19C1"/>
    <w:rsid w:val="002F4141"/>
    <w:rsid w:val="002F574E"/>
    <w:rsid w:val="002F58E2"/>
    <w:rsid w:val="002F72AE"/>
    <w:rsid w:val="002F7644"/>
    <w:rsid w:val="00300938"/>
    <w:rsid w:val="00300AEF"/>
    <w:rsid w:val="003025C3"/>
    <w:rsid w:val="00302F03"/>
    <w:rsid w:val="00305086"/>
    <w:rsid w:val="0030792C"/>
    <w:rsid w:val="00313A26"/>
    <w:rsid w:val="00315230"/>
    <w:rsid w:val="0031555A"/>
    <w:rsid w:val="00320BBA"/>
    <w:rsid w:val="00324661"/>
    <w:rsid w:val="00324670"/>
    <w:rsid w:val="00325677"/>
    <w:rsid w:val="00330B54"/>
    <w:rsid w:val="00331033"/>
    <w:rsid w:val="00331CD9"/>
    <w:rsid w:val="00332E59"/>
    <w:rsid w:val="003337EF"/>
    <w:rsid w:val="00334D7D"/>
    <w:rsid w:val="003360AA"/>
    <w:rsid w:val="00336AAC"/>
    <w:rsid w:val="00341107"/>
    <w:rsid w:val="00344A56"/>
    <w:rsid w:val="00345D24"/>
    <w:rsid w:val="00350875"/>
    <w:rsid w:val="00350B2F"/>
    <w:rsid w:val="00350C84"/>
    <w:rsid w:val="00351516"/>
    <w:rsid w:val="003516BD"/>
    <w:rsid w:val="00351985"/>
    <w:rsid w:val="00353F2B"/>
    <w:rsid w:val="00354FBC"/>
    <w:rsid w:val="003574CD"/>
    <w:rsid w:val="003651DC"/>
    <w:rsid w:val="003653CA"/>
    <w:rsid w:val="00365F80"/>
    <w:rsid w:val="003662D7"/>
    <w:rsid w:val="00367BE2"/>
    <w:rsid w:val="00371604"/>
    <w:rsid w:val="00372D47"/>
    <w:rsid w:val="00374A01"/>
    <w:rsid w:val="00374CC7"/>
    <w:rsid w:val="003756A5"/>
    <w:rsid w:val="0037667E"/>
    <w:rsid w:val="00381E0A"/>
    <w:rsid w:val="003856A2"/>
    <w:rsid w:val="00390B61"/>
    <w:rsid w:val="00392664"/>
    <w:rsid w:val="00392922"/>
    <w:rsid w:val="00392C58"/>
    <w:rsid w:val="00393007"/>
    <w:rsid w:val="00393368"/>
    <w:rsid w:val="00395825"/>
    <w:rsid w:val="0039766F"/>
    <w:rsid w:val="0039799A"/>
    <w:rsid w:val="003A0047"/>
    <w:rsid w:val="003B2F8C"/>
    <w:rsid w:val="003B3CB5"/>
    <w:rsid w:val="003B40A0"/>
    <w:rsid w:val="003B4A3C"/>
    <w:rsid w:val="003B4A75"/>
    <w:rsid w:val="003B7062"/>
    <w:rsid w:val="003B7FE2"/>
    <w:rsid w:val="003C08AB"/>
    <w:rsid w:val="003C2764"/>
    <w:rsid w:val="003C4358"/>
    <w:rsid w:val="003C5B7A"/>
    <w:rsid w:val="003C6472"/>
    <w:rsid w:val="003D01D4"/>
    <w:rsid w:val="003D0C9D"/>
    <w:rsid w:val="003D6217"/>
    <w:rsid w:val="003D6623"/>
    <w:rsid w:val="003E0032"/>
    <w:rsid w:val="003E083A"/>
    <w:rsid w:val="003E1697"/>
    <w:rsid w:val="003E3D93"/>
    <w:rsid w:val="003E4335"/>
    <w:rsid w:val="003E57FB"/>
    <w:rsid w:val="003F0292"/>
    <w:rsid w:val="003F0296"/>
    <w:rsid w:val="003F27C7"/>
    <w:rsid w:val="003F4581"/>
    <w:rsid w:val="00400105"/>
    <w:rsid w:val="00401931"/>
    <w:rsid w:val="00401B9E"/>
    <w:rsid w:val="00403F7F"/>
    <w:rsid w:val="004122F8"/>
    <w:rsid w:val="00413B76"/>
    <w:rsid w:val="004162CC"/>
    <w:rsid w:val="004239D1"/>
    <w:rsid w:val="00423E15"/>
    <w:rsid w:val="00424A82"/>
    <w:rsid w:val="00425134"/>
    <w:rsid w:val="00425144"/>
    <w:rsid w:val="00425AF1"/>
    <w:rsid w:val="00430961"/>
    <w:rsid w:val="004318DF"/>
    <w:rsid w:val="00431F6B"/>
    <w:rsid w:val="004322AA"/>
    <w:rsid w:val="004324C1"/>
    <w:rsid w:val="004335FF"/>
    <w:rsid w:val="00434AAD"/>
    <w:rsid w:val="004410DC"/>
    <w:rsid w:val="0044420E"/>
    <w:rsid w:val="00445E0D"/>
    <w:rsid w:val="00446A1E"/>
    <w:rsid w:val="0044709A"/>
    <w:rsid w:val="0045293D"/>
    <w:rsid w:val="00454A05"/>
    <w:rsid w:val="00456AC2"/>
    <w:rsid w:val="0045708E"/>
    <w:rsid w:val="004574B6"/>
    <w:rsid w:val="00457A46"/>
    <w:rsid w:val="004619DC"/>
    <w:rsid w:val="00461D7C"/>
    <w:rsid w:val="00462263"/>
    <w:rsid w:val="00462E91"/>
    <w:rsid w:val="004659D4"/>
    <w:rsid w:val="0046627A"/>
    <w:rsid w:val="00474078"/>
    <w:rsid w:val="004749CB"/>
    <w:rsid w:val="004755F0"/>
    <w:rsid w:val="0047607A"/>
    <w:rsid w:val="004801F4"/>
    <w:rsid w:val="00483DF0"/>
    <w:rsid w:val="0048462D"/>
    <w:rsid w:val="004849BD"/>
    <w:rsid w:val="00485E7A"/>
    <w:rsid w:val="004866CA"/>
    <w:rsid w:val="00490D6B"/>
    <w:rsid w:val="00491F57"/>
    <w:rsid w:val="00492F9D"/>
    <w:rsid w:val="00493ED3"/>
    <w:rsid w:val="00494CE5"/>
    <w:rsid w:val="004952D1"/>
    <w:rsid w:val="00495815"/>
    <w:rsid w:val="00496B0C"/>
    <w:rsid w:val="004A0AF1"/>
    <w:rsid w:val="004A31DA"/>
    <w:rsid w:val="004A59AA"/>
    <w:rsid w:val="004B12E2"/>
    <w:rsid w:val="004B13AD"/>
    <w:rsid w:val="004B18D5"/>
    <w:rsid w:val="004B3342"/>
    <w:rsid w:val="004B5A4C"/>
    <w:rsid w:val="004C11DE"/>
    <w:rsid w:val="004C1B36"/>
    <w:rsid w:val="004C206B"/>
    <w:rsid w:val="004C57D3"/>
    <w:rsid w:val="004D093C"/>
    <w:rsid w:val="004D2463"/>
    <w:rsid w:val="004D3B7E"/>
    <w:rsid w:val="004D6E53"/>
    <w:rsid w:val="004D7C22"/>
    <w:rsid w:val="004E08CB"/>
    <w:rsid w:val="004E2110"/>
    <w:rsid w:val="004E2252"/>
    <w:rsid w:val="004E6044"/>
    <w:rsid w:val="004F1252"/>
    <w:rsid w:val="004F12AE"/>
    <w:rsid w:val="004F4D55"/>
    <w:rsid w:val="004F602C"/>
    <w:rsid w:val="0050794A"/>
    <w:rsid w:val="0051017F"/>
    <w:rsid w:val="00510FFE"/>
    <w:rsid w:val="00513D2D"/>
    <w:rsid w:val="00517D9E"/>
    <w:rsid w:val="00521695"/>
    <w:rsid w:val="005221D3"/>
    <w:rsid w:val="0052240E"/>
    <w:rsid w:val="005248A1"/>
    <w:rsid w:val="00526D99"/>
    <w:rsid w:val="0053239B"/>
    <w:rsid w:val="005334D0"/>
    <w:rsid w:val="005350C2"/>
    <w:rsid w:val="0053727D"/>
    <w:rsid w:val="00541D85"/>
    <w:rsid w:val="00541E2E"/>
    <w:rsid w:val="005422E3"/>
    <w:rsid w:val="00544AF1"/>
    <w:rsid w:val="00545B5A"/>
    <w:rsid w:val="00546700"/>
    <w:rsid w:val="00546C8A"/>
    <w:rsid w:val="0054CE0C"/>
    <w:rsid w:val="00550DB5"/>
    <w:rsid w:val="0055158E"/>
    <w:rsid w:val="0055270E"/>
    <w:rsid w:val="005527DC"/>
    <w:rsid w:val="00552F45"/>
    <w:rsid w:val="00554357"/>
    <w:rsid w:val="00556003"/>
    <w:rsid w:val="00562452"/>
    <w:rsid w:val="00562CFB"/>
    <w:rsid w:val="005637B8"/>
    <w:rsid w:val="00564B82"/>
    <w:rsid w:val="00566CB7"/>
    <w:rsid w:val="0056FF89"/>
    <w:rsid w:val="0057183F"/>
    <w:rsid w:val="00571EAF"/>
    <w:rsid w:val="00573767"/>
    <w:rsid w:val="0057561F"/>
    <w:rsid w:val="00575A39"/>
    <w:rsid w:val="00576A9D"/>
    <w:rsid w:val="00576B2B"/>
    <w:rsid w:val="00577AA1"/>
    <w:rsid w:val="00580204"/>
    <w:rsid w:val="005820E8"/>
    <w:rsid w:val="0058261E"/>
    <w:rsid w:val="005849C4"/>
    <w:rsid w:val="00585D6F"/>
    <w:rsid w:val="00585FF4"/>
    <w:rsid w:val="00590119"/>
    <w:rsid w:val="0059093B"/>
    <w:rsid w:val="00590D78"/>
    <w:rsid w:val="005938CF"/>
    <w:rsid w:val="00593D33"/>
    <w:rsid w:val="00595A93"/>
    <w:rsid w:val="005962CE"/>
    <w:rsid w:val="005A0883"/>
    <w:rsid w:val="005A184B"/>
    <w:rsid w:val="005A6C12"/>
    <w:rsid w:val="005A6C7E"/>
    <w:rsid w:val="005A7ECD"/>
    <w:rsid w:val="005A7F4F"/>
    <w:rsid w:val="005B0B5B"/>
    <w:rsid w:val="005B2256"/>
    <w:rsid w:val="005B3044"/>
    <w:rsid w:val="005B3D51"/>
    <w:rsid w:val="005B4481"/>
    <w:rsid w:val="005B61CE"/>
    <w:rsid w:val="005B7EF6"/>
    <w:rsid w:val="005BD908"/>
    <w:rsid w:val="005C29F8"/>
    <w:rsid w:val="005C363F"/>
    <w:rsid w:val="005C49F3"/>
    <w:rsid w:val="005C53F0"/>
    <w:rsid w:val="005C6E0C"/>
    <w:rsid w:val="005D214F"/>
    <w:rsid w:val="005D2641"/>
    <w:rsid w:val="005D3BBE"/>
    <w:rsid w:val="005D41CE"/>
    <w:rsid w:val="005E2143"/>
    <w:rsid w:val="005E3CAC"/>
    <w:rsid w:val="005E45B6"/>
    <w:rsid w:val="005E6E9F"/>
    <w:rsid w:val="005F16EB"/>
    <w:rsid w:val="005F2C7C"/>
    <w:rsid w:val="005F3CCE"/>
    <w:rsid w:val="005F51B9"/>
    <w:rsid w:val="005F5BE9"/>
    <w:rsid w:val="005F72EE"/>
    <w:rsid w:val="005F7536"/>
    <w:rsid w:val="00600932"/>
    <w:rsid w:val="00603BAE"/>
    <w:rsid w:val="006053BF"/>
    <w:rsid w:val="00610BD9"/>
    <w:rsid w:val="00611ECA"/>
    <w:rsid w:val="006137B0"/>
    <w:rsid w:val="00620B7D"/>
    <w:rsid w:val="00621AA2"/>
    <w:rsid w:val="006229C2"/>
    <w:rsid w:val="00626F05"/>
    <w:rsid w:val="0062B42E"/>
    <w:rsid w:val="00630531"/>
    <w:rsid w:val="006321DB"/>
    <w:rsid w:val="006331BE"/>
    <w:rsid w:val="00635E25"/>
    <w:rsid w:val="00640C54"/>
    <w:rsid w:val="006420DE"/>
    <w:rsid w:val="006435BC"/>
    <w:rsid w:val="00643CAB"/>
    <w:rsid w:val="00644EC9"/>
    <w:rsid w:val="006463E1"/>
    <w:rsid w:val="0064776A"/>
    <w:rsid w:val="00652EE3"/>
    <w:rsid w:val="006532DF"/>
    <w:rsid w:val="00655991"/>
    <w:rsid w:val="00657FEE"/>
    <w:rsid w:val="00660AF7"/>
    <w:rsid w:val="00661FA7"/>
    <w:rsid w:val="00662A3E"/>
    <w:rsid w:val="00662D00"/>
    <w:rsid w:val="006642F9"/>
    <w:rsid w:val="00664913"/>
    <w:rsid w:val="00666BDD"/>
    <w:rsid w:val="00667DD4"/>
    <w:rsid w:val="00672F3E"/>
    <w:rsid w:val="00674382"/>
    <w:rsid w:val="006745A4"/>
    <w:rsid w:val="0067551A"/>
    <w:rsid w:val="00676797"/>
    <w:rsid w:val="0067797C"/>
    <w:rsid w:val="00680AB9"/>
    <w:rsid w:val="006834DC"/>
    <w:rsid w:val="00683FF6"/>
    <w:rsid w:val="00686BBC"/>
    <w:rsid w:val="00690AA0"/>
    <w:rsid w:val="00691F19"/>
    <w:rsid w:val="0069310A"/>
    <w:rsid w:val="00693248"/>
    <w:rsid w:val="00694DE6"/>
    <w:rsid w:val="00694ED5"/>
    <w:rsid w:val="0069760E"/>
    <w:rsid w:val="006A172C"/>
    <w:rsid w:val="006A2110"/>
    <w:rsid w:val="006A23EB"/>
    <w:rsid w:val="006A57EE"/>
    <w:rsid w:val="006A5E56"/>
    <w:rsid w:val="006A6D53"/>
    <w:rsid w:val="006A79F4"/>
    <w:rsid w:val="006B2458"/>
    <w:rsid w:val="006B51FD"/>
    <w:rsid w:val="006B7892"/>
    <w:rsid w:val="006C0762"/>
    <w:rsid w:val="006C377D"/>
    <w:rsid w:val="006C3DB9"/>
    <w:rsid w:val="006D23C9"/>
    <w:rsid w:val="006D6F17"/>
    <w:rsid w:val="006D799F"/>
    <w:rsid w:val="006E0530"/>
    <w:rsid w:val="006E14E0"/>
    <w:rsid w:val="006E3FEA"/>
    <w:rsid w:val="006E544F"/>
    <w:rsid w:val="006E5AAA"/>
    <w:rsid w:val="006E5E09"/>
    <w:rsid w:val="006E6D0B"/>
    <w:rsid w:val="006F10B0"/>
    <w:rsid w:val="006F175F"/>
    <w:rsid w:val="006F17D8"/>
    <w:rsid w:val="006F1A72"/>
    <w:rsid w:val="006F2F40"/>
    <w:rsid w:val="006F31BB"/>
    <w:rsid w:val="006F38D7"/>
    <w:rsid w:val="006F4AE8"/>
    <w:rsid w:val="006F6913"/>
    <w:rsid w:val="00701032"/>
    <w:rsid w:val="00702C35"/>
    <w:rsid w:val="00705451"/>
    <w:rsid w:val="007145CB"/>
    <w:rsid w:val="00715D91"/>
    <w:rsid w:val="00715E97"/>
    <w:rsid w:val="00721C95"/>
    <w:rsid w:val="00723CBD"/>
    <w:rsid w:val="00724DA3"/>
    <w:rsid w:val="007253A5"/>
    <w:rsid w:val="00726E9D"/>
    <w:rsid w:val="00733564"/>
    <w:rsid w:val="007336BD"/>
    <w:rsid w:val="00735494"/>
    <w:rsid w:val="00736528"/>
    <w:rsid w:val="00742BB6"/>
    <w:rsid w:val="00745FF4"/>
    <w:rsid w:val="00755F11"/>
    <w:rsid w:val="00756026"/>
    <w:rsid w:val="0075628E"/>
    <w:rsid w:val="00757FE2"/>
    <w:rsid w:val="007612E2"/>
    <w:rsid w:val="007621D0"/>
    <w:rsid w:val="007630BC"/>
    <w:rsid w:val="00763769"/>
    <w:rsid w:val="00767874"/>
    <w:rsid w:val="00767F71"/>
    <w:rsid w:val="0077024E"/>
    <w:rsid w:val="0077061D"/>
    <w:rsid w:val="007708E6"/>
    <w:rsid w:val="00770ED2"/>
    <w:rsid w:val="0077382C"/>
    <w:rsid w:val="00775435"/>
    <w:rsid w:val="00783CF6"/>
    <w:rsid w:val="007866C9"/>
    <w:rsid w:val="00787048"/>
    <w:rsid w:val="0078795E"/>
    <w:rsid w:val="00790A65"/>
    <w:rsid w:val="0079227C"/>
    <w:rsid w:val="00792455"/>
    <w:rsid w:val="007928E5"/>
    <w:rsid w:val="00792A70"/>
    <w:rsid w:val="0079769F"/>
    <w:rsid w:val="007A0A28"/>
    <w:rsid w:val="007A2A79"/>
    <w:rsid w:val="007A56D1"/>
    <w:rsid w:val="007B15AA"/>
    <w:rsid w:val="007B2AEC"/>
    <w:rsid w:val="007B41FC"/>
    <w:rsid w:val="007B4676"/>
    <w:rsid w:val="007B4824"/>
    <w:rsid w:val="007B6C1D"/>
    <w:rsid w:val="007C0AD4"/>
    <w:rsid w:val="007C1BE6"/>
    <w:rsid w:val="007C3116"/>
    <w:rsid w:val="007C78B3"/>
    <w:rsid w:val="007D04A8"/>
    <w:rsid w:val="007D0FC4"/>
    <w:rsid w:val="007D2AAA"/>
    <w:rsid w:val="007D7918"/>
    <w:rsid w:val="007E04E3"/>
    <w:rsid w:val="007E12B0"/>
    <w:rsid w:val="007E57D1"/>
    <w:rsid w:val="007E6F43"/>
    <w:rsid w:val="007E785B"/>
    <w:rsid w:val="007E7D53"/>
    <w:rsid w:val="007F19A5"/>
    <w:rsid w:val="007F1D1B"/>
    <w:rsid w:val="007F347C"/>
    <w:rsid w:val="007F5A8C"/>
    <w:rsid w:val="007F7DD8"/>
    <w:rsid w:val="00800307"/>
    <w:rsid w:val="0080038B"/>
    <w:rsid w:val="00803C7D"/>
    <w:rsid w:val="00805308"/>
    <w:rsid w:val="0080570D"/>
    <w:rsid w:val="00807175"/>
    <w:rsid w:val="00810AB0"/>
    <w:rsid w:val="0081171E"/>
    <w:rsid w:val="00816AFE"/>
    <w:rsid w:val="00817E59"/>
    <w:rsid w:val="00821577"/>
    <w:rsid w:val="008222C0"/>
    <w:rsid w:val="00823EF9"/>
    <w:rsid w:val="00826206"/>
    <w:rsid w:val="008320E4"/>
    <w:rsid w:val="0083244F"/>
    <w:rsid w:val="00833BA2"/>
    <w:rsid w:val="00833E53"/>
    <w:rsid w:val="0084039E"/>
    <w:rsid w:val="0084043D"/>
    <w:rsid w:val="008433A6"/>
    <w:rsid w:val="00843AB9"/>
    <w:rsid w:val="00845A02"/>
    <w:rsid w:val="008515C8"/>
    <w:rsid w:val="00851D49"/>
    <w:rsid w:val="00852087"/>
    <w:rsid w:val="0085261B"/>
    <w:rsid w:val="00852B8A"/>
    <w:rsid w:val="00852E1F"/>
    <w:rsid w:val="0085361F"/>
    <w:rsid w:val="0085403A"/>
    <w:rsid w:val="00854BF1"/>
    <w:rsid w:val="00855647"/>
    <w:rsid w:val="008560B5"/>
    <w:rsid w:val="00856A76"/>
    <w:rsid w:val="00857E92"/>
    <w:rsid w:val="0086070A"/>
    <w:rsid w:val="00860E92"/>
    <w:rsid w:val="0086318A"/>
    <w:rsid w:val="00863B86"/>
    <w:rsid w:val="00864F16"/>
    <w:rsid w:val="00866EF0"/>
    <w:rsid w:val="00873611"/>
    <w:rsid w:val="00873CC8"/>
    <w:rsid w:val="0087561B"/>
    <w:rsid w:val="0087598F"/>
    <w:rsid w:val="0087725B"/>
    <w:rsid w:val="00880B96"/>
    <w:rsid w:val="00881FF8"/>
    <w:rsid w:val="008830B3"/>
    <w:rsid w:val="008830CF"/>
    <w:rsid w:val="00883DD1"/>
    <w:rsid w:val="008849C5"/>
    <w:rsid w:val="00884F2B"/>
    <w:rsid w:val="00891915"/>
    <w:rsid w:val="00892259"/>
    <w:rsid w:val="0089408D"/>
    <w:rsid w:val="00894339"/>
    <w:rsid w:val="00894ED4"/>
    <w:rsid w:val="00895520"/>
    <w:rsid w:val="0089637C"/>
    <w:rsid w:val="008A0D2B"/>
    <w:rsid w:val="008A2974"/>
    <w:rsid w:val="008A2C21"/>
    <w:rsid w:val="008A612F"/>
    <w:rsid w:val="008A7AF5"/>
    <w:rsid w:val="008B096A"/>
    <w:rsid w:val="008B1EB9"/>
    <w:rsid w:val="008B38DC"/>
    <w:rsid w:val="008B6424"/>
    <w:rsid w:val="008C01C2"/>
    <w:rsid w:val="008C061B"/>
    <w:rsid w:val="008C0898"/>
    <w:rsid w:val="008C1D26"/>
    <w:rsid w:val="008C58EC"/>
    <w:rsid w:val="008D0136"/>
    <w:rsid w:val="008D26FE"/>
    <w:rsid w:val="008D3FC2"/>
    <w:rsid w:val="008D4656"/>
    <w:rsid w:val="008D6C7F"/>
    <w:rsid w:val="008D7142"/>
    <w:rsid w:val="008D7303"/>
    <w:rsid w:val="008D7E74"/>
    <w:rsid w:val="008E03E7"/>
    <w:rsid w:val="008E2B85"/>
    <w:rsid w:val="008E5209"/>
    <w:rsid w:val="008E54A0"/>
    <w:rsid w:val="008E6120"/>
    <w:rsid w:val="008E7005"/>
    <w:rsid w:val="008E7D25"/>
    <w:rsid w:val="008F22CC"/>
    <w:rsid w:val="008F5041"/>
    <w:rsid w:val="008F5B1B"/>
    <w:rsid w:val="00900978"/>
    <w:rsid w:val="00900AF4"/>
    <w:rsid w:val="009011F6"/>
    <w:rsid w:val="0090174E"/>
    <w:rsid w:val="00903217"/>
    <w:rsid w:val="009039E0"/>
    <w:rsid w:val="00904A68"/>
    <w:rsid w:val="00907508"/>
    <w:rsid w:val="009076EE"/>
    <w:rsid w:val="00910796"/>
    <w:rsid w:val="00910878"/>
    <w:rsid w:val="00914018"/>
    <w:rsid w:val="00915F0A"/>
    <w:rsid w:val="0091731E"/>
    <w:rsid w:val="009208DF"/>
    <w:rsid w:val="009234F0"/>
    <w:rsid w:val="009261E2"/>
    <w:rsid w:val="00930489"/>
    <w:rsid w:val="00930B71"/>
    <w:rsid w:val="009310B1"/>
    <w:rsid w:val="0093129D"/>
    <w:rsid w:val="00931D21"/>
    <w:rsid w:val="00932BC2"/>
    <w:rsid w:val="00937F2E"/>
    <w:rsid w:val="009408D5"/>
    <w:rsid w:val="009412BB"/>
    <w:rsid w:val="0094317E"/>
    <w:rsid w:val="0094421A"/>
    <w:rsid w:val="00944393"/>
    <w:rsid w:val="00945C61"/>
    <w:rsid w:val="0094726E"/>
    <w:rsid w:val="00960311"/>
    <w:rsid w:val="009605BD"/>
    <w:rsid w:val="00960EE2"/>
    <w:rsid w:val="0096167E"/>
    <w:rsid w:val="00961E87"/>
    <w:rsid w:val="009620D8"/>
    <w:rsid w:val="00962AA3"/>
    <w:rsid w:val="00964B29"/>
    <w:rsid w:val="009657F6"/>
    <w:rsid w:val="009663A1"/>
    <w:rsid w:val="0096678A"/>
    <w:rsid w:val="0096764B"/>
    <w:rsid w:val="00970609"/>
    <w:rsid w:val="00972E3D"/>
    <w:rsid w:val="00976C08"/>
    <w:rsid w:val="00977052"/>
    <w:rsid w:val="009770A7"/>
    <w:rsid w:val="00980EBE"/>
    <w:rsid w:val="00981485"/>
    <w:rsid w:val="009826C8"/>
    <w:rsid w:val="00982B35"/>
    <w:rsid w:val="0098391B"/>
    <w:rsid w:val="009848C4"/>
    <w:rsid w:val="00990223"/>
    <w:rsid w:val="00990B75"/>
    <w:rsid w:val="009922A6"/>
    <w:rsid w:val="0099379A"/>
    <w:rsid w:val="00996EC5"/>
    <w:rsid w:val="009A16AB"/>
    <w:rsid w:val="009A1A41"/>
    <w:rsid w:val="009A2107"/>
    <w:rsid w:val="009A2474"/>
    <w:rsid w:val="009A2706"/>
    <w:rsid w:val="009A3E0E"/>
    <w:rsid w:val="009A62FE"/>
    <w:rsid w:val="009A71D5"/>
    <w:rsid w:val="009A7D3E"/>
    <w:rsid w:val="009B2BFA"/>
    <w:rsid w:val="009B358E"/>
    <w:rsid w:val="009B3E17"/>
    <w:rsid w:val="009C52D0"/>
    <w:rsid w:val="009C5C89"/>
    <w:rsid w:val="009D01BE"/>
    <w:rsid w:val="009D3732"/>
    <w:rsid w:val="009D5621"/>
    <w:rsid w:val="009D7B17"/>
    <w:rsid w:val="009E077E"/>
    <w:rsid w:val="009E108E"/>
    <w:rsid w:val="009E5A6F"/>
    <w:rsid w:val="009E67AD"/>
    <w:rsid w:val="009F0BDB"/>
    <w:rsid w:val="009F2151"/>
    <w:rsid w:val="009F2A20"/>
    <w:rsid w:val="009F3969"/>
    <w:rsid w:val="009F4FA6"/>
    <w:rsid w:val="009F53B9"/>
    <w:rsid w:val="009F711D"/>
    <w:rsid w:val="00A02647"/>
    <w:rsid w:val="00A026B6"/>
    <w:rsid w:val="00A03E8F"/>
    <w:rsid w:val="00A04A9A"/>
    <w:rsid w:val="00A054EF"/>
    <w:rsid w:val="00A07581"/>
    <w:rsid w:val="00A13339"/>
    <w:rsid w:val="00A147D2"/>
    <w:rsid w:val="00A1780A"/>
    <w:rsid w:val="00A2079E"/>
    <w:rsid w:val="00A24123"/>
    <w:rsid w:val="00A32536"/>
    <w:rsid w:val="00A3262E"/>
    <w:rsid w:val="00A3279C"/>
    <w:rsid w:val="00A33B23"/>
    <w:rsid w:val="00A33BA6"/>
    <w:rsid w:val="00A33E04"/>
    <w:rsid w:val="00A33FD1"/>
    <w:rsid w:val="00A37095"/>
    <w:rsid w:val="00A403F0"/>
    <w:rsid w:val="00A416B6"/>
    <w:rsid w:val="00A503FA"/>
    <w:rsid w:val="00A5164E"/>
    <w:rsid w:val="00A55347"/>
    <w:rsid w:val="00A56CB7"/>
    <w:rsid w:val="00A5732C"/>
    <w:rsid w:val="00A61F73"/>
    <w:rsid w:val="00A708BE"/>
    <w:rsid w:val="00A72558"/>
    <w:rsid w:val="00A731E0"/>
    <w:rsid w:val="00A753E9"/>
    <w:rsid w:val="00A80945"/>
    <w:rsid w:val="00A816E6"/>
    <w:rsid w:val="00A8171D"/>
    <w:rsid w:val="00A85F39"/>
    <w:rsid w:val="00A91236"/>
    <w:rsid w:val="00A914FB"/>
    <w:rsid w:val="00A94159"/>
    <w:rsid w:val="00AA00B5"/>
    <w:rsid w:val="00AA4C44"/>
    <w:rsid w:val="00AA7975"/>
    <w:rsid w:val="00AA7A01"/>
    <w:rsid w:val="00AA7E27"/>
    <w:rsid w:val="00AB2743"/>
    <w:rsid w:val="00AB27AE"/>
    <w:rsid w:val="00AB4663"/>
    <w:rsid w:val="00AB565B"/>
    <w:rsid w:val="00AC1592"/>
    <w:rsid w:val="00AC291B"/>
    <w:rsid w:val="00AC4298"/>
    <w:rsid w:val="00AC4A95"/>
    <w:rsid w:val="00AD0671"/>
    <w:rsid w:val="00AD1BAF"/>
    <w:rsid w:val="00AD349F"/>
    <w:rsid w:val="00AD45C7"/>
    <w:rsid w:val="00AD4FA6"/>
    <w:rsid w:val="00AD5D51"/>
    <w:rsid w:val="00AD6023"/>
    <w:rsid w:val="00AE14B3"/>
    <w:rsid w:val="00AE38AA"/>
    <w:rsid w:val="00AE4D66"/>
    <w:rsid w:val="00AE5BF0"/>
    <w:rsid w:val="00AE6DDB"/>
    <w:rsid w:val="00AE71E2"/>
    <w:rsid w:val="00AF14E7"/>
    <w:rsid w:val="00AF2EAD"/>
    <w:rsid w:val="00AF3C4F"/>
    <w:rsid w:val="00AF713B"/>
    <w:rsid w:val="00AF7460"/>
    <w:rsid w:val="00AF7D19"/>
    <w:rsid w:val="00B003CE"/>
    <w:rsid w:val="00B0089A"/>
    <w:rsid w:val="00B02DF3"/>
    <w:rsid w:val="00B044B9"/>
    <w:rsid w:val="00B047F2"/>
    <w:rsid w:val="00B05259"/>
    <w:rsid w:val="00B058A6"/>
    <w:rsid w:val="00B05A7B"/>
    <w:rsid w:val="00B06760"/>
    <w:rsid w:val="00B12593"/>
    <w:rsid w:val="00B12A80"/>
    <w:rsid w:val="00B15F91"/>
    <w:rsid w:val="00B166FC"/>
    <w:rsid w:val="00B21F4D"/>
    <w:rsid w:val="00B247FA"/>
    <w:rsid w:val="00B26FD6"/>
    <w:rsid w:val="00B27B77"/>
    <w:rsid w:val="00B30276"/>
    <w:rsid w:val="00B32D71"/>
    <w:rsid w:val="00B35BDB"/>
    <w:rsid w:val="00B42D71"/>
    <w:rsid w:val="00B44871"/>
    <w:rsid w:val="00B4753C"/>
    <w:rsid w:val="00B503D9"/>
    <w:rsid w:val="00B50830"/>
    <w:rsid w:val="00B5136A"/>
    <w:rsid w:val="00B532BA"/>
    <w:rsid w:val="00B54C43"/>
    <w:rsid w:val="00B5530D"/>
    <w:rsid w:val="00B56507"/>
    <w:rsid w:val="00B56530"/>
    <w:rsid w:val="00B57787"/>
    <w:rsid w:val="00B57E3C"/>
    <w:rsid w:val="00B634BC"/>
    <w:rsid w:val="00B66692"/>
    <w:rsid w:val="00B7159D"/>
    <w:rsid w:val="00B718D6"/>
    <w:rsid w:val="00B71DCB"/>
    <w:rsid w:val="00B72564"/>
    <w:rsid w:val="00B72B7F"/>
    <w:rsid w:val="00B737A3"/>
    <w:rsid w:val="00B73F8E"/>
    <w:rsid w:val="00B7407D"/>
    <w:rsid w:val="00B74CD1"/>
    <w:rsid w:val="00B7520C"/>
    <w:rsid w:val="00B80274"/>
    <w:rsid w:val="00B81244"/>
    <w:rsid w:val="00B81CF4"/>
    <w:rsid w:val="00B834FF"/>
    <w:rsid w:val="00B83C63"/>
    <w:rsid w:val="00B914E5"/>
    <w:rsid w:val="00B970C7"/>
    <w:rsid w:val="00B978AD"/>
    <w:rsid w:val="00BA0DF4"/>
    <w:rsid w:val="00BA1735"/>
    <w:rsid w:val="00BA26C5"/>
    <w:rsid w:val="00BA29F9"/>
    <w:rsid w:val="00BA4539"/>
    <w:rsid w:val="00BA667C"/>
    <w:rsid w:val="00BA76DD"/>
    <w:rsid w:val="00BA77FA"/>
    <w:rsid w:val="00BB262E"/>
    <w:rsid w:val="00BB3284"/>
    <w:rsid w:val="00BB59F4"/>
    <w:rsid w:val="00BB7412"/>
    <w:rsid w:val="00BB7CA3"/>
    <w:rsid w:val="00BC0655"/>
    <w:rsid w:val="00BC23F3"/>
    <w:rsid w:val="00BC55BD"/>
    <w:rsid w:val="00BD04C8"/>
    <w:rsid w:val="00BD1AB3"/>
    <w:rsid w:val="00BD32C4"/>
    <w:rsid w:val="00BD3670"/>
    <w:rsid w:val="00BD3BA7"/>
    <w:rsid w:val="00BD49A5"/>
    <w:rsid w:val="00BD6317"/>
    <w:rsid w:val="00BE16A6"/>
    <w:rsid w:val="00BE418C"/>
    <w:rsid w:val="00BE5CFD"/>
    <w:rsid w:val="00BE65E6"/>
    <w:rsid w:val="00BE69F8"/>
    <w:rsid w:val="00BE6BF2"/>
    <w:rsid w:val="00BE7A75"/>
    <w:rsid w:val="00BF1D3F"/>
    <w:rsid w:val="00BF24F1"/>
    <w:rsid w:val="00BF5206"/>
    <w:rsid w:val="00BF6B8D"/>
    <w:rsid w:val="00C0210F"/>
    <w:rsid w:val="00C0247F"/>
    <w:rsid w:val="00C03580"/>
    <w:rsid w:val="00C0377F"/>
    <w:rsid w:val="00C04343"/>
    <w:rsid w:val="00C07F63"/>
    <w:rsid w:val="00C130C4"/>
    <w:rsid w:val="00C1607C"/>
    <w:rsid w:val="00C21B70"/>
    <w:rsid w:val="00C21CD9"/>
    <w:rsid w:val="00C2481D"/>
    <w:rsid w:val="00C25B6A"/>
    <w:rsid w:val="00C3195D"/>
    <w:rsid w:val="00C31C40"/>
    <w:rsid w:val="00C333DE"/>
    <w:rsid w:val="00C34445"/>
    <w:rsid w:val="00C35C51"/>
    <w:rsid w:val="00C36131"/>
    <w:rsid w:val="00C36D1C"/>
    <w:rsid w:val="00C36F10"/>
    <w:rsid w:val="00C376A1"/>
    <w:rsid w:val="00C449C9"/>
    <w:rsid w:val="00C44C5B"/>
    <w:rsid w:val="00C450E3"/>
    <w:rsid w:val="00C50B66"/>
    <w:rsid w:val="00C511CF"/>
    <w:rsid w:val="00C51865"/>
    <w:rsid w:val="00C52EDA"/>
    <w:rsid w:val="00C5359C"/>
    <w:rsid w:val="00C53704"/>
    <w:rsid w:val="00C6444F"/>
    <w:rsid w:val="00C64ABA"/>
    <w:rsid w:val="00C6668C"/>
    <w:rsid w:val="00C7378F"/>
    <w:rsid w:val="00C747D7"/>
    <w:rsid w:val="00C74978"/>
    <w:rsid w:val="00C7684D"/>
    <w:rsid w:val="00C828B9"/>
    <w:rsid w:val="00C835FA"/>
    <w:rsid w:val="00C84FA7"/>
    <w:rsid w:val="00C85FBD"/>
    <w:rsid w:val="00C87AA4"/>
    <w:rsid w:val="00C90506"/>
    <w:rsid w:val="00C91EB5"/>
    <w:rsid w:val="00C92471"/>
    <w:rsid w:val="00C94180"/>
    <w:rsid w:val="00C96AC2"/>
    <w:rsid w:val="00C96BB7"/>
    <w:rsid w:val="00C97835"/>
    <w:rsid w:val="00CA0828"/>
    <w:rsid w:val="00CA091B"/>
    <w:rsid w:val="00CA1039"/>
    <w:rsid w:val="00CA14AE"/>
    <w:rsid w:val="00CA1D9D"/>
    <w:rsid w:val="00CA2F75"/>
    <w:rsid w:val="00CA40B4"/>
    <w:rsid w:val="00CA498F"/>
    <w:rsid w:val="00CA7E58"/>
    <w:rsid w:val="00CB29F5"/>
    <w:rsid w:val="00CB5C04"/>
    <w:rsid w:val="00CC075C"/>
    <w:rsid w:val="00CC287B"/>
    <w:rsid w:val="00CC2B0B"/>
    <w:rsid w:val="00CC5D04"/>
    <w:rsid w:val="00CD29D5"/>
    <w:rsid w:val="00CD5F70"/>
    <w:rsid w:val="00CD776E"/>
    <w:rsid w:val="00CD7963"/>
    <w:rsid w:val="00CD7F0B"/>
    <w:rsid w:val="00CE0101"/>
    <w:rsid w:val="00CE1A6D"/>
    <w:rsid w:val="00CE6244"/>
    <w:rsid w:val="00CE7593"/>
    <w:rsid w:val="00CF2B48"/>
    <w:rsid w:val="00CF3497"/>
    <w:rsid w:val="00CF3693"/>
    <w:rsid w:val="00CF39F2"/>
    <w:rsid w:val="00CF4AC3"/>
    <w:rsid w:val="00CF5195"/>
    <w:rsid w:val="00CF6DB9"/>
    <w:rsid w:val="00CF7559"/>
    <w:rsid w:val="00D006FF"/>
    <w:rsid w:val="00D009E9"/>
    <w:rsid w:val="00D028F1"/>
    <w:rsid w:val="00D0509C"/>
    <w:rsid w:val="00D10427"/>
    <w:rsid w:val="00D1260B"/>
    <w:rsid w:val="00D128D6"/>
    <w:rsid w:val="00D14E8D"/>
    <w:rsid w:val="00D1513D"/>
    <w:rsid w:val="00D167BC"/>
    <w:rsid w:val="00D20656"/>
    <w:rsid w:val="00D23AB3"/>
    <w:rsid w:val="00D26FD1"/>
    <w:rsid w:val="00D27219"/>
    <w:rsid w:val="00D31432"/>
    <w:rsid w:val="00D3162A"/>
    <w:rsid w:val="00D31A7B"/>
    <w:rsid w:val="00D34402"/>
    <w:rsid w:val="00D3571C"/>
    <w:rsid w:val="00D40107"/>
    <w:rsid w:val="00D41143"/>
    <w:rsid w:val="00D4227F"/>
    <w:rsid w:val="00D42A35"/>
    <w:rsid w:val="00D4301E"/>
    <w:rsid w:val="00D434D1"/>
    <w:rsid w:val="00D468C2"/>
    <w:rsid w:val="00D46DC0"/>
    <w:rsid w:val="00D4767E"/>
    <w:rsid w:val="00D476B9"/>
    <w:rsid w:val="00D47BC8"/>
    <w:rsid w:val="00D504AB"/>
    <w:rsid w:val="00D52320"/>
    <w:rsid w:val="00D530FF"/>
    <w:rsid w:val="00D54B83"/>
    <w:rsid w:val="00D55F65"/>
    <w:rsid w:val="00D57C07"/>
    <w:rsid w:val="00D628A4"/>
    <w:rsid w:val="00D649D9"/>
    <w:rsid w:val="00D70B60"/>
    <w:rsid w:val="00D72F8F"/>
    <w:rsid w:val="00D7661A"/>
    <w:rsid w:val="00D81964"/>
    <w:rsid w:val="00D841D3"/>
    <w:rsid w:val="00D86368"/>
    <w:rsid w:val="00D879A2"/>
    <w:rsid w:val="00D9045E"/>
    <w:rsid w:val="00D9198B"/>
    <w:rsid w:val="00D953C8"/>
    <w:rsid w:val="00D95F19"/>
    <w:rsid w:val="00D975AF"/>
    <w:rsid w:val="00DA49CF"/>
    <w:rsid w:val="00DB4480"/>
    <w:rsid w:val="00DB4D8A"/>
    <w:rsid w:val="00DB5807"/>
    <w:rsid w:val="00DB61C9"/>
    <w:rsid w:val="00DB6E0E"/>
    <w:rsid w:val="00DB7F1B"/>
    <w:rsid w:val="00DC08FD"/>
    <w:rsid w:val="00DC0B55"/>
    <w:rsid w:val="00DC379C"/>
    <w:rsid w:val="00DC4C8A"/>
    <w:rsid w:val="00DC6F40"/>
    <w:rsid w:val="00DD025C"/>
    <w:rsid w:val="00DD0F8A"/>
    <w:rsid w:val="00DD21F5"/>
    <w:rsid w:val="00DD2406"/>
    <w:rsid w:val="00DD588B"/>
    <w:rsid w:val="00DD5CDC"/>
    <w:rsid w:val="00DD6B83"/>
    <w:rsid w:val="00DD76AF"/>
    <w:rsid w:val="00DD7B20"/>
    <w:rsid w:val="00DE106B"/>
    <w:rsid w:val="00DE129B"/>
    <w:rsid w:val="00DE1EE2"/>
    <w:rsid w:val="00DE5DB3"/>
    <w:rsid w:val="00DE60DE"/>
    <w:rsid w:val="00DE6C7B"/>
    <w:rsid w:val="00DE7347"/>
    <w:rsid w:val="00DF0651"/>
    <w:rsid w:val="00DF0BAC"/>
    <w:rsid w:val="00DF157F"/>
    <w:rsid w:val="00DF2241"/>
    <w:rsid w:val="00DF3C60"/>
    <w:rsid w:val="00E00171"/>
    <w:rsid w:val="00E00661"/>
    <w:rsid w:val="00E006D7"/>
    <w:rsid w:val="00E020A2"/>
    <w:rsid w:val="00E02492"/>
    <w:rsid w:val="00E04C57"/>
    <w:rsid w:val="00E06356"/>
    <w:rsid w:val="00E1337D"/>
    <w:rsid w:val="00E141AA"/>
    <w:rsid w:val="00E162D0"/>
    <w:rsid w:val="00E16850"/>
    <w:rsid w:val="00E21319"/>
    <w:rsid w:val="00E24CCD"/>
    <w:rsid w:val="00E271AE"/>
    <w:rsid w:val="00E27283"/>
    <w:rsid w:val="00E27900"/>
    <w:rsid w:val="00E27E0F"/>
    <w:rsid w:val="00E30D25"/>
    <w:rsid w:val="00E313F7"/>
    <w:rsid w:val="00E3268F"/>
    <w:rsid w:val="00E33028"/>
    <w:rsid w:val="00E3348F"/>
    <w:rsid w:val="00E33677"/>
    <w:rsid w:val="00E33A6B"/>
    <w:rsid w:val="00E33E5C"/>
    <w:rsid w:val="00E342E9"/>
    <w:rsid w:val="00E34CCF"/>
    <w:rsid w:val="00E35715"/>
    <w:rsid w:val="00E357C9"/>
    <w:rsid w:val="00E40172"/>
    <w:rsid w:val="00E40819"/>
    <w:rsid w:val="00E40DB3"/>
    <w:rsid w:val="00E40EB0"/>
    <w:rsid w:val="00E410A0"/>
    <w:rsid w:val="00E42179"/>
    <w:rsid w:val="00E423C2"/>
    <w:rsid w:val="00E450E5"/>
    <w:rsid w:val="00E522E1"/>
    <w:rsid w:val="00E56513"/>
    <w:rsid w:val="00E57C24"/>
    <w:rsid w:val="00E62DAA"/>
    <w:rsid w:val="00E657CD"/>
    <w:rsid w:val="00E664E2"/>
    <w:rsid w:val="00E67452"/>
    <w:rsid w:val="00E71908"/>
    <w:rsid w:val="00E80457"/>
    <w:rsid w:val="00E85A07"/>
    <w:rsid w:val="00E86B80"/>
    <w:rsid w:val="00E8743C"/>
    <w:rsid w:val="00E93CC5"/>
    <w:rsid w:val="00E9433D"/>
    <w:rsid w:val="00E95499"/>
    <w:rsid w:val="00E9653C"/>
    <w:rsid w:val="00EA04BA"/>
    <w:rsid w:val="00EA165E"/>
    <w:rsid w:val="00EA335E"/>
    <w:rsid w:val="00EA5CE7"/>
    <w:rsid w:val="00EA74BA"/>
    <w:rsid w:val="00EA7757"/>
    <w:rsid w:val="00EA78E0"/>
    <w:rsid w:val="00EB2AE5"/>
    <w:rsid w:val="00EB5037"/>
    <w:rsid w:val="00EB53D2"/>
    <w:rsid w:val="00EB5618"/>
    <w:rsid w:val="00EB72AD"/>
    <w:rsid w:val="00EC14A2"/>
    <w:rsid w:val="00EC17BF"/>
    <w:rsid w:val="00EC2648"/>
    <w:rsid w:val="00EC38DB"/>
    <w:rsid w:val="00EC45A0"/>
    <w:rsid w:val="00EC5432"/>
    <w:rsid w:val="00EC58D8"/>
    <w:rsid w:val="00EC6669"/>
    <w:rsid w:val="00ED151D"/>
    <w:rsid w:val="00ED6FBA"/>
    <w:rsid w:val="00EE046A"/>
    <w:rsid w:val="00EE1256"/>
    <w:rsid w:val="00EE18F7"/>
    <w:rsid w:val="00EE3211"/>
    <w:rsid w:val="00EE5CDF"/>
    <w:rsid w:val="00EE64F9"/>
    <w:rsid w:val="00EF3CD8"/>
    <w:rsid w:val="00EF6402"/>
    <w:rsid w:val="00EF79F8"/>
    <w:rsid w:val="00F012CE"/>
    <w:rsid w:val="00F03D93"/>
    <w:rsid w:val="00F06591"/>
    <w:rsid w:val="00F07635"/>
    <w:rsid w:val="00F10FAD"/>
    <w:rsid w:val="00F13182"/>
    <w:rsid w:val="00F15552"/>
    <w:rsid w:val="00F16541"/>
    <w:rsid w:val="00F16C59"/>
    <w:rsid w:val="00F17154"/>
    <w:rsid w:val="00F20A55"/>
    <w:rsid w:val="00F25A98"/>
    <w:rsid w:val="00F25C06"/>
    <w:rsid w:val="00F2790B"/>
    <w:rsid w:val="00F30197"/>
    <w:rsid w:val="00F3264B"/>
    <w:rsid w:val="00F4057F"/>
    <w:rsid w:val="00F41AD7"/>
    <w:rsid w:val="00F431A3"/>
    <w:rsid w:val="00F45EAF"/>
    <w:rsid w:val="00F47D03"/>
    <w:rsid w:val="00F526BF"/>
    <w:rsid w:val="00F54477"/>
    <w:rsid w:val="00F55A62"/>
    <w:rsid w:val="00F55A6F"/>
    <w:rsid w:val="00F5669B"/>
    <w:rsid w:val="00F60000"/>
    <w:rsid w:val="00F60613"/>
    <w:rsid w:val="00F61128"/>
    <w:rsid w:val="00F65D3B"/>
    <w:rsid w:val="00F67C3B"/>
    <w:rsid w:val="00F70C78"/>
    <w:rsid w:val="00F70FC8"/>
    <w:rsid w:val="00F71219"/>
    <w:rsid w:val="00F72152"/>
    <w:rsid w:val="00F76995"/>
    <w:rsid w:val="00F770F5"/>
    <w:rsid w:val="00F77CD1"/>
    <w:rsid w:val="00F80A15"/>
    <w:rsid w:val="00F82378"/>
    <w:rsid w:val="00F832EB"/>
    <w:rsid w:val="00F853C2"/>
    <w:rsid w:val="00F90C56"/>
    <w:rsid w:val="00F91D17"/>
    <w:rsid w:val="00F94EAB"/>
    <w:rsid w:val="00F96DAE"/>
    <w:rsid w:val="00FA379F"/>
    <w:rsid w:val="00FB0D63"/>
    <w:rsid w:val="00FB1807"/>
    <w:rsid w:val="00FB2417"/>
    <w:rsid w:val="00FB5261"/>
    <w:rsid w:val="00FB7377"/>
    <w:rsid w:val="00FC2BA6"/>
    <w:rsid w:val="00FC401F"/>
    <w:rsid w:val="00FC40BB"/>
    <w:rsid w:val="00FC60D1"/>
    <w:rsid w:val="00FC6DE7"/>
    <w:rsid w:val="00FD32DC"/>
    <w:rsid w:val="00FD3816"/>
    <w:rsid w:val="00FD47BE"/>
    <w:rsid w:val="00FD48B5"/>
    <w:rsid w:val="00FD5CB4"/>
    <w:rsid w:val="00FE0B9C"/>
    <w:rsid w:val="00FE306C"/>
    <w:rsid w:val="00FE4299"/>
    <w:rsid w:val="00FE464B"/>
    <w:rsid w:val="00FF071F"/>
    <w:rsid w:val="00FF17AE"/>
    <w:rsid w:val="00FF3A1E"/>
    <w:rsid w:val="00FF4AC2"/>
    <w:rsid w:val="00FF6C83"/>
    <w:rsid w:val="012388AB"/>
    <w:rsid w:val="0136D34F"/>
    <w:rsid w:val="019998AE"/>
    <w:rsid w:val="01999F6D"/>
    <w:rsid w:val="01E2C96E"/>
    <w:rsid w:val="01E6CE43"/>
    <w:rsid w:val="0218649E"/>
    <w:rsid w:val="025162F0"/>
    <w:rsid w:val="02544948"/>
    <w:rsid w:val="0254A8FC"/>
    <w:rsid w:val="0295BEFA"/>
    <w:rsid w:val="02EDC1C0"/>
    <w:rsid w:val="0321BF73"/>
    <w:rsid w:val="033668C3"/>
    <w:rsid w:val="03B20335"/>
    <w:rsid w:val="03D6F14C"/>
    <w:rsid w:val="03E6F225"/>
    <w:rsid w:val="03ED3351"/>
    <w:rsid w:val="0444EEF3"/>
    <w:rsid w:val="04B832C5"/>
    <w:rsid w:val="05461088"/>
    <w:rsid w:val="054B4DD1"/>
    <w:rsid w:val="054FB487"/>
    <w:rsid w:val="056E173D"/>
    <w:rsid w:val="059AF3CA"/>
    <w:rsid w:val="060D1DB4"/>
    <w:rsid w:val="0635CDBD"/>
    <w:rsid w:val="063E61A5"/>
    <w:rsid w:val="06597354"/>
    <w:rsid w:val="066AD437"/>
    <w:rsid w:val="06B1C4ED"/>
    <w:rsid w:val="06CF84D4"/>
    <w:rsid w:val="070941CA"/>
    <w:rsid w:val="08115492"/>
    <w:rsid w:val="0883C743"/>
    <w:rsid w:val="08D0D6F7"/>
    <w:rsid w:val="08F49742"/>
    <w:rsid w:val="090E768C"/>
    <w:rsid w:val="091FBE19"/>
    <w:rsid w:val="095AC1B3"/>
    <w:rsid w:val="096A904A"/>
    <w:rsid w:val="09D8B7CB"/>
    <w:rsid w:val="0A4632D0"/>
    <w:rsid w:val="0A913180"/>
    <w:rsid w:val="0A98F143"/>
    <w:rsid w:val="0ABC9D1D"/>
    <w:rsid w:val="0ADAEC66"/>
    <w:rsid w:val="0B74882C"/>
    <w:rsid w:val="0BE9F0B7"/>
    <w:rsid w:val="0C20C5E7"/>
    <w:rsid w:val="0C3A327A"/>
    <w:rsid w:val="0C575B3C"/>
    <w:rsid w:val="0CAC4B0B"/>
    <w:rsid w:val="0D0C4DCC"/>
    <w:rsid w:val="0D12914A"/>
    <w:rsid w:val="0D879E7C"/>
    <w:rsid w:val="0E3CB567"/>
    <w:rsid w:val="0ECEB478"/>
    <w:rsid w:val="0F3B33AD"/>
    <w:rsid w:val="0F5B2DA6"/>
    <w:rsid w:val="0F79E426"/>
    <w:rsid w:val="0F8F73B0"/>
    <w:rsid w:val="0FD3DAE8"/>
    <w:rsid w:val="0FDD89E0"/>
    <w:rsid w:val="0FE6FD0B"/>
    <w:rsid w:val="10038E00"/>
    <w:rsid w:val="1077EEAB"/>
    <w:rsid w:val="10CFE373"/>
    <w:rsid w:val="10DE1E2B"/>
    <w:rsid w:val="10E9A77A"/>
    <w:rsid w:val="11247FC7"/>
    <w:rsid w:val="117EF19B"/>
    <w:rsid w:val="11EA099C"/>
    <w:rsid w:val="11FA66D0"/>
    <w:rsid w:val="1259323B"/>
    <w:rsid w:val="126654FC"/>
    <w:rsid w:val="1274F035"/>
    <w:rsid w:val="12B70F33"/>
    <w:rsid w:val="12DD8A2E"/>
    <w:rsid w:val="1310ED88"/>
    <w:rsid w:val="132D68BA"/>
    <w:rsid w:val="134507A8"/>
    <w:rsid w:val="134A8049"/>
    <w:rsid w:val="136115EF"/>
    <w:rsid w:val="13BC5E3D"/>
    <w:rsid w:val="13D1F576"/>
    <w:rsid w:val="140A5C85"/>
    <w:rsid w:val="149B1CD1"/>
    <w:rsid w:val="14A4A286"/>
    <w:rsid w:val="14FD522C"/>
    <w:rsid w:val="1522DFEE"/>
    <w:rsid w:val="152944A2"/>
    <w:rsid w:val="152F63C6"/>
    <w:rsid w:val="153DCAC8"/>
    <w:rsid w:val="157C4F3A"/>
    <w:rsid w:val="15E71823"/>
    <w:rsid w:val="160F2D65"/>
    <w:rsid w:val="1649785A"/>
    <w:rsid w:val="167E3E20"/>
    <w:rsid w:val="16F4EBC3"/>
    <w:rsid w:val="171718E4"/>
    <w:rsid w:val="17187F2A"/>
    <w:rsid w:val="174DB8FD"/>
    <w:rsid w:val="17C302DA"/>
    <w:rsid w:val="17F67990"/>
    <w:rsid w:val="186DF3A5"/>
    <w:rsid w:val="18E83279"/>
    <w:rsid w:val="18F56EB8"/>
    <w:rsid w:val="192711F1"/>
    <w:rsid w:val="19452403"/>
    <w:rsid w:val="19B116AD"/>
    <w:rsid w:val="19EAF457"/>
    <w:rsid w:val="19ECB9BB"/>
    <w:rsid w:val="1A2E0F1B"/>
    <w:rsid w:val="1A52624E"/>
    <w:rsid w:val="1A662CDA"/>
    <w:rsid w:val="1A97FF0B"/>
    <w:rsid w:val="1AA6F16F"/>
    <w:rsid w:val="1AB1FA80"/>
    <w:rsid w:val="1B2A8E31"/>
    <w:rsid w:val="1B5F4D9E"/>
    <w:rsid w:val="1B6B1CEA"/>
    <w:rsid w:val="1BA4EED7"/>
    <w:rsid w:val="1BBD6504"/>
    <w:rsid w:val="1C1082D8"/>
    <w:rsid w:val="1C45DE20"/>
    <w:rsid w:val="1C4B050B"/>
    <w:rsid w:val="1C843C7D"/>
    <w:rsid w:val="1C8E067A"/>
    <w:rsid w:val="1CBCA965"/>
    <w:rsid w:val="1CE79E84"/>
    <w:rsid w:val="1CFF6515"/>
    <w:rsid w:val="1D28DC89"/>
    <w:rsid w:val="1D928CA2"/>
    <w:rsid w:val="1D9C648B"/>
    <w:rsid w:val="1DA00D25"/>
    <w:rsid w:val="1E0D23C5"/>
    <w:rsid w:val="1E0EE169"/>
    <w:rsid w:val="1E5FB8DA"/>
    <w:rsid w:val="1EBBC319"/>
    <w:rsid w:val="1EC6B875"/>
    <w:rsid w:val="1EDC8F99"/>
    <w:rsid w:val="1EF8CD28"/>
    <w:rsid w:val="1FE08249"/>
    <w:rsid w:val="202AF57F"/>
    <w:rsid w:val="20658B70"/>
    <w:rsid w:val="2109C437"/>
    <w:rsid w:val="213C68BB"/>
    <w:rsid w:val="2157C5AD"/>
    <w:rsid w:val="2166074E"/>
    <w:rsid w:val="216D5EA6"/>
    <w:rsid w:val="218AEFB4"/>
    <w:rsid w:val="21CB82CB"/>
    <w:rsid w:val="21F2E71A"/>
    <w:rsid w:val="21F7F92C"/>
    <w:rsid w:val="223E8526"/>
    <w:rsid w:val="226918A5"/>
    <w:rsid w:val="22B0CB1F"/>
    <w:rsid w:val="22E96AE7"/>
    <w:rsid w:val="234ADF32"/>
    <w:rsid w:val="236CBDDF"/>
    <w:rsid w:val="23991FD4"/>
    <w:rsid w:val="23F92306"/>
    <w:rsid w:val="240E4934"/>
    <w:rsid w:val="2426429F"/>
    <w:rsid w:val="246BE5B8"/>
    <w:rsid w:val="246F21EE"/>
    <w:rsid w:val="24725D5C"/>
    <w:rsid w:val="249C5C9A"/>
    <w:rsid w:val="24CE71E1"/>
    <w:rsid w:val="24D0938E"/>
    <w:rsid w:val="25509757"/>
    <w:rsid w:val="2580786B"/>
    <w:rsid w:val="25C88681"/>
    <w:rsid w:val="25E5B49A"/>
    <w:rsid w:val="25E86C79"/>
    <w:rsid w:val="2608C578"/>
    <w:rsid w:val="26369DB8"/>
    <w:rsid w:val="263AE09A"/>
    <w:rsid w:val="2656A424"/>
    <w:rsid w:val="266F6B7A"/>
    <w:rsid w:val="26743C51"/>
    <w:rsid w:val="268AF4D9"/>
    <w:rsid w:val="271682D1"/>
    <w:rsid w:val="272BAD6A"/>
    <w:rsid w:val="274EA86E"/>
    <w:rsid w:val="27DD3551"/>
    <w:rsid w:val="29002743"/>
    <w:rsid w:val="290DF735"/>
    <w:rsid w:val="2913969A"/>
    <w:rsid w:val="292EB6F5"/>
    <w:rsid w:val="29D7424C"/>
    <w:rsid w:val="29E12CC2"/>
    <w:rsid w:val="2A2EC890"/>
    <w:rsid w:val="2A5A1384"/>
    <w:rsid w:val="2A5BDDBA"/>
    <w:rsid w:val="2A70739E"/>
    <w:rsid w:val="2A9BF7A4"/>
    <w:rsid w:val="2ABBDD9C"/>
    <w:rsid w:val="2AE28A87"/>
    <w:rsid w:val="2AFCABCD"/>
    <w:rsid w:val="2B3E5394"/>
    <w:rsid w:val="2BA54C6F"/>
    <w:rsid w:val="2BBD343F"/>
    <w:rsid w:val="2BC3BA7A"/>
    <w:rsid w:val="2C15924B"/>
    <w:rsid w:val="2C2A3AC7"/>
    <w:rsid w:val="2C968866"/>
    <w:rsid w:val="2CA2A137"/>
    <w:rsid w:val="2CCE534E"/>
    <w:rsid w:val="2CF121BF"/>
    <w:rsid w:val="2D276761"/>
    <w:rsid w:val="2DBD87DC"/>
    <w:rsid w:val="2E252927"/>
    <w:rsid w:val="2E8839F6"/>
    <w:rsid w:val="2E9B222F"/>
    <w:rsid w:val="2EB8C241"/>
    <w:rsid w:val="2F740C55"/>
    <w:rsid w:val="2FA7575C"/>
    <w:rsid w:val="2FB3A38B"/>
    <w:rsid w:val="30406071"/>
    <w:rsid w:val="307CA201"/>
    <w:rsid w:val="307E241C"/>
    <w:rsid w:val="30BA4941"/>
    <w:rsid w:val="30F4AD1D"/>
    <w:rsid w:val="31364B8F"/>
    <w:rsid w:val="3141A534"/>
    <w:rsid w:val="319ADB64"/>
    <w:rsid w:val="31E4FEDD"/>
    <w:rsid w:val="31EB1B08"/>
    <w:rsid w:val="3222700C"/>
    <w:rsid w:val="323E4D39"/>
    <w:rsid w:val="324C6459"/>
    <w:rsid w:val="32754B55"/>
    <w:rsid w:val="3280B377"/>
    <w:rsid w:val="328E7DC9"/>
    <w:rsid w:val="32EB444D"/>
    <w:rsid w:val="32EE7F93"/>
    <w:rsid w:val="33F151C8"/>
    <w:rsid w:val="34179B87"/>
    <w:rsid w:val="342F14DC"/>
    <w:rsid w:val="342F840B"/>
    <w:rsid w:val="34740AFF"/>
    <w:rsid w:val="348BBF8B"/>
    <w:rsid w:val="34A19A4B"/>
    <w:rsid w:val="354C79D0"/>
    <w:rsid w:val="358883A3"/>
    <w:rsid w:val="360DEDC0"/>
    <w:rsid w:val="36399265"/>
    <w:rsid w:val="36628BAA"/>
    <w:rsid w:val="3693A32B"/>
    <w:rsid w:val="3697B527"/>
    <w:rsid w:val="36D95446"/>
    <w:rsid w:val="36E6F4F9"/>
    <w:rsid w:val="371A2365"/>
    <w:rsid w:val="371C5659"/>
    <w:rsid w:val="3738924E"/>
    <w:rsid w:val="375B4381"/>
    <w:rsid w:val="37C3DEDD"/>
    <w:rsid w:val="38452E46"/>
    <w:rsid w:val="3845D924"/>
    <w:rsid w:val="38CE6541"/>
    <w:rsid w:val="38EB0CAA"/>
    <w:rsid w:val="39415D74"/>
    <w:rsid w:val="395A85D1"/>
    <w:rsid w:val="39932066"/>
    <w:rsid w:val="39CA5217"/>
    <w:rsid w:val="39CC831A"/>
    <w:rsid w:val="3A10CB9B"/>
    <w:rsid w:val="3A31D00A"/>
    <w:rsid w:val="3A37E223"/>
    <w:rsid w:val="3A3CE065"/>
    <w:rsid w:val="3A694718"/>
    <w:rsid w:val="3AB2F1C0"/>
    <w:rsid w:val="3B1D6960"/>
    <w:rsid w:val="3BA91FA8"/>
    <w:rsid w:val="3BB862C7"/>
    <w:rsid w:val="3BFE0C38"/>
    <w:rsid w:val="3C1A55C2"/>
    <w:rsid w:val="3C1D67F8"/>
    <w:rsid w:val="3C8204B6"/>
    <w:rsid w:val="3C922693"/>
    <w:rsid w:val="3CCAC128"/>
    <w:rsid w:val="3D86785B"/>
    <w:rsid w:val="3DAFE38C"/>
    <w:rsid w:val="3DDA4D41"/>
    <w:rsid w:val="3E05CBC5"/>
    <w:rsid w:val="3E1E8494"/>
    <w:rsid w:val="3E2C3EC9"/>
    <w:rsid w:val="3E2DF6F4"/>
    <w:rsid w:val="3E6C5D62"/>
    <w:rsid w:val="3EE1CDF8"/>
    <w:rsid w:val="3F212174"/>
    <w:rsid w:val="3F543F6C"/>
    <w:rsid w:val="3FD11C68"/>
    <w:rsid w:val="3FE4F65F"/>
    <w:rsid w:val="400261EA"/>
    <w:rsid w:val="401FC1A6"/>
    <w:rsid w:val="4020822B"/>
    <w:rsid w:val="406DF719"/>
    <w:rsid w:val="40A822E9"/>
    <w:rsid w:val="41586BC0"/>
    <w:rsid w:val="41D8BE11"/>
    <w:rsid w:val="4251D37A"/>
    <w:rsid w:val="4262C434"/>
    <w:rsid w:val="4388DB22"/>
    <w:rsid w:val="43A597DB"/>
    <w:rsid w:val="43C34A14"/>
    <w:rsid w:val="449A4E7C"/>
    <w:rsid w:val="45218244"/>
    <w:rsid w:val="4642634D"/>
    <w:rsid w:val="468E4EBE"/>
    <w:rsid w:val="46B015B7"/>
    <w:rsid w:val="472974B1"/>
    <w:rsid w:val="475CE60A"/>
    <w:rsid w:val="47DC2E4D"/>
    <w:rsid w:val="47DFCBA7"/>
    <w:rsid w:val="47EFA554"/>
    <w:rsid w:val="486BC73D"/>
    <w:rsid w:val="48C62842"/>
    <w:rsid w:val="48CB7382"/>
    <w:rsid w:val="48FA97CF"/>
    <w:rsid w:val="4977FEAE"/>
    <w:rsid w:val="4992BB5D"/>
    <w:rsid w:val="49A1715F"/>
    <w:rsid w:val="49C9957C"/>
    <w:rsid w:val="4A037F5A"/>
    <w:rsid w:val="4A4C005C"/>
    <w:rsid w:val="4A70E537"/>
    <w:rsid w:val="4A9D165C"/>
    <w:rsid w:val="4ABC0C9C"/>
    <w:rsid w:val="4ACBF3BD"/>
    <w:rsid w:val="4B1C38C4"/>
    <w:rsid w:val="4BB2A241"/>
    <w:rsid w:val="4BDC5799"/>
    <w:rsid w:val="4C1C80F1"/>
    <w:rsid w:val="4C2F531C"/>
    <w:rsid w:val="4C66ABA8"/>
    <w:rsid w:val="4C6CF72B"/>
    <w:rsid w:val="4C73F522"/>
    <w:rsid w:val="4C7EB84A"/>
    <w:rsid w:val="4C8ACF36"/>
    <w:rsid w:val="4CA00B75"/>
    <w:rsid w:val="4CA90744"/>
    <w:rsid w:val="4CFE08F1"/>
    <w:rsid w:val="4D05ADCF"/>
    <w:rsid w:val="4D6C5020"/>
    <w:rsid w:val="4D7E7B06"/>
    <w:rsid w:val="4D90159D"/>
    <w:rsid w:val="4D9310C0"/>
    <w:rsid w:val="4DE0487E"/>
    <w:rsid w:val="4E0861CC"/>
    <w:rsid w:val="4E52531A"/>
    <w:rsid w:val="4EA3FF4A"/>
    <w:rsid w:val="4EAE9F6F"/>
    <w:rsid w:val="4EC76E1A"/>
    <w:rsid w:val="4F058CF7"/>
    <w:rsid w:val="4F5E40B0"/>
    <w:rsid w:val="4FBF2892"/>
    <w:rsid w:val="4FFAB582"/>
    <w:rsid w:val="5020733A"/>
    <w:rsid w:val="504E52C0"/>
    <w:rsid w:val="506786A2"/>
    <w:rsid w:val="50A15D58"/>
    <w:rsid w:val="510DD81F"/>
    <w:rsid w:val="5112428F"/>
    <w:rsid w:val="511C8A64"/>
    <w:rsid w:val="515C7386"/>
    <w:rsid w:val="5167F06C"/>
    <w:rsid w:val="517ACF48"/>
    <w:rsid w:val="5186AADF"/>
    <w:rsid w:val="518F63C6"/>
    <w:rsid w:val="51CB9D8D"/>
    <w:rsid w:val="51D6BD3B"/>
    <w:rsid w:val="51D8BB01"/>
    <w:rsid w:val="51E30472"/>
    <w:rsid w:val="521D19C2"/>
    <w:rsid w:val="5234E9AC"/>
    <w:rsid w:val="5298A86F"/>
    <w:rsid w:val="52E60947"/>
    <w:rsid w:val="52F183AB"/>
    <w:rsid w:val="53025CF0"/>
    <w:rsid w:val="53116F94"/>
    <w:rsid w:val="53210191"/>
    <w:rsid w:val="53747B6F"/>
    <w:rsid w:val="5434EDF1"/>
    <w:rsid w:val="54BAB3B3"/>
    <w:rsid w:val="54D47F45"/>
    <w:rsid w:val="55125DFC"/>
    <w:rsid w:val="552B2FEB"/>
    <w:rsid w:val="555AB982"/>
    <w:rsid w:val="556F20CC"/>
    <w:rsid w:val="5574CE7B"/>
    <w:rsid w:val="558A0845"/>
    <w:rsid w:val="558B97FD"/>
    <w:rsid w:val="55C444B1"/>
    <w:rsid w:val="55E98851"/>
    <w:rsid w:val="5602C6F0"/>
    <w:rsid w:val="560AB476"/>
    <w:rsid w:val="560C0A12"/>
    <w:rsid w:val="5611AC3A"/>
    <w:rsid w:val="5632269C"/>
    <w:rsid w:val="56684BB0"/>
    <w:rsid w:val="56939F93"/>
    <w:rsid w:val="56AE13FE"/>
    <w:rsid w:val="56B2BC1C"/>
    <w:rsid w:val="572AC9E6"/>
    <w:rsid w:val="57715B75"/>
    <w:rsid w:val="57A684D7"/>
    <w:rsid w:val="57AE3877"/>
    <w:rsid w:val="582110DE"/>
    <w:rsid w:val="5887BDB7"/>
    <w:rsid w:val="58CA0F79"/>
    <w:rsid w:val="598F3CFC"/>
    <w:rsid w:val="59B7EBA9"/>
    <w:rsid w:val="59F008DC"/>
    <w:rsid w:val="59F58778"/>
    <w:rsid w:val="5A4889D0"/>
    <w:rsid w:val="5AA654DC"/>
    <w:rsid w:val="5AAA1DFD"/>
    <w:rsid w:val="5ABD57E0"/>
    <w:rsid w:val="5AC8CC3E"/>
    <w:rsid w:val="5AEF19EC"/>
    <w:rsid w:val="5B26445E"/>
    <w:rsid w:val="5B4F64CF"/>
    <w:rsid w:val="5B6A6773"/>
    <w:rsid w:val="5B8D7810"/>
    <w:rsid w:val="5BAE9E73"/>
    <w:rsid w:val="5C048D6F"/>
    <w:rsid w:val="5C88A559"/>
    <w:rsid w:val="5C9F2A3F"/>
    <w:rsid w:val="5D394A0F"/>
    <w:rsid w:val="5D779FD4"/>
    <w:rsid w:val="5D87CDE6"/>
    <w:rsid w:val="5DBB7BE0"/>
    <w:rsid w:val="5DBDFAB0"/>
    <w:rsid w:val="5DE97443"/>
    <w:rsid w:val="5E15C65B"/>
    <w:rsid w:val="5E17C433"/>
    <w:rsid w:val="5E386020"/>
    <w:rsid w:val="5E40D728"/>
    <w:rsid w:val="5E65982B"/>
    <w:rsid w:val="5EEDA770"/>
    <w:rsid w:val="5F1F3DFE"/>
    <w:rsid w:val="5F439F96"/>
    <w:rsid w:val="5F574C41"/>
    <w:rsid w:val="5F986E5F"/>
    <w:rsid w:val="6013570D"/>
    <w:rsid w:val="607C61F4"/>
    <w:rsid w:val="6091FFA6"/>
    <w:rsid w:val="60A16AC7"/>
    <w:rsid w:val="60CEDC6F"/>
    <w:rsid w:val="60E3EBFE"/>
    <w:rsid w:val="60F31CA2"/>
    <w:rsid w:val="61076278"/>
    <w:rsid w:val="613113E0"/>
    <w:rsid w:val="61648EC5"/>
    <w:rsid w:val="618DBE9E"/>
    <w:rsid w:val="61A40FA7"/>
    <w:rsid w:val="61CD5D75"/>
    <w:rsid w:val="61DADD21"/>
    <w:rsid w:val="6213E7BE"/>
    <w:rsid w:val="6239A7C6"/>
    <w:rsid w:val="62417ABE"/>
    <w:rsid w:val="624526BE"/>
    <w:rsid w:val="625B3F09"/>
    <w:rsid w:val="62727115"/>
    <w:rsid w:val="62BD51C6"/>
    <w:rsid w:val="62D35A0A"/>
    <w:rsid w:val="62E92ADF"/>
    <w:rsid w:val="632B72E8"/>
    <w:rsid w:val="63909EEC"/>
    <w:rsid w:val="63C0FBBC"/>
    <w:rsid w:val="6401CCB6"/>
    <w:rsid w:val="64341CC3"/>
    <w:rsid w:val="64A76D81"/>
    <w:rsid w:val="64AA54C0"/>
    <w:rsid w:val="64BCFE9B"/>
    <w:rsid w:val="64FBB340"/>
    <w:rsid w:val="6549B1E3"/>
    <w:rsid w:val="6570D29B"/>
    <w:rsid w:val="65834D8E"/>
    <w:rsid w:val="65FAD70E"/>
    <w:rsid w:val="663E5F5E"/>
    <w:rsid w:val="66505AC7"/>
    <w:rsid w:val="66624DF2"/>
    <w:rsid w:val="6673002F"/>
    <w:rsid w:val="667F8B7D"/>
    <w:rsid w:val="6691C4E0"/>
    <w:rsid w:val="66BA50B8"/>
    <w:rsid w:val="66F6D6B9"/>
    <w:rsid w:val="675DA31E"/>
    <w:rsid w:val="67939FCF"/>
    <w:rsid w:val="67D9146C"/>
    <w:rsid w:val="68392D71"/>
    <w:rsid w:val="6882BE45"/>
    <w:rsid w:val="68B4FC84"/>
    <w:rsid w:val="68C290BD"/>
    <w:rsid w:val="68F3F07C"/>
    <w:rsid w:val="6915DD71"/>
    <w:rsid w:val="6927DF76"/>
    <w:rsid w:val="69413504"/>
    <w:rsid w:val="6987D8AE"/>
    <w:rsid w:val="69EB77AA"/>
    <w:rsid w:val="6A01752F"/>
    <w:rsid w:val="6A7995B5"/>
    <w:rsid w:val="6B35BF15"/>
    <w:rsid w:val="6B3C851D"/>
    <w:rsid w:val="6B7AB488"/>
    <w:rsid w:val="6B8D5161"/>
    <w:rsid w:val="6BC6F673"/>
    <w:rsid w:val="6BE76B4D"/>
    <w:rsid w:val="6C793BAA"/>
    <w:rsid w:val="6CBF7970"/>
    <w:rsid w:val="6CD58A8A"/>
    <w:rsid w:val="6CEB4435"/>
    <w:rsid w:val="6CF79A90"/>
    <w:rsid w:val="6D400760"/>
    <w:rsid w:val="6D43680D"/>
    <w:rsid w:val="6D9DF1B0"/>
    <w:rsid w:val="6DBB7272"/>
    <w:rsid w:val="6DC59BBE"/>
    <w:rsid w:val="6DEFA2A7"/>
    <w:rsid w:val="6E12C1C8"/>
    <w:rsid w:val="6E1545DA"/>
    <w:rsid w:val="6E5BE840"/>
    <w:rsid w:val="6F09FBDB"/>
    <w:rsid w:val="6F215EEE"/>
    <w:rsid w:val="6F39C211"/>
    <w:rsid w:val="6F7BF95D"/>
    <w:rsid w:val="6F85CB65"/>
    <w:rsid w:val="6FCD1EC3"/>
    <w:rsid w:val="6FD38F20"/>
    <w:rsid w:val="70093038"/>
    <w:rsid w:val="7102722A"/>
    <w:rsid w:val="712A9D98"/>
    <w:rsid w:val="714BFE45"/>
    <w:rsid w:val="7173049B"/>
    <w:rsid w:val="71A291D3"/>
    <w:rsid w:val="722CE2F0"/>
    <w:rsid w:val="724C4C49"/>
    <w:rsid w:val="7257C7B1"/>
    <w:rsid w:val="7260816C"/>
    <w:rsid w:val="7291E043"/>
    <w:rsid w:val="72BF21C9"/>
    <w:rsid w:val="72C2F2F4"/>
    <w:rsid w:val="73070B16"/>
    <w:rsid w:val="732EBAF4"/>
    <w:rsid w:val="73685B63"/>
    <w:rsid w:val="736EE741"/>
    <w:rsid w:val="736FB2CF"/>
    <w:rsid w:val="7395AC2A"/>
    <w:rsid w:val="73AA5223"/>
    <w:rsid w:val="73B17425"/>
    <w:rsid w:val="73F5C7B0"/>
    <w:rsid w:val="740D3334"/>
    <w:rsid w:val="74DE1EA1"/>
    <w:rsid w:val="74ED67C6"/>
    <w:rsid w:val="74EDED11"/>
    <w:rsid w:val="74FB53C4"/>
    <w:rsid w:val="75195D7E"/>
    <w:rsid w:val="75B058A8"/>
    <w:rsid w:val="75B28BF7"/>
    <w:rsid w:val="75E272DC"/>
    <w:rsid w:val="760ED1B1"/>
    <w:rsid w:val="7692D8BC"/>
    <w:rsid w:val="76AF03A0"/>
    <w:rsid w:val="76D8FF00"/>
    <w:rsid w:val="770E66F2"/>
    <w:rsid w:val="772BDB6C"/>
    <w:rsid w:val="773CCDBA"/>
    <w:rsid w:val="774081CC"/>
    <w:rsid w:val="777D5E12"/>
    <w:rsid w:val="78505087"/>
    <w:rsid w:val="78697CE8"/>
    <w:rsid w:val="789FF643"/>
    <w:rsid w:val="79524FD7"/>
    <w:rsid w:val="7A0C1C3C"/>
    <w:rsid w:val="7A0D01DF"/>
    <w:rsid w:val="7A32F02E"/>
    <w:rsid w:val="7A3B2589"/>
    <w:rsid w:val="7AA3EE06"/>
    <w:rsid w:val="7AA5A576"/>
    <w:rsid w:val="7B4DE09C"/>
    <w:rsid w:val="7B548375"/>
    <w:rsid w:val="7B5CC274"/>
    <w:rsid w:val="7B7CEBFC"/>
    <w:rsid w:val="7C0F1BFD"/>
    <w:rsid w:val="7CE3E64C"/>
    <w:rsid w:val="7D6CC798"/>
    <w:rsid w:val="7DAF0305"/>
    <w:rsid w:val="7DD1A20F"/>
    <w:rsid w:val="7DFF328C"/>
    <w:rsid w:val="7E1EF146"/>
    <w:rsid w:val="7E57955D"/>
    <w:rsid w:val="7E728F08"/>
    <w:rsid w:val="7E928DB8"/>
    <w:rsid w:val="7EA34D7B"/>
    <w:rsid w:val="7EAA52BF"/>
    <w:rsid w:val="7F038028"/>
    <w:rsid w:val="7F6BE149"/>
    <w:rsid w:val="7F731D0F"/>
    <w:rsid w:val="7F791699"/>
    <w:rsid w:val="7F95054B"/>
    <w:rsid w:val="7F99DA39"/>
    <w:rsid w:val="7FFAC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465D"/>
  <w15:chartTrackingRefBased/>
  <w15:docId w15:val="{01A788FC-B294-470A-971F-75242100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0D23C5"/>
    <w:rPr>
      <w:lang w:val="en-AU"/>
    </w:rPr>
  </w:style>
  <w:style w:type="paragraph" w:styleId="Heading1">
    <w:name w:val="heading 1"/>
    <w:basedOn w:val="Normal"/>
    <w:next w:val="Normal"/>
    <w:link w:val="Heading1Char"/>
    <w:uiPriority w:val="9"/>
    <w:qFormat/>
    <w:rsid w:val="1E0D2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1E0D2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1E0D2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1E0D2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1E0D2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1E0D2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1E0D2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1E0D23C5"/>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1E0D23C5"/>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E0D23C5"/>
    <w:rPr>
      <w:rFonts w:asciiTheme="majorHAnsi" w:eastAsiaTheme="majorEastAsia" w:hAnsiTheme="majorHAnsi" w:cstheme="majorBidi"/>
      <w:noProof w:val="0"/>
      <w:color w:val="0F4761" w:themeColor="accent1" w:themeShade="BF"/>
      <w:sz w:val="40"/>
      <w:szCs w:val="40"/>
      <w:lang w:val="en-AU"/>
    </w:rPr>
  </w:style>
  <w:style w:type="character" w:customStyle="1" w:styleId="Heading2Char">
    <w:name w:val="Heading 2 Char"/>
    <w:basedOn w:val="DefaultParagraphFont"/>
    <w:link w:val="Heading2"/>
    <w:uiPriority w:val="9"/>
    <w:rsid w:val="1E0D23C5"/>
    <w:rPr>
      <w:rFonts w:asciiTheme="majorHAnsi" w:eastAsiaTheme="majorEastAsia" w:hAnsiTheme="majorHAnsi" w:cstheme="majorBidi"/>
      <w:noProof w:val="0"/>
      <w:color w:val="0F4761" w:themeColor="accent1" w:themeShade="BF"/>
      <w:sz w:val="32"/>
      <w:szCs w:val="32"/>
      <w:lang w:val="en-AU"/>
    </w:rPr>
  </w:style>
  <w:style w:type="character" w:customStyle="1" w:styleId="Heading3Char">
    <w:name w:val="Heading 3 Char"/>
    <w:basedOn w:val="DefaultParagraphFont"/>
    <w:link w:val="Heading3"/>
    <w:uiPriority w:val="9"/>
    <w:rsid w:val="1E0D23C5"/>
    <w:rPr>
      <w:rFonts w:asciiTheme="minorHAnsi" w:eastAsiaTheme="majorEastAsia" w:hAnsiTheme="minorHAnsi" w:cstheme="majorBidi"/>
      <w:noProof w:val="0"/>
      <w:color w:val="0F4761" w:themeColor="accent1" w:themeShade="BF"/>
      <w:sz w:val="28"/>
      <w:szCs w:val="28"/>
      <w:lang w:val="en-AU"/>
    </w:rPr>
  </w:style>
  <w:style w:type="character" w:customStyle="1" w:styleId="Heading4Char">
    <w:name w:val="Heading 4 Char"/>
    <w:basedOn w:val="DefaultParagraphFont"/>
    <w:link w:val="Heading4"/>
    <w:uiPriority w:val="9"/>
    <w:rsid w:val="1E0D23C5"/>
    <w:rPr>
      <w:rFonts w:asciiTheme="minorHAnsi" w:eastAsiaTheme="majorEastAsia" w:hAnsiTheme="minorHAnsi" w:cstheme="majorBidi"/>
      <w:i/>
      <w:iCs/>
      <w:noProof w:val="0"/>
      <w:color w:val="0F4761" w:themeColor="accent1" w:themeShade="BF"/>
      <w:lang w:val="en-AU"/>
    </w:rPr>
  </w:style>
  <w:style w:type="character" w:customStyle="1" w:styleId="Heading5Char">
    <w:name w:val="Heading 5 Char"/>
    <w:basedOn w:val="DefaultParagraphFont"/>
    <w:link w:val="Heading5"/>
    <w:uiPriority w:val="9"/>
    <w:rsid w:val="1E0D23C5"/>
    <w:rPr>
      <w:rFonts w:asciiTheme="minorHAnsi" w:eastAsiaTheme="majorEastAsia" w:hAnsiTheme="minorHAnsi" w:cstheme="majorBidi"/>
      <w:noProof w:val="0"/>
      <w:color w:val="0F4761" w:themeColor="accent1" w:themeShade="BF"/>
      <w:lang w:val="en-AU"/>
    </w:rPr>
  </w:style>
  <w:style w:type="character" w:customStyle="1" w:styleId="Heading6Char">
    <w:name w:val="Heading 6 Char"/>
    <w:basedOn w:val="DefaultParagraphFont"/>
    <w:link w:val="Heading6"/>
    <w:uiPriority w:val="9"/>
    <w:rsid w:val="1E0D23C5"/>
    <w:rPr>
      <w:rFonts w:asciiTheme="minorHAnsi" w:eastAsiaTheme="majorEastAsia" w:hAnsiTheme="minorHAnsi" w:cstheme="majorBidi"/>
      <w:i/>
      <w:iCs/>
      <w:noProof w:val="0"/>
      <w:color w:val="595959" w:themeColor="text1" w:themeTint="A6"/>
      <w:lang w:val="en-AU"/>
    </w:rPr>
  </w:style>
  <w:style w:type="character" w:customStyle="1" w:styleId="Heading7Char">
    <w:name w:val="Heading 7 Char"/>
    <w:basedOn w:val="DefaultParagraphFont"/>
    <w:link w:val="Heading7"/>
    <w:uiPriority w:val="9"/>
    <w:rsid w:val="1E0D23C5"/>
    <w:rPr>
      <w:rFonts w:asciiTheme="minorHAnsi" w:eastAsiaTheme="majorEastAsia" w:hAnsiTheme="minorHAnsi" w:cstheme="majorBidi"/>
      <w:noProof w:val="0"/>
      <w:color w:val="595959" w:themeColor="text1" w:themeTint="A6"/>
      <w:lang w:val="en-AU"/>
    </w:rPr>
  </w:style>
  <w:style w:type="character" w:customStyle="1" w:styleId="Heading8Char">
    <w:name w:val="Heading 8 Char"/>
    <w:basedOn w:val="DefaultParagraphFont"/>
    <w:link w:val="Heading8"/>
    <w:uiPriority w:val="9"/>
    <w:rsid w:val="1E0D23C5"/>
    <w:rPr>
      <w:rFonts w:asciiTheme="minorHAnsi" w:eastAsiaTheme="majorEastAsia" w:hAnsiTheme="minorHAnsi" w:cstheme="majorBidi"/>
      <w:i/>
      <w:iCs/>
      <w:noProof w:val="0"/>
      <w:color w:val="272727"/>
      <w:lang w:val="en-AU"/>
    </w:rPr>
  </w:style>
  <w:style w:type="character" w:customStyle="1" w:styleId="Heading9Char">
    <w:name w:val="Heading 9 Char"/>
    <w:basedOn w:val="DefaultParagraphFont"/>
    <w:link w:val="Heading9"/>
    <w:uiPriority w:val="9"/>
    <w:rsid w:val="1E0D23C5"/>
    <w:rPr>
      <w:rFonts w:asciiTheme="minorHAnsi" w:eastAsiaTheme="majorEastAsia" w:hAnsiTheme="minorHAnsi" w:cstheme="majorBidi"/>
      <w:noProof w:val="0"/>
      <w:color w:val="272727"/>
      <w:lang w:val="en-AU"/>
    </w:rPr>
  </w:style>
  <w:style w:type="character" w:customStyle="1" w:styleId="TitleChar">
    <w:name w:val="Title Char"/>
    <w:basedOn w:val="DefaultParagraphFont"/>
    <w:link w:val="Title"/>
    <w:uiPriority w:val="10"/>
    <w:rsid w:val="1E0D23C5"/>
    <w:rPr>
      <w:rFonts w:asciiTheme="majorHAnsi" w:eastAsiaTheme="majorEastAsia" w:hAnsiTheme="majorHAnsi" w:cstheme="majorBidi"/>
      <w:noProof w:val="0"/>
      <w:sz w:val="56"/>
      <w:szCs w:val="56"/>
      <w:lang w:val="en-AU"/>
    </w:rPr>
  </w:style>
  <w:style w:type="paragraph" w:styleId="Title">
    <w:name w:val="Title"/>
    <w:basedOn w:val="Normal"/>
    <w:next w:val="Normal"/>
    <w:link w:val="TitleChar"/>
    <w:uiPriority w:val="10"/>
    <w:qFormat/>
    <w:rsid w:val="1E0D23C5"/>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1E0D23C5"/>
    <w:rPr>
      <w:rFonts w:asciiTheme="minorHAnsi" w:eastAsiaTheme="majorEastAsia" w:hAnsiTheme="minorHAnsi" w:cstheme="majorBidi"/>
      <w:noProof w:val="0"/>
      <w:color w:val="595959" w:themeColor="text1" w:themeTint="A6"/>
      <w:sz w:val="28"/>
      <w:szCs w:val="28"/>
      <w:lang w:val="en-AU"/>
    </w:rPr>
  </w:style>
  <w:style w:type="paragraph" w:styleId="Subtitle">
    <w:name w:val="Subtitle"/>
    <w:basedOn w:val="Normal"/>
    <w:next w:val="Normal"/>
    <w:link w:val="SubtitleChar"/>
    <w:uiPriority w:val="11"/>
    <w:qFormat/>
    <w:rsid w:val="1E0D23C5"/>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1E0D23C5"/>
    <w:rPr>
      <w:i/>
      <w:iCs/>
      <w:noProof w:val="0"/>
      <w:color w:val="404040" w:themeColor="text1" w:themeTint="BF"/>
      <w:lang w:val="en-AU"/>
    </w:rPr>
  </w:style>
  <w:style w:type="paragraph" w:styleId="Quote">
    <w:name w:val="Quote"/>
    <w:basedOn w:val="Normal"/>
    <w:next w:val="Normal"/>
    <w:link w:val="QuoteChar"/>
    <w:uiPriority w:val="29"/>
    <w:qFormat/>
    <w:rsid w:val="1E0D23C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1E0D23C5"/>
    <w:rPr>
      <w:i/>
      <w:iCs/>
      <w:noProof w:val="0"/>
      <w:color w:val="0F4761" w:themeColor="accent1" w:themeShade="BF"/>
      <w:lang w:val="en-AU"/>
    </w:rPr>
  </w:style>
  <w:style w:type="paragraph" w:styleId="IntenseQuote">
    <w:name w:val="Intense Quote"/>
    <w:basedOn w:val="Normal"/>
    <w:next w:val="Normal"/>
    <w:link w:val="IntenseQuoteChar"/>
    <w:uiPriority w:val="30"/>
    <w:qFormat/>
    <w:rsid w:val="1E0D23C5"/>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1E0D23C5"/>
    <w:pPr>
      <w:tabs>
        <w:tab w:val="center" w:pos="4513"/>
        <w:tab w:val="right" w:pos="9026"/>
      </w:tabs>
      <w:spacing w:after="0"/>
    </w:pPr>
  </w:style>
  <w:style w:type="character" w:customStyle="1" w:styleId="HeaderChar">
    <w:name w:val="Header Char"/>
    <w:basedOn w:val="DefaultParagraphFont"/>
    <w:link w:val="Header"/>
    <w:uiPriority w:val="99"/>
    <w:rsid w:val="1E0D23C5"/>
    <w:rPr>
      <w:noProof w:val="0"/>
      <w:lang w:val="en-AU"/>
    </w:rPr>
  </w:style>
  <w:style w:type="paragraph" w:styleId="Footer">
    <w:name w:val="footer"/>
    <w:basedOn w:val="Normal"/>
    <w:link w:val="FooterChar"/>
    <w:uiPriority w:val="99"/>
    <w:unhideWhenUsed/>
    <w:rsid w:val="1E0D23C5"/>
    <w:pPr>
      <w:tabs>
        <w:tab w:val="center" w:pos="4513"/>
        <w:tab w:val="right" w:pos="9026"/>
      </w:tabs>
      <w:spacing w:after="0"/>
    </w:pPr>
  </w:style>
  <w:style w:type="character" w:customStyle="1" w:styleId="FooterChar">
    <w:name w:val="Footer Char"/>
    <w:basedOn w:val="DefaultParagraphFont"/>
    <w:link w:val="Footer"/>
    <w:uiPriority w:val="99"/>
    <w:rsid w:val="1E0D23C5"/>
    <w:rPr>
      <w:noProof w:val="0"/>
      <w:lang w:val="en-AU"/>
    </w:rPr>
  </w:style>
  <w:style w:type="paragraph" w:styleId="ListParagraph">
    <w:name w:val="List Paragraph"/>
    <w:basedOn w:val="Normal"/>
    <w:uiPriority w:val="34"/>
    <w:qFormat/>
    <w:rsid w:val="1E0D23C5"/>
    <w:pPr>
      <w:ind w:left="720"/>
      <w:contextualSpacing/>
    </w:pPr>
  </w:style>
  <w:style w:type="character" w:styleId="CommentReference">
    <w:name w:val="annotation reference"/>
    <w:basedOn w:val="DefaultParagraphFont"/>
    <w:uiPriority w:val="99"/>
    <w:semiHidden/>
    <w:unhideWhenUsed/>
    <w:rsid w:val="00F70C78"/>
    <w:rPr>
      <w:sz w:val="16"/>
      <w:szCs w:val="16"/>
    </w:rPr>
  </w:style>
  <w:style w:type="paragraph" w:styleId="CommentText">
    <w:name w:val="annotation text"/>
    <w:basedOn w:val="Normal"/>
    <w:link w:val="CommentTextChar"/>
    <w:uiPriority w:val="99"/>
    <w:unhideWhenUsed/>
    <w:rsid w:val="1E0D23C5"/>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uiPriority w:val="99"/>
    <w:rsid w:val="1E0D23C5"/>
    <w:rPr>
      <w:noProof w:val="0"/>
      <w:sz w:val="20"/>
      <w:szCs w:val="20"/>
      <w:lang w:val="en-AU"/>
    </w:rPr>
  </w:style>
  <w:style w:type="paragraph" w:styleId="CommentSubject">
    <w:name w:val="annotation subject"/>
    <w:basedOn w:val="CommentText"/>
    <w:next w:val="CommentText"/>
    <w:link w:val="CommentSubjectChar"/>
    <w:uiPriority w:val="99"/>
    <w:semiHidden/>
    <w:unhideWhenUsed/>
    <w:rsid w:val="1E0D23C5"/>
    <w:rPr>
      <w:b/>
      <w:bCs/>
    </w:rPr>
  </w:style>
  <w:style w:type="character" w:customStyle="1" w:styleId="CommentSubjectChar">
    <w:name w:val="Comment Subject Char"/>
    <w:basedOn w:val="CommentTextChar"/>
    <w:link w:val="CommentSubject"/>
    <w:uiPriority w:val="99"/>
    <w:semiHidden/>
    <w:rsid w:val="1E0D23C5"/>
    <w:rPr>
      <w:b/>
      <w:bCs/>
      <w:noProof w:val="0"/>
      <w:sz w:val="20"/>
      <w:szCs w:val="20"/>
      <w:lang w:val="en-AU"/>
    </w:rPr>
  </w:style>
  <w:style w:type="paragraph" w:customStyle="1" w:styleId="EMfirstbullet">
    <w:name w:val="EM first bullet"/>
    <w:basedOn w:val="Normal"/>
    <w:link w:val="EMfirstbulletChar"/>
    <w:uiPriority w:val="1"/>
    <w:qFormat/>
    <w:rsid w:val="1E0D23C5"/>
    <w:pPr>
      <w:numPr>
        <w:numId w:val="24"/>
      </w:numPr>
    </w:pPr>
    <w:rPr>
      <w:rFonts w:ascii="Times New Roman" w:hAnsi="Times New Roman" w:cs="Times New Roman"/>
      <w:sz w:val="22"/>
      <w:szCs w:val="22"/>
      <w:lang w:val="en-GB" w:eastAsia="en-US"/>
    </w:rPr>
  </w:style>
  <w:style w:type="character" w:customStyle="1" w:styleId="EMfirstbulletChar">
    <w:name w:val="EM first bullet Char"/>
    <w:basedOn w:val="DefaultParagraphFont"/>
    <w:link w:val="EMfirstbullet"/>
    <w:uiPriority w:val="1"/>
    <w:rsid w:val="1E0D23C5"/>
    <w:rPr>
      <w:rFonts w:ascii="Times New Roman" w:eastAsiaTheme="minorEastAsia" w:hAnsi="Times New Roman" w:cs="Times New Roman"/>
      <w:noProof w:val="0"/>
      <w:sz w:val="22"/>
      <w:szCs w:val="22"/>
      <w:lang w:val="en-GB" w:eastAsia="en-US"/>
    </w:rPr>
  </w:style>
  <w:style w:type="paragraph" w:customStyle="1" w:styleId="SCHRnumbers">
    <w:name w:val="SCHR numbers"/>
    <w:basedOn w:val="Normal"/>
    <w:link w:val="SCHRnumbersChar"/>
    <w:uiPriority w:val="1"/>
    <w:qFormat/>
    <w:rsid w:val="1E0D23C5"/>
    <w:pPr>
      <w:numPr>
        <w:numId w:val="25"/>
      </w:numPr>
      <w:spacing w:after="120"/>
    </w:pPr>
    <w:rPr>
      <w:sz w:val="22"/>
      <w:szCs w:val="22"/>
      <w:lang w:val="en-GB" w:eastAsia="en-US"/>
    </w:rPr>
  </w:style>
  <w:style w:type="character" w:styleId="Hyperlink">
    <w:name w:val="Hyperlink"/>
    <w:basedOn w:val="DefaultParagraphFont"/>
    <w:uiPriority w:val="99"/>
    <w:unhideWhenUsed/>
    <w:rsid w:val="00E1337D"/>
    <w:rPr>
      <w:color w:val="467886" w:themeColor="hyperlink"/>
      <w:u w:val="single"/>
    </w:rPr>
  </w:style>
  <w:style w:type="character" w:customStyle="1" w:styleId="SCHRnumbersChar">
    <w:name w:val="SCHR numbers Char"/>
    <w:basedOn w:val="DefaultParagraphFont"/>
    <w:link w:val="SCHRnumbers"/>
    <w:uiPriority w:val="1"/>
    <w:rsid w:val="1E0D23C5"/>
    <w:rPr>
      <w:rFonts w:asciiTheme="minorHAnsi" w:eastAsiaTheme="minorEastAsia" w:hAnsiTheme="minorHAnsi" w:cstheme="minorBidi"/>
      <w:noProof w:val="0"/>
      <w:sz w:val="22"/>
      <w:szCs w:val="22"/>
      <w:lang w:val="en-GB" w:eastAsia="en-US"/>
    </w:rPr>
  </w:style>
  <w:style w:type="paragraph" w:customStyle="1" w:styleId="notetext">
    <w:name w:val="note(text)"/>
    <w:basedOn w:val="Normal"/>
    <w:link w:val="notetextChar"/>
    <w:uiPriority w:val="1"/>
    <w:rsid w:val="1E0D23C5"/>
    <w:pPr>
      <w:spacing w:before="122" w:after="0"/>
      <w:ind w:left="1985" w:hanging="851"/>
    </w:pPr>
    <w:rPr>
      <w:rFonts w:ascii="Times New Roman" w:eastAsia="Times New Roman" w:hAnsi="Times New Roman" w:cs="Times New Roman"/>
      <w:sz w:val="18"/>
      <w:szCs w:val="18"/>
      <w:lang w:eastAsia="en-AU"/>
    </w:rPr>
  </w:style>
  <w:style w:type="character" w:customStyle="1" w:styleId="notetextChar">
    <w:name w:val="note(text) Char"/>
    <w:basedOn w:val="DefaultParagraphFont"/>
    <w:link w:val="notetext"/>
    <w:uiPriority w:val="1"/>
    <w:rsid w:val="1E0D23C5"/>
    <w:rPr>
      <w:rFonts w:ascii="Times New Roman" w:eastAsia="Times New Roman" w:hAnsi="Times New Roman" w:cs="Times New Roman"/>
      <w:noProof w:val="0"/>
      <w:sz w:val="18"/>
      <w:szCs w:val="18"/>
      <w:lang w:val="en-AU" w:eastAsia="en-AU"/>
    </w:rPr>
  </w:style>
  <w:style w:type="paragraph" w:styleId="Revision">
    <w:name w:val="Revision"/>
    <w:hidden/>
    <w:uiPriority w:val="99"/>
    <w:semiHidden/>
    <w:rsid w:val="00B058A6"/>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F15552"/>
  </w:style>
  <w:style w:type="character" w:customStyle="1" w:styleId="eop">
    <w:name w:val="eop"/>
    <w:basedOn w:val="DefaultParagraphFont"/>
    <w:rsid w:val="00F15552"/>
  </w:style>
  <w:style w:type="paragraph" w:styleId="TOC1">
    <w:name w:val="toc 1"/>
    <w:basedOn w:val="Normal"/>
    <w:next w:val="Normal"/>
    <w:uiPriority w:val="39"/>
    <w:unhideWhenUsed/>
    <w:rsid w:val="1E0D23C5"/>
    <w:pPr>
      <w:spacing w:after="100"/>
    </w:pPr>
  </w:style>
  <w:style w:type="paragraph" w:styleId="TOC2">
    <w:name w:val="toc 2"/>
    <w:basedOn w:val="Normal"/>
    <w:next w:val="Normal"/>
    <w:uiPriority w:val="39"/>
    <w:unhideWhenUsed/>
    <w:rsid w:val="1E0D23C5"/>
    <w:pPr>
      <w:spacing w:after="100"/>
      <w:ind w:left="220"/>
    </w:pPr>
  </w:style>
  <w:style w:type="paragraph" w:styleId="TOC3">
    <w:name w:val="toc 3"/>
    <w:basedOn w:val="Normal"/>
    <w:next w:val="Normal"/>
    <w:uiPriority w:val="39"/>
    <w:unhideWhenUsed/>
    <w:rsid w:val="1E0D23C5"/>
    <w:pPr>
      <w:spacing w:after="100"/>
      <w:ind w:left="440"/>
    </w:pPr>
  </w:style>
  <w:style w:type="paragraph" w:styleId="TOC4">
    <w:name w:val="toc 4"/>
    <w:basedOn w:val="Normal"/>
    <w:next w:val="Normal"/>
    <w:uiPriority w:val="39"/>
    <w:unhideWhenUsed/>
    <w:rsid w:val="1E0D23C5"/>
    <w:pPr>
      <w:spacing w:after="100"/>
      <w:ind w:left="660"/>
    </w:pPr>
  </w:style>
  <w:style w:type="paragraph" w:styleId="TOC5">
    <w:name w:val="toc 5"/>
    <w:basedOn w:val="Normal"/>
    <w:next w:val="Normal"/>
    <w:uiPriority w:val="39"/>
    <w:unhideWhenUsed/>
    <w:rsid w:val="1E0D23C5"/>
    <w:pPr>
      <w:spacing w:after="100"/>
      <w:ind w:left="880"/>
    </w:pPr>
  </w:style>
  <w:style w:type="paragraph" w:styleId="TOC6">
    <w:name w:val="toc 6"/>
    <w:basedOn w:val="Normal"/>
    <w:next w:val="Normal"/>
    <w:uiPriority w:val="39"/>
    <w:unhideWhenUsed/>
    <w:rsid w:val="1E0D23C5"/>
    <w:pPr>
      <w:spacing w:after="100"/>
      <w:ind w:left="1100"/>
    </w:pPr>
  </w:style>
  <w:style w:type="paragraph" w:styleId="TOC7">
    <w:name w:val="toc 7"/>
    <w:basedOn w:val="Normal"/>
    <w:next w:val="Normal"/>
    <w:uiPriority w:val="39"/>
    <w:unhideWhenUsed/>
    <w:rsid w:val="1E0D23C5"/>
    <w:pPr>
      <w:spacing w:after="100"/>
      <w:ind w:left="1320"/>
    </w:pPr>
  </w:style>
  <w:style w:type="paragraph" w:styleId="TOC8">
    <w:name w:val="toc 8"/>
    <w:basedOn w:val="Normal"/>
    <w:next w:val="Normal"/>
    <w:uiPriority w:val="39"/>
    <w:unhideWhenUsed/>
    <w:rsid w:val="1E0D23C5"/>
    <w:pPr>
      <w:spacing w:after="100"/>
      <w:ind w:left="1540"/>
    </w:pPr>
  </w:style>
  <w:style w:type="paragraph" w:styleId="TOC9">
    <w:name w:val="toc 9"/>
    <w:basedOn w:val="Normal"/>
    <w:next w:val="Normal"/>
    <w:uiPriority w:val="39"/>
    <w:unhideWhenUsed/>
    <w:rsid w:val="1E0D23C5"/>
    <w:pPr>
      <w:spacing w:after="100"/>
      <w:ind w:left="1760"/>
    </w:pPr>
  </w:style>
  <w:style w:type="paragraph" w:styleId="EndnoteText">
    <w:name w:val="endnote text"/>
    <w:basedOn w:val="Normal"/>
    <w:link w:val="EndnoteTextChar"/>
    <w:uiPriority w:val="99"/>
    <w:semiHidden/>
    <w:unhideWhenUsed/>
    <w:rsid w:val="1E0D23C5"/>
    <w:pPr>
      <w:spacing w:after="0"/>
    </w:pPr>
    <w:rPr>
      <w:sz w:val="20"/>
      <w:szCs w:val="20"/>
    </w:rPr>
  </w:style>
  <w:style w:type="character" w:customStyle="1" w:styleId="EndnoteTextChar">
    <w:name w:val="Endnote Text Char"/>
    <w:basedOn w:val="DefaultParagraphFont"/>
    <w:link w:val="EndnoteText"/>
    <w:uiPriority w:val="99"/>
    <w:semiHidden/>
    <w:rsid w:val="1E0D23C5"/>
    <w:rPr>
      <w:noProof w:val="0"/>
      <w:sz w:val="20"/>
      <w:szCs w:val="20"/>
      <w:lang w:val="en-AU"/>
    </w:rPr>
  </w:style>
  <w:style w:type="paragraph" w:styleId="FootnoteText">
    <w:name w:val="footnote text"/>
    <w:basedOn w:val="Normal"/>
    <w:link w:val="FootnoteTextChar"/>
    <w:uiPriority w:val="99"/>
    <w:semiHidden/>
    <w:unhideWhenUsed/>
    <w:rsid w:val="1E0D23C5"/>
    <w:pPr>
      <w:spacing w:after="0"/>
    </w:pPr>
    <w:rPr>
      <w:sz w:val="20"/>
      <w:szCs w:val="20"/>
    </w:rPr>
  </w:style>
  <w:style w:type="character" w:customStyle="1" w:styleId="FootnoteTextChar">
    <w:name w:val="Footnote Text Char"/>
    <w:basedOn w:val="DefaultParagraphFont"/>
    <w:link w:val="FootnoteText"/>
    <w:uiPriority w:val="99"/>
    <w:semiHidden/>
    <w:rsid w:val="1E0D23C5"/>
    <w:rPr>
      <w:noProof w:val="0"/>
      <w:sz w:val="20"/>
      <w:szCs w:val="20"/>
      <w:lang w:val="en-AU"/>
    </w:rPr>
  </w:style>
  <w:style w:type="paragraph" w:styleId="NormalWeb">
    <w:name w:val="Normal (Web)"/>
    <w:basedOn w:val="Normal"/>
    <w:uiPriority w:val="99"/>
    <w:unhideWhenUsed/>
    <w:rsid w:val="009603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ragraph">
    <w:name w:val="paragraph"/>
    <w:basedOn w:val="Normal"/>
    <w:rsid w:val="00857E92"/>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1F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718">
      <w:bodyDiv w:val="1"/>
      <w:marLeft w:val="0"/>
      <w:marRight w:val="0"/>
      <w:marTop w:val="0"/>
      <w:marBottom w:val="0"/>
      <w:divBdr>
        <w:top w:val="none" w:sz="0" w:space="0" w:color="auto"/>
        <w:left w:val="none" w:sz="0" w:space="0" w:color="auto"/>
        <w:bottom w:val="none" w:sz="0" w:space="0" w:color="auto"/>
        <w:right w:val="none" w:sz="0" w:space="0" w:color="auto"/>
      </w:divBdr>
    </w:div>
    <w:div w:id="183326744">
      <w:bodyDiv w:val="1"/>
      <w:marLeft w:val="0"/>
      <w:marRight w:val="0"/>
      <w:marTop w:val="0"/>
      <w:marBottom w:val="0"/>
      <w:divBdr>
        <w:top w:val="none" w:sz="0" w:space="0" w:color="auto"/>
        <w:left w:val="none" w:sz="0" w:space="0" w:color="auto"/>
        <w:bottom w:val="none" w:sz="0" w:space="0" w:color="auto"/>
        <w:right w:val="none" w:sz="0" w:space="0" w:color="auto"/>
      </w:divBdr>
    </w:div>
    <w:div w:id="415058899">
      <w:bodyDiv w:val="1"/>
      <w:marLeft w:val="0"/>
      <w:marRight w:val="0"/>
      <w:marTop w:val="0"/>
      <w:marBottom w:val="0"/>
      <w:divBdr>
        <w:top w:val="none" w:sz="0" w:space="0" w:color="auto"/>
        <w:left w:val="none" w:sz="0" w:space="0" w:color="auto"/>
        <w:bottom w:val="none" w:sz="0" w:space="0" w:color="auto"/>
        <w:right w:val="none" w:sz="0" w:space="0" w:color="auto"/>
      </w:divBdr>
      <w:divsChild>
        <w:div w:id="492259907">
          <w:marLeft w:val="0"/>
          <w:marRight w:val="0"/>
          <w:marTop w:val="0"/>
          <w:marBottom w:val="0"/>
          <w:divBdr>
            <w:top w:val="none" w:sz="0" w:space="0" w:color="auto"/>
            <w:left w:val="none" w:sz="0" w:space="0" w:color="auto"/>
            <w:bottom w:val="none" w:sz="0" w:space="0" w:color="auto"/>
            <w:right w:val="none" w:sz="0" w:space="0" w:color="auto"/>
          </w:divBdr>
        </w:div>
        <w:div w:id="1566838926">
          <w:marLeft w:val="0"/>
          <w:marRight w:val="0"/>
          <w:marTop w:val="0"/>
          <w:marBottom w:val="0"/>
          <w:divBdr>
            <w:top w:val="none" w:sz="0" w:space="0" w:color="auto"/>
            <w:left w:val="none" w:sz="0" w:space="0" w:color="auto"/>
            <w:bottom w:val="none" w:sz="0" w:space="0" w:color="auto"/>
            <w:right w:val="none" w:sz="0" w:space="0" w:color="auto"/>
          </w:divBdr>
        </w:div>
        <w:div w:id="1874074184">
          <w:marLeft w:val="0"/>
          <w:marRight w:val="0"/>
          <w:marTop w:val="0"/>
          <w:marBottom w:val="0"/>
          <w:divBdr>
            <w:top w:val="none" w:sz="0" w:space="0" w:color="auto"/>
            <w:left w:val="none" w:sz="0" w:space="0" w:color="auto"/>
            <w:bottom w:val="none" w:sz="0" w:space="0" w:color="auto"/>
            <w:right w:val="none" w:sz="0" w:space="0" w:color="auto"/>
          </w:divBdr>
        </w:div>
      </w:divsChild>
    </w:div>
    <w:div w:id="1516459679">
      <w:bodyDiv w:val="1"/>
      <w:marLeft w:val="0"/>
      <w:marRight w:val="0"/>
      <w:marTop w:val="0"/>
      <w:marBottom w:val="0"/>
      <w:divBdr>
        <w:top w:val="none" w:sz="0" w:space="0" w:color="auto"/>
        <w:left w:val="none" w:sz="0" w:space="0" w:color="auto"/>
        <w:bottom w:val="none" w:sz="0" w:space="0" w:color="auto"/>
        <w:right w:val="none" w:sz="0" w:space="0" w:color="auto"/>
      </w:divBdr>
    </w:div>
    <w:div w:id="1635791953">
      <w:bodyDiv w:val="1"/>
      <w:marLeft w:val="0"/>
      <w:marRight w:val="0"/>
      <w:marTop w:val="0"/>
      <w:marBottom w:val="0"/>
      <w:divBdr>
        <w:top w:val="none" w:sz="0" w:space="0" w:color="auto"/>
        <w:left w:val="none" w:sz="0" w:space="0" w:color="auto"/>
        <w:bottom w:val="none" w:sz="0" w:space="0" w:color="auto"/>
        <w:right w:val="none" w:sz="0" w:space="0" w:color="auto"/>
      </w:divBdr>
    </w:div>
    <w:div w:id="1640919488">
      <w:bodyDiv w:val="1"/>
      <w:marLeft w:val="0"/>
      <w:marRight w:val="0"/>
      <w:marTop w:val="0"/>
      <w:marBottom w:val="0"/>
      <w:divBdr>
        <w:top w:val="none" w:sz="0" w:space="0" w:color="auto"/>
        <w:left w:val="none" w:sz="0" w:space="0" w:color="auto"/>
        <w:bottom w:val="none" w:sz="0" w:space="0" w:color="auto"/>
        <w:right w:val="none" w:sz="0" w:space="0" w:color="auto"/>
      </w:divBdr>
    </w:div>
    <w:div w:id="1900093593">
      <w:bodyDiv w:val="1"/>
      <w:marLeft w:val="0"/>
      <w:marRight w:val="0"/>
      <w:marTop w:val="0"/>
      <w:marBottom w:val="0"/>
      <w:divBdr>
        <w:top w:val="none" w:sz="0" w:space="0" w:color="auto"/>
        <w:left w:val="none" w:sz="0" w:space="0" w:color="auto"/>
        <w:bottom w:val="none" w:sz="0" w:space="0" w:color="auto"/>
        <w:right w:val="none" w:sz="0" w:space="0" w:color="auto"/>
      </w:divBdr>
    </w:div>
    <w:div w:id="2092500447">
      <w:bodyDiv w:val="1"/>
      <w:marLeft w:val="0"/>
      <w:marRight w:val="0"/>
      <w:marTop w:val="0"/>
      <w:marBottom w:val="0"/>
      <w:divBdr>
        <w:top w:val="none" w:sz="0" w:space="0" w:color="auto"/>
        <w:left w:val="none" w:sz="0" w:space="0" w:color="auto"/>
        <w:bottom w:val="none" w:sz="0" w:space="0" w:color="auto"/>
        <w:right w:val="none" w:sz="0" w:space="0" w:color="auto"/>
      </w:divBdr>
      <w:divsChild>
        <w:div w:id="96365298">
          <w:marLeft w:val="0"/>
          <w:marRight w:val="0"/>
          <w:marTop w:val="0"/>
          <w:marBottom w:val="0"/>
          <w:divBdr>
            <w:top w:val="none" w:sz="0" w:space="0" w:color="auto"/>
            <w:left w:val="none" w:sz="0" w:space="0" w:color="auto"/>
            <w:bottom w:val="none" w:sz="0" w:space="0" w:color="auto"/>
            <w:right w:val="none" w:sz="0" w:space="0" w:color="auto"/>
          </w:divBdr>
        </w:div>
        <w:div w:id="199375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workaustralia.gov.a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glossa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688B252-6E2B-469C-93D9-2B0FF8F599E2}">
    <t:Anchor>
      <t:Comment id="1273809242"/>
    </t:Anchor>
    <t:History>
      <t:Event id="{45B14423-E23C-4F49-AE34-AA9477CAFFF2}" time="2024-05-31T05:50:14.774Z">
        <t:Attribution userId="S::Bethany.Rowlands@dewr.gov.au::af0e15ff-004b-470a-8bc2-197f9205fa29" userProvider="AD" userName="ROWLANDS,Bethany"/>
        <t:Anchor>
          <t:Comment id="8624525"/>
        </t:Anchor>
        <t:Create/>
      </t:Event>
      <t:Event id="{F9ABAF86-732C-476C-AE3E-810F13C36D94}" time="2024-05-31T05:50:14.774Z">
        <t:Attribution userId="S::Bethany.Rowlands@dewr.gov.au::af0e15ff-004b-470a-8bc2-197f9205fa29" userProvider="AD" userName="ROWLANDS,Bethany"/>
        <t:Anchor>
          <t:Comment id="8624525"/>
        </t:Anchor>
        <t:Assign userId="S::Kate.McFarlane@dewr.gov.au::c0c2e6ce-0d34-4a63-836c-ffa864dad50a" userProvider="AD" userName="MCFARLANE,Kate"/>
      </t:Event>
      <t:Event id="{8B4F0412-F9BE-4D8E-881C-C1EF8EF24C6F}" time="2024-05-31T05:50:14.774Z">
        <t:Attribution userId="S::Bethany.Rowlands@dewr.gov.au::af0e15ff-004b-470a-8bc2-197f9205fa29" userProvider="AD" userName="ROWLANDS,Bethany"/>
        <t:Anchor>
          <t:Comment id="8624525"/>
        </t:Anchor>
        <t:SetTitle title="@MCFARLANE,Kate "/>
      </t:Event>
    </t:History>
  </t:Task>
  <t:Task id="{F42E01A8-79EE-4FC6-9236-C4A7723D604C}">
    <t:Anchor>
      <t:Comment id="966774492"/>
    </t:Anchor>
    <t:History>
      <t:Event id="{DD022C7D-D90A-4EF8-AB76-42B08B9F7991}" time="2024-05-31T05:49:12.783Z">
        <t:Attribution userId="S::Bethany.Rowlands@dewr.gov.au::af0e15ff-004b-470a-8bc2-197f9205fa29" userProvider="AD" userName="ROWLANDS,Bethany"/>
        <t:Anchor>
          <t:Comment id="185016992"/>
        </t:Anchor>
        <t:Create/>
      </t:Event>
      <t:Event id="{7AA34539-F4D3-4847-8C88-E971356ED03D}" time="2024-05-31T05:49:12.783Z">
        <t:Attribution userId="S::Bethany.Rowlands@dewr.gov.au::af0e15ff-004b-470a-8bc2-197f9205fa29" userProvider="AD" userName="ROWLANDS,Bethany"/>
        <t:Anchor>
          <t:Comment id="185016992"/>
        </t:Anchor>
        <t:Assign userId="S::Kate.McFarlane@dewr.gov.au::c0c2e6ce-0d34-4a63-836c-ffa864dad50a" userProvider="AD" userName="MCFARLANE,Kate"/>
      </t:Event>
      <t:Event id="{2AF51C95-71DA-4BF3-9971-DFB481745348}" time="2024-05-31T05:49:12.783Z">
        <t:Attribution userId="S::Bethany.Rowlands@dewr.gov.au::af0e15ff-004b-470a-8bc2-197f9205fa29" userProvider="AD" userName="ROWLANDS,Bethany"/>
        <t:Anchor>
          <t:Comment id="185016992"/>
        </t:Anchor>
        <t:SetTitle title="@MCFARLANE,Kate view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EB913DF-BF22-4FFA-A199-A6D748E3D7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C3D324E2CA7348A5FACD444ADB0A1F" ma:contentTypeVersion="" ma:contentTypeDescription="PDMS Document Site Content Type" ma:contentTypeScope="" ma:versionID="912774cb5251fbdd3e2ca383939353d4">
  <xsd:schema xmlns:xsd="http://www.w3.org/2001/XMLSchema" xmlns:xs="http://www.w3.org/2001/XMLSchema" xmlns:p="http://schemas.microsoft.com/office/2006/metadata/properties" xmlns:ns2="AEB913DF-BF22-4FFA-A199-A6D748E3D77D" targetNamespace="http://schemas.microsoft.com/office/2006/metadata/properties" ma:root="true" ma:fieldsID="ba6d3054918bfd6f1a207cc313d081af" ns2:_="">
    <xsd:import namespace="AEB913DF-BF22-4FFA-A199-A6D748E3D7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913DF-BF22-4FFA-A199-A6D748E3D7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165F9-EA16-4ABA-8D97-B35B368E7FCF}">
  <ds:schemaRefs>
    <ds:schemaRef ds:uri="http://schemas.openxmlformats.org/officeDocument/2006/bibliography"/>
  </ds:schemaRefs>
</ds:datastoreItem>
</file>

<file path=customXml/itemProps2.xml><?xml version="1.0" encoding="utf-8"?>
<ds:datastoreItem xmlns:ds="http://schemas.openxmlformats.org/officeDocument/2006/customXml" ds:itemID="{460E4B35-C0C9-4D49-B741-CDF2580C5CD4}">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AEB913DF-BF22-4FFA-A199-A6D748E3D77D"/>
    <ds:schemaRef ds:uri="http://schemas.microsoft.com/office/2006/metadata/properties"/>
  </ds:schemaRefs>
</ds:datastoreItem>
</file>

<file path=customXml/itemProps3.xml><?xml version="1.0" encoding="utf-8"?>
<ds:datastoreItem xmlns:ds="http://schemas.openxmlformats.org/officeDocument/2006/customXml" ds:itemID="{8F4D9BF5-3CC8-423A-8ECD-DFD1EC5B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913DF-BF22-4FFA-A199-A6D748E3D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CE676-DF0C-4B26-A496-35A871DBD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39</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91712</CharactersWithSpaces>
  <SharedDoc>false</SharedDoc>
  <HLinks>
    <vt:vector size="18" baseType="variant">
      <vt:variant>
        <vt:i4>2687022</vt:i4>
      </vt:variant>
      <vt:variant>
        <vt:i4>6</vt:i4>
      </vt:variant>
      <vt:variant>
        <vt:i4>0</vt:i4>
      </vt:variant>
      <vt:variant>
        <vt:i4>5</vt:i4>
      </vt:variant>
      <vt:variant>
        <vt:lpwstr>https://www.legislation.gov.au/</vt:lpwstr>
      </vt:variant>
      <vt:variant>
        <vt:lpwstr/>
      </vt:variant>
      <vt:variant>
        <vt:i4>5963853</vt:i4>
      </vt:variant>
      <vt:variant>
        <vt:i4>3</vt:i4>
      </vt:variant>
      <vt:variant>
        <vt:i4>0</vt:i4>
      </vt:variant>
      <vt:variant>
        <vt:i4>5</vt:i4>
      </vt:variant>
      <vt:variant>
        <vt:lpwstr>https://www.safeworkaustralia.gov.au/</vt:lpwstr>
      </vt:variant>
      <vt:variant>
        <vt:lpwstr/>
      </vt:variant>
      <vt:variant>
        <vt:i4>3539068</vt:i4>
      </vt:variant>
      <vt:variant>
        <vt:i4>0</vt:i4>
      </vt:variant>
      <vt:variant>
        <vt:i4>0</vt:i4>
      </vt:variant>
      <vt:variant>
        <vt:i4>5</vt:i4>
      </vt:variant>
      <vt:variant>
        <vt:lpwstr>https://www.safeworkaustralia.gov.au/glossary</vt:lpwstr>
      </vt:variant>
      <vt:variant>
        <vt:lpwstr>hazards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PERERA,Achali</dc:creator>
  <cp:keywords/>
  <dc:description/>
  <cp:lastModifiedBy>ROWLANDS,Bethany</cp:lastModifiedBy>
  <cp:revision>12</cp:revision>
  <dcterms:created xsi:type="dcterms:W3CDTF">2024-05-31T06:15:00Z</dcterms:created>
  <dcterms:modified xsi:type="dcterms:W3CDTF">2024-06-04T07:03:00Z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0x010100266966F133664895A6EE3632470D45F50076C3D324E2CA7348A5FACD444ADB0A1F</vt:lpwstr>
  </property>
  <property fmtid="{D5CDD505-2E9C-101B-9397-08002B2CF9AE}" pid="3" name="MSIP_Label_5f877481-9e35-4b68-b667-876a73c6db41_Enabled">
    <vt:lpwstr>true</vt:lpwstr>
  </property>
  <property fmtid="{D5CDD505-2E9C-101B-9397-08002B2CF9AE}" pid="4" name="MSIP_Label_5f877481-9e35-4b68-b667-876a73c6db41_SetDate">
    <vt:lpwstr>2024-05-30T02:04:47Z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f112d0b9-a6ef-48f7-8ff4-9b17c9506bc2</vt:lpwstr>
  </property>
  <property fmtid="{D5CDD505-2E9C-101B-9397-08002B2CF9AE}" pid="9" name="MSIP_Label_5f877481-9e35-4b68-b667-876a73c6db41_ContentBits">
    <vt:lpwstr>0</vt:lpwstr>
  </property>
</Properties>
</file>