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585E" w14:textId="77777777" w:rsidR="00313C2B" w:rsidRDefault="00313C2B" w:rsidP="00313C2B">
      <w:r>
        <w:object w:dxaOrig="2146" w:dyaOrig="1561" w14:anchorId="0E7B0B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8.6pt;height:77.8pt" o:ole="" fillcolor="window">
            <v:imagedata r:id="rId11" o:title=""/>
          </v:shape>
          <o:OLEObject Type="Embed" ProgID="Word.Picture.8" ShapeID="_x0000_i1025" DrawAspect="Content" ObjectID="_1780551972" r:id="rId12"/>
        </w:object>
      </w:r>
    </w:p>
    <w:p w14:paraId="13F9DF4C" w14:textId="6EB4F0A3" w:rsidR="00313C2B" w:rsidRDefault="00313C2B" w:rsidP="00313C2B">
      <w:pPr>
        <w:pStyle w:val="ShortT"/>
        <w:spacing w:before="240" w:after="240"/>
        <w:rPr>
          <w:lang w:val="es-CL"/>
        </w:rPr>
      </w:pPr>
      <w:r>
        <w:rPr>
          <w:lang w:val="es-CL"/>
        </w:rPr>
        <w:t xml:space="preserve">Private Health Insurance (Medical Devices and Human Tissue Products) Rules (No. </w:t>
      </w:r>
      <w:r w:rsidR="00E63A71">
        <w:rPr>
          <w:lang w:val="es-CL"/>
        </w:rPr>
        <w:t>1</w:t>
      </w:r>
      <w:r>
        <w:rPr>
          <w:lang w:val="es-CL"/>
        </w:rPr>
        <w:t>) </w:t>
      </w:r>
      <w:r w:rsidR="00151552">
        <w:rPr>
          <w:lang w:val="es-CL"/>
        </w:rPr>
        <w:t>2024</w:t>
      </w:r>
    </w:p>
    <w:p w14:paraId="3AB3B854" w14:textId="0F2D5690" w:rsidR="00A62D00" w:rsidRPr="00321C09" w:rsidRDefault="00A62D00" w:rsidP="00A62D00">
      <w:pPr>
        <w:pStyle w:val="SignCoverPageStart"/>
        <w:rPr>
          <w:szCs w:val="22"/>
        </w:rPr>
      </w:pPr>
      <w:r w:rsidRPr="00321C09">
        <w:rPr>
          <w:szCs w:val="22"/>
        </w:rPr>
        <w:t xml:space="preserve">I, </w:t>
      </w:r>
      <w:r>
        <w:rPr>
          <w:szCs w:val="22"/>
        </w:rPr>
        <w:t>Andrew Rintoul</w:t>
      </w:r>
      <w:r w:rsidRPr="00321C09">
        <w:rPr>
          <w:szCs w:val="22"/>
        </w:rPr>
        <w:t>, as delegate of the Minister for Health and Aged Care, make the following rules.</w:t>
      </w:r>
    </w:p>
    <w:p w14:paraId="1BB35026" w14:textId="67998265" w:rsidR="00A62D00" w:rsidRPr="00321C09" w:rsidRDefault="00A62D00" w:rsidP="00A62D00">
      <w:pPr>
        <w:keepNext/>
        <w:spacing w:before="300" w:line="240" w:lineRule="atLeast"/>
        <w:ind w:right="397"/>
        <w:jc w:val="both"/>
        <w:rPr>
          <w:szCs w:val="22"/>
        </w:rPr>
      </w:pPr>
      <w:r w:rsidRPr="00321C09">
        <w:rPr>
          <w:szCs w:val="22"/>
        </w:rPr>
        <w:t>Dated</w:t>
      </w:r>
      <w:r w:rsidRPr="00321C09">
        <w:rPr>
          <w:szCs w:val="22"/>
        </w:rPr>
        <w:tab/>
      </w:r>
      <w:r w:rsidRPr="00321C09">
        <w:rPr>
          <w:szCs w:val="22"/>
        </w:rPr>
        <w:tab/>
      </w:r>
      <w:r w:rsidR="0062284C">
        <w:rPr>
          <w:szCs w:val="22"/>
        </w:rPr>
        <w:t>21</w:t>
      </w:r>
      <w:r w:rsidR="00221F7A">
        <w:rPr>
          <w:szCs w:val="22"/>
        </w:rPr>
        <w:t xml:space="preserve">    </w:t>
      </w:r>
      <w:r w:rsidR="00DE5B4C">
        <w:rPr>
          <w:szCs w:val="22"/>
        </w:rPr>
        <w:t xml:space="preserve"> June</w:t>
      </w:r>
      <w:r w:rsidR="00221F7A">
        <w:rPr>
          <w:szCs w:val="22"/>
        </w:rPr>
        <w:t xml:space="preserve"> </w:t>
      </w:r>
      <w:r w:rsidR="00BA3D38" w:rsidRPr="00321C09">
        <w:rPr>
          <w:szCs w:val="22"/>
        </w:rPr>
        <w:fldChar w:fldCharType="begin"/>
      </w:r>
      <w:r w:rsidR="00BA3D38" w:rsidRPr="00321C09">
        <w:rPr>
          <w:szCs w:val="22"/>
        </w:rPr>
        <w:instrText xml:space="preserve"> DOCPROPERTY  DateMade </w:instrText>
      </w:r>
      <w:r w:rsidR="00BA3D38" w:rsidRPr="00321C09">
        <w:rPr>
          <w:szCs w:val="22"/>
        </w:rPr>
        <w:fldChar w:fldCharType="separate"/>
      </w:r>
      <w:r w:rsidR="00BA3D38">
        <w:rPr>
          <w:szCs w:val="22"/>
        </w:rPr>
        <w:t>2024</w:t>
      </w:r>
      <w:r w:rsidR="00BA3D38" w:rsidRPr="00321C09">
        <w:rPr>
          <w:szCs w:val="22"/>
        </w:rPr>
        <w:fldChar w:fldCharType="end"/>
      </w:r>
    </w:p>
    <w:p w14:paraId="49168F48" w14:textId="27F36083" w:rsidR="00A62D00" w:rsidRPr="00321C09" w:rsidRDefault="00E8780A" w:rsidP="00A62D0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Andrew Rintoul</w:t>
      </w:r>
    </w:p>
    <w:p w14:paraId="01838FF5" w14:textId="14DC5DCD" w:rsidR="00A62D00" w:rsidRPr="00321C09" w:rsidRDefault="00A62D00" w:rsidP="00A62D00">
      <w:pPr>
        <w:pStyle w:val="SignCoverPageEnd"/>
        <w:rPr>
          <w:szCs w:val="22"/>
        </w:rPr>
      </w:pPr>
      <w:r w:rsidRPr="00321C09">
        <w:rPr>
          <w:szCs w:val="22"/>
        </w:rPr>
        <w:t>Assistant Secretary</w:t>
      </w:r>
      <w:r w:rsidRPr="00321C09">
        <w:rPr>
          <w:szCs w:val="22"/>
        </w:rPr>
        <w:br/>
      </w:r>
      <w:r w:rsidR="00676B34">
        <w:rPr>
          <w:szCs w:val="22"/>
        </w:rPr>
        <w:t>Prescribed</w:t>
      </w:r>
      <w:r w:rsidR="00676B34" w:rsidRPr="00321C09">
        <w:rPr>
          <w:szCs w:val="22"/>
        </w:rPr>
        <w:t xml:space="preserve"> </w:t>
      </w:r>
      <w:r w:rsidRPr="00321C09">
        <w:rPr>
          <w:szCs w:val="22"/>
        </w:rPr>
        <w:t>List Reform Taskforce</w:t>
      </w:r>
      <w:r w:rsidRPr="00321C09">
        <w:rPr>
          <w:szCs w:val="22"/>
        </w:rPr>
        <w:br/>
        <w:t>Technology Assessment and Access Division</w:t>
      </w:r>
      <w:r w:rsidRPr="00321C09">
        <w:rPr>
          <w:szCs w:val="22"/>
        </w:rPr>
        <w:br/>
        <w:t>Health Resourcing Group</w:t>
      </w:r>
      <w:r w:rsidRPr="00321C09">
        <w:rPr>
          <w:szCs w:val="22"/>
        </w:rPr>
        <w:br/>
        <w:t>Department of Health and Aged Care</w:t>
      </w:r>
    </w:p>
    <w:p w14:paraId="2F365277" w14:textId="77777777" w:rsidR="00A62D00" w:rsidRPr="00321C09" w:rsidRDefault="00A62D00" w:rsidP="00A62D00"/>
    <w:p w14:paraId="009E7D4A" w14:textId="77777777" w:rsidR="00313C2B" w:rsidRPr="00ED79B6" w:rsidRDefault="00313C2B" w:rsidP="00313C2B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5B392F63" w14:textId="77777777" w:rsidR="00313C2B" w:rsidRPr="00ED79B6" w:rsidRDefault="00313C2B" w:rsidP="00313C2B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3BDBC8F3" w14:textId="77777777" w:rsidR="00313C2B" w:rsidRDefault="00313C2B" w:rsidP="00313C2B">
      <w:pPr>
        <w:sectPr w:rsidR="00313C2B" w:rsidSect="002E535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3417" w:gutter="0"/>
          <w:cols w:space="708"/>
          <w:titlePg/>
          <w:docGrid w:linePitch="360"/>
        </w:sectPr>
      </w:pPr>
    </w:p>
    <w:p w14:paraId="53A59DFC" w14:textId="77777777" w:rsidR="00F67BCA" w:rsidRPr="00CE3138" w:rsidRDefault="00715914" w:rsidP="00715914">
      <w:pPr>
        <w:outlineLvl w:val="0"/>
        <w:rPr>
          <w:sz w:val="36"/>
        </w:rPr>
      </w:pPr>
      <w:r w:rsidRPr="00CE3138">
        <w:rPr>
          <w:sz w:val="36"/>
        </w:rPr>
        <w:lastRenderedPageBreak/>
        <w:t>Contents</w:t>
      </w:r>
    </w:p>
    <w:p w14:paraId="52B35873" w14:textId="2427014F" w:rsidR="00DE5B4C" w:rsidRDefault="0075466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DD2DDE">
        <w:fldChar w:fldCharType="begin"/>
      </w:r>
      <w:r w:rsidRPr="00CE3138">
        <w:instrText xml:space="preserve"> TOC \o "1-9" </w:instrText>
      </w:r>
      <w:r w:rsidRPr="00DD2DDE">
        <w:fldChar w:fldCharType="separate"/>
      </w:r>
      <w:r w:rsidR="00DE5B4C">
        <w:rPr>
          <w:noProof/>
        </w:rPr>
        <w:t>Part 1—Preliminary</w:t>
      </w:r>
      <w:r w:rsidR="00DE5B4C">
        <w:rPr>
          <w:noProof/>
        </w:rPr>
        <w:tab/>
      </w:r>
      <w:r w:rsidR="00DE5B4C">
        <w:rPr>
          <w:noProof/>
        </w:rPr>
        <w:fldChar w:fldCharType="begin"/>
      </w:r>
      <w:r w:rsidR="00DE5B4C">
        <w:rPr>
          <w:noProof/>
        </w:rPr>
        <w:instrText xml:space="preserve"> PAGEREF _Toc169882155 \h </w:instrText>
      </w:r>
      <w:r w:rsidR="00DE5B4C">
        <w:rPr>
          <w:noProof/>
        </w:rPr>
      </w:r>
      <w:r w:rsidR="00DE5B4C">
        <w:rPr>
          <w:noProof/>
        </w:rPr>
        <w:fldChar w:fldCharType="separate"/>
      </w:r>
      <w:r w:rsidR="00DE5B4C">
        <w:rPr>
          <w:noProof/>
        </w:rPr>
        <w:t>1</w:t>
      </w:r>
      <w:r w:rsidR="00DE5B4C">
        <w:rPr>
          <w:noProof/>
        </w:rPr>
        <w:fldChar w:fldCharType="end"/>
      </w:r>
    </w:p>
    <w:p w14:paraId="4555042E" w14:textId="4A556216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8E1F5E" w14:textId="6D58FCE2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563E01" w14:textId="018677A6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957292" w14:textId="26A60455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Repeal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592C71" w14:textId="792CEC9F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30AF059" w14:textId="6110DEBA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 xml:space="preserve">6  Meaning of </w:t>
      </w:r>
      <w:r w:rsidRPr="00BA6169">
        <w:rPr>
          <w:i/>
          <w:noProof/>
        </w:rPr>
        <w:t>medical device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5B36591" w14:textId="5FC08499" w:rsidR="00DE5B4C" w:rsidRDefault="00DE5B4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2—Benefit requirements for private health insurance policies that cover hospital treatment and hospital</w:t>
      </w:r>
      <w:r>
        <w:rPr>
          <w:noProof/>
        </w:rPr>
        <w:noBreakHyphen/>
        <w:t>substitute treatment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E4C4059" w14:textId="54C2021E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  Listing of medical devices and human tissue products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4D538D" w14:textId="5581A5D9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  Circumstances in which listed items are provided—other than circumstances in which a medicare benefit is payable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78B0B10" w14:textId="306039C6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9  Conditions to be satisfied in relation to the provision of listed items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C341930" w14:textId="516423CB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10  Benefits for listed items provided as part of hospital treatment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5B71F02" w14:textId="0348C54E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11  Benefits for listed items provided as part of hospital</w:t>
      </w:r>
      <w:r>
        <w:rPr>
          <w:noProof/>
        </w:rPr>
        <w:noBreakHyphen/>
        <w:t>substitute treatment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D2D37A9" w14:textId="6D86C156" w:rsidR="00DE5B4C" w:rsidRDefault="00DE5B4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A6169">
        <w:rPr>
          <w:rFonts w:eastAsia="MS Mincho"/>
          <w:noProof/>
        </w:rPr>
        <w:t>Part 3—Listing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ABD477B" w14:textId="51000538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A6169">
        <w:rPr>
          <w:rFonts w:eastAsia="MS Mincho"/>
          <w:noProof/>
        </w:rPr>
        <w:t>12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A6C018A" w14:textId="4AAF7F96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A6169">
        <w:rPr>
          <w:rFonts w:eastAsia="MS Mincho"/>
          <w:noProof/>
        </w:rPr>
        <w:t>13  General listing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C83EC63" w14:textId="25D5B783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14  Listing criteria for medical devices to be listed in Part A of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C108953" w14:textId="3A6549B9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15  Listing criteria for human tissue products to be listed in Part B of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1711C8E" w14:textId="790529AC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16  Listing criteria for medical devices to be listed in Part C of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B614089" w14:textId="34FCC1E5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17  Listing criteria for medical devices to be listed in Part D of 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CF5B684" w14:textId="52C2753E" w:rsidR="00DE5B4C" w:rsidRDefault="00DE5B4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A6169">
        <w:rPr>
          <w:rFonts w:eastAsia="MS Mincho"/>
          <w:noProof/>
        </w:rPr>
        <w:t>Part 4—Cost</w:t>
      </w:r>
      <w:r w:rsidRPr="00BA6169">
        <w:rPr>
          <w:rFonts w:eastAsia="MS Mincho"/>
          <w:noProof/>
        </w:rPr>
        <w:noBreakHyphen/>
        <w:t>recovery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967AB43" w14:textId="20DEB950" w:rsidR="00DE5B4C" w:rsidRDefault="00DE5B4C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r>
        <w:rPr>
          <w:noProof/>
        </w:rPr>
        <w:t>Division 1—Cost</w:t>
      </w:r>
      <w:r>
        <w:rPr>
          <w:noProof/>
        </w:rPr>
        <w:noBreakHyphen/>
        <w:t>recovery fees relating to medical devices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92203DA" w14:textId="04807E4C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18  Cost</w:t>
      </w:r>
      <w:r>
        <w:rPr>
          <w:noProof/>
        </w:rPr>
        <w:noBreakHyphen/>
        <w:t>recovery fees that may be charged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8FAAC39" w14:textId="473BAA6B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19  Clinical assessment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3ADBB03" w14:textId="59289AD6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20  Economic assessment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AEC0D54" w14:textId="04313C25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21  Full health technology assessment pathway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CC7FB93" w14:textId="3D20AEAB" w:rsidR="00DE5B4C" w:rsidRDefault="00DE5B4C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r>
        <w:rPr>
          <w:noProof/>
        </w:rPr>
        <w:t>Division 2—Payment of cost</w:t>
      </w:r>
      <w:r>
        <w:rPr>
          <w:noProof/>
        </w:rPr>
        <w:noBreakHyphen/>
        <w:t>recovery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F0B08C0" w14:textId="75528761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22  When cost</w:t>
      </w:r>
      <w:r>
        <w:rPr>
          <w:noProof/>
        </w:rPr>
        <w:noBreakHyphen/>
        <w:t>recovery fee must be paid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55B7921" w14:textId="46514F4A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23  Person liable to pay cost</w:t>
      </w:r>
      <w:r>
        <w:rPr>
          <w:noProof/>
        </w:rPr>
        <w:noBreakHyphen/>
        <w:t>recovery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4142B67D" w14:textId="5A4E9CAC" w:rsidR="00DE5B4C" w:rsidRDefault="00DE5B4C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r>
        <w:rPr>
          <w:noProof/>
        </w:rPr>
        <w:t>Division 3—Refunds and waiver of cost</w:t>
      </w:r>
      <w:r>
        <w:rPr>
          <w:noProof/>
        </w:rPr>
        <w:noBreakHyphen/>
        <w:t>recovery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75FA889" w14:textId="2D2D14BE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24  Refunds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BD1626A" w14:textId="0A5156C9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25  Waiver of cost</w:t>
      </w:r>
      <w:r>
        <w:rPr>
          <w:noProof/>
        </w:rPr>
        <w:noBreakHyphen/>
        <w:t>recovery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AB963C2" w14:textId="73F2D180" w:rsidR="00DE5B4C" w:rsidRDefault="00DE5B4C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r>
        <w:rPr>
          <w:noProof/>
        </w:rPr>
        <w:t>Division 4—Review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1534EF02" w14:textId="2E70096C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26  Reviewable decisions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AC1D7ED" w14:textId="5E9E21F9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27</w:t>
      </w:r>
      <w:r w:rsidRPr="00BA6169">
        <w:rPr>
          <w:rFonts w:eastAsia="MS Mincho"/>
          <w:noProof/>
        </w:rPr>
        <w:t xml:space="preserve">  </w:t>
      </w:r>
      <w:r>
        <w:rPr>
          <w:noProof/>
        </w:rPr>
        <w:t>Notice of review rights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69855B6A" w14:textId="43843C87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28  Internal review of decisions made by delegates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3C10D3D0" w14:textId="496DCF8F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29  Notice of overpayment as a result of a review decision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6C9AB863" w14:textId="3C85669A" w:rsidR="00DE5B4C" w:rsidRDefault="00DE5B4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A6169">
        <w:rPr>
          <w:rFonts w:eastAsia="MS Mincho"/>
          <w:noProof/>
        </w:rPr>
        <w:t>Part 5—Miscellaneous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06A0A867" w14:textId="70381143" w:rsidR="00DE5B4C" w:rsidRDefault="00DE5B4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30  Minister may have regard to recommendations and advice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_Toc169882193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566BCF54" w14:textId="5C692366" w:rsidR="00670EA1" w:rsidRDefault="0075466A" w:rsidP="00715914">
      <w:pPr>
        <w:rPr>
          <w:rFonts w:cs="Times New Roman"/>
          <w:sz w:val="18"/>
        </w:rPr>
      </w:pPr>
      <w:r w:rsidRPr="00DD2DDE">
        <w:rPr>
          <w:rFonts w:cs="Times New Roman"/>
          <w:sz w:val="18"/>
        </w:rPr>
        <w:fldChar w:fldCharType="end"/>
      </w:r>
    </w:p>
    <w:p w14:paraId="656AE4D8" w14:textId="77777777" w:rsidR="00113B13" w:rsidRPr="007A5B39" w:rsidRDefault="00113B13" w:rsidP="00113B13">
      <w:pPr>
        <w:sectPr w:rsidR="00113B13" w:rsidRPr="007A5B39" w:rsidSect="002E535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381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233ABC" w14:textId="77777777" w:rsidR="00A26880" w:rsidRPr="00CE3138" w:rsidRDefault="00A26880" w:rsidP="00A26880">
      <w:pPr>
        <w:pStyle w:val="ActHead2"/>
      </w:pPr>
      <w:bookmarkStart w:id="0" w:name="_Toc169882155"/>
      <w:r w:rsidRPr="00CE3138">
        <w:rPr>
          <w:rStyle w:val="CharPartNo"/>
        </w:rPr>
        <w:lastRenderedPageBreak/>
        <w:t>Part 1</w:t>
      </w:r>
      <w:r w:rsidRPr="00CE3138">
        <w:t>—</w:t>
      </w:r>
      <w:r w:rsidRPr="00CE3138">
        <w:rPr>
          <w:rStyle w:val="CharPartText"/>
        </w:rPr>
        <w:t>Preliminary</w:t>
      </w:r>
      <w:bookmarkEnd w:id="0"/>
    </w:p>
    <w:p w14:paraId="0E910303" w14:textId="77777777" w:rsidR="00A26880" w:rsidRPr="00CE3138" w:rsidRDefault="00A26880" w:rsidP="00A26880">
      <w:pPr>
        <w:pStyle w:val="Header"/>
      </w:pPr>
      <w:r w:rsidRPr="00CE3138">
        <w:rPr>
          <w:rStyle w:val="CharDivNo"/>
        </w:rPr>
        <w:t xml:space="preserve"> </w:t>
      </w:r>
      <w:r w:rsidRPr="00CE3138">
        <w:rPr>
          <w:rStyle w:val="CharDivText"/>
        </w:rPr>
        <w:t xml:space="preserve"> </w:t>
      </w:r>
    </w:p>
    <w:p w14:paraId="6C2D385B" w14:textId="77777777" w:rsidR="00A26880" w:rsidRPr="00CE3138" w:rsidRDefault="00A1043E" w:rsidP="00A26880">
      <w:pPr>
        <w:pStyle w:val="ActHead5"/>
      </w:pPr>
      <w:bookmarkStart w:id="1" w:name="_Toc169882156"/>
      <w:r w:rsidRPr="00CE3138">
        <w:rPr>
          <w:rStyle w:val="CharSectno"/>
        </w:rPr>
        <w:t>1</w:t>
      </w:r>
      <w:r w:rsidR="00A26880" w:rsidRPr="00CE3138">
        <w:t xml:space="preserve">  Name</w:t>
      </w:r>
      <w:bookmarkEnd w:id="1"/>
    </w:p>
    <w:p w14:paraId="1DD7EE57" w14:textId="2C4B0D1D" w:rsidR="00A26880" w:rsidRPr="00CE3138" w:rsidRDefault="00A26880" w:rsidP="00A26880">
      <w:pPr>
        <w:pStyle w:val="subsection"/>
      </w:pPr>
      <w:r w:rsidRPr="00CE3138">
        <w:tab/>
      </w:r>
      <w:r w:rsidRPr="00CE3138">
        <w:tab/>
        <w:t xml:space="preserve">This instrument is the </w:t>
      </w:r>
      <w:r w:rsidRPr="00CE3138">
        <w:rPr>
          <w:i/>
        </w:rPr>
        <w:t xml:space="preserve">Private Health Insurance (Medical Devices and Human Tissue Products) </w:t>
      </w:r>
      <w:r w:rsidR="00255238" w:rsidRPr="00CE3138">
        <w:rPr>
          <w:i/>
        </w:rPr>
        <w:t>Rules</w:t>
      </w:r>
      <w:r w:rsidR="005171EF" w:rsidRPr="00CE3138">
        <w:rPr>
          <w:i/>
        </w:rPr>
        <w:t xml:space="preserve"> (No. </w:t>
      </w:r>
      <w:r w:rsidR="00BA3D38">
        <w:rPr>
          <w:i/>
        </w:rPr>
        <w:t>1</w:t>
      </w:r>
      <w:r w:rsidR="005171EF" w:rsidRPr="00CE3138">
        <w:rPr>
          <w:i/>
        </w:rPr>
        <w:t>)</w:t>
      </w:r>
      <w:r w:rsidR="00255238" w:rsidRPr="00CE3138">
        <w:rPr>
          <w:i/>
        </w:rPr>
        <w:t> </w:t>
      </w:r>
      <w:r w:rsidR="00BA3D38" w:rsidRPr="00CE3138">
        <w:rPr>
          <w:i/>
        </w:rPr>
        <w:t>202</w:t>
      </w:r>
      <w:r w:rsidR="00BA3D38">
        <w:rPr>
          <w:i/>
        </w:rPr>
        <w:t>4</w:t>
      </w:r>
      <w:r w:rsidRPr="00CE3138">
        <w:t>.</w:t>
      </w:r>
    </w:p>
    <w:p w14:paraId="7FDF316E" w14:textId="77777777" w:rsidR="00A26880" w:rsidRPr="00CE3138" w:rsidRDefault="00A1043E" w:rsidP="00A26880">
      <w:pPr>
        <w:pStyle w:val="ActHead5"/>
      </w:pPr>
      <w:bookmarkStart w:id="2" w:name="_Toc169882157"/>
      <w:r w:rsidRPr="00CE3138">
        <w:rPr>
          <w:rStyle w:val="CharSectno"/>
        </w:rPr>
        <w:t>2</w:t>
      </w:r>
      <w:r w:rsidR="00A26880" w:rsidRPr="00CE3138">
        <w:t xml:space="preserve">  Commencement</w:t>
      </w:r>
      <w:bookmarkEnd w:id="2"/>
    </w:p>
    <w:p w14:paraId="30784126" w14:textId="77777777" w:rsidR="00A26880" w:rsidRPr="00CE3138" w:rsidRDefault="00A26880" w:rsidP="00A26880">
      <w:pPr>
        <w:pStyle w:val="subsection"/>
      </w:pPr>
      <w:r w:rsidRPr="00CE3138">
        <w:tab/>
        <w:t>(1)</w:t>
      </w:r>
      <w:r w:rsidRPr="00CE313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0680FC5" w14:textId="77777777" w:rsidR="00A26880" w:rsidRPr="00CE3138" w:rsidRDefault="00A26880" w:rsidP="00A2688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A26880" w:rsidRPr="00CE3138" w14:paraId="2667F3BA" w14:textId="77777777" w:rsidTr="00313C2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31BE8E" w14:textId="77777777" w:rsidR="00A26880" w:rsidRPr="00CE3138" w:rsidRDefault="00A26880" w:rsidP="00A26880">
            <w:pPr>
              <w:pStyle w:val="TableHeading"/>
            </w:pPr>
            <w:r w:rsidRPr="00CE3138">
              <w:t>Commencement information</w:t>
            </w:r>
          </w:p>
        </w:tc>
      </w:tr>
      <w:tr w:rsidR="00A26880" w:rsidRPr="00CE3138" w14:paraId="204B9942" w14:textId="77777777" w:rsidTr="00313C2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FDEB81" w14:textId="77777777" w:rsidR="00A26880" w:rsidRPr="00CE3138" w:rsidRDefault="00A26880" w:rsidP="00A26880">
            <w:pPr>
              <w:pStyle w:val="TableHeading"/>
            </w:pPr>
            <w:r w:rsidRPr="00CE3138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40A8E7" w14:textId="77777777" w:rsidR="00A26880" w:rsidRPr="00CE3138" w:rsidRDefault="00A26880" w:rsidP="00A26880">
            <w:pPr>
              <w:pStyle w:val="TableHeading"/>
            </w:pPr>
            <w:r w:rsidRPr="00CE3138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C7545" w14:textId="77777777" w:rsidR="00A26880" w:rsidRPr="00CE3138" w:rsidRDefault="00A26880" w:rsidP="00A26880">
            <w:pPr>
              <w:pStyle w:val="TableHeading"/>
            </w:pPr>
            <w:r w:rsidRPr="00CE3138">
              <w:t>Column 3</w:t>
            </w:r>
          </w:p>
        </w:tc>
      </w:tr>
      <w:tr w:rsidR="00A26880" w:rsidRPr="00CE3138" w14:paraId="5F001CB4" w14:textId="77777777" w:rsidTr="00313C2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432D81" w14:textId="77777777" w:rsidR="00A26880" w:rsidRPr="00CE3138" w:rsidRDefault="00A26880" w:rsidP="00A26880">
            <w:pPr>
              <w:pStyle w:val="TableHeading"/>
            </w:pPr>
            <w:r w:rsidRPr="00CE3138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356E01" w14:textId="77777777" w:rsidR="00A26880" w:rsidRPr="00CE3138" w:rsidRDefault="00A26880" w:rsidP="00A26880">
            <w:pPr>
              <w:pStyle w:val="TableHeading"/>
            </w:pPr>
            <w:r w:rsidRPr="00CE3138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C9E26B" w14:textId="77777777" w:rsidR="00A26880" w:rsidRPr="00CE3138" w:rsidRDefault="00A26880" w:rsidP="00A26880">
            <w:pPr>
              <w:pStyle w:val="TableHeading"/>
            </w:pPr>
            <w:r w:rsidRPr="00CE3138">
              <w:t>Date/Details</w:t>
            </w:r>
          </w:p>
        </w:tc>
      </w:tr>
      <w:tr w:rsidR="00A26880" w:rsidRPr="00CE3138" w14:paraId="3E0613EC" w14:textId="77777777" w:rsidTr="00313C2B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5A0C92" w14:textId="77777777" w:rsidR="00A26880" w:rsidRPr="00CE3138" w:rsidRDefault="00A26880" w:rsidP="00A26880">
            <w:pPr>
              <w:pStyle w:val="Tabletext"/>
            </w:pPr>
            <w:r w:rsidRPr="00CE3138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A0F515" w14:textId="5F6F3D81" w:rsidR="00A26880" w:rsidRPr="00CE3138" w:rsidRDefault="00DC46F8" w:rsidP="00A26880">
            <w:pPr>
              <w:pStyle w:val="Tabletext"/>
            </w:pPr>
            <w:r w:rsidRPr="00CE3138">
              <w:t>1 </w:t>
            </w:r>
            <w:r w:rsidR="00C84A46">
              <w:t>July 2024</w:t>
            </w:r>
            <w:r w:rsidR="00A26880" w:rsidRPr="00CE3138">
              <w:t>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E721BE" w14:textId="4F8AB4DD" w:rsidR="00A26880" w:rsidRPr="00CE3138" w:rsidRDefault="00DC46F8" w:rsidP="00A26880">
            <w:pPr>
              <w:pStyle w:val="Tabletext"/>
            </w:pPr>
            <w:r w:rsidRPr="00CE3138">
              <w:t>1 </w:t>
            </w:r>
            <w:r w:rsidR="00E82DAD">
              <w:t xml:space="preserve">July </w:t>
            </w:r>
            <w:r w:rsidR="00E82DAD" w:rsidRPr="00CE3138">
              <w:t>202</w:t>
            </w:r>
            <w:r w:rsidR="00E82DAD">
              <w:t>4</w:t>
            </w:r>
          </w:p>
        </w:tc>
      </w:tr>
    </w:tbl>
    <w:p w14:paraId="0A370A6C" w14:textId="77777777" w:rsidR="00A26880" w:rsidRPr="00CE3138" w:rsidRDefault="00A26880" w:rsidP="00A26880">
      <w:pPr>
        <w:pStyle w:val="notetext"/>
      </w:pPr>
      <w:r w:rsidRPr="00CE3138">
        <w:rPr>
          <w:snapToGrid w:val="0"/>
          <w:lang w:eastAsia="en-US"/>
        </w:rPr>
        <w:t>Note:</w:t>
      </w:r>
      <w:r w:rsidRPr="00CE3138">
        <w:rPr>
          <w:snapToGrid w:val="0"/>
          <w:lang w:eastAsia="en-US"/>
        </w:rPr>
        <w:tab/>
        <w:t>This table relates only to the provisions of this instrument</w:t>
      </w:r>
      <w:r w:rsidRPr="00CE3138">
        <w:t xml:space="preserve"> </w:t>
      </w:r>
      <w:r w:rsidRPr="00CE3138">
        <w:rPr>
          <w:snapToGrid w:val="0"/>
          <w:lang w:eastAsia="en-US"/>
        </w:rPr>
        <w:t>as originally made. It will not be amended to deal with any later amendments of this instrument.</w:t>
      </w:r>
    </w:p>
    <w:p w14:paraId="7C978D53" w14:textId="77777777" w:rsidR="00A26880" w:rsidRPr="00CE3138" w:rsidRDefault="00A26880" w:rsidP="00A26880">
      <w:pPr>
        <w:pStyle w:val="subsection"/>
      </w:pPr>
      <w:r w:rsidRPr="00CE3138">
        <w:tab/>
        <w:t>(2)</w:t>
      </w:r>
      <w:r w:rsidRPr="00CE313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D159CEA" w14:textId="77777777" w:rsidR="00A26880" w:rsidRPr="00CE3138" w:rsidRDefault="00A1043E" w:rsidP="00A26880">
      <w:pPr>
        <w:pStyle w:val="ActHead5"/>
      </w:pPr>
      <w:bookmarkStart w:id="3" w:name="_Toc169882158"/>
      <w:r w:rsidRPr="00CE3138">
        <w:rPr>
          <w:rStyle w:val="CharSectno"/>
        </w:rPr>
        <w:t>3</w:t>
      </w:r>
      <w:r w:rsidR="00A26880" w:rsidRPr="00CE3138">
        <w:t xml:space="preserve">  Authority</w:t>
      </w:r>
      <w:bookmarkEnd w:id="3"/>
    </w:p>
    <w:p w14:paraId="2131AF47" w14:textId="4E762ACE" w:rsidR="00A26880" w:rsidRPr="00CE3138" w:rsidRDefault="00A26880" w:rsidP="00A26880">
      <w:pPr>
        <w:pStyle w:val="subsection"/>
      </w:pPr>
      <w:r w:rsidRPr="00CE3138">
        <w:tab/>
      </w:r>
      <w:r w:rsidRPr="00CE3138">
        <w:tab/>
        <w:t xml:space="preserve">This instrument is made under </w:t>
      </w:r>
      <w:r w:rsidR="000C3044" w:rsidRPr="00CE3138">
        <w:t>item 4</w:t>
      </w:r>
      <w:r w:rsidRPr="00CE3138">
        <w:t xml:space="preserve"> of the table in </w:t>
      </w:r>
      <w:r w:rsidR="000C3044" w:rsidRPr="00CE3138">
        <w:t>section 3</w:t>
      </w:r>
      <w:r w:rsidRPr="00CE3138">
        <w:t>33</w:t>
      </w:r>
      <w:bookmarkStart w:id="4" w:name="_Hlk144728706"/>
      <w:r w:rsidR="003D794E" w:rsidRPr="00CE3138">
        <w:noBreakHyphen/>
      </w:r>
      <w:r w:rsidRPr="00CE3138">
        <w:t>20</w:t>
      </w:r>
      <w:bookmarkEnd w:id="4"/>
      <w:r w:rsidRPr="00CE3138">
        <w:t xml:space="preserve"> of the </w:t>
      </w:r>
      <w:r w:rsidRPr="00CE3138">
        <w:rPr>
          <w:i/>
        </w:rPr>
        <w:t>Private Health Insurance Act 2007</w:t>
      </w:r>
      <w:r w:rsidRPr="00CE3138">
        <w:t>.</w:t>
      </w:r>
    </w:p>
    <w:p w14:paraId="2654F0B6" w14:textId="2D604F4B" w:rsidR="007A106A" w:rsidRPr="00CE3138" w:rsidRDefault="007A106A" w:rsidP="007A106A">
      <w:pPr>
        <w:pStyle w:val="ActHead5"/>
        <w:rPr>
          <w:rStyle w:val="CharSectno"/>
        </w:rPr>
      </w:pPr>
      <w:bookmarkStart w:id="5" w:name="_Toc169882159"/>
      <w:r w:rsidRPr="00CE3138">
        <w:rPr>
          <w:rStyle w:val="CharSectno"/>
        </w:rPr>
        <w:t>4  Repeal</w:t>
      </w:r>
      <w:bookmarkEnd w:id="5"/>
    </w:p>
    <w:p w14:paraId="62CEB926" w14:textId="174950AA" w:rsidR="007A106A" w:rsidRPr="00CE3138" w:rsidRDefault="007A106A" w:rsidP="007A106A">
      <w:pPr>
        <w:pStyle w:val="subsection"/>
        <w:rPr>
          <w:i/>
        </w:rPr>
      </w:pPr>
      <w:r w:rsidRPr="00CE3138">
        <w:tab/>
      </w:r>
      <w:r w:rsidRPr="00CE3138">
        <w:tab/>
        <w:t xml:space="preserve">The </w:t>
      </w:r>
      <w:r w:rsidRPr="00CE3138">
        <w:rPr>
          <w:i/>
          <w:iCs/>
        </w:rPr>
        <w:t xml:space="preserve">Private Health Insurance (Medical Devices and Human Tissue Products) Rules (No. </w:t>
      </w:r>
      <w:r w:rsidR="00CE6BD0">
        <w:rPr>
          <w:i/>
          <w:iCs/>
        </w:rPr>
        <w:t>2</w:t>
      </w:r>
      <w:r w:rsidRPr="00CE3138">
        <w:rPr>
          <w:i/>
          <w:iCs/>
        </w:rPr>
        <w:t>) 2023</w:t>
      </w:r>
      <w:r w:rsidRPr="00CE3138">
        <w:t xml:space="preserve"> is repealed.</w:t>
      </w:r>
    </w:p>
    <w:p w14:paraId="0A1DEA59" w14:textId="2A8B183C" w:rsidR="00A26880" w:rsidRPr="00CE3138" w:rsidRDefault="007A106A" w:rsidP="00A26880">
      <w:pPr>
        <w:pStyle w:val="ActHead5"/>
      </w:pPr>
      <w:bookmarkStart w:id="6" w:name="_Toc169882160"/>
      <w:r w:rsidRPr="00CE3138">
        <w:rPr>
          <w:rStyle w:val="CharSectno"/>
        </w:rPr>
        <w:t>5</w:t>
      </w:r>
      <w:r w:rsidRPr="00CE3138">
        <w:t xml:space="preserve">  </w:t>
      </w:r>
      <w:r w:rsidR="00A26880" w:rsidRPr="00CE3138">
        <w:t>Definitions</w:t>
      </w:r>
      <w:bookmarkEnd w:id="6"/>
    </w:p>
    <w:p w14:paraId="38B40A9C" w14:textId="77777777" w:rsidR="00A26880" w:rsidRPr="00CE3138" w:rsidRDefault="00A26880" w:rsidP="00A26880">
      <w:pPr>
        <w:pStyle w:val="notetext"/>
      </w:pPr>
      <w:r w:rsidRPr="00CE3138">
        <w:t>Note:</w:t>
      </w:r>
      <w:r w:rsidRPr="00CE3138">
        <w:tab/>
        <w:t>A number of expressions used in this instrument are defined in the Act, including the following:</w:t>
      </w:r>
    </w:p>
    <w:p w14:paraId="6E07D7F0" w14:textId="77777777" w:rsidR="00A26880" w:rsidRPr="00CE3138" w:rsidRDefault="00A26880" w:rsidP="00A26880">
      <w:pPr>
        <w:pStyle w:val="notepara"/>
        <w:ind w:left="2835" w:hanging="850"/>
      </w:pPr>
      <w:r w:rsidRPr="00CE3138">
        <w:t>(a)</w:t>
      </w:r>
      <w:r w:rsidRPr="00CE3138">
        <w:tab/>
        <w:t>complying health insurance policy;</w:t>
      </w:r>
    </w:p>
    <w:p w14:paraId="3DF40727" w14:textId="63C84151" w:rsidR="00A815B9" w:rsidRPr="00CE3138" w:rsidRDefault="00A26880" w:rsidP="00A26880">
      <w:pPr>
        <w:pStyle w:val="notepara"/>
        <w:ind w:left="2835" w:hanging="850"/>
      </w:pPr>
      <w:r w:rsidRPr="00CE3138">
        <w:t>(b)</w:t>
      </w:r>
      <w:r w:rsidRPr="00CE3138">
        <w:tab/>
      </w:r>
      <w:r w:rsidR="00A815B9" w:rsidRPr="00CE3138">
        <w:t>cost</w:t>
      </w:r>
      <w:r w:rsidR="003D794E" w:rsidRPr="00CE3138">
        <w:noBreakHyphen/>
      </w:r>
      <w:r w:rsidR="00A815B9" w:rsidRPr="00CE3138">
        <w:t>recovery fee;</w:t>
      </w:r>
    </w:p>
    <w:p w14:paraId="55C32B79" w14:textId="5C8B7F5A" w:rsidR="00A26880" w:rsidRPr="00CE3138" w:rsidRDefault="00A815B9" w:rsidP="00A26880">
      <w:pPr>
        <w:pStyle w:val="notepara"/>
        <w:ind w:left="2835" w:hanging="850"/>
      </w:pPr>
      <w:r w:rsidRPr="00CE3138">
        <w:t>(c)</w:t>
      </w:r>
      <w:r w:rsidRPr="00CE3138">
        <w:tab/>
      </w:r>
      <w:r w:rsidR="00A26880" w:rsidRPr="00CE3138">
        <w:t>hospital</w:t>
      </w:r>
      <w:r w:rsidR="003D794E" w:rsidRPr="00CE3138">
        <w:noBreakHyphen/>
      </w:r>
      <w:r w:rsidR="00A26880" w:rsidRPr="00CE3138">
        <w:t>substitute treatment;</w:t>
      </w:r>
    </w:p>
    <w:p w14:paraId="3B67A5A9" w14:textId="77777777" w:rsidR="00A26880" w:rsidRPr="00CE3138" w:rsidRDefault="00A26880" w:rsidP="00A26880">
      <w:pPr>
        <w:pStyle w:val="notepara"/>
        <w:ind w:left="2835" w:hanging="850"/>
      </w:pPr>
      <w:r w:rsidRPr="00CE3138">
        <w:t>(</w:t>
      </w:r>
      <w:r w:rsidR="00A815B9" w:rsidRPr="00CE3138">
        <w:t>d</w:t>
      </w:r>
      <w:r w:rsidRPr="00CE3138">
        <w:t>)</w:t>
      </w:r>
      <w:r w:rsidRPr="00CE3138">
        <w:tab/>
        <w:t>hospital treatment;</w:t>
      </w:r>
    </w:p>
    <w:p w14:paraId="124B2308" w14:textId="77777777" w:rsidR="00A26880" w:rsidRPr="00CE3138" w:rsidRDefault="00A26880" w:rsidP="00A26880">
      <w:pPr>
        <w:pStyle w:val="notepara"/>
        <w:ind w:left="2835" w:hanging="850"/>
      </w:pPr>
      <w:r w:rsidRPr="00CE3138">
        <w:t>(</w:t>
      </w:r>
      <w:r w:rsidR="00A815B9" w:rsidRPr="00CE3138">
        <w:t>e</w:t>
      </w:r>
      <w:r w:rsidRPr="00CE3138">
        <w:t>)</w:t>
      </w:r>
      <w:r w:rsidRPr="00CE3138">
        <w:tab/>
        <w:t>human tissue product;</w:t>
      </w:r>
    </w:p>
    <w:p w14:paraId="678BAD31" w14:textId="77777777" w:rsidR="00A26880" w:rsidRPr="00CE3138" w:rsidRDefault="00A26880" w:rsidP="00A26880">
      <w:pPr>
        <w:pStyle w:val="notepara"/>
        <w:ind w:left="2835" w:hanging="850"/>
      </w:pPr>
      <w:r w:rsidRPr="00CE3138">
        <w:t>(</w:t>
      </w:r>
      <w:r w:rsidR="00A815B9" w:rsidRPr="00CE3138">
        <w:t>f</w:t>
      </w:r>
      <w:r w:rsidRPr="00CE3138">
        <w:t>)</w:t>
      </w:r>
      <w:r w:rsidRPr="00CE3138">
        <w:tab/>
        <w:t>medical device;</w:t>
      </w:r>
    </w:p>
    <w:p w14:paraId="74800EFC" w14:textId="77777777" w:rsidR="00A26880" w:rsidRPr="00CE3138" w:rsidRDefault="00A26880" w:rsidP="00A26880">
      <w:pPr>
        <w:pStyle w:val="notepara"/>
        <w:ind w:left="2835" w:hanging="850"/>
      </w:pPr>
      <w:r w:rsidRPr="00CE3138">
        <w:t>(</w:t>
      </w:r>
      <w:r w:rsidR="00A815B9" w:rsidRPr="00CE3138">
        <w:t>g</w:t>
      </w:r>
      <w:r w:rsidRPr="00CE3138">
        <w:t>)</w:t>
      </w:r>
      <w:r w:rsidRPr="00CE3138">
        <w:tab/>
        <w:t>medicare benefit.</w:t>
      </w:r>
    </w:p>
    <w:p w14:paraId="6FCBBFBF" w14:textId="77777777" w:rsidR="00A26880" w:rsidRPr="00CE3138" w:rsidRDefault="00A26880" w:rsidP="00A26880">
      <w:pPr>
        <w:pStyle w:val="subsection"/>
      </w:pPr>
      <w:r w:rsidRPr="00CE3138">
        <w:tab/>
      </w:r>
      <w:r w:rsidR="001D6CB5" w:rsidRPr="00CE3138">
        <w:tab/>
        <w:t>In</w:t>
      </w:r>
      <w:r w:rsidRPr="00CE3138">
        <w:t xml:space="preserve"> this instrument:</w:t>
      </w:r>
    </w:p>
    <w:p w14:paraId="7687F94B" w14:textId="77777777" w:rsidR="00A26880" w:rsidRPr="00CE3138" w:rsidRDefault="00A26880" w:rsidP="00A26880">
      <w:pPr>
        <w:pStyle w:val="Definition"/>
      </w:pPr>
      <w:r w:rsidRPr="00CE3138">
        <w:rPr>
          <w:b/>
          <w:bCs/>
          <w:i/>
        </w:rPr>
        <w:t>Act</w:t>
      </w:r>
      <w:r w:rsidRPr="00CE3138">
        <w:rPr>
          <w:b/>
          <w:bCs/>
        </w:rPr>
        <w:t xml:space="preserve"> </w:t>
      </w:r>
      <w:r w:rsidRPr="00CE3138">
        <w:t xml:space="preserve">means the </w:t>
      </w:r>
      <w:r w:rsidRPr="00CE3138">
        <w:rPr>
          <w:i/>
        </w:rPr>
        <w:t>Private Health Insurance Act 2007</w:t>
      </w:r>
      <w:r w:rsidRPr="00CE3138">
        <w:t>.</w:t>
      </w:r>
    </w:p>
    <w:p w14:paraId="5973BCA3" w14:textId="77777777" w:rsidR="0012677E" w:rsidRPr="00CE3138" w:rsidRDefault="0012677E" w:rsidP="00A26880">
      <w:pPr>
        <w:pStyle w:val="Definition"/>
      </w:pPr>
      <w:r w:rsidRPr="00CE3138">
        <w:rPr>
          <w:b/>
          <w:i/>
        </w:rPr>
        <w:lastRenderedPageBreak/>
        <w:t>active implantable medical device</w:t>
      </w:r>
      <w:r w:rsidRPr="00CE3138">
        <w:t xml:space="preserve"> has the same meaning as in the </w:t>
      </w:r>
      <w:r w:rsidRPr="00CE3138">
        <w:rPr>
          <w:i/>
        </w:rPr>
        <w:t xml:space="preserve">Therapeutic Goods (Medical Devices) </w:t>
      </w:r>
      <w:r w:rsidR="00A5769C" w:rsidRPr="00CE3138">
        <w:rPr>
          <w:i/>
        </w:rPr>
        <w:t>Regulations 2</w:t>
      </w:r>
      <w:r w:rsidRPr="00CE3138">
        <w:rPr>
          <w:i/>
        </w:rPr>
        <w:t>002</w:t>
      </w:r>
      <w:r w:rsidRPr="00CE3138">
        <w:t>.</w:t>
      </w:r>
    </w:p>
    <w:p w14:paraId="4818A5F0" w14:textId="77777777" w:rsidR="00A26880" w:rsidRPr="00CE3138" w:rsidRDefault="00A26880" w:rsidP="00A26880">
      <w:pPr>
        <w:pStyle w:val="Definition"/>
        <w:rPr>
          <w:b/>
          <w:bCs/>
          <w:iCs/>
        </w:rPr>
      </w:pPr>
      <w:r w:rsidRPr="00CE3138">
        <w:rPr>
          <w:b/>
          <w:bCs/>
          <w:i/>
          <w:iCs/>
        </w:rPr>
        <w:t>certified overnight Type C procedure</w:t>
      </w:r>
      <w:r w:rsidRPr="00CE3138">
        <w:rPr>
          <w:b/>
          <w:bCs/>
          <w:iCs/>
        </w:rPr>
        <w:t xml:space="preserve"> </w:t>
      </w:r>
      <w:r w:rsidRPr="00CE3138">
        <w:t>has the same meaning as in</w:t>
      </w:r>
      <w:r w:rsidR="00A92DF6" w:rsidRPr="00CE3138">
        <w:t xml:space="preserve"> </w:t>
      </w:r>
      <w:r w:rsidRPr="00CE3138">
        <w:t xml:space="preserve">the </w:t>
      </w:r>
      <w:r w:rsidRPr="00CE3138">
        <w:rPr>
          <w:i/>
        </w:rPr>
        <w:t xml:space="preserve">Private Health Insurance (Benefit Requirements) </w:t>
      </w:r>
      <w:r w:rsidR="00255238" w:rsidRPr="00CE3138">
        <w:rPr>
          <w:i/>
        </w:rPr>
        <w:t>Rules 2</w:t>
      </w:r>
      <w:r w:rsidRPr="00CE3138">
        <w:rPr>
          <w:i/>
        </w:rPr>
        <w:t>011</w:t>
      </w:r>
      <w:r w:rsidRPr="00CE3138">
        <w:t>.</w:t>
      </w:r>
    </w:p>
    <w:p w14:paraId="74A2B12A" w14:textId="77777777" w:rsidR="00A26880" w:rsidRPr="00CE3138" w:rsidRDefault="00A26880" w:rsidP="006A2FF9">
      <w:pPr>
        <w:pStyle w:val="Definition"/>
      </w:pPr>
      <w:r w:rsidRPr="00CE3138">
        <w:rPr>
          <w:b/>
          <w:bCs/>
          <w:i/>
          <w:iCs/>
        </w:rPr>
        <w:t>certified Type C procedure</w:t>
      </w:r>
      <w:r w:rsidRPr="00CE3138">
        <w:rPr>
          <w:b/>
          <w:bCs/>
          <w:iCs/>
        </w:rPr>
        <w:t xml:space="preserve"> </w:t>
      </w:r>
      <w:r w:rsidRPr="00CE3138">
        <w:t xml:space="preserve">has the same meaning as in the </w:t>
      </w:r>
      <w:r w:rsidRPr="00CE3138">
        <w:rPr>
          <w:i/>
        </w:rPr>
        <w:t xml:space="preserve">Private Health Insurance (Benefit Requirements) </w:t>
      </w:r>
      <w:r w:rsidR="00255238" w:rsidRPr="00CE3138">
        <w:rPr>
          <w:i/>
        </w:rPr>
        <w:t>Rules 2</w:t>
      </w:r>
      <w:r w:rsidRPr="00CE3138">
        <w:rPr>
          <w:i/>
        </w:rPr>
        <w:t>011</w:t>
      </w:r>
      <w:r w:rsidRPr="00CE3138">
        <w:t>.</w:t>
      </w:r>
    </w:p>
    <w:p w14:paraId="20739551" w14:textId="72A83D15" w:rsidR="00E64BD0" w:rsidRPr="00CE3138" w:rsidRDefault="00E64BD0" w:rsidP="00E64BD0">
      <w:pPr>
        <w:pStyle w:val="Definition"/>
      </w:pPr>
      <w:r w:rsidRPr="00CE3138">
        <w:rPr>
          <w:b/>
          <w:i/>
        </w:rPr>
        <w:t>clinical assessment fee</w:t>
      </w:r>
      <w:r w:rsidRPr="00CE3138">
        <w:t xml:space="preserve">: see </w:t>
      </w:r>
      <w:r w:rsidR="00D24D39" w:rsidRPr="00CE3138">
        <w:t>subsection </w:t>
      </w:r>
      <w:r w:rsidR="00487FD3">
        <w:t>19</w:t>
      </w:r>
      <w:r w:rsidR="00AB5144" w:rsidRPr="002E1D7C">
        <w:t>(2)</w:t>
      </w:r>
      <w:r w:rsidRPr="00CE3138">
        <w:t>.</w:t>
      </w:r>
    </w:p>
    <w:p w14:paraId="0D33FE0D" w14:textId="77777777" w:rsidR="00A26880" w:rsidRPr="00CE3138" w:rsidRDefault="00A26880" w:rsidP="00141FF2">
      <w:pPr>
        <w:pStyle w:val="Definition"/>
      </w:pPr>
      <w:r w:rsidRPr="00CE3138">
        <w:rPr>
          <w:b/>
          <w:i/>
        </w:rPr>
        <w:t>consultant physician</w:t>
      </w:r>
      <w:r w:rsidRPr="00CE3138">
        <w:t xml:space="preserve"> has the same meaning as in the </w:t>
      </w:r>
      <w:r w:rsidRPr="00CE3138">
        <w:rPr>
          <w:i/>
        </w:rPr>
        <w:t>Health Insurance Act 1973</w:t>
      </w:r>
      <w:r w:rsidRPr="00CE3138">
        <w:t>.</w:t>
      </w:r>
    </w:p>
    <w:p w14:paraId="1EA5DFFD" w14:textId="3B3C38BA" w:rsidR="00A26880" w:rsidRPr="00CE3138" w:rsidRDefault="00A26880" w:rsidP="00A92DF6">
      <w:pPr>
        <w:pStyle w:val="Definition"/>
      </w:pPr>
      <w:r w:rsidRPr="00CE3138">
        <w:rPr>
          <w:b/>
          <w:i/>
        </w:rPr>
        <w:t>default minimum benefit</w:t>
      </w:r>
      <w:r w:rsidRPr="00CE3138">
        <w:rPr>
          <w:i/>
        </w:rPr>
        <w:t xml:space="preserve"> </w:t>
      </w:r>
      <w:r w:rsidRPr="00CE3138">
        <w:t>has the meaning given by subsection </w:t>
      </w:r>
      <w:r w:rsidR="0061589F">
        <w:t>10</w:t>
      </w:r>
      <w:r w:rsidRPr="00CE3138">
        <w:t>(</w:t>
      </w:r>
      <w:r w:rsidR="000D59BD" w:rsidRPr="00CE3138">
        <w:t>7</w:t>
      </w:r>
      <w:r w:rsidRPr="00CE3138">
        <w:t>)</w:t>
      </w:r>
      <w:r w:rsidRPr="00CE3138">
        <w:rPr>
          <w:i/>
        </w:rPr>
        <w:t>.</w:t>
      </w:r>
    </w:p>
    <w:p w14:paraId="5C8EA747" w14:textId="10591935" w:rsidR="00E64BD0" w:rsidRPr="00CE3138" w:rsidRDefault="00E64BD0" w:rsidP="00E64BD0">
      <w:pPr>
        <w:pStyle w:val="Definition"/>
      </w:pPr>
      <w:r w:rsidRPr="00CE3138">
        <w:rPr>
          <w:b/>
          <w:i/>
        </w:rPr>
        <w:t>economic assessment fee</w:t>
      </w:r>
      <w:r w:rsidRPr="00CE3138">
        <w:t xml:space="preserve">: see </w:t>
      </w:r>
      <w:r w:rsidR="00D24D39" w:rsidRPr="00CE3138">
        <w:t>subsection </w:t>
      </w:r>
      <w:bookmarkStart w:id="7" w:name="_Hlk158206212"/>
      <w:r w:rsidR="00A5764F">
        <w:t>20</w:t>
      </w:r>
      <w:r w:rsidR="00AB5144" w:rsidRPr="002E1D7C">
        <w:t>(2)</w:t>
      </w:r>
      <w:bookmarkEnd w:id="7"/>
      <w:r w:rsidRPr="00CE3138">
        <w:t>.</w:t>
      </w:r>
    </w:p>
    <w:p w14:paraId="3CD93AA4" w14:textId="06FDAA70" w:rsidR="007821CB" w:rsidRPr="008101DC" w:rsidRDefault="007821CB" w:rsidP="00E64BD0">
      <w:pPr>
        <w:pStyle w:val="Definition"/>
        <w:rPr>
          <w:bCs/>
          <w:iCs/>
        </w:rPr>
      </w:pPr>
      <w:r w:rsidRPr="007821CB">
        <w:rPr>
          <w:b/>
          <w:i/>
        </w:rPr>
        <w:t xml:space="preserve">former </w:t>
      </w:r>
      <w:r w:rsidR="00777983">
        <w:rPr>
          <w:b/>
          <w:i/>
        </w:rPr>
        <w:t>P</w:t>
      </w:r>
      <w:r w:rsidR="00FA5F8D">
        <w:rPr>
          <w:b/>
          <w:i/>
        </w:rPr>
        <w:t>rescribed</w:t>
      </w:r>
      <w:r w:rsidRPr="007821CB">
        <w:rPr>
          <w:b/>
          <w:i/>
        </w:rPr>
        <w:t xml:space="preserve"> </w:t>
      </w:r>
      <w:r w:rsidR="00777983">
        <w:rPr>
          <w:b/>
          <w:i/>
        </w:rPr>
        <w:t>L</w:t>
      </w:r>
      <w:r w:rsidRPr="007821CB">
        <w:rPr>
          <w:b/>
          <w:i/>
        </w:rPr>
        <w:t xml:space="preserve">ist </w:t>
      </w:r>
      <w:r w:rsidRPr="008101DC">
        <w:rPr>
          <w:bCs/>
          <w:iCs/>
        </w:rPr>
        <w:t xml:space="preserve">means the Schedule to the </w:t>
      </w:r>
      <w:r w:rsidR="00596ADE" w:rsidRPr="00596ADE">
        <w:rPr>
          <w:bCs/>
          <w:i/>
        </w:rPr>
        <w:t>Private Health Insurance (Medical Devices and Human Tissue Products) Rules (No. 2) 2023</w:t>
      </w:r>
      <w:r w:rsidRPr="008101DC">
        <w:rPr>
          <w:bCs/>
          <w:iCs/>
        </w:rPr>
        <w:t xml:space="preserve"> (as in force </w:t>
      </w:r>
      <w:r w:rsidR="006B4B64">
        <w:rPr>
          <w:bCs/>
          <w:iCs/>
        </w:rPr>
        <w:t xml:space="preserve">immediately </w:t>
      </w:r>
      <w:r w:rsidRPr="008101DC">
        <w:rPr>
          <w:bCs/>
          <w:iCs/>
        </w:rPr>
        <w:t xml:space="preserve">before that instrument was repealed).  </w:t>
      </w:r>
    </w:p>
    <w:p w14:paraId="67B43BBD" w14:textId="4C803E63" w:rsidR="00E64BD0" w:rsidRPr="00CE3138" w:rsidRDefault="00E64BD0" w:rsidP="00E64BD0">
      <w:pPr>
        <w:pStyle w:val="Definition"/>
      </w:pPr>
      <w:r w:rsidRPr="00CE3138">
        <w:rPr>
          <w:b/>
          <w:i/>
        </w:rPr>
        <w:t>full health technology assessment pathway fee</w:t>
      </w:r>
      <w:r w:rsidRPr="00CE3138">
        <w:t xml:space="preserve">: see </w:t>
      </w:r>
      <w:r w:rsidR="00D24D39" w:rsidRPr="00CE3138">
        <w:t>subsection </w:t>
      </w:r>
      <w:r w:rsidR="00167D08">
        <w:t>21</w:t>
      </w:r>
      <w:r w:rsidR="004E5627" w:rsidRPr="002E1D7C">
        <w:t>(3)</w:t>
      </w:r>
      <w:r w:rsidRPr="00CE3138">
        <w:t>.</w:t>
      </w:r>
    </w:p>
    <w:p w14:paraId="08649F8D" w14:textId="77777777" w:rsidR="00A26880" w:rsidRPr="00CE3138" w:rsidRDefault="00A26880" w:rsidP="006A2FF9">
      <w:pPr>
        <w:pStyle w:val="Definition"/>
        <w:rPr>
          <w:i/>
        </w:rPr>
      </w:pPr>
      <w:r w:rsidRPr="00CE3138">
        <w:rPr>
          <w:b/>
          <w:i/>
        </w:rPr>
        <w:t>implantable cardiac event recorder</w:t>
      </w:r>
      <w:r w:rsidRPr="00CE3138">
        <w:rPr>
          <w:b/>
        </w:rPr>
        <w:t xml:space="preserve"> </w:t>
      </w:r>
      <w:r w:rsidRPr="00CE3138">
        <w:t>includes a component of an implantable cardiac event recorder</w:t>
      </w:r>
      <w:r w:rsidRPr="00CE3138">
        <w:rPr>
          <w:i/>
        </w:rPr>
        <w:t>.</w:t>
      </w:r>
    </w:p>
    <w:p w14:paraId="17498831" w14:textId="77777777" w:rsidR="00B823BB" w:rsidRPr="00CE3138" w:rsidRDefault="00B823BB" w:rsidP="006A2FF9">
      <w:pPr>
        <w:pStyle w:val="Definition"/>
      </w:pPr>
      <w:r w:rsidRPr="00CE3138">
        <w:rPr>
          <w:b/>
          <w:i/>
        </w:rPr>
        <w:t>implantable medical device</w:t>
      </w:r>
      <w:r w:rsidRPr="00CE3138">
        <w:t xml:space="preserve"> has the same meaning as in the </w:t>
      </w:r>
      <w:r w:rsidR="0012677E" w:rsidRPr="00CE3138">
        <w:rPr>
          <w:i/>
        </w:rPr>
        <w:t xml:space="preserve">Therapeutic Goods (Medical Devices) </w:t>
      </w:r>
      <w:r w:rsidR="00A5769C" w:rsidRPr="00CE3138">
        <w:rPr>
          <w:i/>
        </w:rPr>
        <w:t>Regulations 2</w:t>
      </w:r>
      <w:r w:rsidR="0012677E" w:rsidRPr="00CE3138">
        <w:rPr>
          <w:i/>
        </w:rPr>
        <w:t>002</w:t>
      </w:r>
      <w:r w:rsidR="0012677E" w:rsidRPr="00CE3138">
        <w:t>.</w:t>
      </w:r>
    </w:p>
    <w:p w14:paraId="7AFA7A77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 xml:space="preserve">insulin infusion pump </w:t>
      </w:r>
      <w:r w:rsidRPr="00CE3138">
        <w:t>includes a component of an insulin infusion pump.</w:t>
      </w:r>
    </w:p>
    <w:p w14:paraId="7639300C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>listed item</w:t>
      </w:r>
      <w:r w:rsidRPr="00CE3138">
        <w:t xml:space="preserve"> means a kind of medical device</w:t>
      </w:r>
      <w:r w:rsidR="00AC2D08" w:rsidRPr="00CE3138">
        <w:t>,</w:t>
      </w:r>
      <w:r w:rsidRPr="00CE3138">
        <w:t xml:space="preserve"> or </w:t>
      </w:r>
      <w:r w:rsidR="00AC2D08" w:rsidRPr="00CE3138">
        <w:t xml:space="preserve">a kind of </w:t>
      </w:r>
      <w:r w:rsidRPr="00CE3138">
        <w:t>human tissue product</w:t>
      </w:r>
      <w:r w:rsidR="00AC2D08" w:rsidRPr="00CE3138">
        <w:t xml:space="preserve">, </w:t>
      </w:r>
      <w:r w:rsidR="00E653E8" w:rsidRPr="00CE3138">
        <w:t xml:space="preserve">that is </w:t>
      </w:r>
      <w:r w:rsidRPr="00CE3138">
        <w:t>listed in</w:t>
      </w:r>
      <w:r w:rsidR="003C7174" w:rsidRPr="00CE3138">
        <w:t xml:space="preserve"> </w:t>
      </w:r>
      <w:r w:rsidR="00D9160B" w:rsidRPr="00CE3138">
        <w:t>Schedule 1</w:t>
      </w:r>
      <w:r w:rsidRPr="00CE3138">
        <w:t>.</w:t>
      </w:r>
    </w:p>
    <w:p w14:paraId="0AF53047" w14:textId="436FD210" w:rsidR="00A26880" w:rsidRPr="00CE3138" w:rsidRDefault="00A26880" w:rsidP="006A2FF9">
      <w:pPr>
        <w:pStyle w:val="Definition"/>
        <w:rPr>
          <w:b/>
          <w:i/>
        </w:rPr>
      </w:pPr>
      <w:r w:rsidRPr="00CE3138">
        <w:rPr>
          <w:b/>
          <w:i/>
        </w:rPr>
        <w:t>listing application</w:t>
      </w:r>
      <w:r w:rsidRPr="00CE3138">
        <w:t xml:space="preserve"> has the meaning </w:t>
      </w:r>
      <w:r w:rsidR="00336D4F" w:rsidRPr="00CE3138">
        <w:t>given by</w:t>
      </w:r>
      <w:r w:rsidRPr="00CE3138">
        <w:t xml:space="preserve"> </w:t>
      </w:r>
      <w:r w:rsidR="00DC46F8" w:rsidRPr="00CE3138">
        <w:t>subsection 7</w:t>
      </w:r>
      <w:r w:rsidRPr="00CE3138">
        <w:t>2</w:t>
      </w:r>
      <w:r w:rsidR="003D794E" w:rsidRPr="00CE3138">
        <w:noBreakHyphen/>
      </w:r>
      <w:r w:rsidRPr="00CE3138">
        <w:t>10(6) of the Act.</w:t>
      </w:r>
    </w:p>
    <w:p w14:paraId="7B49C744" w14:textId="61DF9D57" w:rsidR="00A26880" w:rsidRPr="00CE3138" w:rsidRDefault="00A26880" w:rsidP="006A2FF9">
      <w:pPr>
        <w:pStyle w:val="Definition"/>
        <w:rPr>
          <w:b/>
          <w:i/>
        </w:rPr>
      </w:pPr>
      <w:r w:rsidRPr="00CE3138">
        <w:rPr>
          <w:b/>
          <w:i/>
        </w:rPr>
        <w:t>listing criteria</w:t>
      </w:r>
      <w:r w:rsidRPr="00CE3138">
        <w:rPr>
          <w:i/>
        </w:rPr>
        <w:t xml:space="preserve"> </w:t>
      </w:r>
      <w:r w:rsidR="00336D4F" w:rsidRPr="00CE3138">
        <w:t xml:space="preserve">has the meaning given by </w:t>
      </w:r>
      <w:r w:rsidR="00DC46F8" w:rsidRPr="00CE3138">
        <w:t>subsection 7</w:t>
      </w:r>
      <w:r w:rsidRPr="00CE3138">
        <w:t>2</w:t>
      </w:r>
      <w:r w:rsidR="003D794E" w:rsidRPr="00CE3138">
        <w:noBreakHyphen/>
      </w:r>
      <w:r w:rsidRPr="00CE3138">
        <w:t>10(6) of the Act</w:t>
      </w:r>
      <w:r w:rsidRPr="00CE3138">
        <w:rPr>
          <w:i/>
        </w:rPr>
        <w:t>.</w:t>
      </w:r>
    </w:p>
    <w:p w14:paraId="586E73BD" w14:textId="77777777" w:rsidR="00E64BD0" w:rsidRPr="00CE3138" w:rsidRDefault="00E64BD0" w:rsidP="00E64BD0">
      <w:pPr>
        <w:pStyle w:val="Definition"/>
      </w:pPr>
      <w:r w:rsidRPr="00CE3138">
        <w:rPr>
          <w:b/>
          <w:i/>
        </w:rPr>
        <w:t>MSAC</w:t>
      </w:r>
      <w:r w:rsidRPr="00CE3138">
        <w:t xml:space="preserve"> means the body known as the Medical Services Advisory Committee.</w:t>
      </w:r>
    </w:p>
    <w:p w14:paraId="205AF334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>National Law</w:t>
      </w:r>
      <w:r w:rsidRPr="00CE3138">
        <w:t xml:space="preserve"> means:</w:t>
      </w:r>
    </w:p>
    <w:p w14:paraId="5C30C7B0" w14:textId="77777777" w:rsidR="00A26880" w:rsidRPr="00CE3138" w:rsidRDefault="00141FF2" w:rsidP="00141FF2">
      <w:pPr>
        <w:pStyle w:val="paragraph"/>
      </w:pPr>
      <w:r w:rsidRPr="00CE3138">
        <w:tab/>
      </w:r>
      <w:r w:rsidR="00A26880" w:rsidRPr="00CE3138">
        <w:t>(a)</w:t>
      </w:r>
      <w:r w:rsidR="00A26880" w:rsidRPr="00CE3138">
        <w:tab/>
        <w:t xml:space="preserve">for a </w:t>
      </w:r>
      <w:r w:rsidR="00E653E8" w:rsidRPr="00CE3138">
        <w:t xml:space="preserve">Territory or a </w:t>
      </w:r>
      <w:r w:rsidR="00A26880" w:rsidRPr="00CE3138">
        <w:t xml:space="preserve">State other than Western Australia—the Health Practitioner Regulation National Law set out in the Schedule to the </w:t>
      </w:r>
      <w:r w:rsidR="00A26880" w:rsidRPr="00CE3138">
        <w:rPr>
          <w:i/>
        </w:rPr>
        <w:t xml:space="preserve">Health Practitioner Regulation National Law Act 2009 </w:t>
      </w:r>
      <w:r w:rsidR="00A26880" w:rsidRPr="00CE3138">
        <w:t>(Qld)</w:t>
      </w:r>
      <w:r w:rsidR="00A26880" w:rsidRPr="00CE3138">
        <w:rPr>
          <w:i/>
        </w:rPr>
        <w:t xml:space="preserve"> </w:t>
      </w:r>
      <w:r w:rsidR="00A26880" w:rsidRPr="00CE3138">
        <w:t>as it applies (with or without modification) as law of the State or Territory</w:t>
      </w:r>
      <w:r w:rsidR="00043B01" w:rsidRPr="00CE3138">
        <w:t>,</w:t>
      </w:r>
      <w:r w:rsidR="00E653E8" w:rsidRPr="00CE3138">
        <w:t xml:space="preserve"> as in force at the commencement of this instrument</w:t>
      </w:r>
      <w:r w:rsidR="00A26880" w:rsidRPr="00CE3138">
        <w:t>; or</w:t>
      </w:r>
    </w:p>
    <w:p w14:paraId="566994CF" w14:textId="4659F015" w:rsidR="00A26880" w:rsidRPr="00CE3138" w:rsidRDefault="00141FF2" w:rsidP="00141FF2">
      <w:pPr>
        <w:pStyle w:val="paragraph"/>
      </w:pPr>
      <w:r w:rsidRPr="00CE3138">
        <w:tab/>
      </w:r>
      <w:r w:rsidR="00A26880" w:rsidRPr="00CE3138">
        <w:t>(b)</w:t>
      </w:r>
      <w:r w:rsidR="00A26880" w:rsidRPr="00CE3138">
        <w:tab/>
        <w:t>for Western Australia</w:t>
      </w:r>
      <w:r w:rsidR="00940DD5" w:rsidRPr="00CE3138">
        <w:t>—</w:t>
      </w:r>
      <w:r w:rsidR="00A26880" w:rsidRPr="00CE3138">
        <w:t xml:space="preserve">the </w:t>
      </w:r>
      <w:r w:rsidR="00A26880" w:rsidRPr="00CE3138">
        <w:rPr>
          <w:i/>
        </w:rPr>
        <w:t>Health Practitioner Regulation National Law (WA) Act 2010</w:t>
      </w:r>
      <w:r w:rsidR="00A26880" w:rsidRPr="00CE3138">
        <w:t xml:space="preserve"> (WA)</w:t>
      </w:r>
      <w:r w:rsidR="00043B01" w:rsidRPr="00CE3138">
        <w:t>,</w:t>
      </w:r>
      <w:r w:rsidR="00E653E8" w:rsidRPr="00CE3138">
        <w:t xml:space="preserve"> </w:t>
      </w:r>
      <w:r w:rsidR="00043B01" w:rsidRPr="00CE3138">
        <w:t>so far as that</w:t>
      </w:r>
      <w:r w:rsidR="001E0E18" w:rsidRPr="00CE3138">
        <w:t xml:space="preserve"> the</w:t>
      </w:r>
      <w:r w:rsidR="00043B01" w:rsidRPr="00CE3138">
        <w:t xml:space="preserve"> Act corresponds to the Health Practitioner Regulation National Law set out in the Schedule to the </w:t>
      </w:r>
      <w:r w:rsidR="00043B01" w:rsidRPr="00CE3138">
        <w:rPr>
          <w:i/>
          <w:iCs/>
        </w:rPr>
        <w:t>Health Practitioner Regulation National Law Act 2009</w:t>
      </w:r>
      <w:r w:rsidR="00043B01" w:rsidRPr="00CE3138">
        <w:t xml:space="preserve"> (Qld).</w:t>
      </w:r>
    </w:p>
    <w:p w14:paraId="2B7EBC4A" w14:textId="5DA163DC" w:rsidR="00A26880" w:rsidRPr="00CE3138" w:rsidRDefault="00A26880" w:rsidP="006A2FF9">
      <w:pPr>
        <w:pStyle w:val="Definition"/>
      </w:pPr>
      <w:r w:rsidRPr="00CE3138">
        <w:rPr>
          <w:b/>
          <w:bCs/>
          <w:i/>
          <w:iCs/>
        </w:rPr>
        <w:t>private hospital</w:t>
      </w:r>
      <w:r w:rsidRPr="00CE3138">
        <w:t xml:space="preserve"> means a hospital in respect of which there is in force a statement under </w:t>
      </w:r>
      <w:r w:rsidR="00D24D39" w:rsidRPr="00CE3138">
        <w:t>subsection 1</w:t>
      </w:r>
      <w:r w:rsidRPr="00CE3138">
        <w:t>21</w:t>
      </w:r>
      <w:r w:rsidR="003D794E" w:rsidRPr="00CE3138">
        <w:noBreakHyphen/>
      </w:r>
      <w:r w:rsidRPr="00CE3138">
        <w:t>5(8) of the Act that the hospital is a private hospital.</w:t>
      </w:r>
    </w:p>
    <w:p w14:paraId="380A3CB9" w14:textId="77777777" w:rsidR="00A26880" w:rsidRPr="00CE3138" w:rsidRDefault="00A26880" w:rsidP="006A2FF9">
      <w:pPr>
        <w:pStyle w:val="Definition"/>
        <w:rPr>
          <w:b/>
          <w:i/>
        </w:rPr>
      </w:pPr>
      <w:r w:rsidRPr="00CE3138">
        <w:rPr>
          <w:b/>
          <w:i/>
        </w:rPr>
        <w:lastRenderedPageBreak/>
        <w:t>professional attendance</w:t>
      </w:r>
      <w:r w:rsidRPr="00CE3138">
        <w:t xml:space="preserve"> has the same meaning as in clause 1.2.</w:t>
      </w:r>
      <w:r w:rsidR="00563CA3" w:rsidRPr="00CE3138">
        <w:t>5</w:t>
      </w:r>
      <w:r w:rsidRPr="00CE3138">
        <w:t xml:space="preserve"> of </w:t>
      </w:r>
      <w:r w:rsidR="00D9160B" w:rsidRPr="00CE3138">
        <w:t>Schedule 1</w:t>
      </w:r>
      <w:r w:rsidR="00563CA3" w:rsidRPr="00CE3138">
        <w:t xml:space="preserve"> to the </w:t>
      </w:r>
      <w:r w:rsidR="00563CA3" w:rsidRPr="00CE3138">
        <w:rPr>
          <w:i/>
        </w:rPr>
        <w:t xml:space="preserve">Health Insurance (General Medical Services Table) </w:t>
      </w:r>
      <w:r w:rsidR="00A5769C" w:rsidRPr="00CE3138">
        <w:rPr>
          <w:i/>
        </w:rPr>
        <w:t>Regulations 2</w:t>
      </w:r>
      <w:r w:rsidR="00563CA3" w:rsidRPr="00CE3138">
        <w:rPr>
          <w:i/>
        </w:rPr>
        <w:t>021</w:t>
      </w:r>
      <w:r w:rsidR="00563CA3" w:rsidRPr="00CE3138">
        <w:t>.</w:t>
      </w:r>
    </w:p>
    <w:p w14:paraId="7BC856E0" w14:textId="77777777" w:rsidR="00A26880" w:rsidRPr="00CE3138" w:rsidRDefault="00A26880" w:rsidP="006A2FF9">
      <w:pPr>
        <w:pStyle w:val="Definition"/>
      </w:pPr>
      <w:r w:rsidRPr="00CE3138">
        <w:rPr>
          <w:b/>
          <w:bCs/>
          <w:i/>
          <w:iCs/>
        </w:rPr>
        <w:t xml:space="preserve">professional service </w:t>
      </w:r>
      <w:r w:rsidRPr="00CE3138">
        <w:t xml:space="preserve">has the same meaning as in the </w:t>
      </w:r>
      <w:r w:rsidRPr="00CE3138">
        <w:rPr>
          <w:i/>
          <w:iCs/>
        </w:rPr>
        <w:t>Health Insurance Act 1973</w:t>
      </w:r>
      <w:r w:rsidRPr="00CE3138">
        <w:t>.</w:t>
      </w:r>
    </w:p>
    <w:p w14:paraId="4FB9CF21" w14:textId="5246089C" w:rsidR="00A26880" w:rsidRPr="00CE3138" w:rsidRDefault="00A26880" w:rsidP="006A2FF9">
      <w:pPr>
        <w:pStyle w:val="Definition"/>
      </w:pPr>
      <w:r w:rsidRPr="00CE3138">
        <w:rPr>
          <w:b/>
          <w:bCs/>
          <w:i/>
          <w:iCs/>
        </w:rPr>
        <w:t>public hospital</w:t>
      </w:r>
      <w:r w:rsidRPr="00CE3138">
        <w:t xml:space="preserve"> means a hospital in respect of which there is in force a statement under </w:t>
      </w:r>
      <w:r w:rsidR="00D24D39" w:rsidRPr="00CE3138">
        <w:t>subsection 1</w:t>
      </w:r>
      <w:r w:rsidRPr="00CE3138">
        <w:t>21</w:t>
      </w:r>
      <w:r w:rsidR="003D794E" w:rsidRPr="00CE3138">
        <w:noBreakHyphen/>
      </w:r>
      <w:r w:rsidRPr="00CE3138">
        <w:t>5(8) of the Act that the hospital is a public hospital.</w:t>
      </w:r>
    </w:p>
    <w:p w14:paraId="264BF34A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 xml:space="preserve">registered podiatric surgeon </w:t>
      </w:r>
      <w:r w:rsidRPr="00CE3138">
        <w:t>means a podiatric surgeon who holds specialist registration in the specialty of podiatric surgery under the National Law.</w:t>
      </w:r>
    </w:p>
    <w:p w14:paraId="4AC1309A" w14:textId="7B5B4D57" w:rsidR="00A26880" w:rsidRPr="00CE3138" w:rsidRDefault="00A26880" w:rsidP="00D91C6F">
      <w:pPr>
        <w:pStyle w:val="notetext"/>
      </w:pPr>
      <w:r w:rsidRPr="00CE3138">
        <w:t>Note:</w:t>
      </w:r>
      <w:r w:rsidRPr="00CE3138">
        <w:tab/>
        <w:t xml:space="preserve">The registration requirements for a registered podiatrist for the purposes of this instrument are the same registration requirements for podiatric surgeons as set out in rule 8 of the </w:t>
      </w:r>
      <w:r w:rsidRPr="00CE3138">
        <w:rPr>
          <w:i/>
        </w:rPr>
        <w:t xml:space="preserve">Private Health Insurance (Accreditation) </w:t>
      </w:r>
      <w:r w:rsidR="00255238" w:rsidRPr="00CE3138">
        <w:rPr>
          <w:i/>
        </w:rPr>
        <w:t>Rules 2</w:t>
      </w:r>
      <w:r w:rsidR="00336D4F" w:rsidRPr="00CE3138">
        <w:rPr>
          <w:i/>
        </w:rPr>
        <w:t>011</w:t>
      </w:r>
      <w:r w:rsidRPr="00CE3138">
        <w:t xml:space="preserve"> </w:t>
      </w:r>
      <w:r w:rsidR="00336D4F" w:rsidRPr="00CE3138">
        <w:t xml:space="preserve">as in force </w:t>
      </w:r>
      <w:r w:rsidRPr="00CE3138">
        <w:t>from time to time.</w:t>
      </w:r>
    </w:p>
    <w:p w14:paraId="6A6CCA62" w14:textId="77777777" w:rsidR="000605D3" w:rsidRPr="00CE3138" w:rsidRDefault="000605D3" w:rsidP="000605D3">
      <w:pPr>
        <w:pStyle w:val="Ruletext"/>
        <w:ind w:left="1134"/>
        <w:rPr>
          <w:bCs/>
          <w:iCs/>
          <w:sz w:val="22"/>
          <w:szCs w:val="22"/>
        </w:rPr>
      </w:pPr>
      <w:r w:rsidRPr="00CE3138">
        <w:rPr>
          <w:b/>
          <w:bCs/>
          <w:i/>
          <w:iCs/>
          <w:sz w:val="22"/>
          <w:szCs w:val="22"/>
        </w:rPr>
        <w:t xml:space="preserve">Regulations </w:t>
      </w:r>
      <w:r w:rsidRPr="00CE3138">
        <w:rPr>
          <w:bCs/>
          <w:iCs/>
          <w:sz w:val="22"/>
          <w:szCs w:val="22"/>
        </w:rPr>
        <w:t xml:space="preserve">means the </w:t>
      </w:r>
      <w:r w:rsidRPr="00CE3138">
        <w:rPr>
          <w:bCs/>
          <w:i/>
          <w:iCs/>
          <w:sz w:val="22"/>
          <w:szCs w:val="22"/>
        </w:rPr>
        <w:t xml:space="preserve">Health Insurance (General Medical Services Table) Regulations 2021 </w:t>
      </w:r>
      <w:r w:rsidRPr="00CE3138">
        <w:rPr>
          <w:bCs/>
          <w:iCs/>
          <w:sz w:val="22"/>
          <w:szCs w:val="22"/>
        </w:rPr>
        <w:t xml:space="preserve">made under section 4 of the </w:t>
      </w:r>
      <w:r w:rsidRPr="00CE3138">
        <w:rPr>
          <w:bCs/>
          <w:i/>
          <w:iCs/>
          <w:sz w:val="22"/>
          <w:szCs w:val="22"/>
        </w:rPr>
        <w:t>Health Insurance Act 1973</w:t>
      </w:r>
      <w:r w:rsidRPr="00CE3138">
        <w:rPr>
          <w:bCs/>
          <w:iCs/>
          <w:sz w:val="22"/>
          <w:szCs w:val="22"/>
        </w:rPr>
        <w:t xml:space="preserve">. </w:t>
      </w:r>
    </w:p>
    <w:p w14:paraId="7072722A" w14:textId="77777777" w:rsidR="00AE0830" w:rsidRPr="00CE3138" w:rsidRDefault="00E64BD0" w:rsidP="00E64BD0">
      <w:pPr>
        <w:pStyle w:val="Definition"/>
      </w:pPr>
      <w:bookmarkStart w:id="8" w:name="_Hlk137560199"/>
      <w:r w:rsidRPr="00CE3138">
        <w:rPr>
          <w:b/>
          <w:i/>
        </w:rPr>
        <w:t>related</w:t>
      </w:r>
      <w:r w:rsidRPr="00CE3138">
        <w:t xml:space="preserve">: medical devices are </w:t>
      </w:r>
      <w:r w:rsidRPr="00CE3138">
        <w:rPr>
          <w:b/>
          <w:i/>
        </w:rPr>
        <w:t>related</w:t>
      </w:r>
      <w:r w:rsidRPr="00CE3138">
        <w:t xml:space="preserve"> if</w:t>
      </w:r>
      <w:r w:rsidR="00AE0830" w:rsidRPr="00CE3138">
        <w:t>:</w:t>
      </w:r>
    </w:p>
    <w:p w14:paraId="71929683" w14:textId="77777777" w:rsidR="00E64BD0" w:rsidRPr="00CE3138" w:rsidRDefault="00AE0830" w:rsidP="00AE0830">
      <w:pPr>
        <w:pStyle w:val="paragraph"/>
      </w:pPr>
      <w:r w:rsidRPr="00CE3138">
        <w:tab/>
        <w:t>(a)</w:t>
      </w:r>
      <w:r w:rsidRPr="00CE3138">
        <w:tab/>
      </w:r>
      <w:r w:rsidR="00CD0FAA" w:rsidRPr="00CE3138">
        <w:t>the medical devices</w:t>
      </w:r>
      <w:r w:rsidR="00DE0C89" w:rsidRPr="00CE3138">
        <w:t xml:space="preserve"> are</w:t>
      </w:r>
      <w:r w:rsidR="00802FA1" w:rsidRPr="00CE3138">
        <w:t xml:space="preserve"> designed to </w:t>
      </w:r>
      <w:r w:rsidR="00DE0C89" w:rsidRPr="00CE3138">
        <w:t xml:space="preserve">be </w:t>
      </w:r>
      <w:r w:rsidR="00E40B49" w:rsidRPr="00CE3138">
        <w:t>used</w:t>
      </w:r>
      <w:r w:rsidR="00E64BD0" w:rsidRPr="00CE3138">
        <w:t xml:space="preserve"> together </w:t>
      </w:r>
      <w:r w:rsidR="009F4907" w:rsidRPr="00CE3138">
        <w:t xml:space="preserve">for an expected </w:t>
      </w:r>
      <w:r w:rsidR="00E64BD0" w:rsidRPr="00CE3138">
        <w:t xml:space="preserve">clinical </w:t>
      </w:r>
      <w:r w:rsidR="009F4907" w:rsidRPr="00CE3138">
        <w:t>outcome; and</w:t>
      </w:r>
    </w:p>
    <w:p w14:paraId="1FA5171A" w14:textId="77777777" w:rsidR="009F4907" w:rsidRPr="00CE3138" w:rsidRDefault="009F4907" w:rsidP="00AE0830">
      <w:pPr>
        <w:pStyle w:val="paragraph"/>
      </w:pPr>
      <w:r w:rsidRPr="00CE3138">
        <w:tab/>
        <w:t>(b)</w:t>
      </w:r>
      <w:r w:rsidRPr="00CE3138">
        <w:tab/>
      </w:r>
      <w:r w:rsidR="00CD0FAA" w:rsidRPr="00CE3138">
        <w:t>the medical devices</w:t>
      </w:r>
      <w:r w:rsidRPr="00CE3138">
        <w:t xml:space="preserve"> are manufactured by the same manufacturer; and</w:t>
      </w:r>
    </w:p>
    <w:p w14:paraId="1B740F7F" w14:textId="77777777" w:rsidR="00846913" w:rsidRPr="00CE3138" w:rsidRDefault="009F4907" w:rsidP="00CD0FAA">
      <w:pPr>
        <w:pStyle w:val="paragraph"/>
      </w:pPr>
      <w:r w:rsidRPr="00CE3138">
        <w:tab/>
        <w:t>(c)</w:t>
      </w:r>
      <w:r w:rsidRPr="00CE3138">
        <w:tab/>
      </w:r>
      <w:r w:rsidR="00E01B69" w:rsidRPr="00CE3138">
        <w:t>the</w:t>
      </w:r>
      <w:r w:rsidRPr="00CE3138">
        <w:t xml:space="preserve"> expected clinical outcome is outlined in the same technical</w:t>
      </w:r>
      <w:r w:rsidR="00846913" w:rsidRPr="00CE3138">
        <w:t xml:space="preserve"> </w:t>
      </w:r>
      <w:r w:rsidR="00B837C7" w:rsidRPr="00CE3138">
        <w:t>or</w:t>
      </w:r>
      <w:r w:rsidR="00846913" w:rsidRPr="00CE3138">
        <w:t xml:space="preserve"> clinical documentation; and</w:t>
      </w:r>
    </w:p>
    <w:p w14:paraId="4E8346D0" w14:textId="17FBB339" w:rsidR="009F4907" w:rsidRPr="00CE3138" w:rsidRDefault="00846913" w:rsidP="00CD0FAA">
      <w:pPr>
        <w:pStyle w:val="paragraph"/>
      </w:pPr>
      <w:r w:rsidRPr="00CE3138">
        <w:tab/>
        <w:t>(d)</w:t>
      </w:r>
      <w:r w:rsidRPr="00CE3138">
        <w:tab/>
        <w:t>that document</w:t>
      </w:r>
      <w:r w:rsidR="00B03CF1" w:rsidRPr="00CE3138">
        <w:t>ation is used to demonstrate the</w:t>
      </w:r>
      <w:r w:rsidR="009F4907" w:rsidRPr="00CE3138">
        <w:t xml:space="preserve"> cost</w:t>
      </w:r>
      <w:r w:rsidR="003D794E" w:rsidRPr="00CE3138">
        <w:noBreakHyphen/>
      </w:r>
      <w:r w:rsidR="009F4907" w:rsidRPr="00CE3138">
        <w:t>effectiveness</w:t>
      </w:r>
      <w:r w:rsidR="00CD0FAA" w:rsidRPr="00CE3138">
        <w:t xml:space="preserve"> </w:t>
      </w:r>
      <w:r w:rsidR="009A20EA" w:rsidRPr="00CE3138">
        <w:t>or clinical</w:t>
      </w:r>
      <w:r w:rsidR="003D794E" w:rsidRPr="00CE3138">
        <w:noBreakHyphen/>
      </w:r>
      <w:r w:rsidR="009A20EA" w:rsidRPr="00CE3138">
        <w:t xml:space="preserve">effectiveness </w:t>
      </w:r>
      <w:r w:rsidR="00CD0FAA" w:rsidRPr="00CE3138">
        <w:t>of the medical devices</w:t>
      </w:r>
      <w:r w:rsidR="009F4907" w:rsidRPr="00CE3138">
        <w:t>.</w:t>
      </w:r>
    </w:p>
    <w:bookmarkEnd w:id="8"/>
    <w:p w14:paraId="1D4084F0" w14:textId="6EE6428A" w:rsidR="00E64BD0" w:rsidRPr="00CE3138" w:rsidRDefault="00E64BD0" w:rsidP="00E64BD0">
      <w:pPr>
        <w:pStyle w:val="Definition"/>
      </w:pPr>
      <w:r w:rsidRPr="00CE3138">
        <w:rPr>
          <w:b/>
          <w:i/>
        </w:rPr>
        <w:t>reviewable decision</w:t>
      </w:r>
      <w:r w:rsidRPr="00CE3138">
        <w:t xml:space="preserve"> has the meaning given by </w:t>
      </w:r>
      <w:r w:rsidR="00D24D39" w:rsidRPr="00CE3138">
        <w:t>section </w:t>
      </w:r>
      <w:r w:rsidR="008B4359">
        <w:t>26</w:t>
      </w:r>
      <w:r w:rsidRPr="00CE3138">
        <w:t>.</w:t>
      </w:r>
    </w:p>
    <w:p w14:paraId="4F38A9D4" w14:textId="77777777" w:rsidR="00A26880" w:rsidRPr="00CE3138" w:rsidRDefault="00A26880" w:rsidP="006A2FF9">
      <w:pPr>
        <w:pStyle w:val="Definition"/>
      </w:pPr>
      <w:r w:rsidRPr="00CE3138">
        <w:rPr>
          <w:b/>
          <w:i/>
        </w:rPr>
        <w:t xml:space="preserve">specified listed item </w:t>
      </w:r>
      <w:r w:rsidRPr="00CE3138">
        <w:t>means a listed item that is:</w:t>
      </w:r>
    </w:p>
    <w:p w14:paraId="4BD7FE29" w14:textId="77777777" w:rsidR="00A26880" w:rsidRPr="00CE3138" w:rsidRDefault="00A26880" w:rsidP="00A26880">
      <w:pPr>
        <w:pStyle w:val="paragraph"/>
      </w:pPr>
      <w:r w:rsidRPr="00CE3138">
        <w:tab/>
        <w:t>(a)</w:t>
      </w:r>
      <w:r w:rsidRPr="00CE3138">
        <w:tab/>
        <w:t>an irrigated cardiac ablation catheter; or</w:t>
      </w:r>
    </w:p>
    <w:p w14:paraId="383E440F" w14:textId="77777777" w:rsidR="00A26880" w:rsidRPr="00CE3138" w:rsidRDefault="00A26880" w:rsidP="00A26880">
      <w:pPr>
        <w:pStyle w:val="paragraph"/>
      </w:pPr>
      <w:r w:rsidRPr="00CE3138">
        <w:tab/>
        <w:t>(b)</w:t>
      </w:r>
      <w:r w:rsidRPr="00CE3138">
        <w:tab/>
        <w:t>a mapping catheter for catheter cardiac ablation; or</w:t>
      </w:r>
    </w:p>
    <w:p w14:paraId="47C5D322" w14:textId="77777777" w:rsidR="00A26880" w:rsidRPr="00CE3138" w:rsidRDefault="00A26880" w:rsidP="00A26880">
      <w:pPr>
        <w:pStyle w:val="paragraph"/>
      </w:pPr>
      <w:r w:rsidRPr="00CE3138">
        <w:tab/>
        <w:t>(c)</w:t>
      </w:r>
      <w:r w:rsidRPr="00CE3138">
        <w:tab/>
        <w:t>a patch for cardiac ablation; or</w:t>
      </w:r>
    </w:p>
    <w:p w14:paraId="0B419779" w14:textId="77777777" w:rsidR="00A26880" w:rsidRPr="00CE3138" w:rsidRDefault="00A26880" w:rsidP="00A26880">
      <w:pPr>
        <w:pStyle w:val="paragraph"/>
      </w:pPr>
      <w:r w:rsidRPr="00CE3138">
        <w:tab/>
        <w:t>(d)</w:t>
      </w:r>
      <w:r w:rsidRPr="00CE3138">
        <w:tab/>
        <w:t>a monopolar device for surgical cardiac ablation; or</w:t>
      </w:r>
    </w:p>
    <w:p w14:paraId="6E5CA172" w14:textId="77777777" w:rsidR="00A26880" w:rsidRPr="00CE3138" w:rsidRDefault="00A26880" w:rsidP="00A26880">
      <w:pPr>
        <w:pStyle w:val="paragraph"/>
      </w:pPr>
      <w:r w:rsidRPr="00CE3138">
        <w:tab/>
        <w:t>(e)</w:t>
      </w:r>
      <w:r w:rsidRPr="00CE3138">
        <w:tab/>
        <w:t>a bipolar device for surgical cardiac ablation; or</w:t>
      </w:r>
    </w:p>
    <w:p w14:paraId="72AA7DDC" w14:textId="77777777" w:rsidR="00A26880" w:rsidRPr="00CE3138" w:rsidRDefault="00A26880" w:rsidP="00A26880">
      <w:pPr>
        <w:pStyle w:val="paragraph"/>
      </w:pPr>
      <w:r w:rsidRPr="00CE3138">
        <w:tab/>
        <w:t>(f)</w:t>
      </w:r>
      <w:r w:rsidRPr="00CE3138">
        <w:tab/>
        <w:t>a system for surgical cardiac ablation; or</w:t>
      </w:r>
    </w:p>
    <w:p w14:paraId="11AB4D0C" w14:textId="77777777" w:rsidR="00A26880" w:rsidRPr="00CE3138" w:rsidRDefault="00A26880" w:rsidP="00A26880">
      <w:pPr>
        <w:pStyle w:val="paragraph"/>
      </w:pPr>
      <w:r w:rsidRPr="00CE3138">
        <w:tab/>
        <w:t>(g)</w:t>
      </w:r>
      <w:r w:rsidRPr="00CE3138">
        <w:tab/>
        <w:t>a probe for surgical cardiac ablation; or</w:t>
      </w:r>
    </w:p>
    <w:p w14:paraId="73B77D07" w14:textId="1856519D" w:rsidR="00A26880" w:rsidRPr="00CE3138" w:rsidRDefault="00A26880" w:rsidP="00A26880">
      <w:pPr>
        <w:pStyle w:val="paragraph"/>
      </w:pPr>
      <w:r w:rsidRPr="00CE3138">
        <w:tab/>
        <w:t>(h)</w:t>
      </w:r>
      <w:r w:rsidRPr="00CE3138">
        <w:tab/>
        <w:t>a non</w:t>
      </w:r>
      <w:r w:rsidR="003D794E" w:rsidRPr="00CE3138">
        <w:noBreakHyphen/>
      </w:r>
      <w:r w:rsidRPr="00CE3138">
        <w:t>irrigated ablation catheter; or</w:t>
      </w:r>
    </w:p>
    <w:p w14:paraId="1F24705A" w14:textId="63D3439E" w:rsidR="00C8519E" w:rsidRPr="00CE3138" w:rsidRDefault="00A26880" w:rsidP="00A26880">
      <w:pPr>
        <w:pStyle w:val="paragraph"/>
      </w:pPr>
      <w:r w:rsidRPr="00CE3138">
        <w:tab/>
        <w:t>(i)</w:t>
      </w:r>
      <w:r w:rsidRPr="00CE3138">
        <w:tab/>
        <w:t>an intracardiac electrophysiology catheter</w:t>
      </w:r>
      <w:r w:rsidR="00826152">
        <w:t>.</w:t>
      </w:r>
    </w:p>
    <w:p w14:paraId="1A2994ED" w14:textId="722CCE7A" w:rsidR="00B53EE5" w:rsidRPr="00CE3138" w:rsidRDefault="00B53EE5" w:rsidP="00B53EE5">
      <w:pPr>
        <w:pStyle w:val="Definition"/>
      </w:pPr>
      <w:r w:rsidRPr="00CE3138">
        <w:rPr>
          <w:b/>
          <w:i/>
        </w:rPr>
        <w:t>standard application fee</w:t>
      </w:r>
      <w:r w:rsidRPr="00CE3138">
        <w:t xml:space="preserve">: see </w:t>
      </w:r>
      <w:r w:rsidR="00D24D39" w:rsidRPr="00CE3138">
        <w:t>paragraph </w:t>
      </w:r>
      <w:r w:rsidR="00494204">
        <w:t>18</w:t>
      </w:r>
      <w:r w:rsidRPr="00CE3138">
        <w:t>(2)(a).</w:t>
      </w:r>
    </w:p>
    <w:p w14:paraId="484312E0" w14:textId="586A732E" w:rsidR="00A26880" w:rsidRPr="00CE3138" w:rsidRDefault="00A26880" w:rsidP="006A2FF9">
      <w:pPr>
        <w:pStyle w:val="Definition"/>
      </w:pPr>
      <w:r w:rsidRPr="00CE3138">
        <w:rPr>
          <w:b/>
          <w:i/>
        </w:rPr>
        <w:t>sum of default minimum benefits</w:t>
      </w:r>
      <w:r w:rsidRPr="00CE3138">
        <w:t xml:space="preserve"> has the meaning given by subsection </w:t>
      </w:r>
      <w:r w:rsidR="004E5627" w:rsidRPr="002E1D7C">
        <w:t>10(7)</w:t>
      </w:r>
      <w:r w:rsidRPr="00CE3138">
        <w:t>.</w:t>
      </w:r>
    </w:p>
    <w:p w14:paraId="5037FFDA" w14:textId="77777777" w:rsidR="00B53EE5" w:rsidRPr="00CE3138" w:rsidRDefault="00B53EE5" w:rsidP="00B53EE5">
      <w:pPr>
        <w:pStyle w:val="Definition"/>
      </w:pPr>
      <w:r w:rsidRPr="00CE3138">
        <w:rPr>
          <w:b/>
          <w:i/>
        </w:rPr>
        <w:t>variation application</w:t>
      </w:r>
      <w:r w:rsidRPr="00CE3138">
        <w:t xml:space="preserve"> means a request to the Minister </w:t>
      </w:r>
      <w:r w:rsidR="00243742" w:rsidRPr="00CE3138">
        <w:t>to vary</w:t>
      </w:r>
      <w:r w:rsidRPr="00CE3138">
        <w:t xml:space="preserve"> this instrument by amending, in accordance with the request, an item in the table in </w:t>
      </w:r>
      <w:r w:rsidR="00D9160B" w:rsidRPr="00CE3138">
        <w:t>Schedule 1</w:t>
      </w:r>
      <w:r w:rsidRPr="00CE3138">
        <w:t xml:space="preserve"> relating to a listed item, other than a request to </w:t>
      </w:r>
      <w:r w:rsidR="00243742" w:rsidRPr="00CE3138">
        <w:t>make</w:t>
      </w:r>
      <w:r w:rsidRPr="00CE3138">
        <w:t xml:space="preserve"> an amendment only to:</w:t>
      </w:r>
    </w:p>
    <w:p w14:paraId="0F5F3E4B" w14:textId="77777777" w:rsidR="00B53EE5" w:rsidRPr="00CE3138" w:rsidRDefault="00B53EE5" w:rsidP="00B53EE5">
      <w:pPr>
        <w:pStyle w:val="paragraph"/>
      </w:pPr>
      <w:r w:rsidRPr="00CE3138">
        <w:tab/>
        <w:t>(a)</w:t>
      </w:r>
      <w:r w:rsidRPr="00CE3138">
        <w:tab/>
        <w:t>omit the table item; or</w:t>
      </w:r>
    </w:p>
    <w:p w14:paraId="53E56C88" w14:textId="77777777" w:rsidR="00B53EE5" w:rsidRPr="00CE3138" w:rsidRDefault="00B53EE5" w:rsidP="00B53EE5">
      <w:pPr>
        <w:pStyle w:val="paragraph"/>
      </w:pPr>
      <w:r w:rsidRPr="00CE3138">
        <w:tab/>
        <w:t>(b)</w:t>
      </w:r>
      <w:r w:rsidRPr="00CE3138">
        <w:tab/>
        <w:t xml:space="preserve">reflect a change in the sponsor (within the meaning of the </w:t>
      </w:r>
      <w:r w:rsidRPr="00CE3138">
        <w:rPr>
          <w:i/>
        </w:rPr>
        <w:t>Therapeutic Goods Act 1989</w:t>
      </w:r>
      <w:r w:rsidRPr="00CE3138">
        <w:t>) of the kind of medical device or human tissue product.</w:t>
      </w:r>
    </w:p>
    <w:p w14:paraId="23817A78" w14:textId="72530EA6" w:rsidR="007A43E0" w:rsidRPr="00CE3138" w:rsidRDefault="00CF3113" w:rsidP="007A43E0">
      <w:pPr>
        <w:pStyle w:val="ActHead5"/>
        <w:rPr>
          <w:i/>
        </w:rPr>
      </w:pPr>
      <w:bookmarkStart w:id="9" w:name="_Toc169882161"/>
      <w:r w:rsidRPr="00CE3138">
        <w:rPr>
          <w:rStyle w:val="CharSectno"/>
        </w:rPr>
        <w:lastRenderedPageBreak/>
        <w:t>6</w:t>
      </w:r>
      <w:r w:rsidRPr="00CE3138">
        <w:t xml:space="preserve">  </w:t>
      </w:r>
      <w:r w:rsidR="007A43E0" w:rsidRPr="00CE3138">
        <w:t xml:space="preserve">Meaning of </w:t>
      </w:r>
      <w:r w:rsidR="007A43E0" w:rsidRPr="00CE3138">
        <w:rPr>
          <w:i/>
        </w:rPr>
        <w:t>medical device</w:t>
      </w:r>
      <w:bookmarkEnd w:id="9"/>
    </w:p>
    <w:p w14:paraId="4AE4B54C" w14:textId="015583D8" w:rsidR="00195B9F" w:rsidRDefault="008401D7" w:rsidP="00547AA5">
      <w:pPr>
        <w:pStyle w:val="subsection"/>
        <w:numPr>
          <w:ilvl w:val="0"/>
          <w:numId w:val="29"/>
        </w:numPr>
        <w:ind w:left="1139" w:hanging="391"/>
      </w:pPr>
      <w:r>
        <w:tab/>
      </w:r>
      <w:r w:rsidR="00D6167A">
        <w:t xml:space="preserve">This section is made for </w:t>
      </w:r>
      <w:r w:rsidR="009C2879">
        <w:t xml:space="preserve">the purposes of paragraph 72-11(1)(b) of the Act. </w:t>
      </w:r>
    </w:p>
    <w:p w14:paraId="39441800" w14:textId="41111D24" w:rsidR="007A43E0" w:rsidRDefault="00973AC0" w:rsidP="00547AA5">
      <w:pPr>
        <w:pStyle w:val="subsection"/>
        <w:numPr>
          <w:ilvl w:val="0"/>
          <w:numId w:val="29"/>
        </w:numPr>
        <w:tabs>
          <w:tab w:val="clear" w:pos="1021"/>
          <w:tab w:val="right" w:pos="1134"/>
        </w:tabs>
        <w:ind w:left="1139" w:hanging="391"/>
      </w:pPr>
      <w:r>
        <w:t>A</w:t>
      </w:r>
      <w:r w:rsidR="008772E4">
        <w:t xml:space="preserve"> medical device includes a</w:t>
      </w:r>
      <w:r>
        <w:t xml:space="preserve">ny </w:t>
      </w:r>
      <w:r w:rsidR="00E76508">
        <w:t>implant, material</w:t>
      </w:r>
      <w:r w:rsidR="00EC2806">
        <w:t>,</w:t>
      </w:r>
      <w:r w:rsidR="00E76508">
        <w:t xml:space="preserve"> or other article that:</w:t>
      </w:r>
    </w:p>
    <w:p w14:paraId="7366641A" w14:textId="67AAFB33" w:rsidR="00E76508" w:rsidRDefault="00E76508" w:rsidP="00547AA5">
      <w:pPr>
        <w:pStyle w:val="subsection"/>
        <w:numPr>
          <w:ilvl w:val="0"/>
          <w:numId w:val="30"/>
        </w:numPr>
        <w:spacing w:before="40"/>
        <w:ind w:left="1701" w:hanging="425"/>
      </w:pPr>
      <w:r>
        <w:t>was</w:t>
      </w:r>
      <w:r w:rsidR="002552C6">
        <w:t xml:space="preserve"> listed in Part D of the former </w:t>
      </w:r>
      <w:r w:rsidR="0038771C">
        <w:t>P</w:t>
      </w:r>
      <w:r w:rsidR="002552C6">
        <w:t xml:space="preserve">rescribed </w:t>
      </w:r>
      <w:r w:rsidR="0038771C">
        <w:t>L</w:t>
      </w:r>
      <w:r w:rsidR="002552C6">
        <w:t>ist</w:t>
      </w:r>
      <w:r w:rsidR="006B1E76">
        <w:t>; and</w:t>
      </w:r>
    </w:p>
    <w:p w14:paraId="060F2515" w14:textId="5E3F348E" w:rsidR="006B1E76" w:rsidRDefault="006B1E76" w:rsidP="00547AA5">
      <w:pPr>
        <w:pStyle w:val="subsection"/>
        <w:numPr>
          <w:ilvl w:val="0"/>
          <w:numId w:val="30"/>
        </w:numPr>
        <w:tabs>
          <w:tab w:val="clear" w:pos="1021"/>
          <w:tab w:val="right" w:pos="1276"/>
        </w:tabs>
        <w:spacing w:before="40"/>
        <w:ind w:left="1701" w:hanging="425"/>
      </w:pPr>
      <w:r>
        <w:t xml:space="preserve">is not covered by paragraph 72-11(1)(a) or (c) of the Act. </w:t>
      </w:r>
    </w:p>
    <w:p w14:paraId="5F9D5BCE" w14:textId="0141C4D9" w:rsidR="00074E6C" w:rsidRDefault="00377CDC" w:rsidP="00074E6C">
      <w:pPr>
        <w:pStyle w:val="subsection"/>
        <w:numPr>
          <w:ilvl w:val="0"/>
          <w:numId w:val="29"/>
        </w:numPr>
        <w:tabs>
          <w:tab w:val="clear" w:pos="1021"/>
          <w:tab w:val="right" w:pos="1134"/>
        </w:tabs>
      </w:pPr>
      <w:r>
        <w:t>A</w:t>
      </w:r>
      <w:r w:rsidR="001B1448">
        <w:t xml:space="preserve"> medical device includes a</w:t>
      </w:r>
      <w:r w:rsidR="008401D7" w:rsidRPr="008401D7">
        <w:t>ny implant, material or other article that is comparable to an</w:t>
      </w:r>
      <w:r w:rsidR="001B1448">
        <w:t>y</w:t>
      </w:r>
      <w:r w:rsidR="008401D7" w:rsidRPr="008401D7">
        <w:t xml:space="preserve"> </w:t>
      </w:r>
      <w:r w:rsidR="001B1448">
        <w:t xml:space="preserve">implant, </w:t>
      </w:r>
      <w:r w:rsidR="008401D7" w:rsidRPr="008401D7">
        <w:t xml:space="preserve">material or other article that is specified in </w:t>
      </w:r>
      <w:r w:rsidR="00074E6C">
        <w:t xml:space="preserve">subsection (2). </w:t>
      </w:r>
    </w:p>
    <w:p w14:paraId="2897E3C8" w14:textId="0118A5DA" w:rsidR="00A26880" w:rsidRPr="00CE3138" w:rsidRDefault="00A26880" w:rsidP="00A26880">
      <w:pPr>
        <w:pStyle w:val="ActHead2"/>
        <w:pageBreakBefore/>
      </w:pPr>
      <w:bookmarkStart w:id="10" w:name="_Toc169882162"/>
      <w:r w:rsidRPr="00CE3138">
        <w:rPr>
          <w:rStyle w:val="CharPartNo"/>
        </w:rPr>
        <w:lastRenderedPageBreak/>
        <w:t>Part 2</w:t>
      </w:r>
      <w:r w:rsidRPr="00CE3138">
        <w:t>—</w:t>
      </w:r>
      <w:r w:rsidRPr="00CE3138">
        <w:rPr>
          <w:rStyle w:val="CharPartText"/>
        </w:rPr>
        <w:t>Benefit requirements</w:t>
      </w:r>
      <w:r w:rsidR="00470DEC" w:rsidRPr="00CE3138">
        <w:rPr>
          <w:rStyle w:val="CharPartText"/>
        </w:rPr>
        <w:t xml:space="preserve"> for </w:t>
      </w:r>
      <w:r w:rsidR="00065D57" w:rsidRPr="00CE3138">
        <w:rPr>
          <w:rStyle w:val="CharPartText"/>
        </w:rPr>
        <w:t xml:space="preserve">private health insurance </w:t>
      </w:r>
      <w:r w:rsidR="00470DEC" w:rsidRPr="00CE3138">
        <w:rPr>
          <w:rStyle w:val="CharPartText"/>
        </w:rPr>
        <w:t>policies that cover hospital treatment</w:t>
      </w:r>
      <w:r w:rsidR="00DF6618" w:rsidRPr="00CE3138">
        <w:rPr>
          <w:rStyle w:val="CharPartText"/>
        </w:rPr>
        <w:t xml:space="preserve"> and hospital</w:t>
      </w:r>
      <w:r w:rsidR="003D794E" w:rsidRPr="00CE3138">
        <w:rPr>
          <w:rStyle w:val="CharPartText"/>
        </w:rPr>
        <w:noBreakHyphen/>
      </w:r>
      <w:r w:rsidR="00DF6618" w:rsidRPr="00CE3138">
        <w:rPr>
          <w:rStyle w:val="CharPartText"/>
        </w:rPr>
        <w:t>substitute treatment</w:t>
      </w:r>
      <w:bookmarkEnd w:id="10"/>
    </w:p>
    <w:p w14:paraId="660A460C" w14:textId="77777777" w:rsidR="00A26880" w:rsidRPr="00CE3138" w:rsidRDefault="00A26880" w:rsidP="00A26880">
      <w:pPr>
        <w:pStyle w:val="Header"/>
      </w:pPr>
      <w:r w:rsidRPr="00CE3138">
        <w:rPr>
          <w:rStyle w:val="CharDivNo"/>
        </w:rPr>
        <w:t xml:space="preserve"> </w:t>
      </w:r>
      <w:r w:rsidRPr="00CE3138">
        <w:rPr>
          <w:rStyle w:val="CharDivText"/>
        </w:rPr>
        <w:t xml:space="preserve"> </w:t>
      </w:r>
    </w:p>
    <w:p w14:paraId="332E24C2" w14:textId="562E3B93" w:rsidR="00A26880" w:rsidRPr="00CE3138" w:rsidRDefault="00CF3113" w:rsidP="00A26880">
      <w:pPr>
        <w:pStyle w:val="ActHead5"/>
      </w:pPr>
      <w:bookmarkStart w:id="11" w:name="_Toc169882163"/>
      <w:r w:rsidRPr="00CE3138">
        <w:rPr>
          <w:rStyle w:val="CharSectno"/>
        </w:rPr>
        <w:t>7</w:t>
      </w:r>
      <w:r w:rsidRPr="00CE3138">
        <w:t xml:space="preserve">  </w:t>
      </w:r>
      <w:r w:rsidR="00A26880" w:rsidRPr="00CE3138">
        <w:t xml:space="preserve">Listing of </w:t>
      </w:r>
      <w:r w:rsidR="00A26880" w:rsidRPr="00CE3138">
        <w:rPr>
          <w:sz w:val="22"/>
          <w:szCs w:val="22"/>
        </w:rPr>
        <w:t>medical devices and human tissue products</w:t>
      </w:r>
      <w:bookmarkEnd w:id="11"/>
    </w:p>
    <w:p w14:paraId="0C44FD9F" w14:textId="10FFAFA2" w:rsidR="00874949" w:rsidRPr="00CE3138" w:rsidRDefault="00A26880" w:rsidP="00CC764A">
      <w:pPr>
        <w:pStyle w:val="subsection"/>
        <w:rPr>
          <w:szCs w:val="22"/>
        </w:rPr>
      </w:pPr>
      <w:r w:rsidRPr="00CE3138">
        <w:rPr>
          <w:rFonts w:eastAsia="MS Mincho"/>
        </w:rPr>
        <w:tab/>
      </w:r>
      <w:r w:rsidRPr="00CE3138">
        <w:rPr>
          <w:rFonts w:eastAsia="MS Mincho"/>
        </w:rPr>
        <w:tab/>
        <w:t xml:space="preserve">For </w:t>
      </w:r>
      <w:r w:rsidR="00CC764A" w:rsidRPr="00CE3138">
        <w:rPr>
          <w:rFonts w:eastAsia="MS Mincho"/>
        </w:rPr>
        <w:t xml:space="preserve">the purposes of </w:t>
      </w:r>
      <w:r w:rsidR="000C3044" w:rsidRPr="00CE3138">
        <w:rPr>
          <w:rFonts w:eastAsia="MS Mincho"/>
        </w:rPr>
        <w:t>item 4</w:t>
      </w:r>
      <w:r w:rsidRPr="00CE3138">
        <w:rPr>
          <w:rFonts w:eastAsia="MS Mincho"/>
        </w:rPr>
        <w:t xml:space="preserve"> </w:t>
      </w:r>
      <w:r w:rsidR="00A23CBF" w:rsidRPr="00CE3138">
        <w:rPr>
          <w:rFonts w:eastAsia="MS Mincho"/>
        </w:rPr>
        <w:t>(</w:t>
      </w:r>
      <w:r w:rsidR="009158E2" w:rsidRPr="00CE3138">
        <w:rPr>
          <w:rFonts w:eastAsia="MS Mincho"/>
        </w:rPr>
        <w:t>column headed “There must be a benefit for</w:t>
      </w:r>
      <w:r w:rsidR="0068202A" w:rsidRPr="00CE3138">
        <w:rPr>
          <w:rFonts w:eastAsia="MS Mincho"/>
        </w:rPr>
        <w:t xml:space="preserve"> </w:t>
      </w:r>
      <w:r w:rsidR="009158E2" w:rsidRPr="00CE3138">
        <w:rPr>
          <w:rFonts w:eastAsia="MS Mincho"/>
        </w:rPr>
        <w:t>…”</w:t>
      </w:r>
      <w:r w:rsidR="00A23CBF" w:rsidRPr="00CE3138">
        <w:rPr>
          <w:rFonts w:eastAsia="MS Mincho"/>
        </w:rPr>
        <w:t>) of the</w:t>
      </w:r>
      <w:r w:rsidR="009158E2" w:rsidRPr="00CE3138">
        <w:rPr>
          <w:rFonts w:eastAsia="MS Mincho"/>
        </w:rPr>
        <w:t xml:space="preserve"> </w:t>
      </w:r>
      <w:r w:rsidRPr="00CE3138">
        <w:rPr>
          <w:rFonts w:eastAsia="MS Mincho"/>
        </w:rPr>
        <w:t xml:space="preserve">table in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1(2) of the Act</w:t>
      </w:r>
      <w:r w:rsidR="00CC764A" w:rsidRPr="00CE3138">
        <w:rPr>
          <w:rFonts w:eastAsia="MS Mincho"/>
        </w:rPr>
        <w:t xml:space="preserve">, </w:t>
      </w:r>
      <w:r w:rsidR="00D9160B" w:rsidRPr="00CE3138">
        <w:rPr>
          <w:rFonts w:eastAsia="MS Mincho"/>
          <w:color w:val="000000"/>
          <w:szCs w:val="22"/>
        </w:rPr>
        <w:t>Schedule 1</w:t>
      </w:r>
      <w:r w:rsidRPr="00CE3138">
        <w:rPr>
          <w:rFonts w:eastAsia="MS Mincho"/>
          <w:color w:val="000000"/>
          <w:szCs w:val="22"/>
        </w:rPr>
        <w:t xml:space="preserve"> to this instrument</w:t>
      </w:r>
      <w:r w:rsidR="00043B01" w:rsidRPr="00CE3138">
        <w:rPr>
          <w:rFonts w:eastAsia="MS Mincho"/>
          <w:color w:val="000000"/>
          <w:szCs w:val="22"/>
        </w:rPr>
        <w:t>:</w:t>
      </w:r>
    </w:p>
    <w:p w14:paraId="4DC279C1" w14:textId="543B70E3" w:rsidR="00874949" w:rsidRPr="00CE3138" w:rsidRDefault="00874949" w:rsidP="00874949">
      <w:pPr>
        <w:pStyle w:val="paragraph"/>
      </w:pPr>
      <w:r w:rsidRPr="00CE3138">
        <w:tab/>
        <w:t>(a)</w:t>
      </w:r>
      <w:r w:rsidRPr="00CE3138">
        <w:tab/>
      </w:r>
      <w:r w:rsidR="00EE5017" w:rsidRPr="00CE3138">
        <w:rPr>
          <w:rFonts w:eastAsia="MS Mincho"/>
          <w:color w:val="000000"/>
          <w:szCs w:val="22"/>
        </w:rPr>
        <w:t xml:space="preserve">lists the kinds of </w:t>
      </w:r>
      <w:r w:rsidR="00EE5017" w:rsidRPr="00CE3138">
        <w:rPr>
          <w:szCs w:val="22"/>
        </w:rPr>
        <w:t>medical devices or human tissue products</w:t>
      </w:r>
      <w:r w:rsidR="00DF6618" w:rsidRPr="00CE3138">
        <w:rPr>
          <w:szCs w:val="22"/>
        </w:rPr>
        <w:t xml:space="preserve"> </w:t>
      </w:r>
      <w:r w:rsidR="00293568" w:rsidRPr="00CE3138">
        <w:t>i</w:t>
      </w:r>
      <w:r w:rsidRPr="00CE3138">
        <w:rPr>
          <w:rFonts w:eastAsia="MS Mincho"/>
          <w:color w:val="000000"/>
          <w:szCs w:val="22"/>
        </w:rPr>
        <w:t xml:space="preserve">n relation to which the Minister has granted an application for listing under </w:t>
      </w:r>
      <w:r w:rsidR="00DC46F8" w:rsidRPr="00CE3138">
        <w:rPr>
          <w:rFonts w:eastAsia="MS Mincho"/>
          <w:color w:val="000000"/>
          <w:szCs w:val="22"/>
        </w:rPr>
        <w:t>section 7</w:t>
      </w:r>
      <w:r w:rsidRPr="00CE3138">
        <w:rPr>
          <w:rFonts w:eastAsia="MS Mincho"/>
          <w:color w:val="000000"/>
          <w:szCs w:val="22"/>
        </w:rPr>
        <w:t>2</w:t>
      </w:r>
      <w:r w:rsidR="003D794E" w:rsidRPr="00CE3138">
        <w:rPr>
          <w:rFonts w:eastAsia="MS Mincho"/>
          <w:color w:val="000000"/>
          <w:szCs w:val="22"/>
        </w:rPr>
        <w:noBreakHyphen/>
      </w:r>
      <w:r w:rsidRPr="00CE3138">
        <w:rPr>
          <w:rFonts w:eastAsia="MS Mincho"/>
          <w:color w:val="000000"/>
          <w:szCs w:val="22"/>
        </w:rPr>
        <w:t>10 of the Act; and</w:t>
      </w:r>
    </w:p>
    <w:p w14:paraId="38C5B569" w14:textId="77777777" w:rsidR="00874949" w:rsidRPr="00CE3138" w:rsidRDefault="00874949" w:rsidP="00874949">
      <w:pPr>
        <w:pStyle w:val="paragraph"/>
        <w:rPr>
          <w:rFonts w:eastAsia="MS Mincho"/>
          <w:color w:val="000000"/>
          <w:szCs w:val="22"/>
        </w:rPr>
      </w:pPr>
      <w:r w:rsidRPr="00CE3138">
        <w:tab/>
        <w:t>(b)</w:t>
      </w:r>
      <w:r w:rsidRPr="00CE3138">
        <w:tab/>
      </w:r>
      <w:r w:rsidR="00DF6618" w:rsidRPr="00CE3138">
        <w:rPr>
          <w:rFonts w:eastAsia="MS Mincho"/>
          <w:color w:val="000000"/>
          <w:szCs w:val="22"/>
        </w:rPr>
        <w:t xml:space="preserve">lists kinds of </w:t>
      </w:r>
      <w:r w:rsidR="00DF6618" w:rsidRPr="00CE3138">
        <w:rPr>
          <w:szCs w:val="22"/>
        </w:rPr>
        <w:t>medical devices or human tissue products</w:t>
      </w:r>
      <w:r w:rsidR="007A43E0" w:rsidRPr="00CE3138">
        <w:rPr>
          <w:szCs w:val="22"/>
        </w:rPr>
        <w:t xml:space="preserve"> </w:t>
      </w:r>
      <w:r w:rsidRPr="00CE3138">
        <w:rPr>
          <w:rFonts w:eastAsia="MS Mincho"/>
          <w:color w:val="000000"/>
          <w:szCs w:val="22"/>
        </w:rPr>
        <w:t xml:space="preserve">in accordance with </w:t>
      </w:r>
      <w:r w:rsidR="00D24D39" w:rsidRPr="00CE3138">
        <w:rPr>
          <w:rFonts w:eastAsia="MS Mincho"/>
          <w:color w:val="000000"/>
          <w:szCs w:val="22"/>
        </w:rPr>
        <w:t>section 1</w:t>
      </w:r>
      <w:r w:rsidRPr="00CE3138">
        <w:rPr>
          <w:rFonts w:eastAsia="MS Mincho"/>
          <w:color w:val="000000"/>
          <w:szCs w:val="22"/>
        </w:rPr>
        <w:t xml:space="preserve">2 of the </w:t>
      </w:r>
      <w:r w:rsidRPr="00CE3138">
        <w:rPr>
          <w:rFonts w:eastAsia="MS Mincho"/>
          <w:i/>
          <w:color w:val="000000"/>
          <w:szCs w:val="22"/>
        </w:rPr>
        <w:t>Private Health Insurance (Transitional Provisions and Consequential Amendments) Act 2007</w:t>
      </w:r>
      <w:r w:rsidR="00DF6618" w:rsidRPr="00CE3138">
        <w:rPr>
          <w:rFonts w:eastAsia="MS Mincho"/>
          <w:i/>
          <w:color w:val="000000"/>
          <w:szCs w:val="22"/>
        </w:rPr>
        <w:t xml:space="preserve"> </w:t>
      </w:r>
      <w:r w:rsidR="00DF6618" w:rsidRPr="00CE3138">
        <w:rPr>
          <w:rFonts w:eastAsia="MS Mincho"/>
          <w:color w:val="000000"/>
          <w:szCs w:val="22"/>
        </w:rPr>
        <w:t>without an application being made</w:t>
      </w:r>
      <w:r w:rsidRPr="00CE3138">
        <w:rPr>
          <w:rFonts w:eastAsia="MS Mincho"/>
          <w:color w:val="000000"/>
          <w:szCs w:val="22"/>
        </w:rPr>
        <w:t>.</w:t>
      </w:r>
    </w:p>
    <w:p w14:paraId="13CD3DE3" w14:textId="77777777" w:rsidR="00935DF8" w:rsidRPr="00CE3138" w:rsidRDefault="00935DF8" w:rsidP="00935DF8">
      <w:pPr>
        <w:pStyle w:val="notetext"/>
        <w:rPr>
          <w:rFonts w:eastAsia="MS Mincho"/>
        </w:rPr>
      </w:pPr>
      <w:r w:rsidRPr="00CE3138">
        <w:rPr>
          <w:rFonts w:eastAsia="MS Mincho"/>
        </w:rPr>
        <w:t>Note 1:</w:t>
      </w:r>
      <w:r w:rsidRPr="00CE3138">
        <w:rPr>
          <w:rFonts w:eastAsia="MS Mincho"/>
        </w:rPr>
        <w:tab/>
      </w:r>
      <w:r w:rsidRPr="00CE3138">
        <w:rPr>
          <w:lang w:eastAsia="en-US"/>
        </w:rPr>
        <w:t>If the Minister grants a listing application and the applicant pays a listing fee within the required timeframe,</w:t>
      </w:r>
      <w:r w:rsidRPr="00CE3138">
        <w:rPr>
          <w:rFonts w:eastAsia="MS Mincho"/>
        </w:rPr>
        <w:t xml:space="preserve"> the Minister must, on the next occasion when the Minister makes or varies this instrument:</w:t>
      </w:r>
    </w:p>
    <w:p w14:paraId="43CBDE8B" w14:textId="77777777" w:rsidR="00935DF8" w:rsidRPr="00CE3138" w:rsidRDefault="00935DF8" w:rsidP="00935DF8">
      <w:pPr>
        <w:pStyle w:val="notepara"/>
        <w:rPr>
          <w:rFonts w:eastAsia="MS Mincho"/>
        </w:rPr>
      </w:pPr>
      <w:r w:rsidRPr="00CE3138">
        <w:rPr>
          <w:rFonts w:eastAsia="MS Mincho"/>
        </w:rPr>
        <w:t>(a)</w:t>
      </w:r>
      <w:r w:rsidRPr="00CE3138">
        <w:rPr>
          <w:rFonts w:eastAsia="MS Mincho"/>
        </w:rPr>
        <w:tab/>
        <w:t>list the kind of medical device or human tissue product to which the application relates in this instrument; and</w:t>
      </w:r>
    </w:p>
    <w:p w14:paraId="7F25535C" w14:textId="77777777" w:rsidR="00935DF8" w:rsidRPr="00CE3138" w:rsidRDefault="00935DF8" w:rsidP="00935DF8">
      <w:pPr>
        <w:pStyle w:val="notepara"/>
        <w:rPr>
          <w:rFonts w:eastAsia="MS Mincho"/>
        </w:rPr>
      </w:pPr>
      <w:r w:rsidRPr="00CE3138">
        <w:rPr>
          <w:rFonts w:eastAsia="MS Mincho"/>
        </w:rPr>
        <w:t>(b)</w:t>
      </w:r>
      <w:r w:rsidRPr="00CE3138">
        <w:rPr>
          <w:rFonts w:eastAsia="MS Mincho"/>
        </w:rPr>
        <w:tab/>
        <w:t>set out in this instrument the minimum benefit for the device or product; and</w:t>
      </w:r>
    </w:p>
    <w:p w14:paraId="55FBDA98" w14:textId="77777777" w:rsidR="00935DF8" w:rsidRPr="00CE3138" w:rsidRDefault="00935DF8" w:rsidP="00935DF8">
      <w:pPr>
        <w:pStyle w:val="notepara"/>
        <w:rPr>
          <w:rFonts w:eastAsia="MS Mincho"/>
        </w:rPr>
      </w:pPr>
      <w:r w:rsidRPr="00CE3138">
        <w:rPr>
          <w:rFonts w:eastAsia="MS Mincho"/>
        </w:rPr>
        <w:t>(c)</w:t>
      </w:r>
      <w:r w:rsidRPr="00CE3138">
        <w:rPr>
          <w:rFonts w:eastAsia="MS Mincho"/>
        </w:rPr>
        <w:tab/>
        <w:t>if the Minister considers it appropriate, set out in this instrument the maximum benefit for the device or product.</w:t>
      </w:r>
    </w:p>
    <w:p w14:paraId="39FDE1E5" w14:textId="06E13A00" w:rsidR="00935DF8" w:rsidRPr="00CE3138" w:rsidRDefault="00935DF8" w:rsidP="00935DF8">
      <w:pPr>
        <w:pStyle w:val="notetext"/>
      </w:pPr>
      <w:r w:rsidRPr="00CE3138">
        <w:rPr>
          <w:rFonts w:eastAsia="MS Mincho"/>
        </w:rPr>
        <w:t>Note 2:</w:t>
      </w:r>
      <w:r w:rsidRPr="00CE3138">
        <w:rPr>
          <w:rFonts w:eastAsia="MS Mincho"/>
        </w:rPr>
        <w:tab/>
      </w:r>
      <w:r w:rsidRPr="00CE3138">
        <w:t xml:space="preserve">The Minister may remove a kind of medical device or human tissue product from </w:t>
      </w:r>
      <w:r w:rsidR="00D9160B" w:rsidRPr="00CE3138">
        <w:t>Schedule 1</w:t>
      </w:r>
      <w:r w:rsidRPr="00CE3138">
        <w:t xml:space="preserve"> if a person is liable to pay a cost</w:t>
      </w:r>
      <w:r w:rsidR="003D794E" w:rsidRPr="00CE3138">
        <w:noBreakHyphen/>
      </w:r>
      <w:r w:rsidRPr="00CE3138">
        <w:t xml:space="preserve">recovery fee in connection with the kind of medical device or human tissue product and the person fails to pay that fee in accordance with this instrument (see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20 of the Act)</w:t>
      </w:r>
      <w:r w:rsidR="001E0E18" w:rsidRPr="00CE3138">
        <w:t>.</w:t>
      </w:r>
    </w:p>
    <w:p w14:paraId="5BCFDE83" w14:textId="5EF90782" w:rsidR="00A26880" w:rsidRPr="00CE3138" w:rsidRDefault="00CF3113" w:rsidP="00A26880">
      <w:pPr>
        <w:pStyle w:val="ActHead5"/>
      </w:pPr>
      <w:bookmarkStart w:id="12" w:name="_Toc169882164"/>
      <w:r w:rsidRPr="00CE3138">
        <w:rPr>
          <w:rStyle w:val="CharSectno"/>
        </w:rPr>
        <w:t>8</w:t>
      </w:r>
      <w:r w:rsidRPr="00CE3138">
        <w:t xml:space="preserve">  </w:t>
      </w:r>
      <w:r w:rsidR="00A26880" w:rsidRPr="00CE3138">
        <w:t xml:space="preserve">Circumstances in which </w:t>
      </w:r>
      <w:r w:rsidR="00C34ABD" w:rsidRPr="00CE3138">
        <w:t>listed items</w:t>
      </w:r>
      <w:r w:rsidR="00A26880" w:rsidRPr="00CE3138">
        <w:t xml:space="preserve"> </w:t>
      </w:r>
      <w:r w:rsidR="00C34ABD" w:rsidRPr="00CE3138">
        <w:t>are</w:t>
      </w:r>
      <w:r w:rsidR="00A26880" w:rsidRPr="00CE3138">
        <w:t xml:space="preserve"> provided</w:t>
      </w:r>
      <w:r w:rsidR="00EE1535" w:rsidRPr="00CE3138">
        <w:t>—</w:t>
      </w:r>
      <w:r w:rsidR="00A26880" w:rsidRPr="00CE3138">
        <w:t>other than circumstances in which a medicare benefit is payable</w:t>
      </w:r>
      <w:bookmarkEnd w:id="12"/>
    </w:p>
    <w:p w14:paraId="50983D00" w14:textId="4B9DA38F" w:rsidR="00A26880" w:rsidRPr="00CE3138" w:rsidRDefault="00A26880" w:rsidP="008401D7">
      <w:pPr>
        <w:pStyle w:val="subsection"/>
        <w:rPr>
          <w:rFonts w:eastAsia="MS Mincho"/>
          <w:color w:val="000000"/>
          <w:szCs w:val="22"/>
        </w:rPr>
      </w:pPr>
      <w:r w:rsidRPr="00CE3138">
        <w:rPr>
          <w:rFonts w:eastAsia="MS Mincho"/>
        </w:rPr>
        <w:tab/>
      </w:r>
      <w:r w:rsidRPr="00CE3138">
        <w:rPr>
          <w:rFonts w:eastAsia="MS Mincho"/>
        </w:rPr>
        <w:tab/>
      </w:r>
      <w:r w:rsidR="004A2234" w:rsidRPr="00CE3138">
        <w:rPr>
          <w:rFonts w:eastAsia="MS Mincho"/>
        </w:rPr>
        <w:t xml:space="preserve">For the purposes of </w:t>
      </w:r>
      <w:r w:rsidR="00DC46F8" w:rsidRPr="00CE3138">
        <w:rPr>
          <w:rFonts w:eastAsia="MS Mincho"/>
        </w:rPr>
        <w:t>paragraph (</w:t>
      </w:r>
      <w:r w:rsidR="004A2234" w:rsidRPr="00CE3138">
        <w:rPr>
          <w:rFonts w:eastAsia="MS Mincho"/>
        </w:rPr>
        <w:t>d) of the column headed “The</w:t>
      </w:r>
      <w:r w:rsidR="00A04634" w:rsidRPr="00CE3138">
        <w:rPr>
          <w:rFonts w:eastAsia="MS Mincho"/>
        </w:rPr>
        <w:t>re must be a benefit for</w:t>
      </w:r>
      <w:r w:rsidR="0068202A" w:rsidRPr="00CE3138">
        <w:rPr>
          <w:rFonts w:eastAsia="MS Mincho"/>
        </w:rPr>
        <w:t xml:space="preserve"> </w:t>
      </w:r>
      <w:r w:rsidR="004A2234" w:rsidRPr="00CE3138">
        <w:rPr>
          <w:rFonts w:eastAsia="MS Mincho"/>
        </w:rPr>
        <w:t xml:space="preserve">…” in </w:t>
      </w:r>
      <w:r w:rsidR="000C3044" w:rsidRPr="00CE3138">
        <w:rPr>
          <w:rFonts w:eastAsia="MS Mincho"/>
        </w:rPr>
        <w:t>item 4</w:t>
      </w:r>
      <w:r w:rsidR="004A2234" w:rsidRPr="00CE3138">
        <w:rPr>
          <w:rFonts w:eastAsia="MS Mincho"/>
        </w:rPr>
        <w:t xml:space="preserve"> of </w:t>
      </w:r>
      <w:r w:rsidR="00787A9E" w:rsidRPr="00CE3138">
        <w:rPr>
          <w:rFonts w:eastAsia="MS Mincho"/>
        </w:rPr>
        <w:t xml:space="preserve">the table in </w:t>
      </w:r>
      <w:r w:rsidR="00DC46F8" w:rsidRPr="00CE3138">
        <w:rPr>
          <w:rFonts w:eastAsia="MS Mincho"/>
        </w:rPr>
        <w:t>subsection 7</w:t>
      </w:r>
      <w:r w:rsidR="004A2234"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="004A2234" w:rsidRPr="00CE3138">
        <w:rPr>
          <w:rFonts w:eastAsia="MS Mincho"/>
        </w:rPr>
        <w:t>1(2) of the Act</w:t>
      </w:r>
      <w:r w:rsidRPr="00CE3138">
        <w:rPr>
          <w:rFonts w:eastAsia="MS Mincho"/>
        </w:rPr>
        <w:t xml:space="preserve">, the circumstance is that </w:t>
      </w:r>
      <w:r w:rsidR="00C34ABD" w:rsidRPr="00CE3138">
        <w:rPr>
          <w:rFonts w:eastAsia="MS Mincho"/>
        </w:rPr>
        <w:t>a l</w:t>
      </w:r>
      <w:r w:rsidRPr="00CE3138">
        <w:rPr>
          <w:rFonts w:eastAsia="MS Mincho"/>
        </w:rPr>
        <w:t xml:space="preserve">isted item </w:t>
      </w:r>
      <w:r w:rsidR="001C4D48" w:rsidRPr="00CE3138">
        <w:rPr>
          <w:lang w:eastAsia="en-US"/>
        </w:rPr>
        <w:t>is provided for podiatric treatment by a registered podiatric surgeon</w:t>
      </w:r>
      <w:r w:rsidRPr="00CE3138">
        <w:rPr>
          <w:rFonts w:eastAsia="MS Mincho"/>
          <w:color w:val="000000"/>
          <w:szCs w:val="22"/>
        </w:rPr>
        <w:t>.</w:t>
      </w:r>
    </w:p>
    <w:p w14:paraId="7B691B0A" w14:textId="5FDB7BCE" w:rsidR="004A2234" w:rsidRPr="00CE3138" w:rsidRDefault="004A2234" w:rsidP="004A2234">
      <w:pPr>
        <w:pStyle w:val="notetext"/>
        <w:rPr>
          <w:rFonts w:eastAsia="MS Mincho"/>
        </w:rPr>
      </w:pPr>
      <w:r w:rsidRPr="00CE3138">
        <w:rPr>
          <w:rFonts w:eastAsia="MS Mincho"/>
        </w:rPr>
        <w:t>Note:</w:t>
      </w:r>
      <w:r w:rsidRPr="00CE3138">
        <w:rPr>
          <w:rFonts w:eastAsia="MS Mincho"/>
        </w:rPr>
        <w:tab/>
        <w:t>Paragraph (c) of the column headed “</w:t>
      </w:r>
      <w:r w:rsidR="00506704" w:rsidRPr="00CE3138">
        <w:rPr>
          <w:rFonts w:eastAsia="MS Mincho"/>
        </w:rPr>
        <w:t>There must be a benefit for</w:t>
      </w:r>
      <w:r w:rsidR="00D13539" w:rsidRPr="00CE3138">
        <w:rPr>
          <w:rFonts w:eastAsia="MS Mincho"/>
        </w:rPr>
        <w:t xml:space="preserve"> </w:t>
      </w:r>
      <w:r w:rsidRPr="00CE3138">
        <w:rPr>
          <w:rFonts w:eastAsia="MS Mincho"/>
        </w:rPr>
        <w:t xml:space="preserve">…” in </w:t>
      </w:r>
      <w:r w:rsidR="000C3044" w:rsidRPr="00CE3138">
        <w:rPr>
          <w:rFonts w:eastAsia="MS Mincho"/>
        </w:rPr>
        <w:t>item 4</w:t>
      </w:r>
      <w:r w:rsidRPr="00CE3138">
        <w:rPr>
          <w:rFonts w:eastAsia="MS Mincho"/>
        </w:rPr>
        <w:t xml:space="preserve"> of </w:t>
      </w:r>
      <w:r w:rsidR="00B74D56" w:rsidRPr="00CE3138">
        <w:rPr>
          <w:rFonts w:eastAsia="MS Mincho"/>
        </w:rPr>
        <w:t xml:space="preserve">the table in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1(2) of the Act deals with the provision of a listed item in circumstances in which a medicare benefit is payable.</w:t>
      </w:r>
    </w:p>
    <w:p w14:paraId="0A3F3A02" w14:textId="39008BFA" w:rsidR="00A26880" w:rsidRPr="00CE3138" w:rsidRDefault="00CF3113" w:rsidP="00A26880">
      <w:pPr>
        <w:pStyle w:val="ActHead5"/>
      </w:pPr>
      <w:bookmarkStart w:id="13" w:name="_Toc169882165"/>
      <w:r w:rsidRPr="00CE3138">
        <w:rPr>
          <w:rStyle w:val="CharSectno"/>
        </w:rPr>
        <w:t>9</w:t>
      </w:r>
      <w:r w:rsidRPr="00CE3138">
        <w:t xml:space="preserve">  </w:t>
      </w:r>
      <w:r w:rsidR="00A26880" w:rsidRPr="00CE3138">
        <w:t xml:space="preserve">Conditions to be satisfied in relation to the provision of </w:t>
      </w:r>
      <w:r w:rsidR="00C34ABD" w:rsidRPr="00CE3138">
        <w:t>listed items</w:t>
      </w:r>
      <w:bookmarkEnd w:id="13"/>
    </w:p>
    <w:p w14:paraId="36A11D71" w14:textId="09DCE520" w:rsidR="00A26880" w:rsidRPr="00CE3138" w:rsidRDefault="00A26880" w:rsidP="00A26880">
      <w:pPr>
        <w:pStyle w:val="subsection"/>
      </w:pPr>
      <w:r w:rsidRPr="00CE3138">
        <w:tab/>
        <w:t>(1)</w:t>
      </w:r>
      <w:r w:rsidRPr="00CE3138">
        <w:tab/>
      </w:r>
      <w:r w:rsidRPr="00CE3138">
        <w:rPr>
          <w:rFonts w:eastAsia="MS Mincho"/>
        </w:rPr>
        <w:t xml:space="preserve">For the purposes of </w:t>
      </w:r>
      <w:r w:rsidR="00DC46F8" w:rsidRPr="00CE3138">
        <w:rPr>
          <w:rFonts w:eastAsia="MS Mincho"/>
        </w:rPr>
        <w:t>paragraphs (</w:t>
      </w:r>
      <w:r w:rsidRPr="00CE3138">
        <w:rPr>
          <w:rFonts w:eastAsia="MS Mincho"/>
        </w:rPr>
        <w:t xml:space="preserve">c) and (d) </w:t>
      </w:r>
      <w:r w:rsidR="00C34ABD" w:rsidRPr="00CE3138">
        <w:rPr>
          <w:rFonts w:eastAsia="MS Mincho"/>
        </w:rPr>
        <w:t>of the column headed “The</w:t>
      </w:r>
      <w:r w:rsidR="00A04634" w:rsidRPr="00CE3138">
        <w:rPr>
          <w:rFonts w:eastAsia="MS Mincho"/>
        </w:rPr>
        <w:t>re must be a benefit for</w:t>
      </w:r>
      <w:r w:rsidR="0068202A" w:rsidRPr="00CE3138">
        <w:rPr>
          <w:rFonts w:eastAsia="MS Mincho"/>
        </w:rPr>
        <w:t xml:space="preserve"> </w:t>
      </w:r>
      <w:r w:rsidR="00C34ABD" w:rsidRPr="00CE3138">
        <w:rPr>
          <w:rFonts w:eastAsia="MS Mincho"/>
        </w:rPr>
        <w:t xml:space="preserve">…” in </w:t>
      </w:r>
      <w:r w:rsidR="000C3044" w:rsidRPr="00CE3138">
        <w:rPr>
          <w:rFonts w:eastAsia="MS Mincho"/>
        </w:rPr>
        <w:t>item 4</w:t>
      </w:r>
      <w:r w:rsidR="00C34ABD" w:rsidRPr="00CE3138">
        <w:rPr>
          <w:rFonts w:eastAsia="MS Mincho"/>
        </w:rPr>
        <w:t xml:space="preserve"> </w:t>
      </w:r>
      <w:r w:rsidR="00787A9E" w:rsidRPr="00CE3138">
        <w:rPr>
          <w:rFonts w:eastAsia="MS Mincho"/>
        </w:rPr>
        <w:t xml:space="preserve">of the table in </w:t>
      </w:r>
      <w:r w:rsidR="00DC46F8" w:rsidRPr="00CE3138">
        <w:rPr>
          <w:rFonts w:eastAsia="MS Mincho"/>
        </w:rPr>
        <w:t>subsection 7</w:t>
      </w:r>
      <w:r w:rsidR="00C34ABD"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="00C34ABD" w:rsidRPr="00CE3138">
        <w:rPr>
          <w:rFonts w:eastAsia="MS Mincho"/>
        </w:rPr>
        <w:t>1(2) of the Act</w:t>
      </w:r>
      <w:r w:rsidRPr="00CE3138">
        <w:rPr>
          <w:rFonts w:eastAsia="MS Mincho"/>
        </w:rPr>
        <w:t xml:space="preserve">, </w:t>
      </w:r>
      <w:r w:rsidR="00D24D39" w:rsidRPr="00CE3138">
        <w:rPr>
          <w:rFonts w:eastAsia="MS Mincho"/>
        </w:rPr>
        <w:t>subsection (</w:t>
      </w:r>
      <w:r w:rsidRPr="00CE3138">
        <w:t xml:space="preserve">2) of this section sets out the conditions that must be satisfied in relation to the provision of a </w:t>
      </w:r>
      <w:r w:rsidRPr="00CE3138">
        <w:rPr>
          <w:rFonts w:eastAsia="MS Mincho"/>
        </w:rPr>
        <w:t xml:space="preserve">listed item in the circumstances mentioned in </w:t>
      </w:r>
      <w:r w:rsidR="00C64113" w:rsidRPr="00CE3138">
        <w:rPr>
          <w:rFonts w:eastAsia="MS Mincho"/>
        </w:rPr>
        <w:t xml:space="preserve">those </w:t>
      </w:r>
      <w:r w:rsidRPr="00CE3138">
        <w:rPr>
          <w:rFonts w:eastAsia="MS Mincho"/>
        </w:rPr>
        <w:t>paragraph</w:t>
      </w:r>
      <w:r w:rsidR="009D108E" w:rsidRPr="00CE3138">
        <w:rPr>
          <w:rFonts w:eastAsia="MS Mincho"/>
        </w:rPr>
        <w:t>s</w:t>
      </w:r>
      <w:r w:rsidRPr="00CE3138">
        <w:rPr>
          <w:rFonts w:eastAsia="MS Mincho"/>
        </w:rPr>
        <w:t>.</w:t>
      </w:r>
    </w:p>
    <w:p w14:paraId="5DF35329" w14:textId="77777777" w:rsidR="00A26880" w:rsidRPr="00CE3138" w:rsidRDefault="00A26880" w:rsidP="00A26880">
      <w:pPr>
        <w:pStyle w:val="subsection"/>
      </w:pPr>
      <w:r w:rsidRPr="00CE3138">
        <w:tab/>
        <w:t>(2)</w:t>
      </w:r>
      <w:r w:rsidRPr="00CE3138">
        <w:tab/>
        <w:t>The conditions are:</w:t>
      </w:r>
    </w:p>
    <w:p w14:paraId="5ACA474D" w14:textId="77777777" w:rsidR="00A26880" w:rsidRPr="00CE3138" w:rsidRDefault="00A26880" w:rsidP="00A26880">
      <w:pPr>
        <w:pStyle w:val="paragraph"/>
        <w:rPr>
          <w:rFonts w:eastAsia="MS Mincho"/>
          <w:color w:val="000000"/>
          <w:szCs w:val="22"/>
        </w:rPr>
      </w:pPr>
      <w:r w:rsidRPr="00CE3138">
        <w:lastRenderedPageBreak/>
        <w:tab/>
        <w:t>(a)</w:t>
      </w:r>
      <w:r w:rsidRPr="00CE3138">
        <w:tab/>
        <w:t>if a condition is specified</w:t>
      </w:r>
      <w:r w:rsidR="00C34ABD" w:rsidRPr="00CE3138">
        <w:rPr>
          <w:rFonts w:eastAsia="MS Mincho"/>
          <w:color w:val="000000"/>
          <w:szCs w:val="22"/>
        </w:rPr>
        <w:t xml:space="preserve"> i</w:t>
      </w:r>
      <w:r w:rsidRPr="00CE3138">
        <w:rPr>
          <w:rFonts w:eastAsia="MS Mincho"/>
          <w:color w:val="000000"/>
          <w:szCs w:val="22"/>
        </w:rPr>
        <w:t xml:space="preserve">n </w:t>
      </w:r>
      <w:r w:rsidR="001C4D48" w:rsidRPr="00CE3138">
        <w:rPr>
          <w:rFonts w:eastAsia="MS Mincho"/>
          <w:color w:val="000000"/>
          <w:szCs w:val="22"/>
        </w:rPr>
        <w:t xml:space="preserve">the column headed </w:t>
      </w:r>
      <w:r w:rsidR="00DB03FB" w:rsidRPr="00CE3138">
        <w:rPr>
          <w:rFonts w:eastAsia="MS Mincho"/>
          <w:color w:val="000000"/>
          <w:szCs w:val="22"/>
        </w:rPr>
        <w:t>“</w:t>
      </w:r>
      <w:r w:rsidR="001C4D48" w:rsidRPr="00CE3138">
        <w:rPr>
          <w:rFonts w:eastAsia="MS Mincho"/>
          <w:color w:val="000000"/>
          <w:szCs w:val="22"/>
        </w:rPr>
        <w:t>Condition</w:t>
      </w:r>
      <w:r w:rsidR="00DB03FB" w:rsidRPr="00CE3138">
        <w:rPr>
          <w:rFonts w:eastAsia="MS Mincho"/>
          <w:color w:val="000000"/>
          <w:szCs w:val="22"/>
        </w:rPr>
        <w:t>”</w:t>
      </w:r>
      <w:r w:rsidR="001C4D48" w:rsidRPr="00CE3138">
        <w:rPr>
          <w:rFonts w:eastAsia="MS Mincho"/>
          <w:color w:val="000000"/>
          <w:szCs w:val="22"/>
        </w:rPr>
        <w:t xml:space="preserve"> of the</w:t>
      </w:r>
      <w:r w:rsidRPr="00CE3138">
        <w:rPr>
          <w:rFonts w:eastAsia="MS Mincho"/>
          <w:color w:val="000000"/>
          <w:szCs w:val="22"/>
        </w:rPr>
        <w:t xml:space="preserve"> table in </w:t>
      </w:r>
      <w:r w:rsidR="00D9160B" w:rsidRPr="00CE3138">
        <w:rPr>
          <w:rFonts w:eastAsia="MS Mincho"/>
          <w:color w:val="000000"/>
          <w:szCs w:val="22"/>
        </w:rPr>
        <w:t>Schedule 1</w:t>
      </w:r>
      <w:r w:rsidRPr="00CE3138">
        <w:rPr>
          <w:rFonts w:eastAsia="MS Mincho"/>
          <w:color w:val="000000"/>
          <w:szCs w:val="22"/>
        </w:rPr>
        <w:t xml:space="preserve"> for that listed item—that condition; and</w:t>
      </w:r>
    </w:p>
    <w:p w14:paraId="1D1E3508" w14:textId="77777777" w:rsidR="00A26880" w:rsidRPr="00CE3138" w:rsidRDefault="00A26880" w:rsidP="00A26880">
      <w:pPr>
        <w:pStyle w:val="paragraph"/>
      </w:pPr>
      <w:r w:rsidRPr="00CE3138">
        <w:tab/>
        <w:t>(b)</w:t>
      </w:r>
      <w:r w:rsidRPr="00CE3138">
        <w:tab/>
      </w:r>
      <w:r w:rsidRPr="00CE3138">
        <w:rPr>
          <w:rFonts w:eastAsia="MS Mincho"/>
          <w:color w:val="000000"/>
          <w:szCs w:val="22"/>
        </w:rPr>
        <w:t xml:space="preserve">if the listed item is </w:t>
      </w:r>
      <w:r w:rsidR="00893E5E" w:rsidRPr="00CE3138">
        <w:rPr>
          <w:rFonts w:eastAsia="MS Mincho"/>
          <w:color w:val="000000"/>
          <w:szCs w:val="22"/>
        </w:rPr>
        <w:t xml:space="preserve">for </w:t>
      </w:r>
      <w:r w:rsidRPr="00CE3138">
        <w:rPr>
          <w:rFonts w:eastAsia="MS Mincho"/>
          <w:color w:val="000000"/>
          <w:szCs w:val="22"/>
        </w:rPr>
        <w:t>an insulin infusion pump—the following additional conditions</w:t>
      </w:r>
      <w:r w:rsidRPr="00CE3138">
        <w:t>:</w:t>
      </w:r>
    </w:p>
    <w:p w14:paraId="2AE54880" w14:textId="10F7FE7C" w:rsidR="00A26880" w:rsidRPr="00CE3138" w:rsidRDefault="00A26880" w:rsidP="00A26880">
      <w:pPr>
        <w:pStyle w:val="paragraphsub"/>
      </w:pPr>
      <w:r w:rsidRPr="00CE3138">
        <w:tab/>
        <w:t>(i)</w:t>
      </w:r>
      <w:r w:rsidRPr="00CE3138">
        <w:tab/>
      </w:r>
      <w:r w:rsidRPr="00CE3138">
        <w:rPr>
          <w:rFonts w:eastAsia="MS Mincho"/>
          <w:color w:val="000000"/>
          <w:szCs w:val="22"/>
        </w:rPr>
        <w:t xml:space="preserve">the professional service associated with the provision of the insulin infusion pump must be a professional attendance by a consultant physician in the practice of the consultant physician’s </w:t>
      </w:r>
      <w:r w:rsidR="00EC2806" w:rsidRPr="00CE3138">
        <w:rPr>
          <w:rFonts w:eastAsia="MS Mincho"/>
          <w:color w:val="000000"/>
          <w:szCs w:val="22"/>
        </w:rPr>
        <w:t>specialty.</w:t>
      </w:r>
    </w:p>
    <w:p w14:paraId="391B331D" w14:textId="77777777" w:rsidR="00A26880" w:rsidRPr="00CE3138" w:rsidRDefault="00A26880" w:rsidP="00A26880">
      <w:pPr>
        <w:pStyle w:val="paragraphsub"/>
      </w:pPr>
      <w:r w:rsidRPr="00CE3138">
        <w:tab/>
        <w:t>(ii)</w:t>
      </w:r>
      <w:r w:rsidRPr="00CE3138">
        <w:tab/>
      </w:r>
      <w:r w:rsidRPr="00CE3138">
        <w:rPr>
          <w:rFonts w:eastAsia="MS Mincho"/>
          <w:color w:val="000000"/>
          <w:szCs w:val="22"/>
        </w:rPr>
        <w:t>the professional service must be provided as a certified Type C procedure or a certified overnight Type C procedure;</w:t>
      </w:r>
    </w:p>
    <w:p w14:paraId="6384A67E" w14:textId="77777777" w:rsidR="00A26880" w:rsidRPr="00CE3138" w:rsidRDefault="00A26880" w:rsidP="00A26880">
      <w:pPr>
        <w:pStyle w:val="paragraphsub"/>
        <w:rPr>
          <w:rFonts w:eastAsia="MS Mincho"/>
          <w:color w:val="000000"/>
          <w:szCs w:val="22"/>
        </w:rPr>
      </w:pPr>
      <w:r w:rsidRPr="00CE3138">
        <w:tab/>
        <w:t>(iii)</w:t>
      </w:r>
      <w:r w:rsidRPr="00CE3138">
        <w:tab/>
      </w:r>
      <w:r w:rsidRPr="00CE3138">
        <w:rPr>
          <w:rFonts w:eastAsia="MS Mincho"/>
          <w:color w:val="000000"/>
          <w:szCs w:val="22"/>
        </w:rPr>
        <w:t>the insulin infusion pump must be provided for the purpose of administering insulin.</w:t>
      </w:r>
    </w:p>
    <w:p w14:paraId="72F40A22" w14:textId="78A8DA19" w:rsidR="00A26880" w:rsidRPr="00CE3138" w:rsidRDefault="00A26880" w:rsidP="00F127BC">
      <w:pPr>
        <w:pStyle w:val="notetext"/>
        <w:rPr>
          <w:rFonts w:eastAsia="MS Mincho"/>
        </w:rPr>
      </w:pPr>
      <w:r w:rsidRPr="00CE3138">
        <w:rPr>
          <w:rFonts w:eastAsia="MS Mincho"/>
        </w:rPr>
        <w:t>Note:</w:t>
      </w:r>
      <w:r w:rsidRPr="00CE3138">
        <w:rPr>
          <w:rFonts w:eastAsia="MS Mincho"/>
        </w:rPr>
        <w:tab/>
        <w:t xml:space="preserve">Item 4 of the table in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 xml:space="preserve">1(2) of the Act sets out other requirements in relation to benefits for the provision of </w:t>
      </w:r>
      <w:r w:rsidR="00C34ABD" w:rsidRPr="00CE3138">
        <w:rPr>
          <w:rFonts w:eastAsia="MS Mincho"/>
        </w:rPr>
        <w:t>listed item</w:t>
      </w:r>
      <w:r w:rsidR="00787A9E" w:rsidRPr="00CE3138">
        <w:rPr>
          <w:rFonts w:eastAsia="MS Mincho"/>
        </w:rPr>
        <w:t>s</w:t>
      </w:r>
      <w:r w:rsidRPr="00CE3138">
        <w:rPr>
          <w:rFonts w:eastAsia="MS Mincho"/>
        </w:rPr>
        <w:t xml:space="preserve"> that a policy that covers hospital treatment must meet. These requirements relate to benefits for hospital treatment and, if the policy covers hospital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substitute treatment, to the benefits of that coverage as well.</w:t>
      </w:r>
    </w:p>
    <w:p w14:paraId="1735BCCE" w14:textId="0DA92C6B" w:rsidR="00A26880" w:rsidRPr="00CE3138" w:rsidRDefault="00CF3113" w:rsidP="00A26880">
      <w:pPr>
        <w:pStyle w:val="ActHead5"/>
      </w:pPr>
      <w:bookmarkStart w:id="14" w:name="_Toc169882166"/>
      <w:r w:rsidRPr="00CE3138">
        <w:rPr>
          <w:rStyle w:val="CharSectno"/>
        </w:rPr>
        <w:t>10</w:t>
      </w:r>
      <w:r w:rsidRPr="00CE3138">
        <w:t xml:space="preserve">  </w:t>
      </w:r>
      <w:r w:rsidR="00A26880" w:rsidRPr="00CE3138">
        <w:t xml:space="preserve">Benefits for </w:t>
      </w:r>
      <w:r w:rsidR="00C34ABD" w:rsidRPr="00CE3138">
        <w:t>listed items</w:t>
      </w:r>
      <w:r w:rsidR="00A26880" w:rsidRPr="00CE3138">
        <w:t xml:space="preserve"> provided as part of hospital treatment</w:t>
      </w:r>
      <w:bookmarkEnd w:id="14"/>
    </w:p>
    <w:p w14:paraId="0398E775" w14:textId="7606E68B" w:rsidR="00A26880" w:rsidRPr="00CE3138" w:rsidRDefault="00A26880" w:rsidP="00A26880">
      <w:pPr>
        <w:pStyle w:val="subsection"/>
        <w:rPr>
          <w:szCs w:val="22"/>
        </w:rPr>
      </w:pPr>
      <w:r w:rsidRPr="00CE3138">
        <w:rPr>
          <w:rFonts w:eastAsia="MS Mincho"/>
        </w:rPr>
        <w:tab/>
        <w:t>(1)</w:t>
      </w:r>
      <w:r w:rsidRPr="00CE3138">
        <w:rPr>
          <w:rFonts w:eastAsia="MS Mincho"/>
        </w:rPr>
        <w:tab/>
        <w:t xml:space="preserve">This section is made for the purposes of </w:t>
      </w:r>
      <w:r w:rsidR="00DC46F8" w:rsidRPr="00CE3138">
        <w:rPr>
          <w:rFonts w:eastAsia="MS Mincho"/>
        </w:rPr>
        <w:t>paragraph (</w:t>
      </w:r>
      <w:r w:rsidRPr="00CE3138">
        <w:rPr>
          <w:rFonts w:eastAsia="MS Mincho"/>
        </w:rPr>
        <w:t>a)</w:t>
      </w:r>
      <w:r w:rsidR="00B03755" w:rsidRPr="00CE3138">
        <w:rPr>
          <w:rFonts w:eastAsia="MS Mincho"/>
        </w:rPr>
        <w:t xml:space="preserve"> </w:t>
      </w:r>
      <w:r w:rsidRPr="00CE3138">
        <w:rPr>
          <w:rFonts w:eastAsia="MS Mincho"/>
        </w:rPr>
        <w:t>of the column headed “The amount of the benefit must be</w:t>
      </w:r>
      <w:r w:rsidR="0068202A" w:rsidRPr="00CE3138">
        <w:rPr>
          <w:rFonts w:eastAsia="MS Mincho"/>
        </w:rPr>
        <w:t xml:space="preserve"> </w:t>
      </w:r>
      <w:r w:rsidRPr="00CE3138">
        <w:rPr>
          <w:rFonts w:eastAsia="MS Mincho"/>
        </w:rPr>
        <w:t xml:space="preserve">…” in </w:t>
      </w:r>
      <w:r w:rsidR="000C3044" w:rsidRPr="00CE3138">
        <w:rPr>
          <w:rFonts w:eastAsia="MS Mincho"/>
        </w:rPr>
        <w:t>item 4</w:t>
      </w:r>
      <w:r w:rsidRPr="00CE3138">
        <w:rPr>
          <w:rFonts w:eastAsia="MS Mincho"/>
        </w:rPr>
        <w:t xml:space="preserve"> of </w:t>
      </w:r>
      <w:r w:rsidR="00787A9E" w:rsidRPr="00CE3138">
        <w:rPr>
          <w:rFonts w:eastAsia="MS Mincho"/>
        </w:rPr>
        <w:t xml:space="preserve">the table in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 xml:space="preserve">1(2) of the Act and sets out the amount </w:t>
      </w:r>
      <w:r w:rsidR="00B03755" w:rsidRPr="00CE3138">
        <w:rPr>
          <w:rFonts w:eastAsia="MS Mincho"/>
        </w:rPr>
        <w:t xml:space="preserve">(or method for working out the amount) </w:t>
      </w:r>
      <w:r w:rsidRPr="00CE3138">
        <w:rPr>
          <w:rFonts w:eastAsia="MS Mincho"/>
        </w:rPr>
        <w:t xml:space="preserve">that is the minimum benefit for a </w:t>
      </w:r>
      <w:r w:rsidRPr="00CE3138">
        <w:rPr>
          <w:szCs w:val="22"/>
        </w:rPr>
        <w:t>listed item</w:t>
      </w:r>
      <w:r w:rsidR="00957BE2" w:rsidRPr="00CE3138">
        <w:rPr>
          <w:szCs w:val="22"/>
        </w:rPr>
        <w:t xml:space="preserve"> </w:t>
      </w:r>
      <w:r w:rsidR="00957BE2" w:rsidRPr="00CE3138">
        <w:t>provided as part of hospital treatment</w:t>
      </w:r>
      <w:r w:rsidRPr="00CE3138">
        <w:rPr>
          <w:szCs w:val="22"/>
        </w:rPr>
        <w:t>.</w:t>
      </w:r>
    </w:p>
    <w:p w14:paraId="1BF424F6" w14:textId="77777777" w:rsidR="00081BDC" w:rsidRPr="00CE3138" w:rsidRDefault="001C4D48" w:rsidP="00081BDC">
      <w:pPr>
        <w:pStyle w:val="SubsectionHead"/>
        <w:rPr>
          <w:rFonts w:eastAsia="MS Mincho"/>
        </w:rPr>
      </w:pPr>
      <w:r w:rsidRPr="00CE3138">
        <w:rPr>
          <w:rFonts w:eastAsia="MS Mincho"/>
          <w:color w:val="000000"/>
          <w:szCs w:val="22"/>
        </w:rPr>
        <w:t>L</w:t>
      </w:r>
      <w:r w:rsidR="00081BDC" w:rsidRPr="00CE3138">
        <w:rPr>
          <w:rFonts w:eastAsia="MS Mincho"/>
          <w:color w:val="000000"/>
          <w:szCs w:val="22"/>
        </w:rPr>
        <w:t xml:space="preserve">isted items </w:t>
      </w:r>
      <w:r w:rsidR="00787A9E" w:rsidRPr="00CE3138">
        <w:rPr>
          <w:rFonts w:eastAsia="MS Mincho"/>
          <w:color w:val="000000"/>
          <w:szCs w:val="22"/>
        </w:rPr>
        <w:t>(</w:t>
      </w:r>
      <w:r w:rsidR="00081BDC" w:rsidRPr="00CE3138">
        <w:rPr>
          <w:rFonts w:eastAsia="MS Mincho"/>
          <w:color w:val="000000"/>
          <w:szCs w:val="22"/>
        </w:rPr>
        <w:t>other than specified listed items</w:t>
      </w:r>
      <w:r w:rsidR="00787A9E" w:rsidRPr="00CE3138">
        <w:rPr>
          <w:rFonts w:eastAsia="MS Mincho"/>
          <w:color w:val="000000"/>
          <w:szCs w:val="22"/>
        </w:rPr>
        <w:t>)</w:t>
      </w:r>
      <w:r w:rsidR="00A75264" w:rsidRPr="00CE3138">
        <w:rPr>
          <w:rFonts w:eastAsia="MS Mincho"/>
          <w:color w:val="000000"/>
          <w:szCs w:val="22"/>
        </w:rPr>
        <w:t>—private hospitals</w:t>
      </w:r>
    </w:p>
    <w:p w14:paraId="003AA05A" w14:textId="77777777" w:rsidR="00DB03FB" w:rsidRPr="00CE3138" w:rsidRDefault="00A26880" w:rsidP="00DB03FB">
      <w:pPr>
        <w:pStyle w:val="subsection"/>
        <w:rPr>
          <w:rFonts w:eastAsia="MS Mincho"/>
        </w:rPr>
      </w:pPr>
      <w:r w:rsidRPr="00CE3138">
        <w:rPr>
          <w:rFonts w:eastAsia="MS Mincho"/>
        </w:rPr>
        <w:tab/>
      </w:r>
      <w:r w:rsidRPr="00CE3138">
        <w:rPr>
          <w:color w:val="000000"/>
          <w:szCs w:val="22"/>
        </w:rPr>
        <w:t>(</w:t>
      </w:r>
      <w:r w:rsidR="00957BE2" w:rsidRPr="00CE3138">
        <w:rPr>
          <w:rFonts w:eastAsia="MS Mincho"/>
          <w:color w:val="000000"/>
          <w:szCs w:val="22"/>
        </w:rPr>
        <w:t>2</w:t>
      </w:r>
      <w:r w:rsidRPr="00CE3138">
        <w:rPr>
          <w:rFonts w:eastAsia="MS Mincho"/>
          <w:color w:val="000000"/>
          <w:szCs w:val="22"/>
        </w:rPr>
        <w:t>)</w:t>
      </w:r>
      <w:r w:rsidRPr="00CE3138">
        <w:rPr>
          <w:rFonts w:eastAsia="MS Mincho"/>
          <w:color w:val="000000"/>
          <w:szCs w:val="22"/>
        </w:rPr>
        <w:tab/>
        <w:t>For a listed item (other than a specified listed item) provided as part of an episode of hospital treatment in a private hospital</w:t>
      </w:r>
      <w:r w:rsidR="001C4D48" w:rsidRPr="00CE3138">
        <w:rPr>
          <w:rFonts w:eastAsia="MS Mincho"/>
          <w:color w:val="000000"/>
          <w:szCs w:val="22"/>
        </w:rPr>
        <w:t>, t</w:t>
      </w:r>
      <w:r w:rsidRPr="00CE3138">
        <w:rPr>
          <w:rFonts w:eastAsia="MS Mincho"/>
          <w:color w:val="000000"/>
          <w:szCs w:val="22"/>
        </w:rPr>
        <w:t xml:space="preserve">he minimum benefit for the </w:t>
      </w:r>
      <w:r w:rsidR="00006497" w:rsidRPr="00CE3138">
        <w:rPr>
          <w:rFonts w:eastAsia="MS Mincho"/>
          <w:color w:val="000000"/>
          <w:szCs w:val="22"/>
        </w:rPr>
        <w:t>listed item</w:t>
      </w:r>
      <w:r w:rsidRPr="00CE3138">
        <w:rPr>
          <w:rFonts w:eastAsia="MS Mincho"/>
          <w:color w:val="000000"/>
          <w:szCs w:val="22"/>
        </w:rPr>
        <w:t xml:space="preserve"> is the amount specified </w:t>
      </w:r>
      <w:r w:rsidR="00A75264" w:rsidRPr="00CE3138">
        <w:rPr>
          <w:rFonts w:eastAsia="MS Mincho"/>
          <w:color w:val="000000"/>
          <w:szCs w:val="22"/>
        </w:rPr>
        <w:t xml:space="preserve">in </w:t>
      </w:r>
      <w:r w:rsidR="001C4D48" w:rsidRPr="00CE3138">
        <w:rPr>
          <w:rFonts w:eastAsia="MS Mincho"/>
          <w:color w:val="000000"/>
          <w:szCs w:val="22"/>
        </w:rPr>
        <w:t xml:space="preserve">the </w:t>
      </w:r>
      <w:r w:rsidR="0073771F" w:rsidRPr="00CE3138">
        <w:rPr>
          <w:rFonts w:eastAsia="MS Mincho"/>
        </w:rPr>
        <w:t xml:space="preserve">column </w:t>
      </w:r>
      <w:r w:rsidR="001C4D48" w:rsidRPr="00CE3138">
        <w:rPr>
          <w:rFonts w:eastAsia="MS Mincho"/>
        </w:rPr>
        <w:t xml:space="preserve">headed </w:t>
      </w:r>
      <w:r w:rsidR="00DB03FB" w:rsidRPr="00CE3138">
        <w:rPr>
          <w:rFonts w:eastAsia="MS Mincho"/>
        </w:rPr>
        <w:t>“</w:t>
      </w:r>
      <w:r w:rsidR="0073771F" w:rsidRPr="00CE3138">
        <w:rPr>
          <w:rFonts w:eastAsia="MS Mincho"/>
        </w:rPr>
        <w:t xml:space="preserve">Minimum </w:t>
      </w:r>
      <w:r w:rsidR="0094694E" w:rsidRPr="00CE3138">
        <w:rPr>
          <w:rFonts w:eastAsia="MS Mincho"/>
        </w:rPr>
        <w:t>b</w:t>
      </w:r>
      <w:r w:rsidR="0073771F" w:rsidRPr="00CE3138">
        <w:rPr>
          <w:rFonts w:eastAsia="MS Mincho"/>
        </w:rPr>
        <w:t>enefit</w:t>
      </w:r>
      <w:r w:rsidR="00DB03FB" w:rsidRPr="00CE3138">
        <w:rPr>
          <w:rFonts w:eastAsia="MS Mincho"/>
        </w:rPr>
        <w:t>”</w:t>
      </w:r>
      <w:r w:rsidR="001C4D48" w:rsidRPr="00CE3138">
        <w:rPr>
          <w:rFonts w:eastAsia="MS Mincho"/>
        </w:rPr>
        <w:t xml:space="preserve"> </w:t>
      </w:r>
      <w:r w:rsidR="00A75264" w:rsidRPr="00CE3138">
        <w:rPr>
          <w:rFonts w:eastAsia="MS Mincho"/>
          <w:color w:val="000000"/>
          <w:szCs w:val="22"/>
        </w:rPr>
        <w:t xml:space="preserve">of </w:t>
      </w:r>
      <w:r w:rsidR="001C4D48" w:rsidRPr="00CE3138">
        <w:rPr>
          <w:rFonts w:eastAsia="MS Mincho"/>
          <w:color w:val="000000"/>
          <w:szCs w:val="22"/>
        </w:rPr>
        <w:t>the</w:t>
      </w:r>
      <w:r w:rsidR="00A75264" w:rsidRPr="00CE3138">
        <w:rPr>
          <w:rFonts w:eastAsia="MS Mincho"/>
          <w:color w:val="000000"/>
          <w:szCs w:val="22"/>
        </w:rPr>
        <w:t xml:space="preserve"> table in </w:t>
      </w:r>
      <w:r w:rsidR="00D9160B" w:rsidRPr="00CE3138">
        <w:rPr>
          <w:rFonts w:eastAsia="MS Mincho"/>
          <w:color w:val="000000"/>
          <w:szCs w:val="22"/>
        </w:rPr>
        <w:t>Schedule 1</w:t>
      </w:r>
      <w:r w:rsidR="00A75264" w:rsidRPr="00CE3138">
        <w:rPr>
          <w:rFonts w:eastAsia="MS Mincho"/>
          <w:color w:val="000000"/>
          <w:szCs w:val="22"/>
        </w:rPr>
        <w:t xml:space="preserve"> for the </w:t>
      </w:r>
      <w:r w:rsidR="00006497" w:rsidRPr="00CE3138">
        <w:rPr>
          <w:rFonts w:eastAsia="MS Mincho"/>
          <w:color w:val="000000"/>
          <w:szCs w:val="22"/>
        </w:rPr>
        <w:t>listed item</w:t>
      </w:r>
      <w:r w:rsidR="00DB03FB" w:rsidRPr="00CE3138">
        <w:rPr>
          <w:rFonts w:eastAsia="MS Mincho"/>
          <w:color w:val="000000"/>
          <w:szCs w:val="22"/>
        </w:rPr>
        <w:t>.</w:t>
      </w:r>
    </w:p>
    <w:p w14:paraId="64264BE6" w14:textId="77777777" w:rsidR="00A26880" w:rsidRPr="00CE3138" w:rsidRDefault="00081BDC" w:rsidP="00081BDC">
      <w:pPr>
        <w:pStyle w:val="SubsectionHead"/>
        <w:rPr>
          <w:rFonts w:eastAsia="MS Mincho"/>
        </w:rPr>
      </w:pPr>
      <w:r w:rsidRPr="00CE3138">
        <w:rPr>
          <w:rFonts w:eastAsia="MS Mincho"/>
          <w:color w:val="000000"/>
          <w:szCs w:val="22"/>
        </w:rPr>
        <w:t>Specified listed items</w:t>
      </w:r>
      <w:r w:rsidR="00A75264" w:rsidRPr="00CE3138">
        <w:rPr>
          <w:rFonts w:eastAsia="MS Mincho"/>
          <w:color w:val="000000"/>
          <w:szCs w:val="22"/>
        </w:rPr>
        <w:t>—private hospitals</w:t>
      </w:r>
    </w:p>
    <w:p w14:paraId="2C3AA108" w14:textId="77777777" w:rsidR="00907792" w:rsidRPr="00CE3138" w:rsidRDefault="00A26880" w:rsidP="00907792">
      <w:pPr>
        <w:pStyle w:val="subsection"/>
      </w:pPr>
      <w:r w:rsidRPr="00CE3138">
        <w:tab/>
        <w:t>(</w:t>
      </w:r>
      <w:r w:rsidR="00957BE2" w:rsidRPr="00CE3138">
        <w:t>3</w:t>
      </w:r>
      <w:r w:rsidRPr="00CE3138">
        <w:t>)</w:t>
      </w:r>
      <w:r w:rsidRPr="00CE3138">
        <w:tab/>
        <w:t>For a specified listed item provided as part of an episode of hospital treatment in a private hospital</w:t>
      </w:r>
      <w:r w:rsidR="00D75A3A" w:rsidRPr="00CE3138">
        <w:t xml:space="preserve">, the minimum benefit for the specified listed item is </w:t>
      </w:r>
      <w:r w:rsidR="00D75A3A" w:rsidRPr="00CE3138">
        <w:rPr>
          <w:rFonts w:eastAsia="MS Mincho"/>
        </w:rPr>
        <w:t xml:space="preserve">the amount for the </w:t>
      </w:r>
      <w:r w:rsidR="00D75A3A" w:rsidRPr="00CE3138">
        <w:t>specified listed item</w:t>
      </w:r>
      <w:r w:rsidR="00D75A3A" w:rsidRPr="00CE3138">
        <w:rPr>
          <w:szCs w:val="22"/>
        </w:rPr>
        <w:t xml:space="preserve"> </w:t>
      </w:r>
      <w:r w:rsidR="00D75A3A" w:rsidRPr="00CE3138">
        <w:rPr>
          <w:rFonts w:eastAsia="MS Mincho"/>
        </w:rPr>
        <w:t xml:space="preserve">worked out in accordance with </w:t>
      </w:r>
      <w:r w:rsidR="00D24D39" w:rsidRPr="00CE3138">
        <w:rPr>
          <w:rFonts w:eastAsia="MS Mincho"/>
        </w:rPr>
        <w:t>subsection (</w:t>
      </w:r>
      <w:r w:rsidR="00D75A3A" w:rsidRPr="00CE3138">
        <w:rPr>
          <w:rFonts w:eastAsia="MS Mincho"/>
        </w:rPr>
        <w:t>6)</w:t>
      </w:r>
      <w:r w:rsidR="00907792" w:rsidRPr="00CE3138">
        <w:rPr>
          <w:rFonts w:eastAsia="MS Mincho"/>
        </w:rPr>
        <w:t>.</w:t>
      </w:r>
    </w:p>
    <w:p w14:paraId="6040760A" w14:textId="77777777" w:rsidR="00A75264" w:rsidRPr="00CE3138" w:rsidRDefault="00DB03FB" w:rsidP="00A75264">
      <w:pPr>
        <w:pStyle w:val="SubsectionHead"/>
      </w:pPr>
      <w:r w:rsidRPr="00CE3138">
        <w:rPr>
          <w:rFonts w:eastAsia="MS Mincho"/>
          <w:color w:val="000000"/>
          <w:szCs w:val="22"/>
        </w:rPr>
        <w:t>L</w:t>
      </w:r>
      <w:r w:rsidR="00A75264" w:rsidRPr="00CE3138">
        <w:rPr>
          <w:rFonts w:eastAsia="MS Mincho"/>
          <w:color w:val="000000"/>
          <w:szCs w:val="22"/>
        </w:rPr>
        <w:t>isted item</w:t>
      </w:r>
      <w:r w:rsidR="00A04634" w:rsidRPr="00CE3138">
        <w:rPr>
          <w:rFonts w:eastAsia="MS Mincho"/>
          <w:color w:val="000000"/>
          <w:szCs w:val="22"/>
        </w:rPr>
        <w:t>s</w:t>
      </w:r>
      <w:r w:rsidR="00A75264" w:rsidRPr="00CE3138">
        <w:rPr>
          <w:rFonts w:eastAsia="MS Mincho"/>
          <w:color w:val="000000"/>
          <w:szCs w:val="22"/>
        </w:rPr>
        <w:t xml:space="preserve"> </w:t>
      </w:r>
      <w:r w:rsidR="00462C03" w:rsidRPr="00CE3138">
        <w:rPr>
          <w:rFonts w:eastAsia="MS Mincho"/>
          <w:color w:val="000000"/>
          <w:szCs w:val="22"/>
        </w:rPr>
        <w:t>(</w:t>
      </w:r>
      <w:r w:rsidR="00A75264" w:rsidRPr="00CE3138">
        <w:rPr>
          <w:rFonts w:eastAsia="MS Mincho"/>
          <w:color w:val="000000"/>
          <w:szCs w:val="22"/>
        </w:rPr>
        <w:t>other than specified listed item</w:t>
      </w:r>
      <w:r w:rsidR="00A04634" w:rsidRPr="00CE3138">
        <w:rPr>
          <w:rFonts w:eastAsia="MS Mincho"/>
          <w:color w:val="000000"/>
          <w:szCs w:val="22"/>
        </w:rPr>
        <w:t>s</w:t>
      </w:r>
      <w:r w:rsidR="00462C03" w:rsidRPr="00CE3138">
        <w:rPr>
          <w:rFonts w:eastAsia="MS Mincho"/>
          <w:color w:val="000000"/>
          <w:szCs w:val="22"/>
        </w:rPr>
        <w:t>)</w:t>
      </w:r>
      <w:r w:rsidR="00A75264" w:rsidRPr="00CE3138">
        <w:rPr>
          <w:rFonts w:eastAsia="MS Mincho"/>
          <w:color w:val="000000"/>
          <w:szCs w:val="22"/>
        </w:rPr>
        <w:t>—public hospitals</w:t>
      </w:r>
    </w:p>
    <w:p w14:paraId="23FD3813" w14:textId="77777777" w:rsidR="00A26880" w:rsidRPr="00CE3138" w:rsidRDefault="00A26880" w:rsidP="00DB03FB">
      <w:pPr>
        <w:pStyle w:val="subsection"/>
        <w:rPr>
          <w:rFonts w:eastAsia="MS Mincho"/>
          <w:color w:val="000000"/>
          <w:szCs w:val="22"/>
        </w:rPr>
      </w:pPr>
      <w:r w:rsidRPr="00CE3138">
        <w:tab/>
        <w:t>(</w:t>
      </w:r>
      <w:r w:rsidR="00DB03FB" w:rsidRPr="00CE3138">
        <w:t>4</w:t>
      </w:r>
      <w:r w:rsidRPr="00CE3138">
        <w:t>)</w:t>
      </w:r>
      <w:r w:rsidRPr="00CE3138">
        <w:tab/>
      </w:r>
      <w:r w:rsidRPr="00CE3138">
        <w:rPr>
          <w:rFonts w:eastAsia="MS Mincho"/>
          <w:color w:val="000000"/>
          <w:szCs w:val="22"/>
        </w:rPr>
        <w:t xml:space="preserve">For a </w:t>
      </w:r>
      <w:r w:rsidR="00DF2467" w:rsidRPr="00CE3138">
        <w:rPr>
          <w:rFonts w:eastAsia="MS Mincho"/>
          <w:color w:val="000000"/>
          <w:szCs w:val="22"/>
        </w:rPr>
        <w:t>l</w:t>
      </w:r>
      <w:r w:rsidRPr="00CE3138">
        <w:rPr>
          <w:rFonts w:eastAsia="MS Mincho"/>
          <w:color w:val="000000"/>
          <w:szCs w:val="22"/>
        </w:rPr>
        <w:t>isted item (other than a specified listed item) provided as part of an episode of hospital treatment in a public hospital</w:t>
      </w:r>
      <w:r w:rsidR="00DB03FB" w:rsidRPr="00CE3138">
        <w:rPr>
          <w:rFonts w:eastAsia="MS Mincho"/>
          <w:color w:val="000000"/>
          <w:szCs w:val="22"/>
        </w:rPr>
        <w:t xml:space="preserve">, </w:t>
      </w:r>
      <w:r w:rsidRPr="00CE3138">
        <w:rPr>
          <w:rFonts w:eastAsia="MS Mincho"/>
          <w:color w:val="000000"/>
          <w:szCs w:val="22"/>
        </w:rPr>
        <w:t xml:space="preserve">the minimum benefit </w:t>
      </w:r>
      <w:r w:rsidR="0083688A" w:rsidRPr="00CE3138">
        <w:rPr>
          <w:rFonts w:eastAsia="MS Mincho"/>
          <w:color w:val="000000"/>
          <w:szCs w:val="22"/>
        </w:rPr>
        <w:t xml:space="preserve">for the listed item </w:t>
      </w:r>
      <w:r w:rsidRPr="00CE3138">
        <w:rPr>
          <w:rFonts w:eastAsia="MS Mincho"/>
          <w:color w:val="000000"/>
          <w:szCs w:val="22"/>
        </w:rPr>
        <w:t>is the lesser of the following amounts:</w:t>
      </w:r>
    </w:p>
    <w:p w14:paraId="445CED98" w14:textId="77777777" w:rsidR="00A26880" w:rsidRPr="00CE3138" w:rsidRDefault="00A26880" w:rsidP="00DB03FB">
      <w:pPr>
        <w:pStyle w:val="paragraph"/>
        <w:rPr>
          <w:rFonts w:eastAsia="MS Mincho"/>
        </w:rPr>
      </w:pPr>
      <w:r w:rsidRPr="00CE3138">
        <w:tab/>
        <w:t>(</w:t>
      </w:r>
      <w:r w:rsidR="00DB03FB" w:rsidRPr="00CE3138">
        <w:t>a</w:t>
      </w:r>
      <w:r w:rsidRPr="00CE3138">
        <w:t>)</w:t>
      </w:r>
      <w:r w:rsidRPr="00CE3138">
        <w:tab/>
      </w:r>
      <w:r w:rsidRPr="00CE3138">
        <w:rPr>
          <w:rFonts w:eastAsia="MS Mincho"/>
        </w:rPr>
        <w:t>the amount for th</w:t>
      </w:r>
      <w:r w:rsidR="00A75264" w:rsidRPr="00CE3138">
        <w:rPr>
          <w:rFonts w:eastAsia="MS Mincho"/>
        </w:rPr>
        <w:t>e</w:t>
      </w:r>
      <w:r w:rsidRPr="00CE3138">
        <w:rPr>
          <w:rFonts w:eastAsia="MS Mincho"/>
        </w:rPr>
        <w:t xml:space="preserve"> </w:t>
      </w:r>
      <w:r w:rsidR="00006497" w:rsidRPr="00CE3138">
        <w:rPr>
          <w:rFonts w:eastAsia="MS Mincho"/>
        </w:rPr>
        <w:t>listed item</w:t>
      </w:r>
      <w:r w:rsidRPr="00CE3138">
        <w:rPr>
          <w:rFonts w:eastAsia="MS Mincho"/>
        </w:rPr>
        <w:t xml:space="preserve"> specified in </w:t>
      </w:r>
      <w:r w:rsidR="00DB03FB" w:rsidRPr="00CE3138">
        <w:rPr>
          <w:rFonts w:eastAsia="MS Mincho"/>
        </w:rPr>
        <w:t>the column headed “</w:t>
      </w:r>
      <w:r w:rsidR="0073771F" w:rsidRPr="00CE3138">
        <w:rPr>
          <w:rFonts w:eastAsia="MS Mincho"/>
        </w:rPr>
        <w:t xml:space="preserve">Minimum </w:t>
      </w:r>
      <w:r w:rsidR="0094694E" w:rsidRPr="00CE3138">
        <w:rPr>
          <w:rFonts w:eastAsia="MS Mincho"/>
        </w:rPr>
        <w:t>b</w:t>
      </w:r>
      <w:r w:rsidR="0073771F" w:rsidRPr="00CE3138">
        <w:rPr>
          <w:rFonts w:eastAsia="MS Mincho"/>
        </w:rPr>
        <w:t>enefit</w:t>
      </w:r>
      <w:r w:rsidR="00DB03FB" w:rsidRPr="00CE3138">
        <w:rPr>
          <w:rFonts w:eastAsia="MS Mincho"/>
        </w:rPr>
        <w:t>”</w:t>
      </w:r>
      <w:r w:rsidRPr="00CE3138">
        <w:rPr>
          <w:rFonts w:eastAsia="MS Mincho"/>
        </w:rPr>
        <w:t xml:space="preserve"> of </w:t>
      </w:r>
      <w:r w:rsidR="00DB03FB" w:rsidRPr="00CE3138">
        <w:rPr>
          <w:rFonts w:eastAsia="MS Mincho"/>
        </w:rPr>
        <w:t>the</w:t>
      </w:r>
      <w:r w:rsidRPr="00CE3138">
        <w:rPr>
          <w:rFonts w:eastAsia="MS Mincho"/>
        </w:rPr>
        <w:t xml:space="preserve"> table in </w:t>
      </w:r>
      <w:r w:rsidR="00D9160B" w:rsidRPr="00CE3138">
        <w:rPr>
          <w:rFonts w:eastAsia="MS Mincho"/>
        </w:rPr>
        <w:t>Schedule 1</w:t>
      </w:r>
      <w:r w:rsidRPr="00CE3138">
        <w:rPr>
          <w:rFonts w:eastAsia="MS Mincho"/>
        </w:rPr>
        <w:t>;</w:t>
      </w:r>
    </w:p>
    <w:p w14:paraId="3C13BF01" w14:textId="77777777" w:rsidR="00DB03FB" w:rsidRPr="00CE3138" w:rsidRDefault="00A26880" w:rsidP="00DB03FB">
      <w:pPr>
        <w:pStyle w:val="paragraph"/>
        <w:rPr>
          <w:rFonts w:eastAsia="MS Mincho"/>
        </w:rPr>
      </w:pPr>
      <w:r w:rsidRPr="00CE3138">
        <w:tab/>
        <w:t>(</w:t>
      </w:r>
      <w:r w:rsidR="009A5069" w:rsidRPr="00CE3138">
        <w:t>b</w:t>
      </w:r>
      <w:r w:rsidRPr="00CE3138">
        <w:t>)</w:t>
      </w:r>
      <w:r w:rsidRPr="00CE3138">
        <w:tab/>
      </w:r>
      <w:r w:rsidRPr="00CE3138">
        <w:rPr>
          <w:rFonts w:eastAsia="MS Mincho"/>
        </w:rPr>
        <w:t>the amount of the insured person’s liability to the public hospital for th</w:t>
      </w:r>
      <w:r w:rsidR="00A75264" w:rsidRPr="00CE3138">
        <w:rPr>
          <w:rFonts w:eastAsia="MS Mincho"/>
        </w:rPr>
        <w:t>e</w:t>
      </w:r>
      <w:r w:rsidRPr="00CE3138">
        <w:rPr>
          <w:rFonts w:eastAsia="MS Mincho"/>
        </w:rPr>
        <w:t xml:space="preserve"> </w:t>
      </w:r>
      <w:r w:rsidR="00006497" w:rsidRPr="00CE3138">
        <w:rPr>
          <w:rFonts w:eastAsia="MS Mincho"/>
        </w:rPr>
        <w:t>listed item</w:t>
      </w:r>
      <w:r w:rsidR="00DB03FB" w:rsidRPr="00CE3138">
        <w:rPr>
          <w:rFonts w:eastAsia="MS Mincho"/>
        </w:rPr>
        <w:t>.</w:t>
      </w:r>
    </w:p>
    <w:p w14:paraId="5C935A96" w14:textId="77777777" w:rsidR="00A75264" w:rsidRPr="00CE3138" w:rsidRDefault="00A04634" w:rsidP="00A04634">
      <w:pPr>
        <w:pStyle w:val="SubsectionHead"/>
        <w:rPr>
          <w:rFonts w:eastAsia="MS Mincho"/>
        </w:rPr>
      </w:pPr>
      <w:r w:rsidRPr="00CE3138">
        <w:rPr>
          <w:rFonts w:eastAsia="MS Mincho"/>
          <w:color w:val="000000"/>
          <w:szCs w:val="22"/>
        </w:rPr>
        <w:lastRenderedPageBreak/>
        <w:t>Specified listed items—public hospitals</w:t>
      </w:r>
    </w:p>
    <w:p w14:paraId="1C070270" w14:textId="77777777" w:rsidR="00A26880" w:rsidRPr="00CE3138" w:rsidRDefault="00A26880" w:rsidP="00DB03FB">
      <w:pPr>
        <w:pStyle w:val="subsection"/>
      </w:pPr>
      <w:r w:rsidRPr="00CE3138">
        <w:tab/>
        <w:t>(</w:t>
      </w:r>
      <w:r w:rsidR="00DB03FB" w:rsidRPr="00CE3138">
        <w:t>5</w:t>
      </w:r>
      <w:r w:rsidRPr="00CE3138">
        <w:t>)</w:t>
      </w:r>
      <w:r w:rsidRPr="00CE3138">
        <w:tab/>
        <w:t>For a specified listed item provided as part of an episode of hospital treatment in a public hospital</w:t>
      </w:r>
      <w:r w:rsidR="00DB03FB" w:rsidRPr="00CE3138">
        <w:t xml:space="preserve">, </w:t>
      </w:r>
      <w:r w:rsidRPr="00CE3138">
        <w:t xml:space="preserve">the minimum benefit for the </w:t>
      </w:r>
      <w:r w:rsidR="00006497" w:rsidRPr="00CE3138">
        <w:t>specified listed item</w:t>
      </w:r>
      <w:r w:rsidRPr="00CE3138">
        <w:t xml:space="preserve"> is the lesser of</w:t>
      </w:r>
      <w:r w:rsidR="0083688A" w:rsidRPr="00CE3138">
        <w:t xml:space="preserve"> the following</w:t>
      </w:r>
      <w:r w:rsidR="00C43334" w:rsidRPr="00CE3138">
        <w:t xml:space="preserve"> amounts</w:t>
      </w:r>
      <w:r w:rsidRPr="00CE3138">
        <w:t>:</w:t>
      </w:r>
    </w:p>
    <w:p w14:paraId="53F54346" w14:textId="77777777" w:rsidR="00A26880" w:rsidRPr="00CE3138" w:rsidRDefault="00A26880" w:rsidP="00DB03FB">
      <w:pPr>
        <w:pStyle w:val="paragraph"/>
        <w:rPr>
          <w:rFonts w:eastAsia="MS Mincho"/>
        </w:rPr>
      </w:pPr>
      <w:r w:rsidRPr="00CE3138">
        <w:tab/>
        <w:t>(</w:t>
      </w:r>
      <w:r w:rsidR="00DB03FB" w:rsidRPr="00CE3138">
        <w:t>a</w:t>
      </w:r>
      <w:r w:rsidRPr="00CE3138">
        <w:t>)</w:t>
      </w:r>
      <w:r w:rsidRPr="00CE3138">
        <w:tab/>
      </w:r>
      <w:r w:rsidRPr="00CE3138">
        <w:rPr>
          <w:rFonts w:eastAsia="MS Mincho"/>
        </w:rPr>
        <w:t>the amount for th</w:t>
      </w:r>
      <w:r w:rsidR="0083688A" w:rsidRPr="00CE3138">
        <w:rPr>
          <w:rFonts w:eastAsia="MS Mincho"/>
        </w:rPr>
        <w:t>e</w:t>
      </w:r>
      <w:r w:rsidRPr="00CE3138">
        <w:rPr>
          <w:rFonts w:eastAsia="MS Mincho"/>
        </w:rPr>
        <w:t xml:space="preserve"> </w:t>
      </w:r>
      <w:r w:rsidR="00006497" w:rsidRPr="00CE3138">
        <w:t>specified listed item</w:t>
      </w:r>
      <w:r w:rsidRPr="00CE3138">
        <w:rPr>
          <w:szCs w:val="22"/>
        </w:rPr>
        <w:t xml:space="preserve"> </w:t>
      </w:r>
      <w:r w:rsidRPr="00CE3138">
        <w:rPr>
          <w:rFonts w:eastAsia="MS Mincho"/>
        </w:rPr>
        <w:t xml:space="preserve">worked out in accordance with </w:t>
      </w:r>
      <w:r w:rsidR="00D24D39" w:rsidRPr="00CE3138">
        <w:rPr>
          <w:rFonts w:eastAsia="MS Mincho"/>
        </w:rPr>
        <w:t>subsection (</w:t>
      </w:r>
      <w:r w:rsidR="00DB03FB" w:rsidRPr="00CE3138">
        <w:rPr>
          <w:rFonts w:eastAsia="MS Mincho"/>
        </w:rPr>
        <w:t>6</w:t>
      </w:r>
      <w:r w:rsidRPr="00CE3138">
        <w:rPr>
          <w:rFonts w:eastAsia="MS Mincho"/>
        </w:rPr>
        <w:t>);</w:t>
      </w:r>
    </w:p>
    <w:p w14:paraId="0322C44D" w14:textId="77777777" w:rsidR="00DB03FB" w:rsidRPr="00CE3138" w:rsidRDefault="00A26880" w:rsidP="00DB03FB">
      <w:pPr>
        <w:pStyle w:val="paragraph"/>
      </w:pPr>
      <w:r w:rsidRPr="00CE3138">
        <w:tab/>
        <w:t>(</w:t>
      </w:r>
      <w:r w:rsidR="00DB03FB" w:rsidRPr="00CE3138">
        <w:t>b</w:t>
      </w:r>
      <w:r w:rsidRPr="00CE3138">
        <w:t>)</w:t>
      </w:r>
      <w:r w:rsidRPr="00CE3138">
        <w:tab/>
      </w:r>
      <w:r w:rsidRPr="00CE3138">
        <w:rPr>
          <w:rFonts w:eastAsia="MS Mincho"/>
        </w:rPr>
        <w:t>the amount of the insured person’s liability to the public hospital for th</w:t>
      </w:r>
      <w:r w:rsidR="00006497" w:rsidRPr="00CE3138">
        <w:rPr>
          <w:rFonts w:eastAsia="MS Mincho"/>
        </w:rPr>
        <w:t>e</w:t>
      </w:r>
      <w:r w:rsidRPr="00CE3138">
        <w:rPr>
          <w:rFonts w:eastAsia="MS Mincho"/>
        </w:rPr>
        <w:t xml:space="preserve"> </w:t>
      </w:r>
      <w:r w:rsidR="00006497" w:rsidRPr="00CE3138">
        <w:t>specified listed item</w:t>
      </w:r>
      <w:r w:rsidR="00D75A3A" w:rsidRPr="00CE3138">
        <w:t>.</w:t>
      </w:r>
    </w:p>
    <w:p w14:paraId="67D178B7" w14:textId="77777777" w:rsidR="000D0F3F" w:rsidRPr="00CE3138" w:rsidRDefault="000D0F3F" w:rsidP="000D0F3F">
      <w:pPr>
        <w:pStyle w:val="SubsectionHead"/>
        <w:rPr>
          <w:rFonts w:eastAsia="MS Mincho"/>
        </w:rPr>
      </w:pPr>
      <w:r w:rsidRPr="00CE3138">
        <w:rPr>
          <w:rFonts w:eastAsia="MS Mincho"/>
        </w:rPr>
        <w:t>Minimum benefits for specified listed items—private and public hospitals</w:t>
      </w:r>
    </w:p>
    <w:p w14:paraId="6A10EDE8" w14:textId="77777777" w:rsidR="00A26880" w:rsidRPr="00CE3138" w:rsidRDefault="00A26880" w:rsidP="00DB03FB">
      <w:pPr>
        <w:pStyle w:val="subsection"/>
        <w:rPr>
          <w:rFonts w:eastAsia="MS Mincho"/>
        </w:rPr>
      </w:pPr>
      <w:r w:rsidRPr="00CE3138">
        <w:tab/>
        <w:t>(</w:t>
      </w:r>
      <w:r w:rsidR="00DB03FB" w:rsidRPr="00CE3138">
        <w:t>6</w:t>
      </w:r>
      <w:r w:rsidRPr="00CE3138">
        <w:t>)</w:t>
      </w:r>
      <w:r w:rsidRPr="00CE3138">
        <w:tab/>
      </w:r>
      <w:r w:rsidRPr="00CE3138">
        <w:rPr>
          <w:rFonts w:eastAsia="MS Mincho"/>
        </w:rPr>
        <w:t xml:space="preserve">The amount for </w:t>
      </w:r>
      <w:r w:rsidRPr="00CE3138">
        <w:t>a specified listed item</w:t>
      </w:r>
      <w:r w:rsidRPr="00CE3138">
        <w:rPr>
          <w:rFonts w:eastAsia="MS Mincho"/>
        </w:rPr>
        <w:t xml:space="preserve"> worked out in accordance with this subsection is:</w:t>
      </w:r>
    </w:p>
    <w:p w14:paraId="2683BD91" w14:textId="77777777" w:rsidR="00A26880" w:rsidRPr="00CE3138" w:rsidRDefault="00A26880" w:rsidP="00A26880">
      <w:pPr>
        <w:pStyle w:val="paragraph"/>
      </w:pPr>
      <w:r w:rsidRPr="00CE3138">
        <w:tab/>
        <w:t>(a)</w:t>
      </w:r>
      <w:r w:rsidRPr="00CE3138">
        <w:tab/>
        <w:t xml:space="preserve">if the sum of default minimum benefits for the </w:t>
      </w:r>
      <w:r w:rsidR="00907792" w:rsidRPr="00CE3138">
        <w:t xml:space="preserve">treatment </w:t>
      </w:r>
      <w:r w:rsidRPr="00CE3138">
        <w:t xml:space="preserve">in which the </w:t>
      </w:r>
      <w:r w:rsidR="00006497" w:rsidRPr="00CE3138">
        <w:t>specified listed item</w:t>
      </w:r>
      <w:r w:rsidRPr="00CE3138">
        <w:t xml:space="preserve"> was used is $6</w:t>
      </w:r>
      <w:r w:rsidR="00A04634" w:rsidRPr="00CE3138">
        <w:t>,</w:t>
      </w:r>
      <w:r w:rsidRPr="00CE3138">
        <w:t xml:space="preserve">399 or less—the default minimum benefit for the </w:t>
      </w:r>
      <w:r w:rsidR="00006497" w:rsidRPr="00CE3138">
        <w:t>specified listed item</w:t>
      </w:r>
      <w:r w:rsidRPr="00CE3138">
        <w:t>;</w:t>
      </w:r>
      <w:r w:rsidR="0083688A" w:rsidRPr="00CE3138">
        <w:t xml:space="preserve"> or</w:t>
      </w:r>
    </w:p>
    <w:p w14:paraId="270C26D0" w14:textId="77777777" w:rsidR="00A26880" w:rsidRPr="00CE3138" w:rsidRDefault="00A26880" w:rsidP="00A26880">
      <w:pPr>
        <w:pStyle w:val="paragraph"/>
      </w:pPr>
      <w:r w:rsidRPr="00CE3138">
        <w:tab/>
        <w:t>(b)</w:t>
      </w:r>
      <w:r w:rsidRPr="00CE3138">
        <w:tab/>
        <w:t xml:space="preserve">if the sum of default minimum benefits for the </w:t>
      </w:r>
      <w:r w:rsidR="00907792" w:rsidRPr="00CE3138">
        <w:t xml:space="preserve">treatment </w:t>
      </w:r>
      <w:r w:rsidRPr="00CE3138">
        <w:t xml:space="preserve">in which the </w:t>
      </w:r>
      <w:r w:rsidR="00006497" w:rsidRPr="00CE3138">
        <w:t>specified listed item</w:t>
      </w:r>
      <w:r w:rsidRPr="00CE3138">
        <w:t xml:space="preserve"> was used is more than $6</w:t>
      </w:r>
      <w:r w:rsidR="00A04634" w:rsidRPr="00CE3138">
        <w:t>,</w:t>
      </w:r>
      <w:r w:rsidRPr="00CE3138">
        <w:t xml:space="preserve">399—the amount worked out by dividing the default minimum benefit for </w:t>
      </w:r>
      <w:r w:rsidR="009731F0" w:rsidRPr="00CE3138">
        <w:t xml:space="preserve">the </w:t>
      </w:r>
      <w:r w:rsidR="00006497" w:rsidRPr="00CE3138">
        <w:t>specified listed item</w:t>
      </w:r>
      <w:r w:rsidRPr="00CE3138">
        <w:t xml:space="preserve"> by the sum of the default minimum benefits for the </w:t>
      </w:r>
      <w:r w:rsidR="00907792" w:rsidRPr="00CE3138">
        <w:t xml:space="preserve">treatment </w:t>
      </w:r>
      <w:r w:rsidRPr="00CE3138">
        <w:t xml:space="preserve">in which the </w:t>
      </w:r>
      <w:r w:rsidR="00006497" w:rsidRPr="00CE3138">
        <w:t>specified listed item</w:t>
      </w:r>
      <w:r w:rsidRPr="00CE3138">
        <w:t xml:space="preserve"> was used and multiplying the result by $6</w:t>
      </w:r>
      <w:r w:rsidR="00A04634" w:rsidRPr="00CE3138">
        <w:t>,</w:t>
      </w:r>
      <w:r w:rsidRPr="00CE3138">
        <w:t>399.</w:t>
      </w:r>
    </w:p>
    <w:p w14:paraId="1839C9D0" w14:textId="77777777" w:rsidR="00A04634" w:rsidRPr="00CE3138" w:rsidRDefault="00A04634" w:rsidP="00A04634">
      <w:pPr>
        <w:pStyle w:val="notetext"/>
      </w:pPr>
      <w:r w:rsidRPr="00CE3138">
        <w:t xml:space="preserve">Example: </w:t>
      </w:r>
      <w:r w:rsidRPr="00CE3138">
        <w:tab/>
        <w:t xml:space="preserve">If an irrigated cardiac ablation catheter, a mapping catheter for cardiac ablation and a patch for cardiac ablation are each listed in </w:t>
      </w:r>
      <w:r w:rsidR="00D9160B" w:rsidRPr="00CE3138">
        <w:t>Schedule 1</w:t>
      </w:r>
      <w:r w:rsidRPr="00CE3138">
        <w:t xml:space="preserve"> and are used in a relevant </w:t>
      </w:r>
      <w:r w:rsidR="00907792" w:rsidRPr="00CE3138">
        <w:t>treatment</w:t>
      </w:r>
      <w:r w:rsidRPr="00CE3138">
        <w:t xml:space="preserve"> in accordance with any conditions, and if:</w:t>
      </w:r>
    </w:p>
    <w:p w14:paraId="7BFFF8A4" w14:textId="77777777" w:rsidR="00A04634" w:rsidRPr="00CE3138" w:rsidRDefault="00A04634" w:rsidP="00A04634">
      <w:pPr>
        <w:pStyle w:val="notepara"/>
      </w:pPr>
      <w:r w:rsidRPr="00CE3138">
        <w:t>(a)</w:t>
      </w:r>
      <w:r w:rsidRPr="00CE3138">
        <w:tab/>
        <w:t>the default minimum benefit of the irrigated cardiac ablation catheter is X; and</w:t>
      </w:r>
    </w:p>
    <w:p w14:paraId="25F2A1BE" w14:textId="77777777" w:rsidR="00A04634" w:rsidRPr="00CE3138" w:rsidRDefault="00A04634" w:rsidP="00A04634">
      <w:pPr>
        <w:pStyle w:val="notepara"/>
      </w:pPr>
      <w:r w:rsidRPr="00CE3138">
        <w:t>(b)</w:t>
      </w:r>
      <w:r w:rsidRPr="00CE3138">
        <w:tab/>
        <w:t>the default minimum benefit of the mapping catheter for cardiac ablation is Y; and</w:t>
      </w:r>
    </w:p>
    <w:p w14:paraId="6833BABB" w14:textId="77777777" w:rsidR="00A04634" w:rsidRPr="00CE3138" w:rsidRDefault="00A04634" w:rsidP="00A04634">
      <w:pPr>
        <w:pStyle w:val="notepara"/>
      </w:pPr>
      <w:r w:rsidRPr="00CE3138">
        <w:t>(c)</w:t>
      </w:r>
      <w:r w:rsidRPr="00CE3138">
        <w:tab/>
        <w:t>the default minimum benefit of the patch for cardiac ablation is Z;</w:t>
      </w:r>
    </w:p>
    <w:p w14:paraId="238F876E" w14:textId="77777777" w:rsidR="00A04634" w:rsidRPr="00CE3138" w:rsidRDefault="00A04634" w:rsidP="003C7174">
      <w:pPr>
        <w:pStyle w:val="notetext"/>
      </w:pPr>
      <w:r w:rsidRPr="00CE3138">
        <w:tab/>
        <w:t xml:space="preserve">then the sum of the default minimum benefits for the </w:t>
      </w:r>
      <w:r w:rsidR="00907792" w:rsidRPr="00CE3138">
        <w:t xml:space="preserve">treatment </w:t>
      </w:r>
      <w:r w:rsidRPr="00CE3138">
        <w:t xml:space="preserve">is (X+Y+Z). If the sum of the default minimum benefits for the </w:t>
      </w:r>
      <w:r w:rsidR="00907792" w:rsidRPr="00CE3138">
        <w:t xml:space="preserve">treatment </w:t>
      </w:r>
      <w:r w:rsidRPr="00CE3138">
        <w:t>(X+Y+Z) is more than $6,399, then the minimum benefit for the irrigated cardiac ablation catheter is worked out by taking X, dividing it by (X+Y+Z), then multiplying the result by $6,399.</w:t>
      </w:r>
    </w:p>
    <w:p w14:paraId="544B453A" w14:textId="77777777" w:rsidR="00A26880" w:rsidRPr="00CE3138" w:rsidRDefault="00A26880" w:rsidP="00FE0E99">
      <w:pPr>
        <w:pStyle w:val="subsection"/>
      </w:pPr>
      <w:r w:rsidRPr="00CE3138">
        <w:tab/>
        <w:t>(</w:t>
      </w:r>
      <w:r w:rsidR="003C7174" w:rsidRPr="00CE3138">
        <w:t>7</w:t>
      </w:r>
      <w:r w:rsidRPr="00CE3138">
        <w:t>)</w:t>
      </w:r>
      <w:r w:rsidRPr="00CE3138">
        <w:tab/>
        <w:t xml:space="preserve">For the purposes of this </w:t>
      </w:r>
      <w:r w:rsidR="000E232D" w:rsidRPr="00CE3138">
        <w:t>section</w:t>
      </w:r>
      <w:r w:rsidRPr="00CE3138">
        <w:t>:</w:t>
      </w:r>
    </w:p>
    <w:p w14:paraId="66AB99BC" w14:textId="77777777" w:rsidR="00A26880" w:rsidRPr="00CE3138" w:rsidRDefault="00A26880" w:rsidP="00A26880">
      <w:pPr>
        <w:pStyle w:val="Definition"/>
      </w:pPr>
      <w:r w:rsidRPr="00CE3138">
        <w:rPr>
          <w:b/>
          <w:bCs/>
          <w:i/>
          <w:iCs/>
        </w:rPr>
        <w:t>default minimum benefit</w:t>
      </w:r>
      <w:r w:rsidRPr="00CE3138">
        <w:t xml:space="preserve"> for a </w:t>
      </w:r>
      <w:r w:rsidR="000E232D" w:rsidRPr="00CE3138">
        <w:rPr>
          <w:szCs w:val="22"/>
        </w:rPr>
        <w:t>listed item</w:t>
      </w:r>
      <w:r w:rsidRPr="00CE3138">
        <w:t xml:space="preserve"> is the amount specified in </w:t>
      </w:r>
      <w:r w:rsidR="00FE0E99" w:rsidRPr="00CE3138">
        <w:t>the column headed “</w:t>
      </w:r>
      <w:r w:rsidR="00735D31" w:rsidRPr="00CE3138">
        <w:t>Minimum benefit</w:t>
      </w:r>
      <w:r w:rsidR="00FE0E99" w:rsidRPr="00CE3138">
        <w:t>”</w:t>
      </w:r>
      <w:r w:rsidR="00735D31" w:rsidRPr="00CE3138">
        <w:t xml:space="preserve"> </w:t>
      </w:r>
      <w:r w:rsidRPr="00CE3138">
        <w:t xml:space="preserve">of </w:t>
      </w:r>
      <w:r w:rsidR="00FE0E99" w:rsidRPr="00CE3138">
        <w:t>the</w:t>
      </w:r>
      <w:r w:rsidRPr="00CE3138">
        <w:t xml:space="preserve"> table in </w:t>
      </w:r>
      <w:r w:rsidR="00D9160B" w:rsidRPr="00CE3138">
        <w:t>Schedule 1</w:t>
      </w:r>
      <w:r w:rsidR="000E232D" w:rsidRPr="00CE3138">
        <w:t xml:space="preserve"> for the </w:t>
      </w:r>
      <w:r w:rsidR="000E232D" w:rsidRPr="00CE3138">
        <w:rPr>
          <w:szCs w:val="22"/>
        </w:rPr>
        <w:t>listed item</w:t>
      </w:r>
      <w:r w:rsidRPr="00CE3138">
        <w:t>.</w:t>
      </w:r>
    </w:p>
    <w:p w14:paraId="6035AF11" w14:textId="77777777" w:rsidR="00A26880" w:rsidRPr="00CE3138" w:rsidRDefault="00A26880" w:rsidP="00006497">
      <w:pPr>
        <w:pStyle w:val="Definition"/>
      </w:pPr>
      <w:r w:rsidRPr="00CE3138">
        <w:rPr>
          <w:b/>
          <w:i/>
        </w:rPr>
        <w:t>sum of default minimum benefits</w:t>
      </w:r>
      <w:r w:rsidRPr="00CE3138">
        <w:t xml:space="preserve"> for a </w:t>
      </w:r>
      <w:r w:rsidR="00907792" w:rsidRPr="00CE3138">
        <w:t xml:space="preserve">treatment </w:t>
      </w:r>
      <w:r w:rsidRPr="00CE3138">
        <w:t xml:space="preserve">is the sum of the default minimum benefits for each </w:t>
      </w:r>
      <w:r w:rsidR="00006497" w:rsidRPr="00CE3138">
        <w:t>specified listed item</w:t>
      </w:r>
      <w:r w:rsidRPr="00CE3138">
        <w:t xml:space="preserve"> used in the </w:t>
      </w:r>
      <w:r w:rsidR="00907792" w:rsidRPr="00CE3138">
        <w:t>treatment</w:t>
      </w:r>
      <w:r w:rsidR="00006497" w:rsidRPr="00CE3138">
        <w:t>.</w:t>
      </w:r>
    </w:p>
    <w:p w14:paraId="0689FCFD" w14:textId="59FB09CA" w:rsidR="00A26880" w:rsidRPr="00CE3138" w:rsidRDefault="00A1043E" w:rsidP="00C61773">
      <w:pPr>
        <w:pStyle w:val="ActHead5"/>
      </w:pPr>
      <w:bookmarkStart w:id="15" w:name="_Toc169882167"/>
      <w:r w:rsidRPr="00CE3138">
        <w:rPr>
          <w:rStyle w:val="CharSectno"/>
        </w:rPr>
        <w:t>1</w:t>
      </w:r>
      <w:r w:rsidR="00CF3113" w:rsidRPr="00CE3138">
        <w:rPr>
          <w:rStyle w:val="CharSectno"/>
        </w:rPr>
        <w:t>1</w:t>
      </w:r>
      <w:r w:rsidR="00A26880" w:rsidRPr="00CE3138">
        <w:t xml:space="preserve">  Benefits for </w:t>
      </w:r>
      <w:r w:rsidR="00873D1E" w:rsidRPr="00CE3138">
        <w:rPr>
          <w:szCs w:val="22"/>
        </w:rPr>
        <w:t>listed item</w:t>
      </w:r>
      <w:r w:rsidR="00756E00" w:rsidRPr="00CE3138">
        <w:rPr>
          <w:szCs w:val="22"/>
        </w:rPr>
        <w:t>s</w:t>
      </w:r>
      <w:r w:rsidR="00A26880" w:rsidRPr="00CE3138">
        <w:t xml:space="preserve"> provided as part of hospital</w:t>
      </w:r>
      <w:r w:rsidR="003D794E" w:rsidRPr="00CE3138">
        <w:noBreakHyphen/>
      </w:r>
      <w:r w:rsidR="00A26880" w:rsidRPr="00CE3138">
        <w:t>substitute treatment</w:t>
      </w:r>
      <w:bookmarkEnd w:id="15"/>
    </w:p>
    <w:p w14:paraId="76BB3945" w14:textId="0A0F5C37" w:rsidR="00957BE2" w:rsidRPr="00CE3138" w:rsidRDefault="00A26880" w:rsidP="00957BE2">
      <w:pPr>
        <w:pStyle w:val="subsection"/>
        <w:rPr>
          <w:szCs w:val="22"/>
        </w:rPr>
      </w:pPr>
      <w:r w:rsidRPr="00CE3138">
        <w:rPr>
          <w:color w:val="000000"/>
          <w:szCs w:val="22"/>
        </w:rPr>
        <w:tab/>
        <w:t>(</w:t>
      </w:r>
      <w:r w:rsidRPr="00CE3138">
        <w:rPr>
          <w:rFonts w:eastAsia="MS Mincho"/>
          <w:color w:val="000000"/>
          <w:szCs w:val="22"/>
        </w:rPr>
        <w:t>1)</w:t>
      </w:r>
      <w:r w:rsidR="00957BE2" w:rsidRPr="00CE3138">
        <w:rPr>
          <w:rFonts w:eastAsia="MS Mincho"/>
        </w:rPr>
        <w:tab/>
        <w:t xml:space="preserve">This section is made for the purposes of </w:t>
      </w:r>
      <w:r w:rsidR="00DC46F8" w:rsidRPr="00CE3138">
        <w:rPr>
          <w:rFonts w:eastAsia="MS Mincho"/>
        </w:rPr>
        <w:t>paragraph (</w:t>
      </w:r>
      <w:r w:rsidR="00957BE2" w:rsidRPr="00CE3138">
        <w:rPr>
          <w:rFonts w:eastAsia="MS Mincho"/>
        </w:rPr>
        <w:t>a) of the column headed “The amount of the benefit must be</w:t>
      </w:r>
      <w:r w:rsidR="00301DFB" w:rsidRPr="00CE3138">
        <w:rPr>
          <w:rFonts w:eastAsia="MS Mincho"/>
        </w:rPr>
        <w:t xml:space="preserve"> </w:t>
      </w:r>
      <w:r w:rsidR="00957BE2" w:rsidRPr="00CE3138">
        <w:rPr>
          <w:rFonts w:eastAsia="MS Mincho"/>
        </w:rPr>
        <w:t xml:space="preserve">…” in </w:t>
      </w:r>
      <w:r w:rsidR="000C3044" w:rsidRPr="00CE3138">
        <w:rPr>
          <w:rFonts w:eastAsia="MS Mincho"/>
        </w:rPr>
        <w:t>item 4</w:t>
      </w:r>
      <w:r w:rsidR="00957BE2" w:rsidRPr="00CE3138">
        <w:rPr>
          <w:rFonts w:eastAsia="MS Mincho"/>
        </w:rPr>
        <w:t xml:space="preserve"> of </w:t>
      </w:r>
      <w:r w:rsidR="00787A9E" w:rsidRPr="00CE3138">
        <w:rPr>
          <w:rFonts w:eastAsia="MS Mincho"/>
        </w:rPr>
        <w:t xml:space="preserve">the table in </w:t>
      </w:r>
      <w:r w:rsidR="00DC46F8" w:rsidRPr="00CE3138">
        <w:rPr>
          <w:rFonts w:eastAsia="MS Mincho"/>
        </w:rPr>
        <w:t>subsection 7</w:t>
      </w:r>
      <w:r w:rsidR="00957BE2"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="00957BE2" w:rsidRPr="00CE3138">
        <w:rPr>
          <w:rFonts w:eastAsia="MS Mincho"/>
        </w:rPr>
        <w:t xml:space="preserve">1(2) of the Act and sets out the amount that is the minimum benefit for a </w:t>
      </w:r>
      <w:r w:rsidR="00957BE2" w:rsidRPr="00CE3138">
        <w:rPr>
          <w:szCs w:val="22"/>
        </w:rPr>
        <w:t xml:space="preserve">listed item </w:t>
      </w:r>
      <w:r w:rsidR="00957BE2" w:rsidRPr="00CE3138">
        <w:t>provided as part of hospital</w:t>
      </w:r>
      <w:r w:rsidR="003D794E" w:rsidRPr="00CE3138">
        <w:noBreakHyphen/>
      </w:r>
      <w:r w:rsidR="00957BE2" w:rsidRPr="00CE3138">
        <w:t>substitute treatment</w:t>
      </w:r>
      <w:r w:rsidR="00957BE2" w:rsidRPr="00CE3138">
        <w:rPr>
          <w:szCs w:val="22"/>
        </w:rPr>
        <w:t>.</w:t>
      </w:r>
    </w:p>
    <w:p w14:paraId="0790F139" w14:textId="718EBFBD" w:rsidR="00873D1E" w:rsidRPr="00CE3138" w:rsidRDefault="00A26880" w:rsidP="00873D1E">
      <w:pPr>
        <w:pStyle w:val="subsection"/>
        <w:spacing w:line="260" w:lineRule="atLeast"/>
        <w:rPr>
          <w:rFonts w:eastAsia="MS Mincho"/>
        </w:rPr>
      </w:pPr>
      <w:r w:rsidRPr="00CE3138">
        <w:rPr>
          <w:rFonts w:eastAsia="MS Mincho"/>
          <w:color w:val="000000"/>
          <w:szCs w:val="22"/>
        </w:rPr>
        <w:tab/>
      </w:r>
      <w:r w:rsidRPr="00CE3138">
        <w:rPr>
          <w:color w:val="000000"/>
          <w:szCs w:val="22"/>
        </w:rPr>
        <w:t>(</w:t>
      </w:r>
      <w:r w:rsidR="00B34A2C" w:rsidRPr="00CE3138">
        <w:rPr>
          <w:rFonts w:eastAsia="MS Mincho"/>
          <w:color w:val="000000"/>
          <w:szCs w:val="22"/>
        </w:rPr>
        <w:t>2</w:t>
      </w:r>
      <w:r w:rsidRPr="00CE3138">
        <w:rPr>
          <w:rFonts w:eastAsia="MS Mincho"/>
          <w:color w:val="000000"/>
          <w:szCs w:val="22"/>
        </w:rPr>
        <w:t>)</w:t>
      </w:r>
      <w:r w:rsidRPr="00CE3138">
        <w:rPr>
          <w:rFonts w:eastAsia="MS Mincho"/>
          <w:color w:val="000000"/>
          <w:szCs w:val="22"/>
        </w:rPr>
        <w:tab/>
      </w:r>
      <w:r w:rsidR="009A5069" w:rsidRPr="00CE3138">
        <w:rPr>
          <w:rFonts w:eastAsia="MS Mincho"/>
          <w:color w:val="000000"/>
          <w:szCs w:val="22"/>
        </w:rPr>
        <w:t>F</w:t>
      </w:r>
      <w:r w:rsidRPr="00CE3138">
        <w:rPr>
          <w:rFonts w:eastAsia="MS Mincho"/>
          <w:color w:val="000000"/>
          <w:szCs w:val="22"/>
        </w:rPr>
        <w:t xml:space="preserve">or a </w:t>
      </w:r>
      <w:r w:rsidR="00873D1E" w:rsidRPr="00CE3138">
        <w:rPr>
          <w:rFonts w:eastAsia="MS Mincho"/>
          <w:color w:val="000000"/>
          <w:szCs w:val="22"/>
        </w:rPr>
        <w:t>l</w:t>
      </w:r>
      <w:r w:rsidRPr="00CE3138">
        <w:rPr>
          <w:rFonts w:eastAsia="MS Mincho"/>
          <w:color w:val="000000"/>
          <w:szCs w:val="22"/>
        </w:rPr>
        <w:t>isted item provided as part of an episode of hospital</w:t>
      </w:r>
      <w:r w:rsidR="003D794E" w:rsidRPr="00CE3138">
        <w:rPr>
          <w:rFonts w:eastAsia="MS Mincho"/>
          <w:color w:val="000000"/>
          <w:szCs w:val="22"/>
        </w:rPr>
        <w:noBreakHyphen/>
      </w:r>
      <w:r w:rsidRPr="00CE3138">
        <w:rPr>
          <w:rFonts w:eastAsia="MS Mincho"/>
          <w:color w:val="000000"/>
          <w:szCs w:val="22"/>
        </w:rPr>
        <w:t>substitute treatment</w:t>
      </w:r>
      <w:r w:rsidR="00873D1E" w:rsidRPr="00CE3138">
        <w:rPr>
          <w:rFonts w:eastAsia="MS Mincho"/>
          <w:color w:val="000000"/>
          <w:szCs w:val="22"/>
        </w:rPr>
        <w:t xml:space="preserve">, </w:t>
      </w:r>
      <w:r w:rsidRPr="00CE3138">
        <w:rPr>
          <w:rFonts w:eastAsia="MS Mincho"/>
        </w:rPr>
        <w:t xml:space="preserve">the minimum benefit for the </w:t>
      </w:r>
      <w:r w:rsidR="000D5492" w:rsidRPr="00CE3138">
        <w:rPr>
          <w:rFonts w:eastAsia="MS Mincho"/>
          <w:color w:val="000000"/>
          <w:szCs w:val="22"/>
        </w:rPr>
        <w:t>listed item</w:t>
      </w:r>
      <w:r w:rsidRPr="00CE3138">
        <w:rPr>
          <w:rFonts w:eastAsia="MS Mincho"/>
        </w:rPr>
        <w:t xml:space="preserve"> is the amount specified in </w:t>
      </w:r>
      <w:r w:rsidR="00873D1E" w:rsidRPr="00CE3138">
        <w:rPr>
          <w:rFonts w:eastAsia="MS Mincho"/>
        </w:rPr>
        <w:t xml:space="preserve">the </w:t>
      </w:r>
      <w:r w:rsidR="0073771F" w:rsidRPr="00CE3138">
        <w:rPr>
          <w:rFonts w:eastAsia="MS Mincho"/>
        </w:rPr>
        <w:t xml:space="preserve">column </w:t>
      </w:r>
      <w:r w:rsidR="00873D1E" w:rsidRPr="00CE3138">
        <w:rPr>
          <w:rFonts w:eastAsia="MS Mincho"/>
        </w:rPr>
        <w:t>headed “</w:t>
      </w:r>
      <w:r w:rsidR="0073771F" w:rsidRPr="00CE3138">
        <w:rPr>
          <w:rFonts w:eastAsia="MS Mincho"/>
        </w:rPr>
        <w:t xml:space="preserve">Minimum </w:t>
      </w:r>
      <w:r w:rsidR="0094694E" w:rsidRPr="00CE3138">
        <w:rPr>
          <w:rFonts w:eastAsia="MS Mincho"/>
        </w:rPr>
        <w:t>b</w:t>
      </w:r>
      <w:r w:rsidR="0073771F" w:rsidRPr="00CE3138">
        <w:rPr>
          <w:rFonts w:eastAsia="MS Mincho"/>
        </w:rPr>
        <w:t>enefit</w:t>
      </w:r>
      <w:r w:rsidR="00873D1E" w:rsidRPr="00CE3138">
        <w:rPr>
          <w:rFonts w:eastAsia="MS Mincho"/>
        </w:rPr>
        <w:t>”</w:t>
      </w:r>
      <w:r w:rsidRPr="00CE3138">
        <w:rPr>
          <w:rFonts w:eastAsia="MS Mincho"/>
        </w:rPr>
        <w:t xml:space="preserve"> of the table in </w:t>
      </w:r>
      <w:r w:rsidR="00D9160B" w:rsidRPr="00CE3138">
        <w:rPr>
          <w:rFonts w:eastAsia="MS Mincho"/>
        </w:rPr>
        <w:t>Schedule 1</w:t>
      </w:r>
      <w:r w:rsidR="00D4725E" w:rsidRPr="00CE3138">
        <w:rPr>
          <w:rFonts w:eastAsia="MS Mincho"/>
        </w:rPr>
        <w:t xml:space="preserve"> for the </w:t>
      </w:r>
      <w:r w:rsidR="000D5492" w:rsidRPr="00CE3138">
        <w:rPr>
          <w:rFonts w:eastAsia="MS Mincho"/>
          <w:color w:val="000000"/>
          <w:szCs w:val="22"/>
        </w:rPr>
        <w:t>listed item</w:t>
      </w:r>
      <w:r w:rsidR="00873D1E" w:rsidRPr="00CE3138">
        <w:rPr>
          <w:rFonts w:eastAsia="MS Mincho"/>
        </w:rPr>
        <w:t>.</w:t>
      </w:r>
    </w:p>
    <w:p w14:paraId="5E82D393" w14:textId="2242A661" w:rsidR="00C764B1" w:rsidRPr="00CE3138" w:rsidRDefault="00C764B1" w:rsidP="00C764B1">
      <w:pPr>
        <w:pStyle w:val="notetext"/>
        <w:rPr>
          <w:rFonts w:eastAsia="MS Mincho"/>
        </w:rPr>
      </w:pPr>
      <w:r w:rsidRPr="00CE3138">
        <w:rPr>
          <w:rFonts w:eastAsia="MS Mincho"/>
        </w:rPr>
        <w:lastRenderedPageBreak/>
        <w:t xml:space="preserve">Note: </w:t>
      </w:r>
      <w:r w:rsidRPr="00CE3138">
        <w:rPr>
          <w:rFonts w:eastAsia="MS Mincho"/>
        </w:rPr>
        <w:tab/>
        <w:t>Private health insurers cannot cover, as part of hospital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 xml:space="preserve">substitute treatment, a service for which medicare benefit is payable unless the service is specified in </w:t>
      </w:r>
      <w:r w:rsidRPr="008101DC">
        <w:rPr>
          <w:rFonts w:eastAsia="MS Mincho"/>
        </w:rPr>
        <w:t>Private Health Insurance (Health Insurance Business) Rules</w:t>
      </w:r>
      <w:r w:rsidR="0068202A" w:rsidRPr="00CE3138">
        <w:rPr>
          <w:rFonts w:eastAsia="MS Mincho"/>
          <w:iCs/>
        </w:rPr>
        <w:t xml:space="preserve"> (</w:t>
      </w:r>
      <w:r w:rsidRPr="00CE3138">
        <w:rPr>
          <w:rFonts w:eastAsia="MS Mincho"/>
        </w:rPr>
        <w:t xml:space="preserve">see </w:t>
      </w:r>
      <w:r w:rsidR="00D24D39" w:rsidRPr="00CE3138">
        <w:rPr>
          <w:rFonts w:eastAsia="MS Mincho"/>
        </w:rPr>
        <w:t>paragraph 1</w:t>
      </w:r>
      <w:r w:rsidRPr="00CE3138">
        <w:rPr>
          <w:rFonts w:eastAsia="MS Mincho"/>
        </w:rPr>
        <w:t>21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10(3)(a) of the Act</w:t>
      </w:r>
      <w:r w:rsidR="0068202A" w:rsidRPr="00CE3138">
        <w:rPr>
          <w:rFonts w:eastAsia="MS Mincho"/>
        </w:rPr>
        <w:t>)</w:t>
      </w:r>
      <w:r w:rsidRPr="00CE3138">
        <w:rPr>
          <w:rFonts w:eastAsia="MS Mincho"/>
        </w:rPr>
        <w:t>.</w:t>
      </w:r>
    </w:p>
    <w:p w14:paraId="5BFB8D43" w14:textId="77777777" w:rsidR="00A26880" w:rsidRPr="00CE3138" w:rsidRDefault="00A26880" w:rsidP="00A26880">
      <w:pPr>
        <w:pStyle w:val="ActHead2"/>
        <w:pageBreakBefore/>
        <w:rPr>
          <w:rFonts w:eastAsia="MS Mincho"/>
        </w:rPr>
      </w:pPr>
      <w:bookmarkStart w:id="16" w:name="_Toc169882168"/>
      <w:r w:rsidRPr="00CE3138">
        <w:rPr>
          <w:rStyle w:val="CharPartNo"/>
          <w:rFonts w:eastAsia="MS Mincho"/>
        </w:rPr>
        <w:lastRenderedPageBreak/>
        <w:t>Part </w:t>
      </w:r>
      <w:r w:rsidR="006F6D32" w:rsidRPr="00CE3138">
        <w:rPr>
          <w:rStyle w:val="CharPartNo"/>
          <w:rFonts w:eastAsia="MS Mincho"/>
        </w:rPr>
        <w:t>3</w:t>
      </w:r>
      <w:r w:rsidRPr="00CE3138">
        <w:rPr>
          <w:rFonts w:eastAsia="MS Mincho"/>
        </w:rPr>
        <w:t>—</w:t>
      </w:r>
      <w:r w:rsidRPr="00CE3138">
        <w:rPr>
          <w:rStyle w:val="CharPartText"/>
          <w:rFonts w:eastAsia="MS Mincho"/>
        </w:rPr>
        <w:t>Listing criteria</w:t>
      </w:r>
      <w:bookmarkEnd w:id="16"/>
    </w:p>
    <w:p w14:paraId="5C671B87" w14:textId="77777777" w:rsidR="0069324C" w:rsidRPr="00CE3138" w:rsidRDefault="00A26880" w:rsidP="00B12099">
      <w:pPr>
        <w:pStyle w:val="Header"/>
        <w:rPr>
          <w:rFonts w:eastAsia="MS Mincho"/>
        </w:rPr>
      </w:pPr>
      <w:r w:rsidRPr="00CE3138">
        <w:rPr>
          <w:rStyle w:val="CharDivNo"/>
          <w:rFonts w:eastAsia="MS Mincho"/>
        </w:rPr>
        <w:t xml:space="preserve"> </w:t>
      </w:r>
      <w:r w:rsidRPr="00CE3138">
        <w:rPr>
          <w:rStyle w:val="CharDivText"/>
          <w:rFonts w:eastAsia="MS Mincho"/>
        </w:rPr>
        <w:t xml:space="preserve"> </w:t>
      </w:r>
    </w:p>
    <w:p w14:paraId="7A98023A" w14:textId="47F22AE1" w:rsidR="00A26880" w:rsidRPr="00CE3138" w:rsidRDefault="00A1043E" w:rsidP="00A26880">
      <w:pPr>
        <w:pStyle w:val="ActHead5"/>
        <w:rPr>
          <w:rFonts w:eastAsia="MS Mincho"/>
        </w:rPr>
      </w:pPr>
      <w:bookmarkStart w:id="17" w:name="_Toc169882169"/>
      <w:r w:rsidRPr="00CE3138">
        <w:rPr>
          <w:rStyle w:val="CharSectno"/>
          <w:rFonts w:eastAsia="MS Mincho"/>
        </w:rPr>
        <w:t>1</w:t>
      </w:r>
      <w:r w:rsidR="00CF3113" w:rsidRPr="00CE3138">
        <w:rPr>
          <w:rStyle w:val="CharSectno"/>
          <w:rFonts w:eastAsia="MS Mincho"/>
        </w:rPr>
        <w:t>2</w:t>
      </w:r>
      <w:r w:rsidR="00A26880" w:rsidRPr="00CE3138">
        <w:rPr>
          <w:rFonts w:eastAsia="MS Mincho"/>
        </w:rPr>
        <w:t xml:space="preserve">  Purpose</w:t>
      </w:r>
      <w:bookmarkEnd w:id="17"/>
    </w:p>
    <w:p w14:paraId="349A5266" w14:textId="235BDF4E" w:rsidR="00A26880" w:rsidRPr="00CE3138" w:rsidRDefault="00A26880" w:rsidP="00A26880">
      <w:pPr>
        <w:pStyle w:val="subsection"/>
        <w:rPr>
          <w:rFonts w:eastAsia="MS Mincho"/>
        </w:rPr>
      </w:pPr>
      <w:r w:rsidRPr="00CE3138">
        <w:rPr>
          <w:rFonts w:eastAsia="MS Mincho"/>
        </w:rPr>
        <w:tab/>
      </w:r>
      <w:r w:rsidRPr="00CE3138">
        <w:rPr>
          <w:rFonts w:eastAsia="MS Mincho"/>
        </w:rPr>
        <w:tab/>
        <w:t xml:space="preserve">This </w:t>
      </w:r>
      <w:r w:rsidR="00D9160B" w:rsidRPr="00CE3138">
        <w:rPr>
          <w:rFonts w:eastAsia="MS Mincho"/>
        </w:rPr>
        <w:t>Part i</w:t>
      </w:r>
      <w:r w:rsidRPr="00CE3138">
        <w:rPr>
          <w:rFonts w:eastAsia="MS Mincho"/>
        </w:rPr>
        <w:t xml:space="preserve">s made for the purposes of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10(6) of the Act and sets out the listing criteria to be satisfied in order for a listing application to be granted.</w:t>
      </w:r>
    </w:p>
    <w:p w14:paraId="1F57D91D" w14:textId="0C73093A" w:rsidR="001D263E" w:rsidRPr="00CE3138" w:rsidRDefault="001D263E" w:rsidP="001D263E">
      <w:pPr>
        <w:pStyle w:val="notetext"/>
        <w:rPr>
          <w:rFonts w:eastAsia="MS Mincho"/>
        </w:rPr>
      </w:pPr>
      <w:r w:rsidRPr="00CE3138">
        <w:rPr>
          <w:rFonts w:eastAsia="MS Mincho"/>
        </w:rPr>
        <w:t>Note 1:</w:t>
      </w:r>
      <w:r w:rsidRPr="00CE3138">
        <w:rPr>
          <w:rFonts w:eastAsia="MS Mincho"/>
        </w:rPr>
        <w:tab/>
        <w:t xml:space="preserve">Listing criteria are authorised under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10(6) of the Act.</w:t>
      </w:r>
    </w:p>
    <w:p w14:paraId="08310102" w14:textId="083222FE" w:rsidR="001D263E" w:rsidRPr="00CE3138" w:rsidRDefault="001D263E" w:rsidP="001D263E">
      <w:pPr>
        <w:pStyle w:val="notetext"/>
        <w:rPr>
          <w:rFonts w:eastAsia="MS Mincho"/>
        </w:rPr>
      </w:pPr>
      <w:r w:rsidRPr="00CE3138">
        <w:rPr>
          <w:rFonts w:eastAsia="MS Mincho"/>
        </w:rPr>
        <w:t>Note 2:</w:t>
      </w:r>
      <w:r w:rsidRPr="00CE3138">
        <w:rPr>
          <w:rFonts w:eastAsia="MS Mincho"/>
        </w:rPr>
        <w:tab/>
        <w:t>The Minister must not grant a listing application if any applicable listing criteria are not satisfied in relation to the application</w:t>
      </w:r>
      <w:r w:rsidR="0068202A" w:rsidRPr="00CE3138">
        <w:rPr>
          <w:rFonts w:eastAsia="MS Mincho"/>
        </w:rPr>
        <w:t xml:space="preserve"> (</w:t>
      </w:r>
      <w:r w:rsidRPr="00CE3138">
        <w:rPr>
          <w:rFonts w:eastAsia="MS Mincho"/>
        </w:rPr>
        <w:t xml:space="preserve">see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10(7) of the Act</w:t>
      </w:r>
      <w:r w:rsidR="0068202A" w:rsidRPr="00CE3138">
        <w:rPr>
          <w:rFonts w:eastAsia="MS Mincho"/>
        </w:rPr>
        <w:t>)</w:t>
      </w:r>
      <w:r w:rsidRPr="00CE3138">
        <w:rPr>
          <w:rFonts w:eastAsia="MS Mincho"/>
        </w:rPr>
        <w:t>.</w:t>
      </w:r>
    </w:p>
    <w:p w14:paraId="5B006A8A" w14:textId="58D49FF6" w:rsidR="001D263E" w:rsidRPr="00CE3138" w:rsidRDefault="001D263E" w:rsidP="001D263E">
      <w:pPr>
        <w:pStyle w:val="notetext"/>
        <w:rPr>
          <w:rFonts w:eastAsia="MS Mincho"/>
        </w:rPr>
      </w:pPr>
      <w:r w:rsidRPr="00CE3138">
        <w:rPr>
          <w:rFonts w:eastAsia="MS Mincho"/>
        </w:rPr>
        <w:t>Note 3:</w:t>
      </w:r>
      <w:r w:rsidRPr="00CE3138">
        <w:rPr>
          <w:rFonts w:eastAsia="MS Mincho"/>
        </w:rPr>
        <w:tab/>
        <w:t>The Minister may refuse to grant a listing application even if the listing criteria are satisfied</w:t>
      </w:r>
      <w:r w:rsidR="0068202A" w:rsidRPr="00CE3138">
        <w:rPr>
          <w:rFonts w:eastAsia="MS Mincho"/>
        </w:rPr>
        <w:t xml:space="preserve"> (</w:t>
      </w:r>
      <w:r w:rsidRPr="00CE3138">
        <w:rPr>
          <w:rFonts w:eastAsia="MS Mincho"/>
        </w:rPr>
        <w:t xml:space="preserve">see </w:t>
      </w:r>
      <w:r w:rsidR="0068202A" w:rsidRPr="00CE3138">
        <w:rPr>
          <w:rFonts w:eastAsia="MS Mincho"/>
        </w:rPr>
        <w:t xml:space="preserve">the </w:t>
      </w:r>
      <w:r w:rsidRPr="00CE3138">
        <w:rPr>
          <w:rFonts w:eastAsia="MS Mincho"/>
        </w:rPr>
        <w:t xml:space="preserve">note to </w:t>
      </w:r>
      <w:r w:rsidR="00DC46F8" w:rsidRPr="00CE3138">
        <w:rPr>
          <w:rFonts w:eastAsia="MS Mincho"/>
        </w:rPr>
        <w:t>subsection 7</w:t>
      </w:r>
      <w:r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Pr="00CE3138">
        <w:rPr>
          <w:rFonts w:eastAsia="MS Mincho"/>
        </w:rPr>
        <w:t>10(7) of the Act</w:t>
      </w:r>
      <w:r w:rsidR="0068202A" w:rsidRPr="00CE3138">
        <w:rPr>
          <w:rFonts w:eastAsia="MS Mincho"/>
        </w:rPr>
        <w:t>)</w:t>
      </w:r>
      <w:r w:rsidRPr="00CE3138">
        <w:rPr>
          <w:rFonts w:eastAsia="MS Mincho"/>
        </w:rPr>
        <w:t>.</w:t>
      </w:r>
    </w:p>
    <w:p w14:paraId="4D7611D5" w14:textId="0FDCED41" w:rsidR="006B2798" w:rsidRPr="00CE3138" w:rsidRDefault="00A1043E" w:rsidP="006B2798">
      <w:pPr>
        <w:pStyle w:val="ActHead5"/>
        <w:rPr>
          <w:rFonts w:eastAsia="MS Mincho"/>
        </w:rPr>
      </w:pPr>
      <w:bookmarkStart w:id="18" w:name="_Toc169882170"/>
      <w:r w:rsidRPr="00CE3138">
        <w:rPr>
          <w:rStyle w:val="CharSectno"/>
          <w:rFonts w:eastAsia="MS Mincho"/>
        </w:rPr>
        <w:t>1</w:t>
      </w:r>
      <w:r w:rsidR="00CF3113" w:rsidRPr="00CE3138">
        <w:rPr>
          <w:rStyle w:val="CharSectno"/>
          <w:rFonts w:eastAsia="MS Mincho"/>
        </w:rPr>
        <w:t>3</w:t>
      </w:r>
      <w:r w:rsidR="006B2798" w:rsidRPr="00CE3138">
        <w:rPr>
          <w:rFonts w:eastAsia="MS Mincho"/>
        </w:rPr>
        <w:t xml:space="preserve">  General listing criteria</w:t>
      </w:r>
      <w:bookmarkEnd w:id="18"/>
    </w:p>
    <w:p w14:paraId="4596F391" w14:textId="21A6D553" w:rsidR="006B2798" w:rsidRPr="00CE3138" w:rsidRDefault="006B2798" w:rsidP="006B2798">
      <w:pPr>
        <w:pStyle w:val="subsection"/>
        <w:rPr>
          <w:rFonts w:eastAsia="MS Mincho"/>
        </w:rPr>
      </w:pPr>
      <w:r w:rsidRPr="00CE3138">
        <w:rPr>
          <w:rFonts w:eastAsia="MS Mincho"/>
        </w:rPr>
        <w:tab/>
      </w:r>
      <w:r w:rsidRPr="00CE3138">
        <w:rPr>
          <w:rFonts w:eastAsia="MS Mincho"/>
        </w:rPr>
        <w:tab/>
        <w:t xml:space="preserve">A medical device or human tissue product must not be listed </w:t>
      </w:r>
      <w:r w:rsidR="00430A0D" w:rsidRPr="00CE3138">
        <w:rPr>
          <w:rFonts w:eastAsia="MS Mincho"/>
        </w:rPr>
        <w:t xml:space="preserve">in </w:t>
      </w:r>
      <w:r w:rsidR="00D9160B" w:rsidRPr="00CE3138">
        <w:rPr>
          <w:rFonts w:eastAsia="MS Mincho"/>
        </w:rPr>
        <w:t>Schedule 1</w:t>
      </w:r>
      <w:r w:rsidRPr="00CE3138">
        <w:rPr>
          <w:rFonts w:eastAsia="MS Mincho"/>
        </w:rPr>
        <w:t xml:space="preserve"> unless it is included in the Australian Register of Therapeutic Goods maintained under section 9A of the </w:t>
      </w:r>
      <w:r w:rsidRPr="00CE3138">
        <w:rPr>
          <w:rFonts w:eastAsia="MS Mincho"/>
          <w:i/>
        </w:rPr>
        <w:t>Therapeutic Goods Act 1989</w:t>
      </w:r>
      <w:r w:rsidRPr="00CE3138">
        <w:rPr>
          <w:rFonts w:eastAsia="MS Mincho"/>
        </w:rPr>
        <w:t>.</w:t>
      </w:r>
    </w:p>
    <w:p w14:paraId="4B0ADDB0" w14:textId="63AB0D3E" w:rsidR="00A26880" w:rsidRPr="00CE3138" w:rsidRDefault="00A1043E" w:rsidP="00A26880">
      <w:pPr>
        <w:pStyle w:val="ActHead5"/>
      </w:pPr>
      <w:bookmarkStart w:id="19" w:name="_Toc169882171"/>
      <w:bookmarkStart w:id="20" w:name="_Hlk166495512"/>
      <w:r w:rsidRPr="00CE3138">
        <w:rPr>
          <w:rStyle w:val="CharSectno"/>
        </w:rPr>
        <w:t>1</w:t>
      </w:r>
      <w:r w:rsidR="00CF3113" w:rsidRPr="00CE3138">
        <w:rPr>
          <w:rStyle w:val="CharSectno"/>
        </w:rPr>
        <w:t>4</w:t>
      </w:r>
      <w:r w:rsidR="00A26880" w:rsidRPr="00CE3138">
        <w:t xml:space="preserve">  Listing criteria for medical devices to be listed in Part A of </w:t>
      </w:r>
      <w:r w:rsidR="00D9160B" w:rsidRPr="00CE3138">
        <w:t>Schedule 1</w:t>
      </w:r>
      <w:bookmarkEnd w:id="19"/>
    </w:p>
    <w:p w14:paraId="7AE784DF" w14:textId="77777777" w:rsidR="00A26880" w:rsidRPr="00CE3138" w:rsidRDefault="00A26880" w:rsidP="006B2798">
      <w:pPr>
        <w:pStyle w:val="subsection"/>
      </w:pPr>
      <w:r w:rsidRPr="00CE3138">
        <w:tab/>
        <w:t>(1)</w:t>
      </w:r>
      <w:r w:rsidRPr="00CE3138">
        <w:tab/>
        <w:t xml:space="preserve">A medical device must not be listed in Part A of </w:t>
      </w:r>
      <w:r w:rsidR="00D9160B" w:rsidRPr="00CE3138">
        <w:t>Schedule 1</w:t>
      </w:r>
      <w:r w:rsidRPr="00CE3138">
        <w:t xml:space="preserve"> unless</w:t>
      </w:r>
      <w:r w:rsidR="006B2798" w:rsidRPr="00CE3138">
        <w:t xml:space="preserve"> </w:t>
      </w:r>
      <w:r w:rsidR="00DC46F8" w:rsidRPr="00CE3138">
        <w:t>subsections (</w:t>
      </w:r>
      <w:r w:rsidRPr="00CE3138">
        <w:t>2), (3), (4) and (5) are satisfied.</w:t>
      </w:r>
    </w:p>
    <w:p w14:paraId="1EE15A59" w14:textId="77777777" w:rsidR="00A26880" w:rsidRPr="00CE3138" w:rsidRDefault="00A26880" w:rsidP="00A26880">
      <w:pPr>
        <w:pStyle w:val="subsection"/>
      </w:pPr>
      <w:r w:rsidRPr="00CE3138">
        <w:tab/>
        <w:t>(2)</w:t>
      </w:r>
      <w:r w:rsidRPr="00CE3138">
        <w:tab/>
        <w:t>The medical device:</w:t>
      </w:r>
    </w:p>
    <w:p w14:paraId="4653BB35" w14:textId="77777777" w:rsidR="00A26880" w:rsidRPr="00CE3138" w:rsidRDefault="00A26880" w:rsidP="00A26880">
      <w:pPr>
        <w:pStyle w:val="paragraph"/>
        <w:rPr>
          <w:rFonts w:cstheme="minorHAnsi"/>
        </w:rPr>
      </w:pPr>
      <w:r w:rsidRPr="00CE3138">
        <w:tab/>
        <w:t>(a)</w:t>
      </w:r>
      <w:r w:rsidRPr="00CE3138">
        <w:tab/>
      </w:r>
      <w:r w:rsidR="00A16B5B" w:rsidRPr="00CE3138">
        <w:t xml:space="preserve">must be </w:t>
      </w:r>
      <w:r w:rsidRPr="00CE3138">
        <w:rPr>
          <w:rFonts w:cstheme="minorHAnsi"/>
        </w:rPr>
        <w:t>an implantable medical device</w:t>
      </w:r>
      <w:r w:rsidR="00F628C7" w:rsidRPr="00CE3138">
        <w:rPr>
          <w:rFonts w:cstheme="minorHAnsi"/>
        </w:rPr>
        <w:t>,</w:t>
      </w:r>
      <w:r w:rsidRPr="00CE3138">
        <w:rPr>
          <w:rFonts w:cstheme="minorHAnsi"/>
        </w:rPr>
        <w:t xml:space="preserve"> </w:t>
      </w:r>
      <w:r w:rsidR="0012677E" w:rsidRPr="00CE3138">
        <w:rPr>
          <w:rFonts w:cstheme="minorHAnsi"/>
        </w:rPr>
        <w:t>or an active implantable medical device</w:t>
      </w:r>
      <w:r w:rsidR="00F628C7" w:rsidRPr="00CE3138">
        <w:rPr>
          <w:rFonts w:cstheme="minorHAnsi"/>
        </w:rPr>
        <w:t>,</w:t>
      </w:r>
      <w:r w:rsidR="0012677E" w:rsidRPr="00CE3138">
        <w:rPr>
          <w:rFonts w:cstheme="minorHAnsi"/>
        </w:rPr>
        <w:t xml:space="preserve"> </w:t>
      </w:r>
      <w:r w:rsidRPr="00CE3138">
        <w:rPr>
          <w:rFonts w:cstheme="minorHAnsi"/>
        </w:rPr>
        <w:t>that is designed to:</w:t>
      </w:r>
    </w:p>
    <w:p w14:paraId="1541C6E9" w14:textId="77777777" w:rsidR="00A26880" w:rsidRPr="00CE3138" w:rsidRDefault="00A26880" w:rsidP="00A26880">
      <w:pPr>
        <w:pStyle w:val="paragraphsub"/>
      </w:pPr>
      <w:r w:rsidRPr="00CE3138">
        <w:tab/>
        <w:t>(i)</w:t>
      </w:r>
      <w:r w:rsidRPr="00CE3138">
        <w:tab/>
      </w:r>
      <w:r w:rsidRPr="00CE3138">
        <w:rPr>
          <w:rFonts w:cstheme="minorHAnsi"/>
        </w:rPr>
        <w:t>replace an anatomical body part; or</w:t>
      </w:r>
    </w:p>
    <w:p w14:paraId="17788647" w14:textId="77777777" w:rsidR="00A26880" w:rsidRPr="00CE3138" w:rsidRDefault="00A26880" w:rsidP="00A26880">
      <w:pPr>
        <w:pStyle w:val="paragraphsub"/>
      </w:pPr>
      <w:r w:rsidRPr="00CE3138">
        <w:tab/>
        <w:t>(ii)</w:t>
      </w:r>
      <w:r w:rsidRPr="00CE3138">
        <w:tab/>
      </w:r>
      <w:r w:rsidRPr="00CE3138">
        <w:rPr>
          <w:rFonts w:cstheme="minorHAnsi"/>
        </w:rPr>
        <w:t>combat a pathological process; or</w:t>
      </w:r>
    </w:p>
    <w:p w14:paraId="05C41D06" w14:textId="77777777" w:rsidR="00A26880" w:rsidRPr="00CE3138" w:rsidRDefault="00A26880" w:rsidP="00A26880">
      <w:pPr>
        <w:pStyle w:val="paragraphsub"/>
        <w:rPr>
          <w:rFonts w:cstheme="minorHAnsi"/>
        </w:rPr>
      </w:pPr>
      <w:r w:rsidRPr="00CE3138">
        <w:tab/>
        <w:t>(iii)</w:t>
      </w:r>
      <w:r w:rsidRPr="00CE3138">
        <w:tab/>
      </w:r>
      <w:r w:rsidRPr="00CE3138">
        <w:rPr>
          <w:rFonts w:cstheme="minorHAnsi"/>
        </w:rPr>
        <w:t>modulate a physiological process; or</w:t>
      </w:r>
    </w:p>
    <w:p w14:paraId="4F9A30BE" w14:textId="77777777" w:rsidR="00CB00C5" w:rsidRPr="00CE3138" w:rsidRDefault="00A26880" w:rsidP="00A26880">
      <w:pPr>
        <w:pStyle w:val="paragraph"/>
      </w:pPr>
      <w:r w:rsidRPr="00CE3138">
        <w:tab/>
        <w:t>(b)</w:t>
      </w:r>
      <w:r w:rsidRPr="00CE3138">
        <w:tab/>
      </w:r>
      <w:r w:rsidR="00A16B5B" w:rsidRPr="00CE3138">
        <w:t>must</w:t>
      </w:r>
      <w:r w:rsidR="00CB00C5" w:rsidRPr="00CE3138">
        <w:t>:</w:t>
      </w:r>
    </w:p>
    <w:p w14:paraId="694CC063" w14:textId="36C7733F" w:rsidR="00CB00C5" w:rsidRPr="00CE3138" w:rsidRDefault="00CB00C5" w:rsidP="00CB00C5">
      <w:pPr>
        <w:pStyle w:val="paragraphsub"/>
      </w:pPr>
      <w:r w:rsidRPr="00CE3138">
        <w:tab/>
        <w:t>(i)</w:t>
      </w:r>
      <w:r w:rsidRPr="00CE3138">
        <w:tab/>
      </w:r>
      <w:r w:rsidR="00A16B5B" w:rsidRPr="00CE3138">
        <w:t xml:space="preserve">be </w:t>
      </w:r>
      <w:r w:rsidR="006E0D55" w:rsidRPr="00CE3138">
        <w:t>specifically designed as an integral single</w:t>
      </w:r>
      <w:r w:rsidR="003D794E" w:rsidRPr="00CE3138">
        <w:noBreakHyphen/>
      </w:r>
      <w:r w:rsidR="006E0D55" w:rsidRPr="00CE3138">
        <w:t xml:space="preserve">use aid and be essential for implanting a device mentioned in </w:t>
      </w:r>
      <w:r w:rsidR="00DC46F8" w:rsidRPr="00CE3138">
        <w:t>paragraph (</w:t>
      </w:r>
      <w:r w:rsidR="006E0D55" w:rsidRPr="00CE3138">
        <w:t>a);</w:t>
      </w:r>
      <w:r w:rsidRPr="00CE3138">
        <w:t xml:space="preserve"> and</w:t>
      </w:r>
    </w:p>
    <w:p w14:paraId="407D8E3A" w14:textId="77777777" w:rsidR="00A26880" w:rsidRPr="00CE3138" w:rsidRDefault="00CB00C5" w:rsidP="00CB00C5">
      <w:pPr>
        <w:pStyle w:val="paragraphsub"/>
      </w:pPr>
      <w:r w:rsidRPr="00CE3138">
        <w:tab/>
        <w:t>(ii)</w:t>
      </w:r>
      <w:r w:rsidRPr="00CE3138">
        <w:tab/>
      </w:r>
      <w:r w:rsidR="00A16B5B" w:rsidRPr="00CE3138">
        <w:t xml:space="preserve">be </w:t>
      </w:r>
      <w:r w:rsidR="006E0D55" w:rsidRPr="00CE3138">
        <w:t xml:space="preserve">designed for use for the patient in whom the device mentioned in </w:t>
      </w:r>
      <w:r w:rsidR="00DC46F8" w:rsidRPr="00CE3138">
        <w:t>paragraph (</w:t>
      </w:r>
      <w:r w:rsidR="006E0D55" w:rsidRPr="00CE3138">
        <w:t>a) is intended to be implanted</w:t>
      </w:r>
      <w:r w:rsidR="00A26880" w:rsidRPr="00CE3138">
        <w:t>; or</w:t>
      </w:r>
    </w:p>
    <w:p w14:paraId="2BC60F01" w14:textId="77777777" w:rsidR="00CB00C5" w:rsidRPr="00CE3138" w:rsidRDefault="00A26880" w:rsidP="00A26880">
      <w:pPr>
        <w:pStyle w:val="paragraph"/>
      </w:pPr>
      <w:r w:rsidRPr="00CE3138">
        <w:tab/>
        <w:t>(c)</w:t>
      </w:r>
      <w:r w:rsidRPr="00CE3138">
        <w:tab/>
      </w:r>
      <w:r w:rsidR="00A16B5B" w:rsidRPr="00CE3138">
        <w:t>must be</w:t>
      </w:r>
      <w:r w:rsidR="00CB00C5" w:rsidRPr="00CE3138">
        <w:t>:</w:t>
      </w:r>
    </w:p>
    <w:p w14:paraId="683A5B39" w14:textId="77777777" w:rsidR="00CB00C5" w:rsidRPr="00CE3138" w:rsidRDefault="00CB00C5" w:rsidP="00CB00C5">
      <w:pPr>
        <w:pStyle w:val="paragraphsub"/>
      </w:pPr>
      <w:r w:rsidRPr="00CE3138">
        <w:tab/>
        <w:t>(i)</w:t>
      </w:r>
      <w:r w:rsidRPr="00CE3138">
        <w:tab/>
      </w:r>
      <w:r w:rsidR="006E0D55" w:rsidRPr="00CE3138">
        <w:t xml:space="preserve">critical to the continued functioning of an implanted device mentioned in </w:t>
      </w:r>
      <w:r w:rsidR="00DC46F8" w:rsidRPr="00CE3138">
        <w:t>paragraph (</w:t>
      </w:r>
      <w:r w:rsidR="006E0D55" w:rsidRPr="00CE3138">
        <w:t>a);</w:t>
      </w:r>
      <w:r w:rsidR="00A26880" w:rsidRPr="00CE3138">
        <w:t xml:space="preserve"> and</w:t>
      </w:r>
    </w:p>
    <w:p w14:paraId="21CA8CF3" w14:textId="77777777" w:rsidR="00A26880" w:rsidRPr="00CE3138" w:rsidRDefault="00CB00C5" w:rsidP="00CB00C5">
      <w:pPr>
        <w:pStyle w:val="paragraphsub"/>
      </w:pPr>
      <w:r w:rsidRPr="00CE3138">
        <w:tab/>
        <w:t>(ii)</w:t>
      </w:r>
      <w:r w:rsidRPr="00CE3138">
        <w:tab/>
      </w:r>
      <w:r w:rsidR="00A26880" w:rsidRPr="00CE3138">
        <w:t>only suitable for use by the patient in whom th</w:t>
      </w:r>
      <w:r w:rsidRPr="00CE3138">
        <w:t>e</w:t>
      </w:r>
      <w:r w:rsidR="00A26880" w:rsidRPr="00CE3138">
        <w:t xml:space="preserve"> device </w:t>
      </w:r>
      <w:r w:rsidR="006E0D55" w:rsidRPr="00CE3138">
        <w:t xml:space="preserve">mentioned in </w:t>
      </w:r>
      <w:r w:rsidR="00DC46F8" w:rsidRPr="00CE3138">
        <w:t>paragraph (</w:t>
      </w:r>
      <w:r w:rsidR="00A16B5B" w:rsidRPr="00CE3138">
        <w:t>a</w:t>
      </w:r>
      <w:r w:rsidR="006E0D55" w:rsidRPr="00CE3138">
        <w:t xml:space="preserve">) </w:t>
      </w:r>
      <w:r w:rsidR="00A26880" w:rsidRPr="00CE3138">
        <w:t>is implanted.</w:t>
      </w:r>
    </w:p>
    <w:p w14:paraId="728E07B0" w14:textId="619E8CC5" w:rsidR="00D35C21" w:rsidRPr="00CE3138" w:rsidRDefault="00D35C21" w:rsidP="00D35C21">
      <w:pPr>
        <w:pStyle w:val="notetext"/>
      </w:pPr>
      <w:r w:rsidRPr="00CE3138">
        <w:t>Note:</w:t>
      </w:r>
      <w:r w:rsidRPr="00CE3138">
        <w:tab/>
        <w:t xml:space="preserve">The alternatives in </w:t>
      </w:r>
      <w:r w:rsidR="00DC46F8" w:rsidRPr="00CE3138">
        <w:t>paragraphs </w:t>
      </w:r>
      <w:r w:rsidR="006E7356">
        <w:t>14</w:t>
      </w:r>
      <w:r w:rsidR="00DC46F8" w:rsidRPr="00CE3138">
        <w:t>(</w:t>
      </w:r>
      <w:r w:rsidRPr="00CE3138">
        <w:t xml:space="preserve">b) and (c) will not apply unless a device </w:t>
      </w:r>
      <w:r w:rsidR="00CE3A9C" w:rsidRPr="00CE3138">
        <w:t xml:space="preserve">(the </w:t>
      </w:r>
      <w:r w:rsidR="00CE3A9C" w:rsidRPr="00CE3138">
        <w:rPr>
          <w:b/>
          <w:i/>
        </w:rPr>
        <w:t>listed device</w:t>
      </w:r>
      <w:r w:rsidR="00CE3A9C" w:rsidRPr="00CE3138">
        <w:t xml:space="preserve">) </w:t>
      </w:r>
      <w:r w:rsidRPr="00CE3138">
        <w:t xml:space="preserve">mentioned in </w:t>
      </w:r>
      <w:r w:rsidR="00DC46F8" w:rsidRPr="00CE3138">
        <w:t>paragraph </w:t>
      </w:r>
      <w:r w:rsidR="006E7356">
        <w:t>14</w:t>
      </w:r>
      <w:r w:rsidR="00DC46F8" w:rsidRPr="00CE3138">
        <w:t>(</w:t>
      </w:r>
      <w:r w:rsidRPr="00CE3138">
        <w:t xml:space="preserve">a) is listed in </w:t>
      </w:r>
      <w:r w:rsidR="00D9160B" w:rsidRPr="00CE3138">
        <w:t>Schedule 1</w:t>
      </w:r>
      <w:r w:rsidRPr="00CE3138">
        <w:t xml:space="preserve"> (or will be listed in </w:t>
      </w:r>
      <w:r w:rsidR="00D9160B" w:rsidRPr="00CE3138">
        <w:t>Schedule 1</w:t>
      </w:r>
      <w:r w:rsidRPr="00CE3138">
        <w:t xml:space="preserve"> following a successful listing application or variation application) and the device mentioned in </w:t>
      </w:r>
      <w:r w:rsidR="00DC46F8" w:rsidRPr="00CE3138">
        <w:t>paragraphs (</w:t>
      </w:r>
      <w:r w:rsidRPr="00CE3138">
        <w:t>b) and (c) is designed to be used with th</w:t>
      </w:r>
      <w:r w:rsidR="00CE3A9C" w:rsidRPr="00CE3138">
        <w:t>e</w:t>
      </w:r>
      <w:r w:rsidRPr="00CE3138">
        <w:t xml:space="preserve"> listed </w:t>
      </w:r>
      <w:r w:rsidR="00CE3A9C" w:rsidRPr="00CE3138">
        <w:t>device</w:t>
      </w:r>
      <w:r w:rsidRPr="00CE3138">
        <w:t>.</w:t>
      </w:r>
    </w:p>
    <w:p w14:paraId="4DC9DABB" w14:textId="0DA835A8" w:rsidR="00A26880" w:rsidRPr="00CE3138" w:rsidRDefault="00A26880" w:rsidP="00A26880">
      <w:pPr>
        <w:pStyle w:val="subsection"/>
        <w:rPr>
          <w:rFonts w:cstheme="minorHAnsi"/>
        </w:rPr>
      </w:pPr>
      <w:r w:rsidRPr="00CE3138">
        <w:tab/>
        <w:t>(3)</w:t>
      </w:r>
      <w:r w:rsidRPr="00CE3138">
        <w:tab/>
        <w:t xml:space="preserve">The medical device must be a medical device </w:t>
      </w:r>
      <w:r w:rsidRPr="00CE3138">
        <w:rPr>
          <w:rFonts w:cstheme="minorHAnsi"/>
        </w:rPr>
        <w:t>that is not used solely for diagnosis, prediction</w:t>
      </w:r>
      <w:r w:rsidR="00EC2806">
        <w:rPr>
          <w:rFonts w:cstheme="minorHAnsi"/>
        </w:rPr>
        <w:t>,</w:t>
      </w:r>
      <w:r w:rsidRPr="00CE3138">
        <w:rPr>
          <w:rFonts w:cstheme="minorHAnsi"/>
        </w:rPr>
        <w:t xml:space="preserve"> or prognosis.</w:t>
      </w:r>
    </w:p>
    <w:p w14:paraId="53D91212" w14:textId="77777777" w:rsidR="00A26880" w:rsidRPr="00CE3138" w:rsidRDefault="00A26880" w:rsidP="00A26880">
      <w:pPr>
        <w:pStyle w:val="subsection"/>
        <w:rPr>
          <w:rFonts w:cstheme="minorHAnsi"/>
        </w:rPr>
      </w:pPr>
      <w:r w:rsidRPr="00CE3138">
        <w:tab/>
        <w:t>(4)</w:t>
      </w:r>
      <w:r w:rsidRPr="00CE3138">
        <w:tab/>
      </w:r>
      <w:r w:rsidRPr="00CE3138">
        <w:rPr>
          <w:rFonts w:cstheme="minorHAnsi"/>
        </w:rPr>
        <w:t>The medical device must be for a specific treatment and indication</w:t>
      </w:r>
      <w:r w:rsidR="0012677E" w:rsidRPr="00CE3138">
        <w:rPr>
          <w:rFonts w:cstheme="minorHAnsi"/>
        </w:rPr>
        <w:t>.</w:t>
      </w:r>
    </w:p>
    <w:p w14:paraId="49972A15" w14:textId="77777777" w:rsidR="00A26880" w:rsidRPr="00CE3138" w:rsidRDefault="00A26880" w:rsidP="00A26880">
      <w:pPr>
        <w:pStyle w:val="subsection"/>
      </w:pPr>
      <w:r w:rsidRPr="00CE3138">
        <w:lastRenderedPageBreak/>
        <w:tab/>
        <w:t>(5)</w:t>
      </w:r>
      <w:r w:rsidRPr="00CE3138">
        <w:tab/>
        <w:t xml:space="preserve">Both </w:t>
      </w:r>
      <w:r w:rsidR="0082738B" w:rsidRPr="00CE3138">
        <w:t xml:space="preserve">of </w:t>
      </w:r>
      <w:r w:rsidRPr="00CE3138">
        <w:t>the following must be satisfied:</w:t>
      </w:r>
    </w:p>
    <w:p w14:paraId="473656E6" w14:textId="77777777" w:rsidR="00A26880" w:rsidRPr="00CE3138" w:rsidRDefault="00A26880" w:rsidP="00A26880">
      <w:pPr>
        <w:pStyle w:val="paragraph"/>
      </w:pPr>
      <w:r w:rsidRPr="00CE3138">
        <w:tab/>
        <w:t>(a)</w:t>
      </w:r>
      <w:r w:rsidRPr="00CE3138">
        <w:tab/>
        <w:t>the medical device must have been compared to:</w:t>
      </w:r>
    </w:p>
    <w:p w14:paraId="0AB08548" w14:textId="77777777" w:rsidR="00A26880" w:rsidRPr="00CE3138" w:rsidRDefault="00A26880" w:rsidP="00A26880">
      <w:pPr>
        <w:pStyle w:val="paragraphsub"/>
      </w:pPr>
      <w:r w:rsidRPr="00CE3138">
        <w:tab/>
        <w:t>(i)</w:t>
      </w:r>
      <w:r w:rsidRPr="00CE3138">
        <w:tab/>
        <w:t xml:space="preserve">devices </w:t>
      </w:r>
      <w:r w:rsidR="00CE3A9C" w:rsidRPr="00CE3138">
        <w:t xml:space="preserve">that are </w:t>
      </w:r>
      <w:r w:rsidRPr="00CE3138">
        <w:t xml:space="preserve">listed in </w:t>
      </w:r>
      <w:r w:rsidR="00D9160B" w:rsidRPr="00CE3138">
        <w:t>Schedule 1</w:t>
      </w:r>
      <w:r w:rsidRPr="00CE3138">
        <w:t>; or</w:t>
      </w:r>
    </w:p>
    <w:p w14:paraId="30F5D8D3" w14:textId="77777777" w:rsidR="00A26880" w:rsidRPr="00CE3138" w:rsidRDefault="00A26880" w:rsidP="00A26880">
      <w:pPr>
        <w:pStyle w:val="paragraphsub"/>
      </w:pPr>
      <w:r w:rsidRPr="00CE3138">
        <w:tab/>
        <w:t>(ii)</w:t>
      </w:r>
      <w:r w:rsidRPr="00CE3138">
        <w:tab/>
        <w:t>alternative treatments;</w:t>
      </w:r>
    </w:p>
    <w:p w14:paraId="628BDCEF" w14:textId="77777777" w:rsidR="003D51A6" w:rsidRPr="00CE3138" w:rsidRDefault="00A26880" w:rsidP="003D51A6">
      <w:pPr>
        <w:pStyle w:val="paragraph"/>
        <w:rPr>
          <w:rFonts w:cstheme="minorHAnsi"/>
        </w:rPr>
      </w:pPr>
      <w:r w:rsidRPr="00CE3138">
        <w:tab/>
        <w:t>(b)</w:t>
      </w:r>
      <w:r w:rsidRPr="00CE3138">
        <w:tab/>
      </w:r>
      <w:r w:rsidRPr="00CE3138">
        <w:rPr>
          <w:rFonts w:cstheme="minorHAnsi"/>
        </w:rPr>
        <w:t>the comparison must demonstrate that</w:t>
      </w:r>
      <w:r w:rsidR="003D51A6" w:rsidRPr="00CE3138">
        <w:rPr>
          <w:rFonts w:cstheme="minorHAnsi"/>
        </w:rPr>
        <w:t>:</w:t>
      </w:r>
    </w:p>
    <w:p w14:paraId="2AA7A533" w14:textId="77777777" w:rsidR="003D51A6" w:rsidRPr="00CE3138" w:rsidRDefault="003D51A6" w:rsidP="003D51A6">
      <w:pPr>
        <w:pStyle w:val="paragraphsub"/>
      </w:pPr>
      <w:r w:rsidRPr="00CE3138">
        <w:tab/>
        <w:t>(i)</w:t>
      </w:r>
      <w:r w:rsidRPr="00CE3138">
        <w:tab/>
        <w:t xml:space="preserve">the medical device is no less clinically effective than the devices listed in </w:t>
      </w:r>
      <w:r w:rsidR="00D9160B" w:rsidRPr="00CE3138">
        <w:t>Schedule 1</w:t>
      </w:r>
      <w:r w:rsidRPr="00CE3138">
        <w:t xml:space="preserve"> or the alternative treatments; and</w:t>
      </w:r>
    </w:p>
    <w:p w14:paraId="7C797056" w14:textId="4E67F924" w:rsidR="003D51A6" w:rsidRPr="00CE3138" w:rsidRDefault="003D51A6" w:rsidP="003D51A6">
      <w:pPr>
        <w:pStyle w:val="paragraphsub"/>
      </w:pPr>
      <w:r w:rsidRPr="00CE3138">
        <w:tab/>
        <w:t>(ii)</w:t>
      </w:r>
      <w:r w:rsidRPr="00CE3138">
        <w:tab/>
      </w:r>
      <w:r w:rsidRPr="00CE3138">
        <w:rPr>
          <w:rFonts w:cstheme="minorHAnsi"/>
        </w:rPr>
        <w:t>the benefit amount for the medical device is proportionate to the clinical</w:t>
      </w:r>
      <w:r w:rsidR="003D794E" w:rsidRPr="00CE3138">
        <w:rPr>
          <w:rFonts w:cstheme="minorHAnsi"/>
        </w:rPr>
        <w:noBreakHyphen/>
      </w:r>
      <w:r w:rsidRPr="00CE3138">
        <w:rPr>
          <w:rFonts w:cstheme="minorHAnsi"/>
        </w:rPr>
        <w:t>effectiveness of the device.</w:t>
      </w:r>
    </w:p>
    <w:p w14:paraId="59D79923" w14:textId="2D7D5D94" w:rsidR="00A26880" w:rsidRPr="00CE3138" w:rsidRDefault="00A1043E" w:rsidP="00A26880">
      <w:pPr>
        <w:pStyle w:val="ActHead5"/>
      </w:pPr>
      <w:bookmarkStart w:id="21" w:name="_Toc169882172"/>
      <w:r w:rsidRPr="00CE3138">
        <w:rPr>
          <w:rStyle w:val="CharSectno"/>
        </w:rPr>
        <w:t>1</w:t>
      </w:r>
      <w:r w:rsidR="00CF3113" w:rsidRPr="00CE3138">
        <w:rPr>
          <w:rStyle w:val="CharSectno"/>
        </w:rPr>
        <w:t>5</w:t>
      </w:r>
      <w:r w:rsidR="00A26880" w:rsidRPr="00CE3138">
        <w:t xml:space="preserve">  Listing criteria for human tissue products to be listed in Part </w:t>
      </w:r>
      <w:bookmarkEnd w:id="20"/>
      <w:r w:rsidR="00A26880" w:rsidRPr="00CE3138">
        <w:t xml:space="preserve">B of </w:t>
      </w:r>
      <w:r w:rsidR="00D9160B" w:rsidRPr="00CE3138">
        <w:t>Schedule 1</w:t>
      </w:r>
      <w:bookmarkEnd w:id="21"/>
    </w:p>
    <w:p w14:paraId="3F1AC455" w14:textId="77777777" w:rsidR="00AF1CEB" w:rsidRPr="00CE3138" w:rsidRDefault="00A26880" w:rsidP="00CC5F84">
      <w:pPr>
        <w:pStyle w:val="subsection"/>
      </w:pPr>
      <w:r w:rsidRPr="00CE3138">
        <w:tab/>
      </w:r>
      <w:r w:rsidR="00AF1CEB" w:rsidRPr="00CE3138">
        <w:tab/>
        <w:t xml:space="preserve">Only a human tissue product may be listed in Part B of </w:t>
      </w:r>
      <w:r w:rsidR="00D9160B" w:rsidRPr="00CE3138">
        <w:t>Schedule 1</w:t>
      </w:r>
      <w:r w:rsidR="00AF1CEB" w:rsidRPr="00CE3138">
        <w:t>.</w:t>
      </w:r>
    </w:p>
    <w:p w14:paraId="00EACAF2" w14:textId="4164BA0F" w:rsidR="00AF1CEB" w:rsidRPr="00CE3138" w:rsidRDefault="00AF1CEB" w:rsidP="00AF1CEB">
      <w:pPr>
        <w:pStyle w:val="notetext"/>
      </w:pPr>
      <w:r w:rsidRPr="00CE3138">
        <w:t>Note:</w:t>
      </w:r>
      <w:r w:rsidR="009F77C7" w:rsidRPr="00CE3138">
        <w:tab/>
      </w:r>
      <w:r w:rsidRPr="00CE3138">
        <w:t xml:space="preserve">A human tissue product is defined in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12 of the Act.</w:t>
      </w:r>
    </w:p>
    <w:p w14:paraId="4A786621" w14:textId="4657B815" w:rsidR="00A26880" w:rsidRPr="00CE3138" w:rsidRDefault="00A1043E" w:rsidP="00A26880">
      <w:pPr>
        <w:pStyle w:val="ActHead5"/>
      </w:pPr>
      <w:bookmarkStart w:id="22" w:name="_Toc169882173"/>
      <w:bookmarkStart w:id="23" w:name="_Hlk163136679"/>
      <w:r w:rsidRPr="00CE3138">
        <w:rPr>
          <w:rStyle w:val="CharSectno"/>
        </w:rPr>
        <w:t>1</w:t>
      </w:r>
      <w:r w:rsidR="00CF3113" w:rsidRPr="00CE3138">
        <w:rPr>
          <w:rStyle w:val="CharSectno"/>
        </w:rPr>
        <w:t>6</w:t>
      </w:r>
      <w:r w:rsidR="00A26880" w:rsidRPr="00CE3138">
        <w:t xml:space="preserve">  Listing criteria for medical devices to be listed in </w:t>
      </w:r>
      <w:r w:rsidR="00DC46F8" w:rsidRPr="00CE3138">
        <w:t>Part C</w:t>
      </w:r>
      <w:r w:rsidR="00A26880" w:rsidRPr="00CE3138">
        <w:t xml:space="preserve"> of </w:t>
      </w:r>
      <w:r w:rsidR="00D9160B" w:rsidRPr="00CE3138">
        <w:t>Schedule 1</w:t>
      </w:r>
      <w:bookmarkEnd w:id="22"/>
    </w:p>
    <w:bookmarkEnd w:id="23"/>
    <w:p w14:paraId="07F2CD05" w14:textId="77777777" w:rsidR="00AB50B3" w:rsidRPr="00CE3138" w:rsidRDefault="00A26880" w:rsidP="00CC5F84">
      <w:pPr>
        <w:pStyle w:val="subsection"/>
      </w:pPr>
      <w:r w:rsidRPr="00CE3138">
        <w:tab/>
      </w:r>
      <w:bookmarkStart w:id="24" w:name="_Hlk163136803"/>
      <w:r w:rsidRPr="00CE3138">
        <w:t>(1)</w:t>
      </w:r>
      <w:r w:rsidRPr="00CE3138">
        <w:tab/>
        <w:t xml:space="preserve">A medical device must not be listed in </w:t>
      </w:r>
      <w:r w:rsidR="00DC46F8" w:rsidRPr="00CE3138">
        <w:t>Part C</w:t>
      </w:r>
      <w:r w:rsidRPr="00CE3138">
        <w:t xml:space="preserve"> of </w:t>
      </w:r>
      <w:r w:rsidR="00D9160B" w:rsidRPr="00CE3138">
        <w:t>Schedule 1</w:t>
      </w:r>
      <w:r w:rsidRPr="00CE3138">
        <w:t xml:space="preserve"> unless</w:t>
      </w:r>
      <w:r w:rsidR="00CC5F84" w:rsidRPr="00CE3138">
        <w:t xml:space="preserve"> </w:t>
      </w:r>
      <w:bookmarkEnd w:id="24"/>
      <w:r w:rsidR="00DC46F8" w:rsidRPr="00CE3138">
        <w:t>subsections (</w:t>
      </w:r>
      <w:r w:rsidR="00CE5CB8" w:rsidRPr="00CE3138">
        <w:t>2)</w:t>
      </w:r>
      <w:r w:rsidR="00AB50B3" w:rsidRPr="00CE3138">
        <w:t xml:space="preserve"> and </w:t>
      </w:r>
      <w:r w:rsidR="00CE5CB8" w:rsidRPr="00CE3138">
        <w:t>(3) are satisfied</w:t>
      </w:r>
      <w:r w:rsidR="00CC5F84" w:rsidRPr="00CE3138">
        <w:t>.</w:t>
      </w:r>
    </w:p>
    <w:p w14:paraId="08AFED45" w14:textId="77777777" w:rsidR="00CC5F84" w:rsidRPr="00CE3138" w:rsidRDefault="00CC5F84" w:rsidP="00CC5F84">
      <w:pPr>
        <w:pStyle w:val="subsection"/>
      </w:pPr>
      <w:r w:rsidRPr="00CE3138">
        <w:tab/>
        <w:t>(</w:t>
      </w:r>
      <w:r w:rsidR="009C33BE" w:rsidRPr="00CE3138">
        <w:t>2</w:t>
      </w:r>
      <w:r w:rsidRPr="00CE3138">
        <w:t>)</w:t>
      </w:r>
      <w:r w:rsidRPr="00CE3138">
        <w:tab/>
        <w:t xml:space="preserve">The medical device </w:t>
      </w:r>
      <w:r w:rsidR="009C33BE" w:rsidRPr="00CE3138">
        <w:t>must be</w:t>
      </w:r>
      <w:r w:rsidRPr="00CE3138">
        <w:t xml:space="preserve"> one of the following:</w:t>
      </w:r>
    </w:p>
    <w:p w14:paraId="602E293C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rPr>
          <w:rFonts w:eastAsia="MS Mincho"/>
        </w:rPr>
        <w:t>a</w:t>
      </w:r>
      <w:r w:rsidRPr="00CE3138">
        <w:rPr>
          <w:rFonts w:eastAsia="MS Mincho"/>
        </w:rPr>
        <w:t>)</w:t>
      </w:r>
      <w:r w:rsidRPr="00CE3138">
        <w:rPr>
          <w:rFonts w:eastAsia="MS Mincho"/>
        </w:rPr>
        <w:tab/>
        <w:t>an insulin infusion pump;</w:t>
      </w:r>
    </w:p>
    <w:p w14:paraId="65F0D356" w14:textId="77777777" w:rsidR="00A81995" w:rsidRPr="00CE3138" w:rsidRDefault="00A81995" w:rsidP="009C33BE">
      <w:pPr>
        <w:pStyle w:val="paragraph"/>
        <w:rPr>
          <w:rFonts w:eastAsia="MS Mincho"/>
        </w:rPr>
      </w:pPr>
      <w:r w:rsidRPr="00CE3138">
        <w:tab/>
        <w:t>(b)</w:t>
      </w:r>
      <w:r w:rsidRPr="00CE3138">
        <w:tab/>
      </w:r>
      <w:r w:rsidR="007952B1" w:rsidRPr="00CE3138">
        <w:t xml:space="preserve">an </w:t>
      </w:r>
      <w:r w:rsidRPr="00CE3138">
        <w:t>electronic device and software designed to control an insulin infusion pump;</w:t>
      </w:r>
    </w:p>
    <w:p w14:paraId="62E883B3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t>c</w:t>
      </w:r>
      <w:r w:rsidRPr="00CE3138">
        <w:t>)</w:t>
      </w:r>
      <w:r w:rsidRPr="00CE3138">
        <w:tab/>
      </w:r>
      <w:r w:rsidRPr="00CE3138">
        <w:rPr>
          <w:rFonts w:eastAsia="MS Mincho"/>
        </w:rPr>
        <w:t>an implantable cardiac event recorder;</w:t>
      </w:r>
    </w:p>
    <w:p w14:paraId="0D1154BB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t>d</w:t>
      </w:r>
      <w:r w:rsidRPr="00CE3138">
        <w:t>)</w:t>
      </w:r>
      <w:r w:rsidRPr="00CE3138">
        <w:tab/>
      </w:r>
      <w:r w:rsidRPr="00CE3138">
        <w:rPr>
          <w:rFonts w:eastAsia="MS Mincho"/>
        </w:rPr>
        <w:t>a cardiac home/remote monitoring system;</w:t>
      </w:r>
    </w:p>
    <w:p w14:paraId="6CEC3038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t>e</w:t>
      </w:r>
      <w:r w:rsidRPr="00CE3138">
        <w:t>)</w:t>
      </w:r>
      <w:r w:rsidRPr="00CE3138">
        <w:tab/>
      </w:r>
      <w:r w:rsidRPr="00CE3138">
        <w:rPr>
          <w:rFonts w:eastAsia="MS Mincho"/>
        </w:rPr>
        <w:t>an irrigated cardiac ablation catheter;</w:t>
      </w:r>
    </w:p>
    <w:p w14:paraId="3C02CD94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t>f</w:t>
      </w:r>
      <w:r w:rsidRPr="00CE3138">
        <w:t>)</w:t>
      </w:r>
      <w:r w:rsidRPr="00CE3138">
        <w:tab/>
      </w:r>
      <w:r w:rsidRPr="00CE3138">
        <w:rPr>
          <w:rFonts w:eastAsia="MS Mincho"/>
        </w:rPr>
        <w:t>a mapping catheter for catheter cardiac ablation;</w:t>
      </w:r>
    </w:p>
    <w:p w14:paraId="52957CB5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tab/>
        <w:t>(</w:t>
      </w:r>
      <w:r w:rsidR="00A81995" w:rsidRPr="00CE3138">
        <w:t>g</w:t>
      </w:r>
      <w:r w:rsidRPr="00CE3138">
        <w:t>)</w:t>
      </w:r>
      <w:r w:rsidRPr="00CE3138">
        <w:tab/>
      </w:r>
      <w:r w:rsidRPr="00CE3138">
        <w:rPr>
          <w:rFonts w:eastAsia="MS Mincho"/>
        </w:rPr>
        <w:t>a patch for cardiac ablation;</w:t>
      </w:r>
    </w:p>
    <w:p w14:paraId="4BDE12B4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rPr>
          <w:rFonts w:eastAsia="MS Mincho"/>
        </w:rPr>
        <w:tab/>
        <w:t>(</w:t>
      </w:r>
      <w:r w:rsidR="00A81995" w:rsidRPr="00CE3138">
        <w:rPr>
          <w:rFonts w:eastAsia="MS Mincho"/>
        </w:rPr>
        <w:t>h</w:t>
      </w:r>
      <w:r w:rsidRPr="00CE3138">
        <w:rPr>
          <w:rFonts w:eastAsia="MS Mincho"/>
        </w:rPr>
        <w:t>)</w:t>
      </w:r>
      <w:r w:rsidRPr="00CE3138">
        <w:rPr>
          <w:rFonts w:eastAsia="MS Mincho"/>
        </w:rPr>
        <w:tab/>
        <w:t>a monopolar device for surgical cardiac ablation;</w:t>
      </w:r>
    </w:p>
    <w:p w14:paraId="21807343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rPr>
          <w:rFonts w:eastAsia="MS Mincho"/>
        </w:rPr>
        <w:tab/>
        <w:t>(</w:t>
      </w:r>
      <w:r w:rsidR="00A81995" w:rsidRPr="00CE3138">
        <w:rPr>
          <w:rFonts w:eastAsia="MS Mincho"/>
        </w:rPr>
        <w:t>i</w:t>
      </w:r>
      <w:r w:rsidRPr="00CE3138">
        <w:rPr>
          <w:rFonts w:eastAsia="MS Mincho"/>
        </w:rPr>
        <w:t>)</w:t>
      </w:r>
      <w:r w:rsidRPr="00CE3138">
        <w:rPr>
          <w:rFonts w:eastAsia="MS Mincho"/>
        </w:rPr>
        <w:tab/>
        <w:t>a bipolar device for surgical cardiac ablation;</w:t>
      </w:r>
    </w:p>
    <w:p w14:paraId="57D28C15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rPr>
          <w:rFonts w:eastAsia="MS Mincho"/>
        </w:rPr>
        <w:tab/>
        <w:t>(</w:t>
      </w:r>
      <w:r w:rsidR="00A81995" w:rsidRPr="00CE3138">
        <w:rPr>
          <w:rFonts w:eastAsia="MS Mincho"/>
        </w:rPr>
        <w:t>j</w:t>
      </w:r>
      <w:r w:rsidRPr="00CE3138">
        <w:rPr>
          <w:rFonts w:eastAsia="MS Mincho"/>
        </w:rPr>
        <w:t>)</w:t>
      </w:r>
      <w:r w:rsidRPr="00CE3138">
        <w:rPr>
          <w:rFonts w:eastAsia="MS Mincho"/>
        </w:rPr>
        <w:tab/>
        <w:t>a system for surgical cardiac ablation;</w:t>
      </w:r>
    </w:p>
    <w:p w14:paraId="4354EB0E" w14:textId="77777777" w:rsidR="00CC5F84" w:rsidRPr="00CE3138" w:rsidRDefault="00CC5F84" w:rsidP="009C33BE">
      <w:pPr>
        <w:pStyle w:val="paragraph"/>
        <w:rPr>
          <w:rFonts w:eastAsia="MS Mincho"/>
        </w:rPr>
      </w:pPr>
      <w:r w:rsidRPr="00CE3138">
        <w:rPr>
          <w:rFonts w:eastAsia="MS Mincho"/>
        </w:rPr>
        <w:tab/>
        <w:t>(</w:t>
      </w:r>
      <w:r w:rsidR="00A81995" w:rsidRPr="00CE3138">
        <w:rPr>
          <w:rFonts w:eastAsia="MS Mincho"/>
        </w:rPr>
        <w:t>k</w:t>
      </w:r>
      <w:r w:rsidRPr="00CE3138">
        <w:rPr>
          <w:rFonts w:eastAsia="MS Mincho"/>
        </w:rPr>
        <w:t>)</w:t>
      </w:r>
      <w:r w:rsidRPr="00CE3138">
        <w:rPr>
          <w:rFonts w:eastAsia="MS Mincho"/>
        </w:rPr>
        <w:tab/>
        <w:t>a probe for surgical cardiac ablation;</w:t>
      </w:r>
    </w:p>
    <w:p w14:paraId="2BCA415E" w14:textId="271F99AA" w:rsidR="00CC5F84" w:rsidRPr="00CE3138" w:rsidRDefault="00CC5F84" w:rsidP="009C33BE">
      <w:pPr>
        <w:pStyle w:val="paragraph"/>
      </w:pPr>
      <w:r w:rsidRPr="00CE3138">
        <w:tab/>
        <w:t>(</w:t>
      </w:r>
      <w:r w:rsidR="00A81995" w:rsidRPr="00CE3138">
        <w:t>l</w:t>
      </w:r>
      <w:r w:rsidRPr="00CE3138">
        <w:t>)</w:t>
      </w:r>
      <w:r w:rsidRPr="00CE3138">
        <w:tab/>
        <w:t>a non</w:t>
      </w:r>
      <w:r w:rsidR="003D794E" w:rsidRPr="00CE3138">
        <w:noBreakHyphen/>
      </w:r>
      <w:r w:rsidRPr="00CE3138">
        <w:t xml:space="preserve">irrigated cardiac ablation </w:t>
      </w:r>
      <w:r w:rsidR="00A81995" w:rsidRPr="00CE3138">
        <w:t>catheter;</w:t>
      </w:r>
    </w:p>
    <w:p w14:paraId="093A7F5B" w14:textId="77777777" w:rsidR="00A81995" w:rsidRPr="00CE3138" w:rsidRDefault="00CC5F84" w:rsidP="00A81995">
      <w:pPr>
        <w:pStyle w:val="paragraph"/>
      </w:pPr>
      <w:r w:rsidRPr="00CE3138">
        <w:tab/>
        <w:t>(</w:t>
      </w:r>
      <w:r w:rsidR="00A81995" w:rsidRPr="00CE3138">
        <w:t>m</w:t>
      </w:r>
      <w:r w:rsidRPr="00CE3138">
        <w:t>)</w:t>
      </w:r>
      <w:r w:rsidRPr="00CE3138">
        <w:tab/>
        <w:t>an intracardiac electrophysiology catheter</w:t>
      </w:r>
      <w:r w:rsidR="00A81995" w:rsidRPr="00CE3138">
        <w:t>;</w:t>
      </w:r>
    </w:p>
    <w:p w14:paraId="24346F1F" w14:textId="77777777" w:rsidR="00A81995" w:rsidRPr="00CE3138" w:rsidRDefault="00A81995" w:rsidP="00A81995">
      <w:pPr>
        <w:pStyle w:val="paragraph"/>
      </w:pPr>
      <w:r w:rsidRPr="00CE3138">
        <w:tab/>
        <w:t>(n)</w:t>
      </w:r>
      <w:r w:rsidRPr="00CE3138">
        <w:tab/>
        <w:t>a vascular drug eluting balloon catheter;</w:t>
      </w:r>
    </w:p>
    <w:p w14:paraId="22C30054" w14:textId="77777777" w:rsidR="000605D3" w:rsidRPr="00CE3138" w:rsidRDefault="00A81995" w:rsidP="00A81995">
      <w:pPr>
        <w:pStyle w:val="paragraph"/>
      </w:pPr>
      <w:r w:rsidRPr="00CE3138">
        <w:tab/>
        <w:t>(o)</w:t>
      </w:r>
      <w:r w:rsidRPr="00CE3138">
        <w:tab/>
        <w:t>a coronary drug eluting balloon catheter</w:t>
      </w:r>
      <w:r w:rsidR="000605D3" w:rsidRPr="00CE3138">
        <w:t>;</w:t>
      </w:r>
    </w:p>
    <w:p w14:paraId="0A97C06C" w14:textId="0A8798B3" w:rsidR="00A81995" w:rsidRPr="00CE3138" w:rsidRDefault="000605D3" w:rsidP="00A81995">
      <w:pPr>
        <w:pStyle w:val="paragraph"/>
      </w:pPr>
      <w:r w:rsidRPr="00CE3138">
        <w:tab/>
        <w:t>(p)</w:t>
      </w:r>
      <w:r w:rsidR="004C1132" w:rsidRPr="00CE3138">
        <w:tab/>
        <w:t>a radiofrequency delivery device for transurethral water vapour ablation (TUWA)</w:t>
      </w:r>
      <w:r w:rsidR="00A81995" w:rsidRPr="00CE3138">
        <w:t>.</w:t>
      </w:r>
    </w:p>
    <w:p w14:paraId="7ABD9FA3" w14:textId="54AE6AD6" w:rsidR="009C33BE" w:rsidRPr="00CE3138" w:rsidRDefault="009C33BE" w:rsidP="009C33BE">
      <w:pPr>
        <w:pStyle w:val="notetext"/>
      </w:pPr>
      <w:r w:rsidRPr="00CE3138">
        <w:t>Note:</w:t>
      </w:r>
      <w:r w:rsidR="001E5085" w:rsidRPr="00CE3138">
        <w:tab/>
      </w:r>
      <w:r w:rsidRPr="00CE3138">
        <w:t xml:space="preserve">This instrument may be varied from time to time to add additional </w:t>
      </w:r>
      <w:r w:rsidR="001E5085" w:rsidRPr="00CE3138">
        <w:t xml:space="preserve">devices to, or remove devices from, </w:t>
      </w:r>
      <w:r w:rsidR="00D24D39" w:rsidRPr="00CE3138">
        <w:t>subsection </w:t>
      </w:r>
      <w:r w:rsidR="006E7356">
        <w:t>16</w:t>
      </w:r>
      <w:r w:rsidR="00D24D39" w:rsidRPr="00CE3138">
        <w:t>(</w:t>
      </w:r>
      <w:r w:rsidR="001E5085" w:rsidRPr="00CE3138">
        <w:t>2).</w:t>
      </w:r>
    </w:p>
    <w:p w14:paraId="57A21717" w14:textId="77777777" w:rsidR="00A26880" w:rsidRPr="00CE3138" w:rsidRDefault="00A26880" w:rsidP="00A26880">
      <w:pPr>
        <w:pStyle w:val="subsection"/>
      </w:pPr>
      <w:r w:rsidRPr="00CE3138">
        <w:tab/>
        <w:t>(</w:t>
      </w:r>
      <w:r w:rsidR="00CE5CB8" w:rsidRPr="00CE3138">
        <w:t>3</w:t>
      </w:r>
      <w:r w:rsidRPr="00CE3138">
        <w:t>)</w:t>
      </w:r>
      <w:r w:rsidRPr="00CE3138">
        <w:tab/>
        <w:t xml:space="preserve">Both </w:t>
      </w:r>
      <w:r w:rsidR="0082738B" w:rsidRPr="00CE3138">
        <w:t xml:space="preserve">of </w:t>
      </w:r>
      <w:r w:rsidRPr="00CE3138">
        <w:t>the following must be satisfied:</w:t>
      </w:r>
    </w:p>
    <w:p w14:paraId="005CB656" w14:textId="77777777" w:rsidR="00A26880" w:rsidRPr="00CE3138" w:rsidRDefault="00A26880" w:rsidP="00A26880">
      <w:pPr>
        <w:pStyle w:val="paragraph"/>
      </w:pPr>
      <w:r w:rsidRPr="00CE3138">
        <w:tab/>
        <w:t>(a)</w:t>
      </w:r>
      <w:r w:rsidRPr="00CE3138">
        <w:tab/>
        <w:t>the medical device must have been compared to:</w:t>
      </w:r>
    </w:p>
    <w:p w14:paraId="7FCBA0B5" w14:textId="77777777" w:rsidR="00A26880" w:rsidRPr="00CE3138" w:rsidRDefault="00A26880" w:rsidP="00A26880">
      <w:pPr>
        <w:pStyle w:val="paragraphsub"/>
      </w:pPr>
      <w:r w:rsidRPr="00CE3138">
        <w:tab/>
        <w:t>(i)</w:t>
      </w:r>
      <w:r w:rsidRPr="00CE3138">
        <w:tab/>
        <w:t xml:space="preserve">alternative devices listed in </w:t>
      </w:r>
      <w:r w:rsidR="00D9160B" w:rsidRPr="00CE3138">
        <w:t>Schedule 1</w:t>
      </w:r>
      <w:r w:rsidRPr="00CE3138">
        <w:t>; or</w:t>
      </w:r>
    </w:p>
    <w:p w14:paraId="41E14B0C" w14:textId="77777777" w:rsidR="00A26880" w:rsidRPr="00CE3138" w:rsidRDefault="00A26880" w:rsidP="00A26880">
      <w:pPr>
        <w:pStyle w:val="paragraphsub"/>
      </w:pPr>
      <w:r w:rsidRPr="00CE3138">
        <w:tab/>
        <w:t>(ii)</w:t>
      </w:r>
      <w:r w:rsidRPr="00CE3138">
        <w:tab/>
        <w:t>alternative treatments;</w:t>
      </w:r>
    </w:p>
    <w:p w14:paraId="7B08E6FE" w14:textId="77777777" w:rsidR="00A26880" w:rsidRPr="00CE3138" w:rsidRDefault="00A26880" w:rsidP="00A26880">
      <w:pPr>
        <w:pStyle w:val="paragraph"/>
        <w:rPr>
          <w:rFonts w:cstheme="minorHAnsi"/>
        </w:rPr>
      </w:pPr>
      <w:r w:rsidRPr="00CE3138">
        <w:tab/>
        <w:t>(b)</w:t>
      </w:r>
      <w:r w:rsidRPr="00CE3138">
        <w:tab/>
      </w:r>
      <w:r w:rsidRPr="00CE3138">
        <w:rPr>
          <w:rFonts w:cstheme="minorHAnsi"/>
        </w:rPr>
        <w:t xml:space="preserve">the comparison </w:t>
      </w:r>
      <w:r w:rsidR="00CB00C5" w:rsidRPr="00CE3138">
        <w:rPr>
          <w:rFonts w:cstheme="minorHAnsi"/>
        </w:rPr>
        <w:t xml:space="preserve">must </w:t>
      </w:r>
      <w:r w:rsidRPr="00CE3138">
        <w:rPr>
          <w:rFonts w:cstheme="minorHAnsi"/>
        </w:rPr>
        <w:t>demonstrate that:</w:t>
      </w:r>
    </w:p>
    <w:p w14:paraId="1F92A419" w14:textId="77777777" w:rsidR="00A26880" w:rsidRPr="00CE3138" w:rsidRDefault="00A26880" w:rsidP="00A26880">
      <w:pPr>
        <w:pStyle w:val="paragraphsub"/>
      </w:pPr>
      <w:r w:rsidRPr="00CE3138">
        <w:lastRenderedPageBreak/>
        <w:tab/>
        <w:t>(i)</w:t>
      </w:r>
      <w:r w:rsidRPr="00CE3138">
        <w:tab/>
      </w:r>
      <w:r w:rsidRPr="00CE3138">
        <w:rPr>
          <w:rFonts w:cstheme="minorHAnsi"/>
        </w:rPr>
        <w:t xml:space="preserve">the medical device is no less clinically effective than the alternative devices or </w:t>
      </w:r>
      <w:r w:rsidR="009C33BE" w:rsidRPr="00CE3138">
        <w:rPr>
          <w:rFonts w:cstheme="minorHAnsi"/>
        </w:rPr>
        <w:t xml:space="preserve">the alternative </w:t>
      </w:r>
      <w:r w:rsidRPr="00CE3138">
        <w:rPr>
          <w:rFonts w:cstheme="minorHAnsi"/>
        </w:rPr>
        <w:t>treatments; and</w:t>
      </w:r>
    </w:p>
    <w:p w14:paraId="57AE1671" w14:textId="558E87A8" w:rsidR="00A26880" w:rsidRDefault="00A26880" w:rsidP="00A26880">
      <w:pPr>
        <w:pStyle w:val="paragraphsub"/>
        <w:rPr>
          <w:rFonts w:cstheme="minorHAnsi"/>
        </w:rPr>
      </w:pPr>
      <w:r w:rsidRPr="00CE3138">
        <w:tab/>
        <w:t>(ii)</w:t>
      </w:r>
      <w:r w:rsidRPr="00CE3138">
        <w:tab/>
      </w:r>
      <w:r w:rsidRPr="00CE3138">
        <w:rPr>
          <w:rFonts w:cstheme="minorHAnsi"/>
        </w:rPr>
        <w:t>the benefit amount for the medical device is proportionate to the clinical</w:t>
      </w:r>
      <w:r w:rsidR="003D794E" w:rsidRPr="00CE3138">
        <w:rPr>
          <w:rFonts w:cstheme="minorHAnsi"/>
        </w:rPr>
        <w:noBreakHyphen/>
      </w:r>
      <w:r w:rsidRPr="00CE3138">
        <w:rPr>
          <w:rFonts w:cstheme="minorHAnsi"/>
        </w:rPr>
        <w:t>effectiveness of th</w:t>
      </w:r>
      <w:r w:rsidR="00055C78" w:rsidRPr="00CE3138">
        <w:rPr>
          <w:rFonts w:cstheme="minorHAnsi"/>
        </w:rPr>
        <w:t>e</w:t>
      </w:r>
      <w:r w:rsidRPr="00CE3138">
        <w:rPr>
          <w:rFonts w:cstheme="minorHAnsi"/>
        </w:rPr>
        <w:t xml:space="preserve"> </w:t>
      </w:r>
      <w:r w:rsidR="009C33BE" w:rsidRPr="00CE3138">
        <w:rPr>
          <w:rFonts w:cstheme="minorHAnsi"/>
        </w:rPr>
        <w:t xml:space="preserve">medical </w:t>
      </w:r>
      <w:r w:rsidRPr="00CE3138">
        <w:rPr>
          <w:rFonts w:cstheme="minorHAnsi"/>
        </w:rPr>
        <w:t>device.</w:t>
      </w:r>
    </w:p>
    <w:p w14:paraId="0B16C003" w14:textId="08C6CDFE" w:rsidR="0092304B" w:rsidRPr="00CE3138" w:rsidRDefault="0092304B" w:rsidP="0092304B">
      <w:pPr>
        <w:pStyle w:val="ActHead5"/>
      </w:pPr>
      <w:bookmarkStart w:id="25" w:name="_Toc169882174"/>
      <w:r w:rsidRPr="00CE3138">
        <w:rPr>
          <w:rStyle w:val="CharSectno"/>
        </w:rPr>
        <w:t>1</w:t>
      </w:r>
      <w:r>
        <w:rPr>
          <w:rStyle w:val="CharSectno"/>
        </w:rPr>
        <w:t>7</w:t>
      </w:r>
      <w:r w:rsidRPr="00CE3138">
        <w:t xml:space="preserve">  Listing criteria for medical devices to be listed in Part </w:t>
      </w:r>
      <w:r>
        <w:t>D</w:t>
      </w:r>
      <w:r w:rsidRPr="00CE3138">
        <w:t xml:space="preserve"> of Schedule 1</w:t>
      </w:r>
      <w:bookmarkEnd w:id="25"/>
    </w:p>
    <w:p w14:paraId="1E838FE4" w14:textId="216C352E" w:rsidR="00A0605F" w:rsidRDefault="00A0605F" w:rsidP="0000176C">
      <w:pPr>
        <w:pStyle w:val="SubsectionHead"/>
      </w:pPr>
      <w:r w:rsidRPr="00A0605F">
        <w:t xml:space="preserve">Criteria 1 – comparable </w:t>
      </w:r>
      <w:r>
        <w:t xml:space="preserve">medical </w:t>
      </w:r>
      <w:r w:rsidRPr="00A0605F">
        <w:t xml:space="preserve">device to listings under Part D of the former </w:t>
      </w:r>
      <w:r>
        <w:t>P</w:t>
      </w:r>
      <w:r w:rsidRPr="00A0605F">
        <w:t xml:space="preserve">rescribed </w:t>
      </w:r>
      <w:r>
        <w:t>L</w:t>
      </w:r>
      <w:r w:rsidRPr="00A0605F">
        <w:t>ist</w:t>
      </w:r>
    </w:p>
    <w:p w14:paraId="7479970D" w14:textId="77777777" w:rsidR="00A0605F" w:rsidRDefault="00A0605F" w:rsidP="0000176C">
      <w:pPr>
        <w:pStyle w:val="ListParagraph"/>
        <w:spacing w:line="240" w:lineRule="auto"/>
        <w:ind w:left="1080"/>
        <w:rPr>
          <w:szCs w:val="22"/>
        </w:rPr>
      </w:pPr>
    </w:p>
    <w:p w14:paraId="2A5C043E" w14:textId="72380498" w:rsidR="00BC44FA" w:rsidRPr="00100133" w:rsidRDefault="00BC44FA" w:rsidP="00665C5D">
      <w:pPr>
        <w:pStyle w:val="ListParagraph"/>
        <w:numPr>
          <w:ilvl w:val="0"/>
          <w:numId w:val="24"/>
        </w:numPr>
        <w:spacing w:line="240" w:lineRule="auto"/>
        <w:ind w:hanging="371"/>
        <w:rPr>
          <w:szCs w:val="22"/>
        </w:rPr>
      </w:pPr>
      <w:r w:rsidRPr="00F50196">
        <w:rPr>
          <w:szCs w:val="22"/>
        </w:rPr>
        <w:t xml:space="preserve">A medical device must not be listed in Part D of Schedule 1 unless </w:t>
      </w:r>
      <w:r w:rsidRPr="008101DC">
        <w:rPr>
          <w:szCs w:val="22"/>
        </w:rPr>
        <w:t>subsections </w:t>
      </w:r>
      <w:r w:rsidR="000B09A4">
        <w:rPr>
          <w:szCs w:val="22"/>
        </w:rPr>
        <w:t>(</w:t>
      </w:r>
      <w:r w:rsidR="00282C36">
        <w:rPr>
          <w:szCs w:val="22"/>
        </w:rPr>
        <w:t>2</w:t>
      </w:r>
      <w:r w:rsidR="000B09A4">
        <w:rPr>
          <w:szCs w:val="22"/>
        </w:rPr>
        <w:t>)</w:t>
      </w:r>
      <w:r w:rsidR="00BC6DDB">
        <w:rPr>
          <w:szCs w:val="22"/>
        </w:rPr>
        <w:t xml:space="preserve">, </w:t>
      </w:r>
      <w:r w:rsidR="00100133" w:rsidRPr="008101DC">
        <w:rPr>
          <w:szCs w:val="22"/>
        </w:rPr>
        <w:t>(</w:t>
      </w:r>
      <w:r w:rsidR="00282C36">
        <w:rPr>
          <w:szCs w:val="22"/>
        </w:rPr>
        <w:t>3</w:t>
      </w:r>
      <w:r w:rsidR="00100133" w:rsidRPr="008101DC">
        <w:rPr>
          <w:szCs w:val="22"/>
        </w:rPr>
        <w:t>)</w:t>
      </w:r>
      <w:r w:rsidR="00BC6DDB">
        <w:rPr>
          <w:szCs w:val="22"/>
        </w:rPr>
        <w:t xml:space="preserve"> and (</w:t>
      </w:r>
      <w:r w:rsidR="00282C36">
        <w:rPr>
          <w:szCs w:val="22"/>
        </w:rPr>
        <w:t>4</w:t>
      </w:r>
      <w:r w:rsidR="00BC6DDB">
        <w:rPr>
          <w:szCs w:val="22"/>
        </w:rPr>
        <w:t>)</w:t>
      </w:r>
      <w:r w:rsidRPr="008101DC">
        <w:rPr>
          <w:szCs w:val="22"/>
        </w:rPr>
        <w:t xml:space="preserve"> are satisfied</w:t>
      </w:r>
      <w:r w:rsidRPr="00100133">
        <w:rPr>
          <w:szCs w:val="22"/>
        </w:rPr>
        <w:t>.</w:t>
      </w:r>
    </w:p>
    <w:p w14:paraId="5A533A87" w14:textId="77777777" w:rsidR="00086D6B" w:rsidRDefault="00086D6B" w:rsidP="008101DC">
      <w:pPr>
        <w:pStyle w:val="ListParagraph"/>
        <w:spacing w:line="240" w:lineRule="auto"/>
        <w:ind w:left="1080"/>
        <w:rPr>
          <w:szCs w:val="22"/>
        </w:rPr>
      </w:pPr>
    </w:p>
    <w:p w14:paraId="3602BC8C" w14:textId="38697DC0" w:rsidR="00086D6B" w:rsidRPr="00C14006" w:rsidRDefault="004C7080" w:rsidP="00282C36">
      <w:pPr>
        <w:pStyle w:val="ListParagraph"/>
        <w:numPr>
          <w:ilvl w:val="0"/>
          <w:numId w:val="24"/>
        </w:numPr>
        <w:spacing w:line="240" w:lineRule="auto"/>
        <w:ind w:left="1134" w:hanging="425"/>
        <w:rPr>
          <w:szCs w:val="22"/>
        </w:rPr>
      </w:pPr>
      <w:r w:rsidRPr="00C14006">
        <w:rPr>
          <w:szCs w:val="22"/>
        </w:rPr>
        <w:t>For a</w:t>
      </w:r>
      <w:r w:rsidR="008048DE">
        <w:rPr>
          <w:szCs w:val="22"/>
        </w:rPr>
        <w:t xml:space="preserve"> medical device that would be a new Part D listing </w:t>
      </w:r>
      <w:r w:rsidR="00C14006" w:rsidRPr="002E1D7C">
        <w:t>—</w:t>
      </w:r>
      <w:r w:rsidRPr="00C14006">
        <w:rPr>
          <w:szCs w:val="22"/>
        </w:rPr>
        <w:t xml:space="preserve"> </w:t>
      </w:r>
      <w:r w:rsidR="00C14006">
        <w:rPr>
          <w:szCs w:val="22"/>
        </w:rPr>
        <w:t>th</w:t>
      </w:r>
      <w:r w:rsidR="008048DE">
        <w:rPr>
          <w:szCs w:val="22"/>
        </w:rPr>
        <w:t>e</w:t>
      </w:r>
      <w:r w:rsidR="00AC17D6" w:rsidRPr="00C14006">
        <w:rPr>
          <w:szCs w:val="22"/>
        </w:rPr>
        <w:t xml:space="preserve"> listing application or variation application relating to the medical device </w:t>
      </w:r>
      <w:r w:rsidR="00683546" w:rsidRPr="00C14006">
        <w:rPr>
          <w:szCs w:val="22"/>
        </w:rPr>
        <w:t xml:space="preserve">must </w:t>
      </w:r>
      <w:r w:rsidR="00137628" w:rsidRPr="00C14006">
        <w:rPr>
          <w:szCs w:val="22"/>
        </w:rPr>
        <w:t xml:space="preserve">request </w:t>
      </w:r>
      <w:r w:rsidR="005A7693" w:rsidRPr="00C14006">
        <w:rPr>
          <w:szCs w:val="22"/>
        </w:rPr>
        <w:t xml:space="preserve">listing in one of the </w:t>
      </w:r>
      <w:r w:rsidR="0003764D" w:rsidRPr="00C14006">
        <w:rPr>
          <w:szCs w:val="22"/>
        </w:rPr>
        <w:t>categories, subcategories, group</w:t>
      </w:r>
      <w:r w:rsidR="005A7693" w:rsidRPr="00C14006">
        <w:rPr>
          <w:szCs w:val="22"/>
        </w:rPr>
        <w:t>s</w:t>
      </w:r>
      <w:r w:rsidR="0003764D" w:rsidRPr="00C14006">
        <w:rPr>
          <w:szCs w:val="22"/>
        </w:rPr>
        <w:t>, subgroup</w:t>
      </w:r>
      <w:r w:rsidR="005A7693" w:rsidRPr="00C14006">
        <w:rPr>
          <w:szCs w:val="22"/>
        </w:rPr>
        <w:t>s</w:t>
      </w:r>
      <w:r w:rsidR="00EC2806">
        <w:rPr>
          <w:szCs w:val="22"/>
        </w:rPr>
        <w:t>,</w:t>
      </w:r>
      <w:r w:rsidR="005A7693" w:rsidRPr="00C14006">
        <w:rPr>
          <w:szCs w:val="22"/>
        </w:rPr>
        <w:t xml:space="preserve"> or</w:t>
      </w:r>
      <w:r w:rsidR="0003764D" w:rsidRPr="00C14006">
        <w:rPr>
          <w:szCs w:val="22"/>
        </w:rPr>
        <w:t xml:space="preserve"> suffix</w:t>
      </w:r>
      <w:r w:rsidR="005A7693" w:rsidRPr="00C14006">
        <w:rPr>
          <w:szCs w:val="22"/>
        </w:rPr>
        <w:t>es</w:t>
      </w:r>
      <w:r w:rsidR="000263A6" w:rsidRPr="00C14006">
        <w:rPr>
          <w:szCs w:val="22"/>
        </w:rPr>
        <w:t xml:space="preserve"> specified in</w:t>
      </w:r>
      <w:r w:rsidR="00C1544C" w:rsidRPr="00C14006">
        <w:rPr>
          <w:szCs w:val="22"/>
        </w:rPr>
        <w:t xml:space="preserve"> </w:t>
      </w:r>
      <w:r w:rsidR="0003764D" w:rsidRPr="00C14006">
        <w:rPr>
          <w:szCs w:val="22"/>
        </w:rPr>
        <w:t>Part D of the former Prescribed List.</w:t>
      </w:r>
    </w:p>
    <w:p w14:paraId="63328A00" w14:textId="77777777" w:rsidR="00AA6C88" w:rsidRDefault="00AA6C88" w:rsidP="00AA6C88">
      <w:pPr>
        <w:pStyle w:val="ListParagraph"/>
        <w:spacing w:line="240" w:lineRule="auto"/>
        <w:ind w:left="2160" w:hanging="1080"/>
        <w:rPr>
          <w:sz w:val="18"/>
          <w:szCs w:val="18"/>
        </w:rPr>
      </w:pPr>
    </w:p>
    <w:p w14:paraId="37D09295" w14:textId="3B4A605A" w:rsidR="00AA6C88" w:rsidRPr="00806978" w:rsidRDefault="00AA6C88" w:rsidP="0000176C">
      <w:pPr>
        <w:pStyle w:val="ListParagraph"/>
        <w:spacing w:line="240" w:lineRule="auto"/>
        <w:ind w:left="1985" w:hanging="908"/>
        <w:rPr>
          <w:sz w:val="18"/>
          <w:szCs w:val="18"/>
        </w:rPr>
      </w:pPr>
      <w:r w:rsidRPr="00AC45A5">
        <w:rPr>
          <w:sz w:val="18"/>
          <w:szCs w:val="18"/>
        </w:rPr>
        <w:t>Note:</w:t>
      </w:r>
      <w:r w:rsidRPr="00AC45A5">
        <w:rPr>
          <w:sz w:val="18"/>
          <w:szCs w:val="18"/>
        </w:rPr>
        <w:tab/>
        <w:t>The Prescribed List groups medical devices according to similarity in characteristics, functionality and clinical effectiveness. These grouping are, in descending order of generality</w:t>
      </w:r>
      <w:r w:rsidR="0000176C">
        <w:rPr>
          <w:sz w:val="18"/>
          <w:szCs w:val="18"/>
        </w:rPr>
        <w:t>:</w:t>
      </w:r>
      <w:r w:rsidRPr="00AC45A5">
        <w:rPr>
          <w:sz w:val="18"/>
          <w:szCs w:val="18"/>
        </w:rPr>
        <w:t xml:space="preserve"> categories, subcategories, groups, subgroups and suffixes</w:t>
      </w:r>
      <w:r w:rsidRPr="00AC45A5">
        <w:rPr>
          <w:sz w:val="20"/>
        </w:rPr>
        <w:t>.</w:t>
      </w:r>
      <w:r>
        <w:rPr>
          <w:sz w:val="20"/>
        </w:rPr>
        <w:t xml:space="preserve"> </w:t>
      </w:r>
      <w:r w:rsidR="002148CB">
        <w:rPr>
          <w:sz w:val="20"/>
        </w:rPr>
        <w:br/>
      </w:r>
      <w:r w:rsidR="002148CB">
        <w:rPr>
          <w:sz w:val="20"/>
        </w:rPr>
        <w:br/>
      </w:r>
      <w:r w:rsidRPr="00806978">
        <w:rPr>
          <w:sz w:val="18"/>
          <w:szCs w:val="18"/>
        </w:rPr>
        <w:t xml:space="preserve">This criterion requires that listing and variation applications </w:t>
      </w:r>
      <w:r w:rsidR="004D0A5B" w:rsidRPr="00806978">
        <w:rPr>
          <w:sz w:val="18"/>
          <w:szCs w:val="18"/>
        </w:rPr>
        <w:t xml:space="preserve">for Part D must </w:t>
      </w:r>
      <w:r w:rsidRPr="00806978">
        <w:rPr>
          <w:sz w:val="18"/>
          <w:szCs w:val="18"/>
        </w:rPr>
        <w:t xml:space="preserve">seek listing of the medical device in a category, subcategory, group, subgroup or suffix (as applicable) that </w:t>
      </w:r>
      <w:r w:rsidR="004D0A5B" w:rsidRPr="00806978">
        <w:rPr>
          <w:sz w:val="18"/>
          <w:szCs w:val="18"/>
        </w:rPr>
        <w:t xml:space="preserve">existed in </w:t>
      </w:r>
      <w:r w:rsidRPr="00806978">
        <w:rPr>
          <w:sz w:val="18"/>
          <w:szCs w:val="18"/>
        </w:rPr>
        <w:t>Part D of Schedule 1 immediately before the former Prescribed List was repealed</w:t>
      </w:r>
      <w:r w:rsidR="002148CB" w:rsidRPr="00806978">
        <w:rPr>
          <w:sz w:val="18"/>
          <w:szCs w:val="18"/>
        </w:rPr>
        <w:t xml:space="preserve"> and cannot seek establishment of a new </w:t>
      </w:r>
      <w:r w:rsidR="004D0A5B" w:rsidRPr="00806978">
        <w:rPr>
          <w:sz w:val="18"/>
          <w:szCs w:val="18"/>
        </w:rPr>
        <w:t>category, subcategory, group, subgroup or suffix in Part D</w:t>
      </w:r>
      <w:r w:rsidRPr="00806978">
        <w:rPr>
          <w:sz w:val="18"/>
          <w:szCs w:val="18"/>
        </w:rPr>
        <w:t>.</w:t>
      </w:r>
    </w:p>
    <w:p w14:paraId="6ADCAC8C" w14:textId="77777777" w:rsidR="00A12A5B" w:rsidRPr="00806978" w:rsidRDefault="00A12A5B">
      <w:pPr>
        <w:pStyle w:val="ListParagraph"/>
        <w:spacing w:line="240" w:lineRule="auto"/>
        <w:ind w:left="2160" w:hanging="1080"/>
        <w:rPr>
          <w:sz w:val="18"/>
          <w:szCs w:val="18"/>
        </w:rPr>
      </w:pPr>
    </w:p>
    <w:p w14:paraId="3E0F95F8" w14:textId="0C483AFC" w:rsidR="00A12A5B" w:rsidRPr="00AC45A5" w:rsidRDefault="00A12A5B" w:rsidP="0000176C">
      <w:pPr>
        <w:pStyle w:val="ListParagraph"/>
        <w:spacing w:line="240" w:lineRule="auto"/>
        <w:ind w:left="1985" w:hanging="905"/>
        <w:rPr>
          <w:sz w:val="20"/>
        </w:rPr>
      </w:pPr>
      <w:r w:rsidRPr="00806978">
        <w:rPr>
          <w:sz w:val="18"/>
          <w:szCs w:val="18"/>
        </w:rPr>
        <w:tab/>
        <w:t xml:space="preserve">The former Prescribed List can be located free of charge on the Federal Register </w:t>
      </w:r>
      <w:r w:rsidR="00FD4ABC" w:rsidRPr="00806978">
        <w:rPr>
          <w:sz w:val="18"/>
          <w:szCs w:val="18"/>
        </w:rPr>
        <w:t xml:space="preserve">of Legislation </w:t>
      </w:r>
      <w:r w:rsidRPr="00806978">
        <w:rPr>
          <w:sz w:val="18"/>
          <w:szCs w:val="18"/>
        </w:rPr>
        <w:t xml:space="preserve">at </w:t>
      </w:r>
      <w:hyperlink r:id="rId25" w:history="1">
        <w:r w:rsidRPr="00806978">
          <w:rPr>
            <w:rStyle w:val="Hyperlink"/>
            <w:sz w:val="18"/>
            <w:szCs w:val="18"/>
          </w:rPr>
          <w:t>www.legislation.gov.au</w:t>
        </w:r>
      </w:hyperlink>
      <w:r>
        <w:rPr>
          <w:sz w:val="20"/>
        </w:rPr>
        <w:t>.</w:t>
      </w:r>
    </w:p>
    <w:p w14:paraId="69D9BF48" w14:textId="77777777" w:rsidR="00AA6C88" w:rsidRPr="00AA6C88" w:rsidRDefault="00AA6C88" w:rsidP="00282C36">
      <w:pPr>
        <w:pStyle w:val="ListParagraph"/>
        <w:rPr>
          <w:szCs w:val="22"/>
        </w:rPr>
      </w:pPr>
    </w:p>
    <w:p w14:paraId="6477FF0B" w14:textId="19AE0456" w:rsidR="00AA6C88" w:rsidRDefault="00AA6C88" w:rsidP="00282C36">
      <w:pPr>
        <w:pStyle w:val="ListParagraph"/>
        <w:numPr>
          <w:ilvl w:val="0"/>
          <w:numId w:val="24"/>
        </w:numPr>
        <w:ind w:left="1134" w:hanging="425"/>
        <w:rPr>
          <w:szCs w:val="22"/>
        </w:rPr>
      </w:pPr>
      <w:r w:rsidRPr="00683546">
        <w:rPr>
          <w:szCs w:val="22"/>
        </w:rPr>
        <w:t>The medical device must be comparable to a listed item in Part D of Schedule</w:t>
      </w:r>
      <w:r w:rsidR="002148CB">
        <w:rPr>
          <w:szCs w:val="22"/>
        </w:rPr>
        <w:t> </w:t>
      </w:r>
      <w:r w:rsidRPr="00683546">
        <w:rPr>
          <w:szCs w:val="22"/>
        </w:rPr>
        <w:t>1</w:t>
      </w:r>
      <w:r>
        <w:rPr>
          <w:szCs w:val="22"/>
        </w:rPr>
        <w:t>.</w:t>
      </w:r>
    </w:p>
    <w:p w14:paraId="52248DF7" w14:textId="7B1C87F5" w:rsidR="00A0605F" w:rsidRDefault="00A0605F" w:rsidP="00A0605F">
      <w:pPr>
        <w:pStyle w:val="SubsectionHead"/>
      </w:pPr>
      <w:r w:rsidRPr="00A0605F">
        <w:t xml:space="preserve">Criteria </w:t>
      </w:r>
      <w:r>
        <w:t>2</w:t>
      </w:r>
      <w:r w:rsidRPr="00A0605F">
        <w:t xml:space="preserve"> – comparison of clinical effectiveness and proportionality of benefit amount </w:t>
      </w:r>
    </w:p>
    <w:p w14:paraId="14094B7A" w14:textId="2F5F1EEF" w:rsidR="00BC44FA" w:rsidRPr="00CE3138" w:rsidRDefault="00BC44FA" w:rsidP="003A36B8">
      <w:pPr>
        <w:pStyle w:val="subsection"/>
        <w:tabs>
          <w:tab w:val="clear" w:pos="1021"/>
        </w:tabs>
        <w:ind w:hanging="425"/>
      </w:pPr>
      <w:r w:rsidRPr="00CE3138">
        <w:t>(</w:t>
      </w:r>
      <w:r w:rsidR="00BA7D00">
        <w:t>4</w:t>
      </w:r>
      <w:r w:rsidRPr="00CE3138">
        <w:t>)</w:t>
      </w:r>
      <w:r w:rsidRPr="00CE3138">
        <w:tab/>
        <w:t>Both of the following must be satisfied:</w:t>
      </w:r>
    </w:p>
    <w:p w14:paraId="19D8471D" w14:textId="40C66F2D" w:rsidR="00BC44FA" w:rsidRPr="00CE3138" w:rsidRDefault="00BC44FA" w:rsidP="00CD247E">
      <w:pPr>
        <w:pStyle w:val="paragraph"/>
        <w:tabs>
          <w:tab w:val="clear" w:pos="1531"/>
          <w:tab w:val="right" w:pos="1560"/>
        </w:tabs>
        <w:ind w:hanging="368"/>
      </w:pPr>
      <w:r w:rsidRPr="00CE3138">
        <w:tab/>
        <w:t>(a)</w:t>
      </w:r>
      <w:r w:rsidRPr="00CE3138">
        <w:tab/>
        <w:t>the medical device must have been compared to</w:t>
      </w:r>
      <w:r w:rsidR="007B435E">
        <w:t xml:space="preserve"> alternative devices listed in Schedule 1; </w:t>
      </w:r>
    </w:p>
    <w:p w14:paraId="6A74C669" w14:textId="1DC63050" w:rsidR="00BC44FA" w:rsidRPr="00CE3138" w:rsidRDefault="00BC44FA" w:rsidP="00BC44FA">
      <w:pPr>
        <w:pStyle w:val="paragraph"/>
        <w:rPr>
          <w:rFonts w:cstheme="minorHAnsi"/>
        </w:rPr>
      </w:pPr>
      <w:r w:rsidRPr="00CE3138">
        <w:tab/>
        <w:t>(b)</w:t>
      </w:r>
      <w:r w:rsidRPr="00CE3138">
        <w:tab/>
      </w:r>
      <w:r w:rsidRPr="00CE3138">
        <w:rPr>
          <w:rFonts w:cstheme="minorHAnsi"/>
        </w:rPr>
        <w:t>the comparison must demonstrate that:</w:t>
      </w:r>
    </w:p>
    <w:p w14:paraId="2D097315" w14:textId="0E3F7E3F" w:rsidR="00665365" w:rsidRPr="00CE3138" w:rsidRDefault="00BC44FA" w:rsidP="00BC44FA">
      <w:pPr>
        <w:pStyle w:val="paragraphsub"/>
      </w:pPr>
      <w:r w:rsidRPr="00CE3138">
        <w:tab/>
        <w:t>(i)</w:t>
      </w:r>
      <w:r w:rsidRPr="00CE3138">
        <w:tab/>
      </w:r>
      <w:r w:rsidRPr="00CE3138">
        <w:rPr>
          <w:rFonts w:cstheme="minorHAnsi"/>
        </w:rPr>
        <w:t>the medical device is no less clinically effective than the alternative devices; and</w:t>
      </w:r>
    </w:p>
    <w:p w14:paraId="48A01F39" w14:textId="34DAFE5F" w:rsidR="00665365" w:rsidRPr="0048416C" w:rsidRDefault="00665365" w:rsidP="00665365">
      <w:pPr>
        <w:pStyle w:val="paragraphsub"/>
        <w:rPr>
          <w:rFonts w:ascii="Segoe UI" w:hAnsi="Segoe UI" w:cs="Segoe UI"/>
          <w:sz w:val="18"/>
          <w:szCs w:val="18"/>
          <w:shd w:val="clear" w:color="auto" w:fill="00FF00"/>
        </w:rPr>
      </w:pPr>
      <w:r>
        <w:tab/>
      </w:r>
      <w:r w:rsidR="00BC44FA" w:rsidRPr="00CE3138">
        <w:t>(ii)</w:t>
      </w:r>
      <w:r w:rsidR="00BC44FA" w:rsidRPr="00CE3138">
        <w:tab/>
      </w:r>
      <w:r w:rsidR="00BC44FA" w:rsidRPr="00CE3138">
        <w:rPr>
          <w:rFonts w:cstheme="minorHAnsi"/>
        </w:rPr>
        <w:t>the benefit amount for the medical device is proportionate to the clinical</w:t>
      </w:r>
      <w:r w:rsidR="00BC44FA" w:rsidRPr="00CE3138">
        <w:rPr>
          <w:rFonts w:cstheme="minorHAnsi"/>
        </w:rPr>
        <w:noBreakHyphen/>
        <w:t>effectiveness of the medical device.</w:t>
      </w:r>
      <w:r w:rsidR="0048416C" w:rsidRPr="0048416C">
        <w:t xml:space="preserve"> </w:t>
      </w:r>
    </w:p>
    <w:p w14:paraId="386D0340" w14:textId="77777777" w:rsidR="00564D3D" w:rsidRDefault="00564D3D" w:rsidP="00564D3D">
      <w:pPr>
        <w:pStyle w:val="paragraphsub"/>
      </w:pPr>
    </w:p>
    <w:p w14:paraId="2DC43314" w14:textId="579B9A89" w:rsidR="00C14006" w:rsidRDefault="00C14006" w:rsidP="00282C36">
      <w:pPr>
        <w:pStyle w:val="paragraphsub"/>
        <w:ind w:left="1134" w:hanging="425"/>
      </w:pPr>
      <w:r>
        <w:t>(</w:t>
      </w:r>
      <w:r w:rsidR="00BA7D00">
        <w:t>5</w:t>
      </w:r>
      <w:r>
        <w:t>)</w:t>
      </w:r>
      <w:r w:rsidR="008048DE">
        <w:tab/>
      </w:r>
      <w:r>
        <w:t>In this section</w:t>
      </w:r>
      <w:r w:rsidR="008048DE">
        <w:t xml:space="preserve"> </w:t>
      </w:r>
      <w:r w:rsidR="008048DE" w:rsidRPr="0000176C">
        <w:rPr>
          <w:b/>
          <w:bCs/>
          <w:i/>
          <w:iCs/>
        </w:rPr>
        <w:t>new Part D listing</w:t>
      </w:r>
      <w:r w:rsidR="008048DE">
        <w:t xml:space="preserve"> means </w:t>
      </w:r>
      <w:r w:rsidR="008048DE" w:rsidRPr="008048DE">
        <w:t xml:space="preserve">a medical device that would be listed for the first time in Part D </w:t>
      </w:r>
      <w:r w:rsidR="009F765B">
        <w:t xml:space="preserve">of Schedule 1 </w:t>
      </w:r>
      <w:r w:rsidR="008048DE" w:rsidRPr="008048DE">
        <w:t>on or after 1 July 2024</w:t>
      </w:r>
      <w:r w:rsidR="009F765B">
        <w:t>,</w:t>
      </w:r>
      <w:r w:rsidR="008048DE" w:rsidRPr="008048DE">
        <w:t xml:space="preserve"> or the item in Part D relating to the medical device would be varied on or after 1 July 2024 as the result of a variation application</w:t>
      </w:r>
      <w:r w:rsidR="009F765B">
        <w:t>.</w:t>
      </w:r>
    </w:p>
    <w:p w14:paraId="0D6A32F5" w14:textId="77777777" w:rsidR="00CB4738" w:rsidRDefault="00CB4738" w:rsidP="002073C5">
      <w:pPr>
        <w:pStyle w:val="paragraphsub"/>
      </w:pPr>
    </w:p>
    <w:p w14:paraId="4C9FD234" w14:textId="3F3E609D" w:rsidR="006F6D32" w:rsidRPr="00CE3138" w:rsidRDefault="00255238" w:rsidP="004E71C0">
      <w:pPr>
        <w:pStyle w:val="ActHead2"/>
        <w:pageBreakBefore/>
        <w:rPr>
          <w:rFonts w:eastAsia="MS Mincho"/>
        </w:rPr>
      </w:pPr>
      <w:bookmarkStart w:id="26" w:name="_Toc169882175"/>
      <w:r w:rsidRPr="00CE3138">
        <w:rPr>
          <w:rStyle w:val="CharPartNo"/>
          <w:rFonts w:eastAsia="MS Mincho"/>
        </w:rPr>
        <w:lastRenderedPageBreak/>
        <w:t>Part 4</w:t>
      </w:r>
      <w:r w:rsidR="006F6D32" w:rsidRPr="00CE3138">
        <w:rPr>
          <w:rFonts w:eastAsia="MS Mincho"/>
        </w:rPr>
        <w:t>—</w:t>
      </w:r>
      <w:r w:rsidR="006F6D32" w:rsidRPr="00CE3138">
        <w:rPr>
          <w:rStyle w:val="CharPartText"/>
          <w:rFonts w:eastAsia="MS Mincho"/>
        </w:rPr>
        <w:t>Cost</w:t>
      </w:r>
      <w:r w:rsidR="003D794E" w:rsidRPr="00CE3138">
        <w:rPr>
          <w:rStyle w:val="CharPartText"/>
          <w:rFonts w:eastAsia="MS Mincho"/>
        </w:rPr>
        <w:noBreakHyphen/>
      </w:r>
      <w:r w:rsidR="006F6D32" w:rsidRPr="00CE3138">
        <w:rPr>
          <w:rStyle w:val="CharPartText"/>
          <w:rFonts w:eastAsia="MS Mincho"/>
        </w:rPr>
        <w:t>recovery fees</w:t>
      </w:r>
      <w:bookmarkEnd w:id="26"/>
    </w:p>
    <w:p w14:paraId="2A4FF6F9" w14:textId="0CD326EE" w:rsidR="004E71C0" w:rsidRPr="00CE3138" w:rsidRDefault="004E71C0" w:rsidP="000F6DC3">
      <w:pPr>
        <w:pStyle w:val="ActHead3"/>
      </w:pPr>
      <w:bookmarkStart w:id="27" w:name="_Toc169882176"/>
      <w:r w:rsidRPr="00CE3138">
        <w:rPr>
          <w:rStyle w:val="CharDivNo"/>
        </w:rPr>
        <w:t>Division 1</w:t>
      </w:r>
      <w:r w:rsidRPr="00CE3138">
        <w:t>—</w:t>
      </w:r>
      <w:r w:rsidRPr="00CE3138">
        <w:rPr>
          <w:rStyle w:val="CharDivText"/>
        </w:rPr>
        <w:t>Cost</w:t>
      </w:r>
      <w:r w:rsidR="003D794E" w:rsidRPr="00CE3138">
        <w:rPr>
          <w:rStyle w:val="CharDivText"/>
        </w:rPr>
        <w:noBreakHyphen/>
      </w:r>
      <w:r w:rsidRPr="00CE3138">
        <w:rPr>
          <w:rStyle w:val="CharDivText"/>
        </w:rPr>
        <w:t>recovery fees</w:t>
      </w:r>
      <w:r w:rsidR="00844A1E" w:rsidRPr="00CE3138">
        <w:rPr>
          <w:rStyle w:val="CharDivText"/>
        </w:rPr>
        <w:t xml:space="preserve"> relating to medical devices</w:t>
      </w:r>
      <w:bookmarkEnd w:id="27"/>
    </w:p>
    <w:p w14:paraId="58C27F61" w14:textId="7C039BBB" w:rsidR="004E71C0" w:rsidRPr="00CE3138" w:rsidRDefault="002D61A4" w:rsidP="004E71C0">
      <w:pPr>
        <w:pStyle w:val="ActHead5"/>
      </w:pPr>
      <w:bookmarkStart w:id="28" w:name="_Toc169882177"/>
      <w:r>
        <w:rPr>
          <w:rStyle w:val="CharSectno"/>
        </w:rPr>
        <w:t>18</w:t>
      </w:r>
      <w:r w:rsidRPr="00CE3138">
        <w:t xml:space="preserve">  </w:t>
      </w:r>
      <w:r w:rsidR="004E71C0" w:rsidRPr="00CE3138">
        <w:t>Cost</w:t>
      </w:r>
      <w:r w:rsidR="003D794E" w:rsidRPr="00CE3138">
        <w:noBreakHyphen/>
      </w:r>
      <w:r w:rsidR="004E71C0" w:rsidRPr="00CE3138">
        <w:t>recovery fees that may be charged</w:t>
      </w:r>
      <w:bookmarkEnd w:id="28"/>
    </w:p>
    <w:p w14:paraId="389D8CAC" w14:textId="49AA126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 xml:space="preserve">For the purposes of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 xml:space="preserve">15 of the Act, this section specifies the fees that may be charged in relation to activities carried out by, or on behalf of, the Commonwealth in connection with </w:t>
      </w:r>
      <w:r w:rsidR="00053FDF" w:rsidRPr="00CE3138">
        <w:t>the Minister’s consideration of</w:t>
      </w:r>
      <w:r w:rsidRPr="00CE3138">
        <w:t>:</w:t>
      </w:r>
    </w:p>
    <w:p w14:paraId="0F2A738F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a listing application</w:t>
      </w:r>
      <w:r w:rsidR="00073984" w:rsidRPr="00CE3138">
        <w:t xml:space="preserve"> relating to a medical device</w:t>
      </w:r>
      <w:r w:rsidRPr="00CE3138">
        <w:t>; or</w:t>
      </w:r>
    </w:p>
    <w:p w14:paraId="6A9FFCF4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a variation application</w:t>
      </w:r>
      <w:r w:rsidR="00073984" w:rsidRPr="00CE3138">
        <w:t xml:space="preserve"> relating to a medical device</w:t>
      </w:r>
      <w:r w:rsidRPr="00CE3138">
        <w:t>.</w:t>
      </w:r>
    </w:p>
    <w:p w14:paraId="16B80BD6" w14:textId="77777777" w:rsidR="00265F88" w:rsidRPr="00CE3138" w:rsidRDefault="00265F88" w:rsidP="00265F88">
      <w:pPr>
        <w:pStyle w:val="notetext"/>
      </w:pPr>
      <w:r w:rsidRPr="00CE3138">
        <w:t>Note:</w:t>
      </w:r>
      <w:r w:rsidRPr="00CE3138">
        <w:tab/>
      </w:r>
      <w:r w:rsidR="00855D6C" w:rsidRPr="00CE3138">
        <w:t>Fees are not charged for listing applications, or variation applications, relating to human tissue products.</w:t>
      </w:r>
    </w:p>
    <w:p w14:paraId="289A32BC" w14:textId="7533C2A6" w:rsidR="004E5627" w:rsidRPr="002E1D7C" w:rsidRDefault="004E5627" w:rsidP="00D66951">
      <w:pPr>
        <w:pStyle w:val="subsection"/>
      </w:pPr>
      <w:bookmarkStart w:id="29" w:name="_Hlk159581050"/>
      <w:r>
        <w:tab/>
      </w:r>
      <w:r w:rsidRPr="002E1D7C">
        <w:t>(2)</w:t>
      </w:r>
      <w:r w:rsidRPr="002E1D7C">
        <w:tab/>
        <w:t>The fees are:</w:t>
      </w:r>
    </w:p>
    <w:p w14:paraId="3E99286B" w14:textId="4FF18047" w:rsidR="004E5627" w:rsidRPr="002E1D7C" w:rsidRDefault="004E5627" w:rsidP="004E5627">
      <w:pPr>
        <w:pStyle w:val="paragraph"/>
      </w:pPr>
      <w:r w:rsidRPr="002E1D7C">
        <w:tab/>
        <w:t>(a)</w:t>
      </w:r>
      <w:r w:rsidRPr="002E1D7C">
        <w:tab/>
        <w:t xml:space="preserve">a standard application fee of </w:t>
      </w:r>
      <w:r w:rsidR="00AB66B5" w:rsidRPr="00AB66B5">
        <w:t>$1</w:t>
      </w:r>
      <w:r w:rsidR="007F1EF8">
        <w:t>,</w:t>
      </w:r>
      <w:r w:rsidR="00AB66B5" w:rsidRPr="00AB66B5">
        <w:t>42</w:t>
      </w:r>
      <w:r w:rsidR="00AB66B5">
        <w:t>0</w:t>
      </w:r>
      <w:r w:rsidRPr="002E1D7C">
        <w:t>; and</w:t>
      </w:r>
    </w:p>
    <w:p w14:paraId="14B06DB6" w14:textId="7ED30E0A" w:rsidR="004E5627" w:rsidRPr="002E1D7C" w:rsidRDefault="004E5627" w:rsidP="004E5627">
      <w:pPr>
        <w:pStyle w:val="paragraph"/>
      </w:pPr>
      <w:r w:rsidRPr="002E1D7C">
        <w:tab/>
        <w:t>(b)</w:t>
      </w:r>
      <w:r w:rsidRPr="002E1D7C">
        <w:tab/>
        <w:t>if a clinical assessment is required (see section </w:t>
      </w:r>
      <w:r w:rsidR="008A41DB">
        <w:t>19</w:t>
      </w:r>
      <w:r w:rsidRPr="002E1D7C">
        <w:t>)—the clinical assessment fee; and</w:t>
      </w:r>
    </w:p>
    <w:p w14:paraId="4F6D949E" w14:textId="01CE8535" w:rsidR="004E5627" w:rsidRPr="002E1D7C" w:rsidRDefault="004E5627" w:rsidP="004E5627">
      <w:pPr>
        <w:pStyle w:val="paragraph"/>
      </w:pPr>
      <w:r w:rsidRPr="002E1D7C">
        <w:tab/>
        <w:t>(c)</w:t>
      </w:r>
      <w:r w:rsidRPr="002E1D7C">
        <w:tab/>
        <w:t>if an economic assessment is required (see section </w:t>
      </w:r>
      <w:r w:rsidR="008A41DB">
        <w:t>20</w:t>
      </w:r>
      <w:r w:rsidRPr="002E1D7C">
        <w:t>)—the economic assessment fee; and</w:t>
      </w:r>
    </w:p>
    <w:p w14:paraId="39EB3F66" w14:textId="6AD8E132" w:rsidR="004E5627" w:rsidRPr="002E1D7C" w:rsidRDefault="004E5627" w:rsidP="004E5627">
      <w:pPr>
        <w:pStyle w:val="paragraph"/>
      </w:pPr>
      <w:r w:rsidRPr="002E1D7C">
        <w:tab/>
        <w:t>(d)</w:t>
      </w:r>
      <w:r w:rsidRPr="002E1D7C">
        <w:tab/>
        <w:t>if a full health technology assessment is required (see section </w:t>
      </w:r>
      <w:r w:rsidR="008A41DB">
        <w:t>21</w:t>
      </w:r>
      <w:r w:rsidRPr="002E1D7C">
        <w:t>)—the full health technology assessment pathway fee.</w:t>
      </w:r>
    </w:p>
    <w:p w14:paraId="740EF646" w14:textId="445F51FF" w:rsidR="004E71C0" w:rsidRPr="00CE3138" w:rsidRDefault="002D61A4" w:rsidP="004E71C0">
      <w:pPr>
        <w:pStyle w:val="ActHead5"/>
      </w:pPr>
      <w:bookmarkStart w:id="30" w:name="_Toc169882178"/>
      <w:bookmarkEnd w:id="29"/>
      <w:r>
        <w:rPr>
          <w:rStyle w:val="CharSectno"/>
        </w:rPr>
        <w:t>19</w:t>
      </w:r>
      <w:r w:rsidRPr="00CE3138">
        <w:t xml:space="preserve">  </w:t>
      </w:r>
      <w:r w:rsidR="004E71C0" w:rsidRPr="00CE3138">
        <w:t>Clinical assessment fee</w:t>
      </w:r>
      <w:bookmarkEnd w:id="30"/>
    </w:p>
    <w:p w14:paraId="7D0ADD94" w14:textId="77777777" w:rsidR="004E71C0" w:rsidRPr="00CE3138" w:rsidRDefault="004E71C0" w:rsidP="004E71C0">
      <w:pPr>
        <w:pStyle w:val="SubsectionHead"/>
      </w:pPr>
      <w:r w:rsidRPr="00CE3138">
        <w:t>When a clinical assessment is required</w:t>
      </w:r>
    </w:p>
    <w:p w14:paraId="24E3643D" w14:textId="7777777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>A listing application or variation application relating to a medical device requires a clinical assessment if:</w:t>
      </w:r>
    </w:p>
    <w:p w14:paraId="42893A2C" w14:textId="4595617F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expert clinical advice from a clinical expert with relevant expertise in the use of the medical device is necessary to determine whether or not the medical device satisfies the listing criteria set out in </w:t>
      </w:r>
      <w:r w:rsidR="00354CE5">
        <w:t xml:space="preserve">any </w:t>
      </w:r>
      <w:r w:rsidRPr="00CE3138">
        <w:t xml:space="preserve">of the following </w:t>
      </w:r>
      <w:r w:rsidR="00252388" w:rsidRPr="00CE3138">
        <w:t>sub</w:t>
      </w:r>
      <w:r w:rsidR="00252388">
        <w:t>sections</w:t>
      </w:r>
      <w:r w:rsidRPr="00CE3138">
        <w:t>:</w:t>
      </w:r>
    </w:p>
    <w:p w14:paraId="258984CD" w14:textId="0ECA1790" w:rsidR="004E71C0" w:rsidRPr="00CE3138" w:rsidRDefault="004E71C0" w:rsidP="004E71C0">
      <w:pPr>
        <w:pStyle w:val="paragraphsub"/>
      </w:pPr>
      <w:r w:rsidRPr="00CE3138">
        <w:tab/>
        <w:t>(i)</w:t>
      </w:r>
      <w:r w:rsidRPr="00CE3138">
        <w:tab/>
      </w:r>
      <w:r w:rsidR="009F5294" w:rsidRPr="00CE3138">
        <w:t>14</w:t>
      </w:r>
      <w:r w:rsidRPr="00CE3138">
        <w:t>(5);</w:t>
      </w:r>
      <w:r w:rsidR="00992869">
        <w:t xml:space="preserve"> or</w:t>
      </w:r>
    </w:p>
    <w:p w14:paraId="57B5C102" w14:textId="79F69B4B" w:rsidR="0000684A" w:rsidRDefault="004E71C0" w:rsidP="004E71C0">
      <w:pPr>
        <w:pStyle w:val="paragraphsub"/>
      </w:pPr>
      <w:r w:rsidRPr="00CE3138">
        <w:tab/>
        <w:t>(ii</w:t>
      </w:r>
      <w:r w:rsidR="009516B4" w:rsidRPr="00CE3138">
        <w:t>)</w:t>
      </w:r>
      <w:r w:rsidRPr="00CE3138">
        <w:tab/>
      </w:r>
      <w:r w:rsidR="009F5294" w:rsidRPr="00CE3138">
        <w:t>16</w:t>
      </w:r>
      <w:r w:rsidRPr="00CE3138">
        <w:t>(3)</w:t>
      </w:r>
      <w:r w:rsidR="0077024A">
        <w:t>;</w:t>
      </w:r>
      <w:r w:rsidRPr="00CE3138">
        <w:t xml:space="preserve"> </w:t>
      </w:r>
      <w:r w:rsidR="00507EBF">
        <w:t>or</w:t>
      </w:r>
    </w:p>
    <w:p w14:paraId="15E46A68" w14:textId="25399F2C" w:rsidR="0000684A" w:rsidRDefault="0000684A" w:rsidP="00507EBF">
      <w:pPr>
        <w:pStyle w:val="paragraphsub"/>
        <w:tabs>
          <w:tab w:val="clear" w:pos="1985"/>
        </w:tabs>
        <w:ind w:left="3402" w:hanging="1701"/>
      </w:pPr>
      <w:r>
        <w:t>(iii)</w:t>
      </w:r>
      <w:r w:rsidR="00507EBF">
        <w:t xml:space="preserve">  17(</w:t>
      </w:r>
      <w:r w:rsidR="0093456B">
        <w:t>4</w:t>
      </w:r>
      <w:r w:rsidR="00507EBF">
        <w:t>)</w:t>
      </w:r>
      <w:r w:rsidR="00B6560C">
        <w:t>; or</w:t>
      </w:r>
      <w:r>
        <w:tab/>
      </w:r>
    </w:p>
    <w:p w14:paraId="6820351E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the Minister is satisfied on any other grounds that the application requires a clinical assessment.</w:t>
      </w:r>
    </w:p>
    <w:p w14:paraId="36A2B95C" w14:textId="3385D3EA" w:rsidR="004E71C0" w:rsidRDefault="004E71C0" w:rsidP="004E71C0">
      <w:pPr>
        <w:pStyle w:val="notetext"/>
      </w:pPr>
      <w:r w:rsidRPr="00CE3138">
        <w:t>Note 1:</w:t>
      </w:r>
      <w:r w:rsidRPr="00CE3138">
        <w:tab/>
        <w:t xml:space="preserve">The listing criteria </w:t>
      </w:r>
      <w:r w:rsidR="00A719D9">
        <w:t xml:space="preserve">for Part A and Part C of Schedule 1 </w:t>
      </w:r>
      <w:r w:rsidRPr="00CE3138">
        <w:t xml:space="preserve">mentioned in </w:t>
      </w:r>
      <w:r w:rsidR="00DC46F8" w:rsidRPr="00CE3138">
        <w:t>paragraph (</w:t>
      </w:r>
      <w:r w:rsidRPr="00CE3138">
        <w:t xml:space="preserve">a) relate to whether the medical device </w:t>
      </w:r>
      <w:r w:rsidR="006C35BA">
        <w:t xml:space="preserve">was </w:t>
      </w:r>
      <w:r w:rsidR="005D4330">
        <w:t>compared to</w:t>
      </w:r>
      <w:r w:rsidR="00E414D5">
        <w:t xml:space="preserve"> medical </w:t>
      </w:r>
      <w:r w:rsidR="005D4330">
        <w:t>device</w:t>
      </w:r>
      <w:r w:rsidR="00E414D5">
        <w:t>s</w:t>
      </w:r>
      <w:r w:rsidR="005D4330">
        <w:t xml:space="preserve"> listed in Schedule 1 or alternative treatments, </w:t>
      </w:r>
      <w:r w:rsidR="00EA6C34">
        <w:t>and whether the comparison</w:t>
      </w:r>
      <w:r w:rsidR="008149DD">
        <w:t xml:space="preserve"> demonstrated that the </w:t>
      </w:r>
      <w:r w:rsidR="001F632D">
        <w:t xml:space="preserve">medical device </w:t>
      </w:r>
      <w:r w:rsidRPr="00CE3138">
        <w:t>is no less clinically effective than alternative devices or treatments</w:t>
      </w:r>
      <w:r w:rsidR="001F632D">
        <w:t xml:space="preserve">, and the benefit amount </w:t>
      </w:r>
      <w:r w:rsidR="009D126D">
        <w:t>is proportionate to the</w:t>
      </w:r>
      <w:r w:rsidR="00306283">
        <w:t xml:space="preserve"> clinical-effectiveness of the device. </w:t>
      </w:r>
    </w:p>
    <w:p w14:paraId="7333F7AD" w14:textId="6AC27B5E" w:rsidR="00A719D9" w:rsidRPr="00CE3138" w:rsidRDefault="00A719D9" w:rsidP="004E71C0">
      <w:pPr>
        <w:pStyle w:val="notetext"/>
      </w:pPr>
      <w:r>
        <w:t>Note 2:</w:t>
      </w:r>
      <w:r>
        <w:tab/>
      </w:r>
      <w:r w:rsidRPr="00A719D9">
        <w:t xml:space="preserve">The listing criteria for Part </w:t>
      </w:r>
      <w:r>
        <w:t>D</w:t>
      </w:r>
      <w:r w:rsidRPr="00A719D9">
        <w:t xml:space="preserve"> of Schedule 1 mentioned in paragraph (a) relate to whether the medical device </w:t>
      </w:r>
      <w:r w:rsidR="00BE415F">
        <w:t xml:space="preserve">was compared to </w:t>
      </w:r>
      <w:r w:rsidR="0062655E">
        <w:t xml:space="preserve">medical </w:t>
      </w:r>
      <w:r w:rsidR="00BE415F">
        <w:t>device</w:t>
      </w:r>
      <w:r w:rsidR="00E1773F">
        <w:t>s</w:t>
      </w:r>
      <w:r w:rsidR="00BE415F">
        <w:t xml:space="preserve"> listed in Schedule 1, </w:t>
      </w:r>
      <w:r w:rsidR="00EA6C34">
        <w:t>and whether the comparison</w:t>
      </w:r>
      <w:r w:rsidR="005F1B7F">
        <w:t xml:space="preserve"> demonstrated that the device </w:t>
      </w:r>
      <w:r w:rsidRPr="00A719D9">
        <w:t>is no less clinically effective than alternative devices</w:t>
      </w:r>
      <w:r w:rsidR="005F1B7F">
        <w:t>, and the benefit amount is proportionate to the</w:t>
      </w:r>
      <w:r w:rsidR="0062655E">
        <w:t xml:space="preserve"> clinical-effectiveness of the device. </w:t>
      </w:r>
    </w:p>
    <w:p w14:paraId="649C1CE4" w14:textId="2E9C2DB5" w:rsidR="004E5627" w:rsidRPr="002E1D7C" w:rsidRDefault="004E5627" w:rsidP="004E5627">
      <w:pPr>
        <w:pStyle w:val="notetext"/>
      </w:pPr>
      <w:r w:rsidRPr="002E1D7C">
        <w:lastRenderedPageBreak/>
        <w:t xml:space="preserve">Note </w:t>
      </w:r>
      <w:r w:rsidR="00A719D9">
        <w:t>3</w:t>
      </w:r>
      <w:r w:rsidRPr="002E1D7C">
        <w:t>:</w:t>
      </w:r>
      <w:r w:rsidRPr="002E1D7C">
        <w:tab/>
        <w:t>Notice must be given</w:t>
      </w:r>
      <w:r w:rsidR="00A35F76">
        <w:t xml:space="preserve"> </w:t>
      </w:r>
      <w:r w:rsidRPr="002E1D7C">
        <w:t>of a decision that the Minister is satisfied as mentioned in paragraph (1)(b) of this section</w:t>
      </w:r>
      <w:r w:rsidR="00CA24A3">
        <w:t xml:space="preserve"> that </w:t>
      </w:r>
      <w:r w:rsidR="00C57802">
        <w:t xml:space="preserve">an application requires </w:t>
      </w:r>
      <w:r w:rsidR="00CA24A3">
        <w:t xml:space="preserve">a clinical assessment </w:t>
      </w:r>
      <w:r w:rsidRPr="002E1D7C">
        <w:t>(see subsection </w:t>
      </w:r>
      <w:r w:rsidR="008025BC" w:rsidRPr="002E1D7C">
        <w:t>2</w:t>
      </w:r>
      <w:r w:rsidR="008025BC">
        <w:t>7</w:t>
      </w:r>
      <w:r w:rsidRPr="002E1D7C">
        <w:t>(1)). Such a decision made by a delegate of the Minister is reviewable (see section 2</w:t>
      </w:r>
      <w:r w:rsidR="009D2AA9">
        <w:t>8</w:t>
      </w:r>
      <w:r w:rsidRPr="002E1D7C">
        <w:t>).</w:t>
      </w:r>
    </w:p>
    <w:p w14:paraId="74155920" w14:textId="77777777" w:rsidR="004E71C0" w:rsidRPr="00CE3138" w:rsidRDefault="004E71C0" w:rsidP="004E71C0">
      <w:pPr>
        <w:pStyle w:val="SubsectionHead"/>
      </w:pPr>
      <w:r w:rsidRPr="00CE3138">
        <w:t>Amount of clinical assessment fee</w:t>
      </w:r>
    </w:p>
    <w:p w14:paraId="720919DB" w14:textId="17B481CA" w:rsidR="004E71C0" w:rsidRPr="00CE3138" w:rsidRDefault="004E71C0" w:rsidP="004E71C0">
      <w:pPr>
        <w:pStyle w:val="subsection"/>
      </w:pPr>
      <w:r w:rsidRPr="00CE3138">
        <w:tab/>
        <w:t>(2)</w:t>
      </w:r>
      <w:r w:rsidRPr="00CE3138">
        <w:tab/>
        <w:t xml:space="preserve">The clinical assessment fee is </w:t>
      </w:r>
      <w:r w:rsidR="00AB66B5" w:rsidRPr="00AB66B5">
        <w:t>$</w:t>
      </w:r>
      <w:r w:rsidR="007F1EF8" w:rsidRPr="007F1EF8">
        <w:t>3,970</w:t>
      </w:r>
      <w:r w:rsidRPr="00CE3138">
        <w:t>.</w:t>
      </w:r>
    </w:p>
    <w:p w14:paraId="6231E2DD" w14:textId="4471604C" w:rsidR="004E71C0" w:rsidRPr="00CE3138" w:rsidRDefault="002D61A4" w:rsidP="004E71C0">
      <w:pPr>
        <w:pStyle w:val="ActHead5"/>
      </w:pPr>
      <w:bookmarkStart w:id="31" w:name="_Toc169882179"/>
      <w:r>
        <w:rPr>
          <w:rStyle w:val="CharSectno"/>
        </w:rPr>
        <w:t>20</w:t>
      </w:r>
      <w:r w:rsidRPr="00CE3138">
        <w:t xml:space="preserve">  </w:t>
      </w:r>
      <w:r w:rsidR="004E71C0" w:rsidRPr="00CE3138">
        <w:t>Economic assessment fee</w:t>
      </w:r>
      <w:bookmarkEnd w:id="31"/>
    </w:p>
    <w:p w14:paraId="2ED91F50" w14:textId="77777777" w:rsidR="004E71C0" w:rsidRPr="00CE3138" w:rsidRDefault="004E71C0" w:rsidP="004E71C0">
      <w:pPr>
        <w:pStyle w:val="SubsectionHead"/>
      </w:pPr>
      <w:r w:rsidRPr="00CE3138">
        <w:t>When an economic assessment is required</w:t>
      </w:r>
    </w:p>
    <w:p w14:paraId="5A931089" w14:textId="7777777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>A listing application or variation application relating to a medical device requires an economic assessment if:</w:t>
      </w:r>
    </w:p>
    <w:p w14:paraId="56EE34C1" w14:textId="590572A6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an economic assessment from an expert with health economics expertise in medical devices is necessary to determine whether or not the medical device satisfies the listing criteria set out in </w:t>
      </w:r>
      <w:r w:rsidR="009516B4" w:rsidRPr="00CE3138">
        <w:t>either</w:t>
      </w:r>
      <w:r w:rsidRPr="00CE3138">
        <w:t xml:space="preserve"> of the following </w:t>
      </w:r>
      <w:r w:rsidR="00252388">
        <w:t>subsections</w:t>
      </w:r>
      <w:r w:rsidRPr="00CE3138">
        <w:t>:</w:t>
      </w:r>
    </w:p>
    <w:p w14:paraId="0B6AB9EA" w14:textId="410C27AA" w:rsidR="004E71C0" w:rsidRPr="00CE3138" w:rsidRDefault="004E71C0" w:rsidP="004E71C0">
      <w:pPr>
        <w:pStyle w:val="paragraphsub"/>
      </w:pPr>
      <w:r w:rsidRPr="00CE3138">
        <w:tab/>
        <w:t>(i)</w:t>
      </w:r>
      <w:r w:rsidRPr="00CE3138">
        <w:tab/>
      </w:r>
      <w:r w:rsidR="00D44860" w:rsidRPr="00CE3138">
        <w:t>14</w:t>
      </w:r>
      <w:r w:rsidRPr="00CE3138">
        <w:t>(5)</w:t>
      </w:r>
      <w:r w:rsidR="00CB54E1">
        <w:t>;</w:t>
      </w:r>
      <w:r w:rsidR="00E07C76">
        <w:t xml:space="preserve"> </w:t>
      </w:r>
      <w:r w:rsidR="00992869">
        <w:t>or</w:t>
      </w:r>
    </w:p>
    <w:p w14:paraId="6EF0AD7A" w14:textId="0A5A8B0A" w:rsidR="00992869" w:rsidRDefault="004E71C0" w:rsidP="004E71C0">
      <w:pPr>
        <w:pStyle w:val="paragraphsub"/>
      </w:pPr>
      <w:r w:rsidRPr="00CE3138">
        <w:tab/>
        <w:t>(ii)</w:t>
      </w:r>
      <w:r w:rsidRPr="00CE3138">
        <w:tab/>
      </w:r>
      <w:r w:rsidR="00D44860" w:rsidRPr="00CE3138">
        <w:t>16</w:t>
      </w:r>
      <w:r w:rsidRPr="00CE3138">
        <w:t>(3)</w:t>
      </w:r>
      <w:r w:rsidR="00CB54E1">
        <w:t>;</w:t>
      </w:r>
      <w:r w:rsidRPr="00CE3138">
        <w:t xml:space="preserve"> </w:t>
      </w:r>
      <w:r w:rsidR="00992869">
        <w:t>or</w:t>
      </w:r>
    </w:p>
    <w:p w14:paraId="186B0BC5" w14:textId="5B7C5F18" w:rsidR="004E71C0" w:rsidRPr="00CE3138" w:rsidRDefault="00992869" w:rsidP="00992869">
      <w:pPr>
        <w:pStyle w:val="paragraphsub"/>
        <w:ind w:hanging="397"/>
      </w:pPr>
      <w:r>
        <w:tab/>
        <w:t>(iii) 17(</w:t>
      </w:r>
      <w:r w:rsidR="0093456B">
        <w:t>4</w:t>
      </w:r>
      <w:r>
        <w:t>)</w:t>
      </w:r>
      <w:r w:rsidR="00803916">
        <w:t>; or</w:t>
      </w:r>
      <w:r w:rsidR="00BC5D9A" w:rsidDel="00BC5D9A">
        <w:t xml:space="preserve"> </w:t>
      </w:r>
    </w:p>
    <w:p w14:paraId="5DAF3C29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the Minister is satisfied on any other grounds that the application requires an economic assessment.</w:t>
      </w:r>
    </w:p>
    <w:p w14:paraId="26A3E88F" w14:textId="2C52944D" w:rsidR="004E71C0" w:rsidRDefault="004E71C0" w:rsidP="004E71C0">
      <w:pPr>
        <w:pStyle w:val="notetext"/>
      </w:pPr>
      <w:r w:rsidRPr="00CE3138">
        <w:t>Note 1:</w:t>
      </w:r>
      <w:r w:rsidRPr="00CE3138">
        <w:tab/>
        <w:t xml:space="preserve">The listing criteria </w:t>
      </w:r>
      <w:r w:rsidR="00A719D9" w:rsidRPr="00A719D9">
        <w:t xml:space="preserve">for Part A and Part C of Schedule 1 </w:t>
      </w:r>
      <w:r w:rsidRPr="00CE3138">
        <w:t xml:space="preserve">mentioned in </w:t>
      </w:r>
      <w:r w:rsidR="00DC46F8" w:rsidRPr="00CE3138">
        <w:t>paragraph</w:t>
      </w:r>
      <w:r w:rsidR="00B837F9">
        <w:t xml:space="preserve"> </w:t>
      </w:r>
      <w:r w:rsidR="00DC46F8" w:rsidRPr="00CE3138">
        <w:t>(</w:t>
      </w:r>
      <w:r w:rsidRPr="00CE3138">
        <w:t xml:space="preserve">a) </w:t>
      </w:r>
      <w:r w:rsidR="00A34F1B" w:rsidRPr="00CE3138">
        <w:t xml:space="preserve">relate to whether the medical device </w:t>
      </w:r>
      <w:r w:rsidR="00A34F1B">
        <w:t xml:space="preserve">was compared to medical devices listed in Schedule 1 or alternative treatments, </w:t>
      </w:r>
      <w:r w:rsidR="0043223A">
        <w:t>and whether the comparison</w:t>
      </w:r>
      <w:r w:rsidR="00A34F1B">
        <w:t xml:space="preserve"> demonstrated that the medical device </w:t>
      </w:r>
      <w:r w:rsidR="00A34F1B" w:rsidRPr="00CE3138">
        <w:t>is no less clinically effective than alternative devices or treatments</w:t>
      </w:r>
      <w:r w:rsidR="00A34F1B">
        <w:t>, and the benefit amount is proportionate to the clinical-effectiveness of the device</w:t>
      </w:r>
      <w:r w:rsidR="00FD51F4" w:rsidRPr="00FD51F4">
        <w:t>.</w:t>
      </w:r>
      <w:r w:rsidR="00FD51F4">
        <w:t xml:space="preserve"> </w:t>
      </w:r>
    </w:p>
    <w:p w14:paraId="1035984B" w14:textId="59B24CB6" w:rsidR="00A719D9" w:rsidRPr="00CE3138" w:rsidRDefault="00A719D9" w:rsidP="00A719D9">
      <w:pPr>
        <w:pStyle w:val="notetext"/>
      </w:pPr>
      <w:r>
        <w:t>Note 2:</w:t>
      </w:r>
      <w:r>
        <w:tab/>
      </w:r>
      <w:r w:rsidRPr="00A719D9">
        <w:t xml:space="preserve">The listing criteria for Part </w:t>
      </w:r>
      <w:r>
        <w:t>D</w:t>
      </w:r>
      <w:r w:rsidRPr="00A719D9">
        <w:t xml:space="preserve"> of Schedule 1 mentioned in paragraph (a) </w:t>
      </w:r>
      <w:r w:rsidR="00A34F1B" w:rsidRPr="00A719D9">
        <w:t xml:space="preserve">relate to whether the medical device </w:t>
      </w:r>
      <w:r w:rsidR="00A34F1B">
        <w:t xml:space="preserve">was compared to medical devices listed in Schedule 1, </w:t>
      </w:r>
      <w:r w:rsidR="0043223A">
        <w:t>and whether the comparison</w:t>
      </w:r>
      <w:r w:rsidR="00A34F1B">
        <w:t xml:space="preserve"> demonstrated that the device </w:t>
      </w:r>
      <w:r w:rsidR="00A34F1B" w:rsidRPr="00A719D9">
        <w:t>is no less clinically effective than alternative devices</w:t>
      </w:r>
      <w:r w:rsidR="00A34F1B">
        <w:t>, and the benefit amount is proportionate to the clinical-effectiveness of the device</w:t>
      </w:r>
      <w:r>
        <w:t>.</w:t>
      </w:r>
    </w:p>
    <w:p w14:paraId="5BBCFBEC" w14:textId="4D58FFAC" w:rsidR="004E5627" w:rsidRPr="002E1D7C" w:rsidRDefault="004E5627" w:rsidP="004E5627">
      <w:pPr>
        <w:pStyle w:val="notetext"/>
      </w:pPr>
      <w:r w:rsidRPr="002E1D7C">
        <w:t xml:space="preserve">Note </w:t>
      </w:r>
      <w:r w:rsidR="00A719D9">
        <w:t>3</w:t>
      </w:r>
      <w:r w:rsidRPr="002E1D7C">
        <w:t>:</w:t>
      </w:r>
      <w:r w:rsidRPr="002E1D7C">
        <w:tab/>
        <w:t xml:space="preserve">Notice must be given of a decision that the Minister is satisfied as mentioned in paragraph (1)(b) of this section </w:t>
      </w:r>
      <w:r w:rsidR="00C3761C">
        <w:t>that an</w:t>
      </w:r>
      <w:r w:rsidR="00C57802">
        <w:t xml:space="preserve"> application requires an</w:t>
      </w:r>
      <w:r w:rsidR="00C3761C">
        <w:t xml:space="preserve"> economic assessment </w:t>
      </w:r>
      <w:r w:rsidRPr="002E1D7C">
        <w:t>(see subsection </w:t>
      </w:r>
      <w:r w:rsidR="004E58BF">
        <w:t>27</w:t>
      </w:r>
      <w:r w:rsidRPr="002E1D7C">
        <w:t>(1)). Such a decision made by a delegate of the Minister is reviewable (see section </w:t>
      </w:r>
      <w:r w:rsidR="004E58BF">
        <w:t>28</w:t>
      </w:r>
      <w:r w:rsidRPr="002E1D7C">
        <w:t>).</w:t>
      </w:r>
    </w:p>
    <w:p w14:paraId="78D826F7" w14:textId="77777777" w:rsidR="004E71C0" w:rsidRPr="00CE3138" w:rsidRDefault="004E71C0" w:rsidP="004E71C0">
      <w:pPr>
        <w:pStyle w:val="SubsectionHead"/>
      </w:pPr>
      <w:r w:rsidRPr="00CE3138">
        <w:t>Amount of economic assessment fee</w:t>
      </w:r>
    </w:p>
    <w:p w14:paraId="0ECDCE5B" w14:textId="77777777" w:rsidR="000F32CF" w:rsidRPr="00CE3138" w:rsidRDefault="000F32CF" w:rsidP="000F32CF">
      <w:pPr>
        <w:pStyle w:val="subsection"/>
        <w:spacing w:before="120"/>
        <w:rPr>
          <w:i/>
        </w:rPr>
      </w:pPr>
      <w:r w:rsidRPr="00CE3138">
        <w:tab/>
        <w:t>(2)</w:t>
      </w:r>
      <w:r w:rsidRPr="00CE3138">
        <w:tab/>
        <w:t>The economic assessment fee is</w:t>
      </w:r>
      <w:r w:rsidRPr="00CE3138">
        <w:rPr>
          <w:i/>
        </w:rPr>
        <w:t>:</w:t>
      </w:r>
    </w:p>
    <w:p w14:paraId="08722A5D" w14:textId="36FA59D8" w:rsidR="000F32CF" w:rsidRPr="00CE3138" w:rsidRDefault="000F32CF" w:rsidP="000F32CF">
      <w:pPr>
        <w:pStyle w:val="paragraph"/>
      </w:pPr>
      <w:r w:rsidRPr="00CE3138">
        <w:tab/>
        <w:t>(a)</w:t>
      </w:r>
      <w:r w:rsidRPr="00CE3138">
        <w:tab/>
        <w:t>if the simple fee applies (see subsection (3))—</w:t>
      </w:r>
      <w:r w:rsidR="009969C9" w:rsidRPr="009969C9">
        <w:t xml:space="preserve"> $</w:t>
      </w:r>
      <w:r w:rsidR="007F1EF8" w:rsidRPr="007F1EF8">
        <w:t>9,250</w:t>
      </w:r>
      <w:r w:rsidRPr="00CE3138">
        <w:t>; or</w:t>
      </w:r>
    </w:p>
    <w:p w14:paraId="1ECFF932" w14:textId="15A7E68C" w:rsidR="000F32CF" w:rsidRPr="00CE3138" w:rsidRDefault="000F32CF" w:rsidP="000F32CF">
      <w:pPr>
        <w:pStyle w:val="paragraph"/>
      </w:pPr>
      <w:r w:rsidRPr="00CE3138">
        <w:tab/>
        <w:t>(b)</w:t>
      </w:r>
      <w:r w:rsidRPr="00CE3138">
        <w:tab/>
        <w:t>if the complex fee applies (see subsection (4))—</w:t>
      </w:r>
      <w:r w:rsidR="009969C9" w:rsidRPr="009969C9">
        <w:t xml:space="preserve"> $</w:t>
      </w:r>
      <w:r w:rsidR="007F1EF8" w:rsidRPr="007F1EF8">
        <w:t>17,680</w:t>
      </w:r>
      <w:r w:rsidRPr="00CE3138">
        <w:t>; or</w:t>
      </w:r>
    </w:p>
    <w:p w14:paraId="2B97AA9D" w14:textId="076F2E09" w:rsidR="000F32CF" w:rsidRPr="00CE3138" w:rsidRDefault="000F32CF" w:rsidP="000F32CF">
      <w:pPr>
        <w:pStyle w:val="paragraph"/>
      </w:pPr>
      <w:r w:rsidRPr="00CE3138">
        <w:tab/>
        <w:t>(c)</w:t>
      </w:r>
      <w:r w:rsidRPr="00CE3138">
        <w:tab/>
        <w:t>if the other fee applies (see subsection (5))—</w:t>
      </w:r>
      <w:r w:rsidR="009969C9" w:rsidRPr="009969C9">
        <w:t xml:space="preserve"> $</w:t>
      </w:r>
      <w:r w:rsidR="007F1EF8" w:rsidRPr="007F1EF8">
        <w:t>28,920</w:t>
      </w:r>
      <w:r w:rsidR="00CB54E1">
        <w:t>.</w:t>
      </w:r>
    </w:p>
    <w:p w14:paraId="473BD1DF" w14:textId="77777777" w:rsidR="004E71C0" w:rsidRPr="00CE3138" w:rsidRDefault="004E71C0" w:rsidP="004E71C0">
      <w:pPr>
        <w:pStyle w:val="SubsectionHead"/>
      </w:pPr>
      <w:r w:rsidRPr="00CE3138">
        <w:t>Simple fee</w:t>
      </w:r>
    </w:p>
    <w:p w14:paraId="5CEF226A" w14:textId="77777777" w:rsidR="004E71C0" w:rsidRPr="00CE3138" w:rsidRDefault="004E71C0" w:rsidP="004E71C0">
      <w:pPr>
        <w:pStyle w:val="subsection"/>
      </w:pPr>
      <w:r w:rsidRPr="00CE3138">
        <w:tab/>
        <w:t>(3)</w:t>
      </w:r>
      <w:r w:rsidRPr="00CE3138">
        <w:tab/>
        <w:t xml:space="preserve">For the purposes of </w:t>
      </w:r>
      <w:r w:rsidR="00DC46F8" w:rsidRPr="00CE3138">
        <w:t>paragraph (</w:t>
      </w:r>
      <w:r w:rsidRPr="00CE3138">
        <w:t>2)(a), the simple fee applies if the Minister is satisfied that the economic assessment:</w:t>
      </w:r>
    </w:p>
    <w:p w14:paraId="5D082482" w14:textId="55B1CC59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will provide cost</w:t>
      </w:r>
      <w:r w:rsidR="003D794E" w:rsidRPr="00CE3138">
        <w:noBreakHyphen/>
      </w:r>
      <w:r w:rsidRPr="00CE3138">
        <w:t>effectiveness advice for one medical device, and one main clinical purpose; and</w:t>
      </w:r>
    </w:p>
    <w:p w14:paraId="1C6D6D90" w14:textId="77777777" w:rsidR="004E71C0" w:rsidRPr="00CE3138" w:rsidRDefault="004E71C0" w:rsidP="004E71C0">
      <w:pPr>
        <w:pStyle w:val="paragraph"/>
      </w:pPr>
      <w:r w:rsidRPr="00CE3138">
        <w:lastRenderedPageBreak/>
        <w:tab/>
        <w:t>(b)</w:t>
      </w:r>
      <w:r w:rsidRPr="00CE3138">
        <w:tab/>
        <w:t>will be a critique of information supplied by the person who made the application relating to the medical device.</w:t>
      </w:r>
    </w:p>
    <w:p w14:paraId="2D10FB17" w14:textId="77777777" w:rsidR="004E71C0" w:rsidRPr="00CE3138" w:rsidRDefault="004E71C0" w:rsidP="004E71C0">
      <w:pPr>
        <w:pStyle w:val="SubsectionHead"/>
      </w:pPr>
      <w:r w:rsidRPr="00CE3138">
        <w:t>Complex fee</w:t>
      </w:r>
    </w:p>
    <w:p w14:paraId="7F7D69A8" w14:textId="77777777" w:rsidR="004E71C0" w:rsidRPr="00CE3138" w:rsidRDefault="004E71C0" w:rsidP="004E71C0">
      <w:pPr>
        <w:pStyle w:val="subsection"/>
      </w:pPr>
      <w:r w:rsidRPr="00CE3138">
        <w:tab/>
        <w:t>(4)</w:t>
      </w:r>
      <w:r w:rsidRPr="00CE3138">
        <w:tab/>
        <w:t xml:space="preserve">For the purposes of </w:t>
      </w:r>
      <w:r w:rsidR="00DC46F8" w:rsidRPr="00CE3138">
        <w:t>paragraph (</w:t>
      </w:r>
      <w:r w:rsidRPr="00CE3138">
        <w:t>2)(b), the complex fee applies if the Minister is satisfied that the economic assessment:</w:t>
      </w:r>
    </w:p>
    <w:p w14:paraId="094B5D1A" w14:textId="1AE877C0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will provide cost</w:t>
      </w:r>
      <w:r w:rsidR="003D794E" w:rsidRPr="00CE3138">
        <w:noBreakHyphen/>
      </w:r>
      <w:r w:rsidRPr="00CE3138">
        <w:t>effectiveness advice:</w:t>
      </w:r>
    </w:p>
    <w:p w14:paraId="2B3F66B8" w14:textId="77777777" w:rsidR="004E71C0" w:rsidRPr="00CE3138" w:rsidRDefault="004E71C0" w:rsidP="004E71C0">
      <w:pPr>
        <w:pStyle w:val="paragraphsub"/>
      </w:pPr>
      <w:r w:rsidRPr="00CE3138">
        <w:tab/>
        <w:t>(i)</w:t>
      </w:r>
      <w:r w:rsidRPr="00CE3138">
        <w:tab/>
        <w:t>for one medical device, for more than one clinical purpose; or</w:t>
      </w:r>
    </w:p>
    <w:p w14:paraId="3A546421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 xml:space="preserve">for more than one </w:t>
      </w:r>
      <w:r w:rsidRPr="00CE3138">
        <w:rPr>
          <w:lang w:eastAsia="en-US"/>
        </w:rPr>
        <w:t>related</w:t>
      </w:r>
      <w:r w:rsidRPr="00CE3138">
        <w:t xml:space="preserve"> medical device; and</w:t>
      </w:r>
    </w:p>
    <w:p w14:paraId="5292242C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 xml:space="preserve">will be a critique of information supplied by the person who made the application for each medical device referred to in </w:t>
      </w:r>
      <w:r w:rsidR="00DC46F8" w:rsidRPr="00CE3138">
        <w:t>paragraph (</w:t>
      </w:r>
      <w:r w:rsidRPr="00CE3138">
        <w:t>a).</w:t>
      </w:r>
    </w:p>
    <w:p w14:paraId="4B829230" w14:textId="115B4037" w:rsidR="004E71C0" w:rsidRPr="00CE3138" w:rsidRDefault="004E71C0" w:rsidP="004E71C0">
      <w:pPr>
        <w:pStyle w:val="notetext"/>
      </w:pPr>
      <w:r w:rsidRPr="00CE3138">
        <w:t>Note:</w:t>
      </w:r>
      <w:r w:rsidRPr="00CE3138">
        <w:tab/>
        <w:t xml:space="preserve">For when medical devices are </w:t>
      </w:r>
      <w:r w:rsidRPr="00CE3138">
        <w:rPr>
          <w:b/>
          <w:i/>
        </w:rPr>
        <w:t>related</w:t>
      </w:r>
      <w:r w:rsidRPr="00CE3138">
        <w:t xml:space="preserve">, see </w:t>
      </w:r>
      <w:r w:rsidR="0047225E">
        <w:t>section 5</w:t>
      </w:r>
      <w:r w:rsidRPr="00CE3138">
        <w:t>.</w:t>
      </w:r>
    </w:p>
    <w:p w14:paraId="6B2F0BFC" w14:textId="77777777" w:rsidR="004E71C0" w:rsidRPr="00CE3138" w:rsidRDefault="004E71C0" w:rsidP="004E71C0">
      <w:pPr>
        <w:pStyle w:val="SubsectionHead"/>
      </w:pPr>
      <w:r w:rsidRPr="00CE3138">
        <w:t>Other fee</w:t>
      </w:r>
    </w:p>
    <w:p w14:paraId="06EBA681" w14:textId="35A1CCB8" w:rsidR="004E71C0" w:rsidRPr="00CE3138" w:rsidRDefault="004E71C0" w:rsidP="004E71C0">
      <w:pPr>
        <w:pStyle w:val="subsection"/>
      </w:pPr>
      <w:r w:rsidRPr="00CE3138">
        <w:tab/>
        <w:t>(5)</w:t>
      </w:r>
      <w:r w:rsidRPr="00CE3138">
        <w:tab/>
        <w:t xml:space="preserve">For the purposes of </w:t>
      </w:r>
      <w:r w:rsidR="00DC46F8" w:rsidRPr="00CE3138">
        <w:t>paragraph (</w:t>
      </w:r>
      <w:r w:rsidRPr="00CE3138">
        <w:t>2)(c), the other fee applies if the Minister is satisfied that the economic assessment requires the preparation of a fit</w:t>
      </w:r>
      <w:r w:rsidR="003D794E" w:rsidRPr="00CE3138">
        <w:noBreakHyphen/>
      </w:r>
      <w:r w:rsidRPr="00CE3138">
        <w:t>for</w:t>
      </w:r>
      <w:r w:rsidR="003D794E" w:rsidRPr="00CE3138">
        <w:noBreakHyphen/>
      </w:r>
      <w:r w:rsidRPr="00CE3138">
        <w:t>purpose cost</w:t>
      </w:r>
      <w:r w:rsidR="003D794E" w:rsidRPr="00CE3138">
        <w:noBreakHyphen/>
      </w:r>
      <w:r w:rsidRPr="00CE3138">
        <w:t>effectiveness advice that is more complex than a critique of information provided by the person who made the application relating to the medical device.</w:t>
      </w:r>
    </w:p>
    <w:p w14:paraId="195F6255" w14:textId="440D56E2" w:rsidR="004E71C0" w:rsidRPr="00CE3138" w:rsidRDefault="002D61A4" w:rsidP="004E71C0">
      <w:pPr>
        <w:pStyle w:val="ActHead5"/>
      </w:pPr>
      <w:bookmarkStart w:id="32" w:name="_Toc169882180"/>
      <w:r>
        <w:rPr>
          <w:rStyle w:val="CharSectno"/>
        </w:rPr>
        <w:t>21</w:t>
      </w:r>
      <w:r w:rsidRPr="00CE3138">
        <w:t xml:space="preserve">  </w:t>
      </w:r>
      <w:r w:rsidR="004E71C0" w:rsidRPr="00CE3138">
        <w:t>Full health technology assessment pathway fee</w:t>
      </w:r>
      <w:bookmarkEnd w:id="32"/>
    </w:p>
    <w:p w14:paraId="7B4C0495" w14:textId="77777777" w:rsidR="004E71C0" w:rsidRPr="00CE3138" w:rsidRDefault="004E71C0" w:rsidP="004E71C0">
      <w:pPr>
        <w:pStyle w:val="SubsectionHead"/>
      </w:pPr>
      <w:r w:rsidRPr="00CE3138">
        <w:t>When a full health technology assessment is required</w:t>
      </w:r>
    </w:p>
    <w:p w14:paraId="2E58C0B1" w14:textId="7777777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>A listing application or variation application relating to a medical device</w:t>
      </w:r>
      <w:r w:rsidR="009516B4" w:rsidRPr="00CE3138">
        <w:t xml:space="preserve"> </w:t>
      </w:r>
      <w:r w:rsidRPr="00CE3138">
        <w:t>requires a full health technology assessment if:</w:t>
      </w:r>
    </w:p>
    <w:p w14:paraId="1DE503D2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</w:r>
      <w:r w:rsidR="00D24D39" w:rsidRPr="00CE3138">
        <w:t>subsection (</w:t>
      </w:r>
      <w:r w:rsidRPr="00CE3138">
        <w:t>2) applies; or</w:t>
      </w:r>
    </w:p>
    <w:p w14:paraId="75D047A2" w14:textId="2F7C1B4B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the Minister is satisfied on any other grounds that the application requires a full health technology assessment.</w:t>
      </w:r>
    </w:p>
    <w:p w14:paraId="7BA85122" w14:textId="0B7EB7DE" w:rsidR="004E5627" w:rsidRPr="002E1D7C" w:rsidRDefault="004E5627" w:rsidP="004E5627">
      <w:pPr>
        <w:pStyle w:val="notetext"/>
      </w:pPr>
      <w:r w:rsidRPr="002E1D7C">
        <w:t>Note:</w:t>
      </w:r>
      <w:r w:rsidRPr="002E1D7C">
        <w:tab/>
        <w:t>Notice must be given of a decision that the Minister is satisfied as mentioned in paragraph (1)(b) of this section</w:t>
      </w:r>
      <w:r w:rsidR="00C57802">
        <w:t xml:space="preserve"> that an application requires a full health technology assessment</w:t>
      </w:r>
      <w:r w:rsidRPr="002E1D7C">
        <w:t xml:space="preserve"> (see subsection </w:t>
      </w:r>
      <w:r w:rsidR="00E60E4D">
        <w:t>27</w:t>
      </w:r>
      <w:r w:rsidRPr="002E1D7C">
        <w:t>(1)). Such a decision made by a delegate of the Minister is reviewable (see section </w:t>
      </w:r>
      <w:r w:rsidR="00E60E4D">
        <w:t>28</w:t>
      </w:r>
      <w:r w:rsidRPr="002E1D7C">
        <w:t>).</w:t>
      </w:r>
    </w:p>
    <w:p w14:paraId="3BC08FBC" w14:textId="77777777" w:rsidR="004E71C0" w:rsidRPr="00CE3138" w:rsidRDefault="004E71C0" w:rsidP="004E71C0">
      <w:pPr>
        <w:pStyle w:val="subsection"/>
      </w:pPr>
      <w:r w:rsidRPr="00CE3138">
        <w:tab/>
        <w:t>(2)</w:t>
      </w:r>
      <w:r w:rsidRPr="00CE3138">
        <w:tab/>
        <w:t>This subsection applies if:</w:t>
      </w:r>
    </w:p>
    <w:p w14:paraId="6556E67A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the application is, or will be, the subject of any of the following requests to MSAC:</w:t>
      </w:r>
    </w:p>
    <w:p w14:paraId="51D4C597" w14:textId="77777777" w:rsidR="004E71C0" w:rsidRPr="00CE3138" w:rsidRDefault="004E71C0" w:rsidP="004E71C0">
      <w:pPr>
        <w:pStyle w:val="paragraphsub"/>
      </w:pPr>
      <w:r w:rsidRPr="00CE3138">
        <w:tab/>
        <w:t>(i)</w:t>
      </w:r>
      <w:r w:rsidRPr="00CE3138">
        <w:tab/>
        <w:t xml:space="preserve">a request that an item be included in the table (within the meaning of the </w:t>
      </w:r>
      <w:r w:rsidRPr="00CE3138">
        <w:rPr>
          <w:i/>
        </w:rPr>
        <w:t>Health Insurance Act 1973</w:t>
      </w:r>
      <w:r w:rsidRPr="00CE3138">
        <w:t>) for a medical service involving the medical device;</w:t>
      </w:r>
    </w:p>
    <w:p w14:paraId="6AAD0194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 xml:space="preserve">a request that an item in the table (within the meaning of the </w:t>
      </w:r>
      <w:r w:rsidRPr="00CE3138">
        <w:rPr>
          <w:i/>
        </w:rPr>
        <w:t>Health Insurance Act 1973</w:t>
      </w:r>
      <w:r w:rsidRPr="00CE3138">
        <w:t>) be amended to cover a medical service involving the medical device;</w:t>
      </w:r>
    </w:p>
    <w:p w14:paraId="0A226ECC" w14:textId="753FDD56" w:rsidR="004E71C0" w:rsidRPr="00CE3138" w:rsidRDefault="004E71C0" w:rsidP="004E71C0">
      <w:pPr>
        <w:pStyle w:val="paragraphsub"/>
      </w:pPr>
      <w:r w:rsidRPr="00CE3138">
        <w:tab/>
        <w:t>(iii)</w:t>
      </w:r>
      <w:r w:rsidRPr="00CE3138">
        <w:tab/>
        <w:t>a request for advice about the cost</w:t>
      </w:r>
      <w:r w:rsidR="003D794E" w:rsidRPr="00CE3138">
        <w:noBreakHyphen/>
      </w:r>
      <w:r w:rsidRPr="00CE3138">
        <w:t>effectiveness or clinical</w:t>
      </w:r>
      <w:r w:rsidR="003D794E" w:rsidRPr="00CE3138">
        <w:noBreakHyphen/>
      </w:r>
      <w:r w:rsidRPr="00CE3138">
        <w:t>effectiveness of the medical device; and</w:t>
      </w:r>
    </w:p>
    <w:p w14:paraId="66014E64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the applicant has not paid both a clinical assessment fee and an economic assessment fee in relation to the application.</w:t>
      </w:r>
    </w:p>
    <w:p w14:paraId="5B293AB4" w14:textId="77777777" w:rsidR="004E71C0" w:rsidRPr="00CE3138" w:rsidRDefault="004E71C0" w:rsidP="004E71C0">
      <w:pPr>
        <w:pStyle w:val="SubsectionHead"/>
      </w:pPr>
      <w:r w:rsidRPr="00CE3138">
        <w:lastRenderedPageBreak/>
        <w:t>Amount of full health technology assessment pathway fee</w:t>
      </w:r>
    </w:p>
    <w:p w14:paraId="57BDE634" w14:textId="1FB86CA3" w:rsidR="004E71C0" w:rsidRPr="00CE3138" w:rsidRDefault="004E71C0" w:rsidP="004E71C0">
      <w:pPr>
        <w:pStyle w:val="subsection"/>
      </w:pPr>
      <w:r w:rsidRPr="00CE3138">
        <w:tab/>
        <w:t>(3)</w:t>
      </w:r>
      <w:r w:rsidRPr="00CE3138">
        <w:tab/>
        <w:t xml:space="preserve">The full health technology assessment pathway fee is </w:t>
      </w:r>
      <w:r w:rsidR="009969C9" w:rsidRPr="009969C9">
        <w:t>$</w:t>
      </w:r>
      <w:r w:rsidR="007F1EF8" w:rsidRPr="007F1EF8">
        <w:t>2,990</w:t>
      </w:r>
      <w:r w:rsidR="007F1EF8">
        <w:t>.</w:t>
      </w:r>
    </w:p>
    <w:p w14:paraId="2B35386D" w14:textId="6439FB16" w:rsidR="004E71C0" w:rsidRPr="00CE3138" w:rsidRDefault="00DC46F8" w:rsidP="000F6DC3">
      <w:pPr>
        <w:pStyle w:val="ActHead3"/>
        <w:pageBreakBefore/>
      </w:pPr>
      <w:bookmarkStart w:id="33" w:name="_Toc169882181"/>
      <w:r w:rsidRPr="00CE3138">
        <w:rPr>
          <w:rStyle w:val="CharDivNo"/>
        </w:rPr>
        <w:lastRenderedPageBreak/>
        <w:t>Division </w:t>
      </w:r>
      <w:r w:rsidR="00A73318" w:rsidRPr="00CE3138">
        <w:rPr>
          <w:rStyle w:val="CharDivNo"/>
        </w:rPr>
        <w:t>2</w:t>
      </w:r>
      <w:r w:rsidR="004E71C0" w:rsidRPr="00CE3138">
        <w:t>—</w:t>
      </w:r>
      <w:r w:rsidR="004E71C0" w:rsidRPr="00CE3138">
        <w:rPr>
          <w:rStyle w:val="CharDivText"/>
        </w:rPr>
        <w:t>Payment of cost</w:t>
      </w:r>
      <w:r w:rsidR="003D794E" w:rsidRPr="00CE3138">
        <w:rPr>
          <w:rStyle w:val="CharDivText"/>
        </w:rPr>
        <w:noBreakHyphen/>
      </w:r>
      <w:r w:rsidR="004E71C0" w:rsidRPr="00CE3138">
        <w:rPr>
          <w:rStyle w:val="CharDivText"/>
        </w:rPr>
        <w:t>recovery fees</w:t>
      </w:r>
      <w:bookmarkEnd w:id="33"/>
    </w:p>
    <w:p w14:paraId="33C277C7" w14:textId="79315F07" w:rsidR="004E71C0" w:rsidRPr="00CE3138" w:rsidRDefault="002D61A4" w:rsidP="004E71C0">
      <w:pPr>
        <w:pStyle w:val="ActHead5"/>
      </w:pPr>
      <w:bookmarkStart w:id="34" w:name="_Toc169882182"/>
      <w:r>
        <w:rPr>
          <w:rStyle w:val="CharSectno"/>
        </w:rPr>
        <w:t>22</w:t>
      </w:r>
      <w:r w:rsidRPr="00CE3138">
        <w:t xml:space="preserve">  </w:t>
      </w:r>
      <w:r w:rsidR="004E71C0" w:rsidRPr="00CE3138">
        <w:t>When cost</w:t>
      </w:r>
      <w:r w:rsidR="003D794E" w:rsidRPr="00CE3138">
        <w:noBreakHyphen/>
      </w:r>
      <w:r w:rsidR="004E71C0" w:rsidRPr="00CE3138">
        <w:t>recovery fee must be paid</w:t>
      </w:r>
      <w:bookmarkEnd w:id="34"/>
    </w:p>
    <w:p w14:paraId="4679E063" w14:textId="34B38A84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 xml:space="preserve">For the purposes of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30 of the Act, this section specifies the time when cost</w:t>
      </w:r>
      <w:r w:rsidR="003D794E" w:rsidRPr="00CE3138">
        <w:noBreakHyphen/>
      </w:r>
      <w:r w:rsidRPr="00CE3138">
        <w:t>recovery fees become due and payable.</w:t>
      </w:r>
    </w:p>
    <w:p w14:paraId="4CA220AA" w14:textId="792A82E0" w:rsidR="004E71C0" w:rsidRPr="00CE3138" w:rsidRDefault="004E71C0" w:rsidP="004E71C0">
      <w:pPr>
        <w:pStyle w:val="notetext"/>
      </w:pPr>
      <w:r w:rsidRPr="00CE3138">
        <w:t>Note 1:</w:t>
      </w:r>
      <w:r w:rsidRPr="00CE3138">
        <w:tab/>
        <w:t xml:space="preserve">The Minister may not list a medical device in </w:t>
      </w:r>
      <w:r w:rsidR="00D9160B" w:rsidRPr="00CE3138">
        <w:t>Schedule 1</w:t>
      </w:r>
      <w:r w:rsidRPr="00CE3138">
        <w:t xml:space="preserve"> as a result of a listing application until any cost</w:t>
      </w:r>
      <w:r w:rsidR="003D794E" w:rsidRPr="00CE3138">
        <w:noBreakHyphen/>
      </w:r>
      <w:r w:rsidRPr="00CE3138">
        <w:t xml:space="preserve">recovery fee payable in connection with the initial listing of the kind of medical device has been paid (see </w:t>
      </w:r>
      <w:r w:rsidR="00DC46F8" w:rsidRPr="00CE3138">
        <w:t>subsection 7</w:t>
      </w:r>
      <w:r w:rsidRPr="00CE3138">
        <w:t>2</w:t>
      </w:r>
      <w:r w:rsidR="003D794E" w:rsidRPr="00CE3138">
        <w:noBreakHyphen/>
      </w:r>
      <w:r w:rsidRPr="00CE3138">
        <w:t>10(5) of the Act).</w:t>
      </w:r>
    </w:p>
    <w:p w14:paraId="02CBE66A" w14:textId="7CE7495A" w:rsidR="004E71C0" w:rsidRPr="00CE3138" w:rsidRDefault="004E71C0" w:rsidP="004E71C0">
      <w:pPr>
        <w:pStyle w:val="notetext"/>
      </w:pPr>
      <w:r w:rsidRPr="00CE3138">
        <w:t>Note 2:</w:t>
      </w:r>
      <w:r w:rsidRPr="00CE3138">
        <w:tab/>
        <w:t xml:space="preserve">The Minister may remove a kind of medical device from </w:t>
      </w:r>
      <w:r w:rsidR="00D9160B" w:rsidRPr="00CE3138">
        <w:t>Schedule 1</w:t>
      </w:r>
      <w:r w:rsidRPr="00CE3138">
        <w:t xml:space="preserve"> if a person is liable to pay a cost</w:t>
      </w:r>
      <w:r w:rsidR="003D794E" w:rsidRPr="00CE3138">
        <w:noBreakHyphen/>
      </w:r>
      <w:r w:rsidRPr="00CE3138">
        <w:t xml:space="preserve">recovery fee in connection with the kind of medical device and the person fails to pay that fee in accordance with this instrument (see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20 of the Act).</w:t>
      </w:r>
    </w:p>
    <w:p w14:paraId="63531D03" w14:textId="3C3F05CE" w:rsidR="004E71C0" w:rsidRPr="00CE3138" w:rsidRDefault="004E71C0" w:rsidP="004E71C0">
      <w:pPr>
        <w:pStyle w:val="notetext"/>
      </w:pPr>
      <w:r w:rsidRPr="00CE3138">
        <w:t>Note 3:</w:t>
      </w:r>
      <w:r w:rsidRPr="00CE3138">
        <w:tab/>
        <w:t>Activities may not be carried out under Division 72 of the Act in relation to a person who is liable to pay a cost</w:t>
      </w:r>
      <w:r w:rsidR="003D794E" w:rsidRPr="00CE3138">
        <w:noBreakHyphen/>
      </w:r>
      <w:r w:rsidRPr="00CE3138">
        <w:t xml:space="preserve">recovery fee that is due and payable until the fee has been paid (see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25 of the Act).</w:t>
      </w:r>
    </w:p>
    <w:p w14:paraId="068CF841" w14:textId="6884931C" w:rsidR="004E71C0" w:rsidRPr="00CE3138" w:rsidRDefault="004E71C0" w:rsidP="004E71C0">
      <w:pPr>
        <w:pStyle w:val="notetext"/>
      </w:pPr>
      <w:r w:rsidRPr="00CE3138">
        <w:t>Note 4:</w:t>
      </w:r>
      <w:r w:rsidRPr="00CE3138">
        <w:tab/>
        <w:t>A cost</w:t>
      </w:r>
      <w:r w:rsidR="003D794E" w:rsidRPr="00CE3138">
        <w:noBreakHyphen/>
      </w:r>
      <w:r w:rsidRPr="00CE3138">
        <w:t xml:space="preserve">recovery fee that is due and payable may be recovered as a debt due to the Commonwealth by action in a court of competent jurisdiction (see </w:t>
      </w:r>
      <w:r w:rsidR="00DC46F8" w:rsidRPr="00CE3138">
        <w:t>section 7</w:t>
      </w:r>
      <w:r w:rsidRPr="00CE3138">
        <w:t>2</w:t>
      </w:r>
      <w:r w:rsidR="003D794E" w:rsidRPr="00CE3138">
        <w:noBreakHyphen/>
      </w:r>
      <w:r w:rsidRPr="00CE3138">
        <w:t>40 of the Act).</w:t>
      </w:r>
    </w:p>
    <w:p w14:paraId="691C78E7" w14:textId="77777777" w:rsidR="004E71C0" w:rsidRPr="00CE3138" w:rsidRDefault="004E71C0" w:rsidP="004E71C0">
      <w:pPr>
        <w:pStyle w:val="SubsectionHead"/>
        <w:rPr>
          <w:i w:val="0"/>
        </w:rPr>
      </w:pPr>
      <w:r w:rsidRPr="00CE3138">
        <w:t xml:space="preserve">Standard application </w:t>
      </w:r>
      <w:r w:rsidRPr="00CE3138">
        <w:rPr>
          <w:i w:val="0"/>
        </w:rPr>
        <w:t>fee</w:t>
      </w:r>
    </w:p>
    <w:p w14:paraId="045724F7" w14:textId="044CA417" w:rsidR="004E71C0" w:rsidRPr="002166A4" w:rsidRDefault="004E71C0" w:rsidP="004E71C0">
      <w:pPr>
        <w:pStyle w:val="subsection"/>
      </w:pPr>
      <w:r w:rsidRPr="00CE3138">
        <w:tab/>
        <w:t>(2)</w:t>
      </w:r>
      <w:r w:rsidRPr="00CE3138">
        <w:tab/>
        <w:t xml:space="preserve">A standard application fee in relation to a listing application is due and payable </w:t>
      </w:r>
      <w:r w:rsidR="00156FEA" w:rsidRPr="0000176C">
        <w:t xml:space="preserve">before the end of 28 days starting on the day a </w:t>
      </w:r>
      <w:bookmarkStart w:id="35" w:name="_Hlk169515161"/>
      <w:r w:rsidR="00156FEA" w:rsidRPr="0000176C">
        <w:t>demand for payment of the fee is made</w:t>
      </w:r>
      <w:bookmarkEnd w:id="35"/>
      <w:r w:rsidR="00156FEA" w:rsidRPr="002166A4">
        <w:t xml:space="preserve">. </w:t>
      </w:r>
    </w:p>
    <w:p w14:paraId="78673540" w14:textId="532992FF" w:rsidR="004E71C0" w:rsidRPr="00CE3138" w:rsidRDefault="004E71C0" w:rsidP="004E71C0">
      <w:pPr>
        <w:pStyle w:val="subsection"/>
      </w:pPr>
      <w:r w:rsidRPr="002166A4">
        <w:tab/>
        <w:t>(3)</w:t>
      </w:r>
      <w:r w:rsidRPr="002166A4">
        <w:tab/>
        <w:t xml:space="preserve">A standard application fee in relation to a variation application is due and payable </w:t>
      </w:r>
      <w:r w:rsidR="00156FEA" w:rsidRPr="0000176C">
        <w:t>before the end of 28 days starting on the day a demand for payment of the fee is made.</w:t>
      </w:r>
      <w:r w:rsidR="00156FEA">
        <w:t xml:space="preserve"> </w:t>
      </w:r>
    </w:p>
    <w:p w14:paraId="2A72C3C6" w14:textId="1BF9C794" w:rsidR="004E71C0" w:rsidRPr="00CE3138" w:rsidRDefault="004E71C0" w:rsidP="004E71C0">
      <w:pPr>
        <w:pStyle w:val="SubsectionHead"/>
      </w:pPr>
      <w:r w:rsidRPr="00CE3138">
        <w:t>Other cost</w:t>
      </w:r>
      <w:r w:rsidR="003D794E" w:rsidRPr="00CE3138">
        <w:noBreakHyphen/>
      </w:r>
      <w:r w:rsidRPr="00CE3138">
        <w:t>recovery fees</w:t>
      </w:r>
    </w:p>
    <w:p w14:paraId="0FCD4F96" w14:textId="29C5178C" w:rsidR="004E71C0" w:rsidRDefault="004E71C0" w:rsidP="004E71C0">
      <w:pPr>
        <w:pStyle w:val="subsection"/>
      </w:pPr>
      <w:r w:rsidRPr="00CE3138">
        <w:tab/>
        <w:t>(4)</w:t>
      </w:r>
      <w:r w:rsidRPr="00CE3138">
        <w:tab/>
        <w:t>A clinical assessment fee, economic assessment fee, or full health technology assessment pathwa</w:t>
      </w:r>
      <w:r w:rsidRPr="00CE3138">
        <w:rPr>
          <w:lang w:eastAsia="en-US"/>
        </w:rPr>
        <w:t>y fee is due and</w:t>
      </w:r>
      <w:r w:rsidRPr="00CE3138">
        <w:t xml:space="preserve"> payable before the end of 28 days starting on the day a demand for payment of the fee is made</w:t>
      </w:r>
      <w:r w:rsidR="00156FEA">
        <w:t>.</w:t>
      </w:r>
    </w:p>
    <w:p w14:paraId="5272DA00" w14:textId="100A18DB" w:rsidR="004E71C0" w:rsidRPr="00CE3138" w:rsidRDefault="002D61A4" w:rsidP="004E71C0">
      <w:pPr>
        <w:pStyle w:val="ActHead5"/>
      </w:pPr>
      <w:bookmarkStart w:id="36" w:name="_Toc169882183"/>
      <w:r>
        <w:rPr>
          <w:rStyle w:val="CharSectno"/>
        </w:rPr>
        <w:t>23</w:t>
      </w:r>
      <w:r w:rsidRPr="00CE3138">
        <w:t xml:space="preserve">  </w:t>
      </w:r>
      <w:r w:rsidR="004E71C0" w:rsidRPr="00CE3138">
        <w:t>Person liable to pay cost</w:t>
      </w:r>
      <w:r w:rsidR="003D794E" w:rsidRPr="00CE3138">
        <w:noBreakHyphen/>
      </w:r>
      <w:r w:rsidR="004E71C0" w:rsidRPr="00CE3138">
        <w:t>recovery fee</w:t>
      </w:r>
      <w:bookmarkEnd w:id="36"/>
    </w:p>
    <w:p w14:paraId="1B2207CC" w14:textId="53440567" w:rsidR="004E71C0" w:rsidRPr="00CE3138" w:rsidRDefault="004E71C0" w:rsidP="004E71C0">
      <w:pPr>
        <w:pStyle w:val="subsection"/>
      </w:pPr>
      <w:r w:rsidRPr="00CE3138">
        <w:tab/>
      </w:r>
      <w:r w:rsidRPr="00CE3138">
        <w:tab/>
        <w:t xml:space="preserve">For the purposes of </w:t>
      </w:r>
      <w:r w:rsidR="001F3D64" w:rsidRPr="00CE3138">
        <w:t>paragraph 7</w:t>
      </w:r>
      <w:r w:rsidRPr="00CE3138">
        <w:t>2</w:t>
      </w:r>
      <w:r w:rsidR="003D794E" w:rsidRPr="00CE3138">
        <w:noBreakHyphen/>
      </w:r>
      <w:r w:rsidRPr="00CE3138">
        <w:t>45(a) of the Act:</w:t>
      </w:r>
    </w:p>
    <w:p w14:paraId="0391CFC4" w14:textId="7BF59481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a cost</w:t>
      </w:r>
      <w:r w:rsidR="003D794E" w:rsidRPr="00CE3138">
        <w:noBreakHyphen/>
      </w:r>
      <w:r w:rsidRPr="00CE3138">
        <w:t>recovery fee in relation to a listing application is payable by the person who made the application; and</w:t>
      </w:r>
    </w:p>
    <w:p w14:paraId="0BDC3D97" w14:textId="510B6CB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a cost</w:t>
      </w:r>
      <w:r w:rsidR="003D794E" w:rsidRPr="00CE3138">
        <w:noBreakHyphen/>
      </w:r>
      <w:r w:rsidRPr="00CE3138">
        <w:t>recovery fee in relation to a variation application is payable by the person who made the relevant request.</w:t>
      </w:r>
    </w:p>
    <w:p w14:paraId="1B3383DA" w14:textId="17E6748F" w:rsidR="004E71C0" w:rsidRPr="00CE3138" w:rsidRDefault="00DC46F8" w:rsidP="000F6DC3">
      <w:pPr>
        <w:pStyle w:val="ActHead3"/>
        <w:pageBreakBefore/>
      </w:pPr>
      <w:bookmarkStart w:id="37" w:name="_Toc169882184"/>
      <w:r w:rsidRPr="00CE3138">
        <w:rPr>
          <w:rStyle w:val="CharDivNo"/>
        </w:rPr>
        <w:lastRenderedPageBreak/>
        <w:t>Division </w:t>
      </w:r>
      <w:r w:rsidR="00A73318" w:rsidRPr="00CE3138">
        <w:rPr>
          <w:rStyle w:val="CharDivNo"/>
        </w:rPr>
        <w:t>3</w:t>
      </w:r>
      <w:r w:rsidR="004E71C0" w:rsidRPr="00CE3138">
        <w:t>—</w:t>
      </w:r>
      <w:r w:rsidR="004E71C0" w:rsidRPr="00CE3138">
        <w:rPr>
          <w:rStyle w:val="CharDivText"/>
        </w:rPr>
        <w:t xml:space="preserve">Refunds </w:t>
      </w:r>
      <w:r w:rsidR="00A73318" w:rsidRPr="00CE3138">
        <w:rPr>
          <w:rStyle w:val="CharDivText"/>
        </w:rPr>
        <w:t xml:space="preserve">and waiver </w:t>
      </w:r>
      <w:r w:rsidR="004E71C0" w:rsidRPr="00CE3138">
        <w:rPr>
          <w:rStyle w:val="CharDivText"/>
        </w:rPr>
        <w:t>of cost</w:t>
      </w:r>
      <w:r w:rsidR="003D794E" w:rsidRPr="00CE3138">
        <w:rPr>
          <w:rStyle w:val="CharDivText"/>
        </w:rPr>
        <w:noBreakHyphen/>
      </w:r>
      <w:r w:rsidR="004E71C0" w:rsidRPr="00CE3138">
        <w:rPr>
          <w:rStyle w:val="CharDivText"/>
        </w:rPr>
        <w:t>recovery fees</w:t>
      </w:r>
      <w:bookmarkEnd w:id="37"/>
    </w:p>
    <w:p w14:paraId="22560C4D" w14:textId="6799A638" w:rsidR="004E71C0" w:rsidRPr="00CE3138" w:rsidRDefault="002D61A4" w:rsidP="004E71C0">
      <w:pPr>
        <w:pStyle w:val="ActHead5"/>
      </w:pPr>
      <w:bookmarkStart w:id="38" w:name="_Toc169882185"/>
      <w:r>
        <w:rPr>
          <w:rStyle w:val="CharSectno"/>
        </w:rPr>
        <w:t>24</w:t>
      </w:r>
      <w:r w:rsidRPr="00CE3138">
        <w:t xml:space="preserve">  </w:t>
      </w:r>
      <w:r w:rsidR="004E71C0" w:rsidRPr="00CE3138">
        <w:t>Refunds</w:t>
      </w:r>
      <w:bookmarkEnd w:id="38"/>
    </w:p>
    <w:p w14:paraId="5A22B219" w14:textId="116719E5" w:rsidR="00324EE3" w:rsidRPr="00CE3138" w:rsidRDefault="00324EE3" w:rsidP="00324EE3">
      <w:pPr>
        <w:pStyle w:val="subsection"/>
      </w:pPr>
      <w:r w:rsidRPr="00CE3138">
        <w:tab/>
        <w:t>(1)</w:t>
      </w:r>
      <w:r w:rsidRPr="00CE3138">
        <w:tab/>
        <w:t xml:space="preserve">This section is made for the purposes of </w:t>
      </w:r>
      <w:r w:rsidR="001F3D64" w:rsidRPr="00CE3138">
        <w:t>paragraph 7</w:t>
      </w:r>
      <w:r w:rsidR="00EC21E7" w:rsidRPr="00CE3138">
        <w:t>2</w:t>
      </w:r>
      <w:r w:rsidR="003D794E" w:rsidRPr="00CE3138">
        <w:noBreakHyphen/>
      </w:r>
      <w:r w:rsidR="00EC21E7" w:rsidRPr="00CE3138">
        <w:t>45(d) of the Act.</w:t>
      </w:r>
    </w:p>
    <w:p w14:paraId="001757E8" w14:textId="670366B8" w:rsidR="004E71C0" w:rsidRPr="00CE3138" w:rsidRDefault="004E71C0" w:rsidP="004E71C0">
      <w:pPr>
        <w:pStyle w:val="subsection"/>
      </w:pPr>
      <w:r w:rsidRPr="00CE3138">
        <w:tab/>
        <w:t>(</w:t>
      </w:r>
      <w:r w:rsidR="00EC21E7" w:rsidRPr="00CE3138">
        <w:t>2</w:t>
      </w:r>
      <w:r w:rsidRPr="00CE3138">
        <w:t>)</w:t>
      </w:r>
      <w:r w:rsidRPr="00CE3138">
        <w:tab/>
        <w:t xml:space="preserve">Subject to </w:t>
      </w:r>
      <w:r w:rsidR="00DC46F8" w:rsidRPr="00CE3138">
        <w:t>subsections (</w:t>
      </w:r>
      <w:r w:rsidR="00EC21E7" w:rsidRPr="00CE3138">
        <w:t>3</w:t>
      </w:r>
      <w:r w:rsidRPr="00CE3138">
        <w:t>) and (</w:t>
      </w:r>
      <w:r w:rsidR="00EC21E7" w:rsidRPr="00CE3138">
        <w:t>4</w:t>
      </w:r>
      <w:r w:rsidRPr="00CE3138">
        <w:t>), a cost</w:t>
      </w:r>
      <w:r w:rsidR="003D794E" w:rsidRPr="00CE3138">
        <w:noBreakHyphen/>
      </w:r>
      <w:r w:rsidRPr="00CE3138">
        <w:t>recovery fee is not refundable in any circumstances, including:</w:t>
      </w:r>
    </w:p>
    <w:p w14:paraId="1A940533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if the applicant withdraws the listing application or variation application to which the fee relates; or</w:t>
      </w:r>
    </w:p>
    <w:p w14:paraId="3B98258F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for a fee relating to a listing application—if the Minister decides not to grant the application; or</w:t>
      </w:r>
    </w:p>
    <w:p w14:paraId="56E5B0A4" w14:textId="77777777" w:rsidR="004E71C0" w:rsidRPr="00CE3138" w:rsidRDefault="004E71C0" w:rsidP="00053FDF">
      <w:pPr>
        <w:pStyle w:val="paragraph"/>
      </w:pPr>
      <w:r w:rsidRPr="00CE3138">
        <w:tab/>
        <w:t>(c)</w:t>
      </w:r>
      <w:r w:rsidRPr="00CE3138">
        <w:tab/>
        <w:t>for a fee relating to a variation application—if the Minister decides not to agree to the relevant request.</w:t>
      </w:r>
    </w:p>
    <w:p w14:paraId="44B6551A" w14:textId="77777777" w:rsidR="004E71C0" w:rsidRPr="00CE3138" w:rsidRDefault="004E71C0" w:rsidP="004E71C0">
      <w:pPr>
        <w:pStyle w:val="subsection"/>
      </w:pPr>
      <w:r w:rsidRPr="00CE3138">
        <w:tab/>
        <w:t>(</w:t>
      </w:r>
      <w:r w:rsidR="00EC21E7" w:rsidRPr="00CE3138">
        <w:t>3</w:t>
      </w:r>
      <w:r w:rsidRPr="00CE3138">
        <w:t>)</w:t>
      </w:r>
      <w:r w:rsidRPr="00CE3138">
        <w:tab/>
        <w:t>If:</w:t>
      </w:r>
    </w:p>
    <w:p w14:paraId="21EB91E6" w14:textId="78D70639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a person pays an amount as a cost</w:t>
      </w:r>
      <w:r w:rsidR="003D794E" w:rsidRPr="00CE3138">
        <w:noBreakHyphen/>
      </w:r>
      <w:r w:rsidRPr="00CE3138">
        <w:t>recovery fee; and</w:t>
      </w:r>
    </w:p>
    <w:p w14:paraId="6548FB05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the amount paid is greater than the amount required to be paid under this instrument;</w:t>
      </w:r>
    </w:p>
    <w:p w14:paraId="3BD2E02F" w14:textId="77777777" w:rsidR="004E71C0" w:rsidRPr="00CE3138" w:rsidRDefault="004E71C0" w:rsidP="004E71C0">
      <w:pPr>
        <w:pStyle w:val="subsection2"/>
      </w:pPr>
      <w:r w:rsidRPr="00CE3138">
        <w:t>the Department must, on behalf of the Commonwealth, refund an amount equal to the amount overpaid.</w:t>
      </w:r>
    </w:p>
    <w:p w14:paraId="23EF3E19" w14:textId="42267CCB" w:rsidR="004E71C0" w:rsidRPr="00CE3138" w:rsidRDefault="004E71C0" w:rsidP="004E71C0">
      <w:pPr>
        <w:pStyle w:val="notetext"/>
      </w:pPr>
      <w:r w:rsidRPr="00CE3138">
        <w:t>Example:</w:t>
      </w:r>
      <w:r w:rsidR="009F77C7" w:rsidRPr="00CE3138">
        <w:tab/>
      </w:r>
      <w:r w:rsidRPr="00CE3138">
        <w:t xml:space="preserve">A person may overpay an amount as a result of a review decision (see </w:t>
      </w:r>
      <w:r w:rsidR="00D24D39" w:rsidRPr="00CE3138">
        <w:t>section </w:t>
      </w:r>
      <w:r w:rsidR="00243984">
        <w:t>29</w:t>
      </w:r>
      <w:r w:rsidRPr="00CE3138">
        <w:t>).</w:t>
      </w:r>
    </w:p>
    <w:p w14:paraId="2C2E0273" w14:textId="3DFD1D30" w:rsidR="004E71C0" w:rsidRPr="00CE3138" w:rsidRDefault="004E71C0" w:rsidP="004E71C0">
      <w:pPr>
        <w:pStyle w:val="subsection"/>
      </w:pPr>
      <w:r w:rsidRPr="00CE3138">
        <w:tab/>
        <w:t>(</w:t>
      </w:r>
      <w:r w:rsidR="00EC21E7" w:rsidRPr="00CE3138">
        <w:t>4</w:t>
      </w:r>
      <w:r w:rsidRPr="00CE3138">
        <w:t>)</w:t>
      </w:r>
      <w:r w:rsidRPr="00CE3138">
        <w:tab/>
        <w:t>The Minister may refund an amount equal to the whole or part of a cost</w:t>
      </w:r>
      <w:r w:rsidR="003D794E" w:rsidRPr="00CE3138">
        <w:noBreakHyphen/>
      </w:r>
      <w:r w:rsidRPr="00CE3138">
        <w:t>recovery fee paid by a person if the Minister is satisfied that exceptional circumstances exist.</w:t>
      </w:r>
    </w:p>
    <w:p w14:paraId="7C20C68C" w14:textId="77777777" w:rsidR="004E71C0" w:rsidRPr="00CE3138" w:rsidRDefault="004E71C0" w:rsidP="004E71C0">
      <w:pPr>
        <w:pStyle w:val="subsection"/>
      </w:pPr>
      <w:r w:rsidRPr="00CE3138">
        <w:tab/>
        <w:t>(</w:t>
      </w:r>
      <w:r w:rsidR="00EC21E7" w:rsidRPr="00CE3138">
        <w:t>5</w:t>
      </w:r>
      <w:r w:rsidRPr="00CE3138">
        <w:t>)</w:t>
      </w:r>
      <w:r w:rsidRPr="00CE3138">
        <w:tab/>
        <w:t xml:space="preserve">The Minister may refund an amount under </w:t>
      </w:r>
      <w:r w:rsidR="00D24D39" w:rsidRPr="00CE3138">
        <w:t>subsection (</w:t>
      </w:r>
      <w:r w:rsidR="00EC21E7" w:rsidRPr="00CE3138">
        <w:t>4</w:t>
      </w:r>
      <w:r w:rsidRPr="00CE3138">
        <w:t>) on the Minister’s own initiative or on written application by the person.</w:t>
      </w:r>
    </w:p>
    <w:p w14:paraId="65BACBFE" w14:textId="44DC8DA7" w:rsidR="004E5627" w:rsidRPr="002E1D7C" w:rsidRDefault="004E5627" w:rsidP="004E5627">
      <w:pPr>
        <w:pStyle w:val="notetext"/>
      </w:pPr>
      <w:r w:rsidRPr="002E1D7C">
        <w:t>Note 1:</w:t>
      </w:r>
      <w:r w:rsidRPr="002E1D7C">
        <w:tab/>
        <w:t>Notice must be given of a decision to refuse to agree to an application under this subsection for a refund (see subsection </w:t>
      </w:r>
      <w:r w:rsidR="00243984">
        <w:t>27</w:t>
      </w:r>
      <w:r w:rsidRPr="002E1D7C">
        <w:t>(1)). Such a decision made by a delegate of the Minister is reviewable (see section </w:t>
      </w:r>
      <w:r w:rsidR="00243984">
        <w:t>28</w:t>
      </w:r>
      <w:r w:rsidRPr="002E1D7C">
        <w:t>).</w:t>
      </w:r>
    </w:p>
    <w:p w14:paraId="6279293B" w14:textId="77777777" w:rsidR="004E71C0" w:rsidRPr="00CE3138" w:rsidRDefault="004E71C0" w:rsidP="004E71C0">
      <w:pPr>
        <w:pStyle w:val="notetext"/>
      </w:pPr>
      <w:r w:rsidRPr="00CE3138">
        <w:t>Note 2:</w:t>
      </w:r>
      <w:r w:rsidRPr="00CE3138">
        <w:tab/>
        <w:t xml:space="preserve">For the appropriation for a refund under this section, see </w:t>
      </w:r>
      <w:r w:rsidR="00DC46F8" w:rsidRPr="00CE3138">
        <w:t>section 7</w:t>
      </w:r>
      <w:r w:rsidRPr="00CE3138">
        <w:t xml:space="preserve">7 of the </w:t>
      </w:r>
      <w:r w:rsidRPr="00CE3138">
        <w:rPr>
          <w:i/>
        </w:rPr>
        <w:t>Public Governance, Performance and Accountability Act 2013</w:t>
      </w:r>
      <w:r w:rsidRPr="00CE3138">
        <w:t>.</w:t>
      </w:r>
    </w:p>
    <w:p w14:paraId="5D2FB105" w14:textId="5C0323FF" w:rsidR="004E71C0" w:rsidRPr="00CE3138" w:rsidRDefault="002D61A4" w:rsidP="004E71C0">
      <w:pPr>
        <w:pStyle w:val="ActHead5"/>
      </w:pPr>
      <w:bookmarkStart w:id="39" w:name="_Toc169882186"/>
      <w:r>
        <w:rPr>
          <w:rStyle w:val="CharSectno"/>
        </w:rPr>
        <w:t>25</w:t>
      </w:r>
      <w:r w:rsidRPr="00CE3138">
        <w:t xml:space="preserve">  </w:t>
      </w:r>
      <w:r w:rsidR="004E71C0" w:rsidRPr="00CE3138">
        <w:t>Waiver of cost</w:t>
      </w:r>
      <w:r w:rsidR="003D794E" w:rsidRPr="00CE3138">
        <w:noBreakHyphen/>
      </w:r>
      <w:r w:rsidR="004E71C0" w:rsidRPr="00CE3138">
        <w:t>recovery fees</w:t>
      </w:r>
      <w:bookmarkEnd w:id="39"/>
    </w:p>
    <w:p w14:paraId="09A6FEF0" w14:textId="7EE35375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 xml:space="preserve">For the purposes of </w:t>
      </w:r>
      <w:r w:rsidR="001F3D64" w:rsidRPr="00CE3138">
        <w:t>paragraph 7</w:t>
      </w:r>
      <w:r w:rsidRPr="00CE3138">
        <w:t>2</w:t>
      </w:r>
      <w:r w:rsidR="003D794E" w:rsidRPr="00CE3138">
        <w:noBreakHyphen/>
      </w:r>
      <w:r w:rsidRPr="00CE3138">
        <w:t>15(2)(e) of the Act, this section specifies the circumstances in which the Minister may waive a cost</w:t>
      </w:r>
      <w:r w:rsidR="003D794E" w:rsidRPr="00CE3138">
        <w:noBreakHyphen/>
      </w:r>
      <w:r w:rsidRPr="00CE3138">
        <w:t>recovery fee.</w:t>
      </w:r>
    </w:p>
    <w:p w14:paraId="668EE2CD" w14:textId="77777777" w:rsidR="004E71C0" w:rsidRPr="00CE3138" w:rsidRDefault="004E71C0" w:rsidP="004E71C0">
      <w:pPr>
        <w:pStyle w:val="SubsectionHead"/>
      </w:pPr>
      <w:r w:rsidRPr="00CE3138">
        <w:t xml:space="preserve">Related </w:t>
      </w:r>
      <w:r w:rsidR="00C94C80" w:rsidRPr="00CE3138">
        <w:t xml:space="preserve">medical </w:t>
      </w:r>
      <w:r w:rsidRPr="00CE3138">
        <w:t>devices</w:t>
      </w:r>
    </w:p>
    <w:p w14:paraId="129FB35C" w14:textId="77777777" w:rsidR="004E71C0" w:rsidRPr="00CE3138" w:rsidRDefault="004E71C0" w:rsidP="004E71C0">
      <w:pPr>
        <w:pStyle w:val="subsection"/>
      </w:pPr>
      <w:r w:rsidRPr="00CE3138">
        <w:tab/>
        <w:t>(</w:t>
      </w:r>
      <w:r w:rsidR="009516B4" w:rsidRPr="00CE3138">
        <w:t>2</w:t>
      </w:r>
      <w:r w:rsidRPr="00CE3138">
        <w:t>)</w:t>
      </w:r>
      <w:r w:rsidRPr="00CE3138">
        <w:tab/>
        <w:t xml:space="preserve">The Minister may waive a clinical assessment fee or economic assessment fee (the </w:t>
      </w:r>
      <w:r w:rsidRPr="00CE3138">
        <w:rPr>
          <w:b/>
          <w:i/>
        </w:rPr>
        <w:t>relevant fee</w:t>
      </w:r>
      <w:r w:rsidRPr="00CE3138">
        <w:t xml:space="preserve">) payable by a person in relation to a listing application or variation application (the </w:t>
      </w:r>
      <w:r w:rsidRPr="00CE3138">
        <w:rPr>
          <w:b/>
          <w:i/>
        </w:rPr>
        <w:t>relevant application</w:t>
      </w:r>
      <w:r w:rsidRPr="00CE3138">
        <w:t>) that relates to a medical device if:</w:t>
      </w:r>
    </w:p>
    <w:p w14:paraId="13B07E95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the person has also made one or more other listing applications or variation applications (the </w:t>
      </w:r>
      <w:r w:rsidRPr="00CE3138">
        <w:rPr>
          <w:b/>
          <w:i/>
        </w:rPr>
        <w:t>other applications</w:t>
      </w:r>
      <w:r w:rsidRPr="00CE3138">
        <w:t>) that relate to medical devices; and</w:t>
      </w:r>
    </w:p>
    <w:p w14:paraId="74F4C968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 xml:space="preserve">each of the medical devices </w:t>
      </w:r>
      <w:bookmarkStart w:id="40" w:name="_Hlk137544952"/>
      <w:r w:rsidRPr="00CE3138">
        <w:t>to which the relevant application and the other applications relate are related medical devices</w:t>
      </w:r>
      <w:bookmarkEnd w:id="40"/>
      <w:r w:rsidRPr="00CE3138">
        <w:t>; and</w:t>
      </w:r>
    </w:p>
    <w:p w14:paraId="6DDF8C38" w14:textId="77777777" w:rsidR="004E71C0" w:rsidRPr="00CE3138" w:rsidRDefault="004E71C0" w:rsidP="004E71C0">
      <w:pPr>
        <w:pStyle w:val="paragraph"/>
      </w:pPr>
      <w:bookmarkStart w:id="41" w:name="_Hlk137560216"/>
      <w:r w:rsidRPr="00CE3138">
        <w:tab/>
        <w:t>(c)</w:t>
      </w:r>
      <w:r w:rsidRPr="00CE3138">
        <w:tab/>
        <w:t>in the case of a clinical assessment fee—the Minister is satisfied that:</w:t>
      </w:r>
    </w:p>
    <w:p w14:paraId="341340D9" w14:textId="77777777" w:rsidR="004E71C0" w:rsidRPr="00CE3138" w:rsidRDefault="004E71C0" w:rsidP="004E71C0">
      <w:pPr>
        <w:pStyle w:val="paragraphsub"/>
      </w:pPr>
      <w:r w:rsidRPr="00CE3138">
        <w:lastRenderedPageBreak/>
        <w:tab/>
        <w:t>(i)</w:t>
      </w:r>
      <w:r w:rsidRPr="00CE3138">
        <w:tab/>
        <w:t xml:space="preserve">the related medical devices can be considered </w:t>
      </w:r>
      <w:r w:rsidR="002418FC" w:rsidRPr="00CE3138">
        <w:t>as part of</w:t>
      </w:r>
      <w:r w:rsidRPr="00CE3138">
        <w:t xml:space="preserve"> a single clinical assessment</w:t>
      </w:r>
      <w:r w:rsidR="003F5667" w:rsidRPr="00CE3138">
        <w:t xml:space="preserve"> or </w:t>
      </w:r>
      <w:r w:rsidR="00554FEC" w:rsidRPr="00CE3138">
        <w:t xml:space="preserve">as part of one or more </w:t>
      </w:r>
      <w:r w:rsidR="003F5667" w:rsidRPr="00CE3138">
        <w:t>abridged clinical assessments</w:t>
      </w:r>
      <w:r w:rsidRPr="00CE3138">
        <w:t>; and</w:t>
      </w:r>
    </w:p>
    <w:p w14:paraId="61AB8C16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 xml:space="preserve">a clinical assessment fee in relation to </w:t>
      </w:r>
      <w:r w:rsidR="00C35BC9" w:rsidRPr="00CE3138">
        <w:t xml:space="preserve">at least </w:t>
      </w:r>
      <w:r w:rsidRPr="00CE3138">
        <w:t>one of the other applications has not been waived under this subsection; and</w:t>
      </w:r>
    </w:p>
    <w:bookmarkEnd w:id="41"/>
    <w:p w14:paraId="0D2A1E3C" w14:textId="77777777" w:rsidR="004E71C0" w:rsidRPr="00CE3138" w:rsidRDefault="004E71C0" w:rsidP="004E71C0">
      <w:pPr>
        <w:pStyle w:val="paragraph"/>
      </w:pPr>
      <w:r w:rsidRPr="00CE3138">
        <w:tab/>
        <w:t>(d)</w:t>
      </w:r>
      <w:r w:rsidRPr="00CE3138">
        <w:tab/>
        <w:t>in the case of an economic assessment fee—the Minister is satisfied that:</w:t>
      </w:r>
    </w:p>
    <w:p w14:paraId="23D6890A" w14:textId="77777777" w:rsidR="004E71C0" w:rsidRPr="00CE3138" w:rsidRDefault="004E71C0" w:rsidP="004E71C0">
      <w:pPr>
        <w:pStyle w:val="paragraphsub"/>
      </w:pPr>
      <w:r w:rsidRPr="00CE3138">
        <w:tab/>
        <w:t>(i)</w:t>
      </w:r>
      <w:r w:rsidRPr="00CE3138">
        <w:tab/>
        <w:t>the related medical devices can be considered as part of a single economic assessment</w:t>
      </w:r>
      <w:r w:rsidR="004956ED" w:rsidRPr="00CE3138">
        <w:t xml:space="preserve"> or as part of one or more abridged economic assessments</w:t>
      </w:r>
      <w:r w:rsidRPr="00CE3138">
        <w:t>; and</w:t>
      </w:r>
    </w:p>
    <w:p w14:paraId="785402AC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 xml:space="preserve">an economic assessment fee in relation to </w:t>
      </w:r>
      <w:r w:rsidR="00953492" w:rsidRPr="00CE3138">
        <w:t xml:space="preserve">at least </w:t>
      </w:r>
      <w:r w:rsidRPr="00CE3138">
        <w:t>one of the other applications has not been waived under this subsection; and</w:t>
      </w:r>
    </w:p>
    <w:p w14:paraId="49F7699C" w14:textId="77777777" w:rsidR="004E71C0" w:rsidRPr="00CE3138" w:rsidRDefault="004E71C0" w:rsidP="004E71C0">
      <w:pPr>
        <w:pStyle w:val="paragraph"/>
      </w:pPr>
      <w:r w:rsidRPr="00CE3138">
        <w:tab/>
        <w:t>(e)</w:t>
      </w:r>
      <w:r w:rsidRPr="00CE3138">
        <w:tab/>
        <w:t>the person makes a request, at the same time the relevant application is made, for waiver of the relevant fee; and</w:t>
      </w:r>
    </w:p>
    <w:p w14:paraId="339B5985" w14:textId="77777777" w:rsidR="004E71C0" w:rsidRPr="00CE3138" w:rsidRDefault="004E71C0" w:rsidP="004E71C0">
      <w:pPr>
        <w:pStyle w:val="paragraph"/>
      </w:pPr>
      <w:r w:rsidRPr="00CE3138">
        <w:tab/>
        <w:t>(f)</w:t>
      </w:r>
      <w:r w:rsidRPr="00CE3138">
        <w:tab/>
        <w:t xml:space="preserve">the waiver request includes reasons why </w:t>
      </w:r>
      <w:r w:rsidR="00DC46F8" w:rsidRPr="00CE3138">
        <w:t>paragraph (</w:t>
      </w:r>
      <w:r w:rsidRPr="00CE3138">
        <w:t>c) or (d) (as the case may be) is expected to apply in relation to the relevant application.</w:t>
      </w:r>
    </w:p>
    <w:p w14:paraId="69C6009B" w14:textId="77777777" w:rsidR="00DD02DC" w:rsidRPr="00CE3138" w:rsidRDefault="008C25B4" w:rsidP="00DD02DC">
      <w:pPr>
        <w:pStyle w:val="notetext"/>
      </w:pPr>
      <w:r w:rsidRPr="00CE3138">
        <w:t>Note 1:</w:t>
      </w:r>
      <w:r w:rsidRPr="00CE3138">
        <w:tab/>
      </w:r>
      <w:r w:rsidR="00DD02DC" w:rsidRPr="00CE3138">
        <w:t xml:space="preserve">The relevant application, and the other applications, referred to in </w:t>
      </w:r>
      <w:r w:rsidR="00D24D39" w:rsidRPr="00CE3138">
        <w:t>subsection (</w:t>
      </w:r>
      <w:r w:rsidR="00DD02DC" w:rsidRPr="00CE3138">
        <w:t xml:space="preserve">2) may not be </w:t>
      </w:r>
      <w:r w:rsidR="00F0610F" w:rsidRPr="00CE3138">
        <w:t>the only</w:t>
      </w:r>
      <w:r w:rsidR="00DD02DC" w:rsidRPr="00CE3138">
        <w:t xml:space="preserve"> listing applications and variation applications that have been made by the person.</w:t>
      </w:r>
    </w:p>
    <w:p w14:paraId="6C122A79" w14:textId="2D566BC6" w:rsidR="004E71C0" w:rsidRPr="00CE3138" w:rsidRDefault="004E71C0" w:rsidP="00DD02DC">
      <w:pPr>
        <w:pStyle w:val="notetext"/>
      </w:pPr>
      <w:r w:rsidRPr="00CE3138">
        <w:t xml:space="preserve">Note </w:t>
      </w:r>
      <w:r w:rsidR="00503600" w:rsidRPr="00CE3138">
        <w:t>2</w:t>
      </w:r>
      <w:r w:rsidRPr="00CE3138">
        <w:t>:</w:t>
      </w:r>
      <w:r w:rsidRPr="00CE3138">
        <w:tab/>
        <w:t xml:space="preserve">For when medical devices are </w:t>
      </w:r>
      <w:r w:rsidRPr="00CE3138">
        <w:rPr>
          <w:b/>
          <w:i/>
        </w:rPr>
        <w:t>related</w:t>
      </w:r>
      <w:r w:rsidRPr="00CE3138">
        <w:t xml:space="preserve">, see </w:t>
      </w:r>
      <w:r w:rsidR="00D24D39" w:rsidRPr="00CE3138">
        <w:t>section </w:t>
      </w:r>
      <w:r w:rsidR="005B4683">
        <w:t>5</w:t>
      </w:r>
      <w:r w:rsidRPr="00CE3138">
        <w:t>.</w:t>
      </w:r>
    </w:p>
    <w:p w14:paraId="20C34A73" w14:textId="70969401" w:rsidR="005B4683" w:rsidRPr="00CE3138" w:rsidRDefault="005B4683" w:rsidP="004E71C0">
      <w:pPr>
        <w:pStyle w:val="notetext"/>
      </w:pPr>
      <w:r>
        <w:rPr>
          <w:color w:val="000000"/>
          <w:szCs w:val="18"/>
        </w:rPr>
        <w:t>Note 3:</w:t>
      </w:r>
      <w:r w:rsidR="00084F5A">
        <w:rPr>
          <w:color w:val="000000"/>
          <w:szCs w:val="18"/>
        </w:rPr>
        <w:tab/>
      </w:r>
      <w:r>
        <w:rPr>
          <w:color w:val="000000"/>
          <w:szCs w:val="18"/>
        </w:rPr>
        <w:t>Notice must be given of a decision to refuse to agree to a request under this subsection for a waiver (see subsection </w:t>
      </w:r>
      <w:r w:rsidR="00B80723">
        <w:rPr>
          <w:color w:val="000000"/>
          <w:szCs w:val="18"/>
        </w:rPr>
        <w:t>27</w:t>
      </w:r>
      <w:r>
        <w:rPr>
          <w:color w:val="000000"/>
          <w:szCs w:val="18"/>
        </w:rPr>
        <w:t>(1)). Such a decision made by a delegate of the Minister is reviewable (see section </w:t>
      </w:r>
      <w:r w:rsidR="00B80723">
        <w:rPr>
          <w:color w:val="000000"/>
          <w:szCs w:val="18"/>
        </w:rPr>
        <w:t>28</w:t>
      </w:r>
      <w:r>
        <w:rPr>
          <w:color w:val="000000"/>
          <w:szCs w:val="18"/>
        </w:rPr>
        <w:t>).</w:t>
      </w:r>
    </w:p>
    <w:p w14:paraId="2D37B021" w14:textId="77777777" w:rsidR="004E71C0" w:rsidRPr="00CE3138" w:rsidRDefault="00DC46F8" w:rsidP="000F6DC3">
      <w:pPr>
        <w:pStyle w:val="ActHead3"/>
        <w:pageBreakBefore/>
      </w:pPr>
      <w:bookmarkStart w:id="42" w:name="_Toc169882187"/>
      <w:r w:rsidRPr="00CE3138">
        <w:rPr>
          <w:rStyle w:val="CharDivNo"/>
        </w:rPr>
        <w:lastRenderedPageBreak/>
        <w:t>Division </w:t>
      </w:r>
      <w:r w:rsidR="00A73318" w:rsidRPr="00CE3138">
        <w:rPr>
          <w:rStyle w:val="CharDivNo"/>
        </w:rPr>
        <w:t>4</w:t>
      </w:r>
      <w:r w:rsidR="004E71C0" w:rsidRPr="00CE3138">
        <w:t>—</w:t>
      </w:r>
      <w:r w:rsidR="004E71C0" w:rsidRPr="00CE3138">
        <w:rPr>
          <w:rStyle w:val="CharDivText"/>
        </w:rPr>
        <w:t>Review</w:t>
      </w:r>
      <w:bookmarkEnd w:id="42"/>
    </w:p>
    <w:p w14:paraId="4C6CACC4" w14:textId="0F24B8BD" w:rsidR="004E71C0" w:rsidRPr="00CE3138" w:rsidRDefault="002D61A4" w:rsidP="004E71C0">
      <w:pPr>
        <w:pStyle w:val="ActHead5"/>
      </w:pPr>
      <w:bookmarkStart w:id="43" w:name="_Toc169882188"/>
      <w:r>
        <w:rPr>
          <w:rStyle w:val="CharSectno"/>
        </w:rPr>
        <w:t>26</w:t>
      </w:r>
      <w:r w:rsidRPr="00CE3138">
        <w:t xml:space="preserve">  </w:t>
      </w:r>
      <w:r w:rsidR="004E71C0" w:rsidRPr="00CE3138">
        <w:t>Reviewable decisions</w:t>
      </w:r>
      <w:bookmarkEnd w:id="43"/>
    </w:p>
    <w:p w14:paraId="002CBFB0" w14:textId="77777777" w:rsidR="004E71C0" w:rsidRPr="00CE3138" w:rsidRDefault="004E71C0" w:rsidP="004E71C0">
      <w:pPr>
        <w:pStyle w:val="subsection"/>
      </w:pPr>
      <w:r w:rsidRPr="00CE3138">
        <w:tab/>
      </w:r>
      <w:r w:rsidRPr="00CE3138">
        <w:tab/>
        <w:t>This Division applies to the following decisions (</w:t>
      </w:r>
      <w:r w:rsidRPr="00CE3138">
        <w:rPr>
          <w:b/>
          <w:i/>
        </w:rPr>
        <w:t>reviewable decisions</w:t>
      </w:r>
      <w:r w:rsidRPr="00CE3138">
        <w:t>) of the Minister:</w:t>
      </w:r>
    </w:p>
    <w:p w14:paraId="4FC2664E" w14:textId="7B3B2C0F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a decision that the Minister is satisfied as mentioned in </w:t>
      </w:r>
      <w:r w:rsidR="00D24D39" w:rsidRPr="00CE3138">
        <w:t>paragraph </w:t>
      </w:r>
      <w:r w:rsidR="00016CD5">
        <w:t>19</w:t>
      </w:r>
      <w:r w:rsidRPr="00CE3138">
        <w:t>(1)(b) that an application requires a clinical assessment;</w:t>
      </w:r>
    </w:p>
    <w:p w14:paraId="6FDB8DFC" w14:textId="281642FF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 xml:space="preserve">a decision that the Minister is satisfied as mentioned in </w:t>
      </w:r>
      <w:r w:rsidR="00D24D39" w:rsidRPr="00CE3138">
        <w:t>paragraph </w:t>
      </w:r>
      <w:r w:rsidR="00016CD5">
        <w:t>20</w:t>
      </w:r>
      <w:r w:rsidRPr="00CE3138">
        <w:t>(1)(b) that an application requires an economic assessment;</w:t>
      </w:r>
    </w:p>
    <w:p w14:paraId="54E2E7FE" w14:textId="7914FABD" w:rsidR="004E71C0" w:rsidRPr="00CE3138" w:rsidRDefault="004E71C0" w:rsidP="004E71C0">
      <w:pPr>
        <w:pStyle w:val="paragraph"/>
      </w:pPr>
      <w:r w:rsidRPr="00CE3138">
        <w:tab/>
        <w:t>(c)</w:t>
      </w:r>
      <w:r w:rsidRPr="00CE3138">
        <w:tab/>
        <w:t xml:space="preserve">a decision that the Minister is satisfied as mentioned in </w:t>
      </w:r>
      <w:r w:rsidR="00D24D39" w:rsidRPr="00CE3138">
        <w:t>paragraph </w:t>
      </w:r>
      <w:r w:rsidR="00016CD5">
        <w:t>21</w:t>
      </w:r>
      <w:r w:rsidRPr="00CE3138">
        <w:t>(1)(b) that an application requires a full health technology assessment;</w:t>
      </w:r>
    </w:p>
    <w:p w14:paraId="1FEAE766" w14:textId="2D58FBA0" w:rsidR="004E71C0" w:rsidRPr="00CE3138" w:rsidRDefault="004E71C0" w:rsidP="004E71C0">
      <w:pPr>
        <w:pStyle w:val="paragraph"/>
      </w:pPr>
      <w:r w:rsidRPr="00CE3138">
        <w:tab/>
        <w:t>(d)</w:t>
      </w:r>
      <w:r w:rsidRPr="00CE3138">
        <w:tab/>
        <w:t xml:space="preserve">a decision to refuse to agree to an application under </w:t>
      </w:r>
      <w:r w:rsidR="00D24D39" w:rsidRPr="00CE3138">
        <w:t>subsection </w:t>
      </w:r>
      <w:r w:rsidR="0059790B">
        <w:t>24</w:t>
      </w:r>
      <w:r w:rsidRPr="00CE3138">
        <w:t>(</w:t>
      </w:r>
      <w:r w:rsidR="00CB64DE" w:rsidRPr="00CE3138">
        <w:t>5</w:t>
      </w:r>
      <w:r w:rsidRPr="00CE3138">
        <w:t>) for a refund of the whole or part of a cost</w:t>
      </w:r>
      <w:r w:rsidR="003D794E" w:rsidRPr="00CE3138">
        <w:noBreakHyphen/>
      </w:r>
      <w:r w:rsidRPr="00CE3138">
        <w:t>recovery fee;</w:t>
      </w:r>
    </w:p>
    <w:p w14:paraId="11BBEBA8" w14:textId="7E0846CF" w:rsidR="004E71C0" w:rsidRPr="00CE3138" w:rsidRDefault="004E71C0" w:rsidP="004E71C0">
      <w:pPr>
        <w:pStyle w:val="paragraph"/>
      </w:pPr>
      <w:r w:rsidRPr="00CE3138">
        <w:tab/>
        <w:t>(e)</w:t>
      </w:r>
      <w:r w:rsidRPr="00CE3138">
        <w:tab/>
        <w:t xml:space="preserve">a decision to refuse to agree to a request under </w:t>
      </w:r>
      <w:r w:rsidR="00D24D39" w:rsidRPr="00CE3138">
        <w:t>subsection </w:t>
      </w:r>
      <w:r w:rsidR="0059790B">
        <w:t>25</w:t>
      </w:r>
      <w:r w:rsidRPr="00CE3138">
        <w:t>(2)</w:t>
      </w:r>
      <w:r w:rsidR="009516B4" w:rsidRPr="00CE3138">
        <w:t xml:space="preserve"> </w:t>
      </w:r>
      <w:r w:rsidRPr="00CE3138">
        <w:t>for the waiver of a cost</w:t>
      </w:r>
      <w:r w:rsidR="003D794E" w:rsidRPr="00CE3138">
        <w:noBreakHyphen/>
      </w:r>
      <w:r w:rsidRPr="00CE3138">
        <w:t>recovery fee</w:t>
      </w:r>
      <w:r w:rsidR="00425E55" w:rsidRPr="00CE3138">
        <w:t>.</w:t>
      </w:r>
    </w:p>
    <w:p w14:paraId="714C36F6" w14:textId="03FD4FC7" w:rsidR="004E71C0" w:rsidRPr="00CE3138" w:rsidRDefault="004E71C0" w:rsidP="00425E55">
      <w:pPr>
        <w:pStyle w:val="notetext"/>
      </w:pPr>
      <w:r w:rsidRPr="00CE3138">
        <w:t>Note:</w:t>
      </w:r>
      <w:r w:rsidRPr="00CE3138">
        <w:tab/>
        <w:t xml:space="preserve">The decision could be made by a delegate of the Minister (see </w:t>
      </w:r>
      <w:r w:rsidR="000C3044" w:rsidRPr="00CE3138">
        <w:t>section 3</w:t>
      </w:r>
      <w:r w:rsidRPr="00CE3138">
        <w:t>33</w:t>
      </w:r>
      <w:r w:rsidR="003D794E" w:rsidRPr="00CE3138">
        <w:noBreakHyphen/>
      </w:r>
      <w:r w:rsidRPr="00CE3138">
        <w:t>1 of the Act).</w:t>
      </w:r>
    </w:p>
    <w:p w14:paraId="13E57EA5" w14:textId="7B09D58F" w:rsidR="004E71C0" w:rsidRPr="00CE3138" w:rsidRDefault="002D61A4" w:rsidP="004E71C0">
      <w:pPr>
        <w:pStyle w:val="ActHead5"/>
      </w:pPr>
      <w:bookmarkStart w:id="44" w:name="_Toc169882189"/>
      <w:r>
        <w:rPr>
          <w:rStyle w:val="CharSectno"/>
        </w:rPr>
        <w:t>27</w:t>
      </w:r>
      <w:r w:rsidRPr="00CE3138">
        <w:rPr>
          <w:rFonts w:eastAsia="MS Mincho"/>
        </w:rPr>
        <w:t xml:space="preserve">  </w:t>
      </w:r>
      <w:r w:rsidR="004E71C0" w:rsidRPr="00CE3138">
        <w:t>Notice of review rights</w:t>
      </w:r>
      <w:bookmarkEnd w:id="44"/>
    </w:p>
    <w:p w14:paraId="66383C68" w14:textId="7777777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>If the Minister makes a reviewable decision, the Minister must, within 10 business days after making the decision, give the person affected by the decision:</w:t>
      </w:r>
    </w:p>
    <w:p w14:paraId="16725207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written notice of the decision; and</w:t>
      </w:r>
    </w:p>
    <w:p w14:paraId="3AC18DC4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a statement setting out particulars of the person’s review rights.</w:t>
      </w:r>
    </w:p>
    <w:p w14:paraId="2E686D06" w14:textId="77777777" w:rsidR="004E71C0" w:rsidRPr="00CE3138" w:rsidRDefault="004E71C0" w:rsidP="004E71C0">
      <w:pPr>
        <w:pStyle w:val="subsection"/>
      </w:pPr>
      <w:r w:rsidRPr="00CE3138">
        <w:tab/>
        <w:t>(2)</w:t>
      </w:r>
      <w:r w:rsidRPr="00CE3138">
        <w:tab/>
        <w:t>The notice must include particulars about how the person may respond to the notice.</w:t>
      </w:r>
    </w:p>
    <w:p w14:paraId="772B4A54" w14:textId="77777777" w:rsidR="004E71C0" w:rsidRPr="00CE3138" w:rsidRDefault="004E71C0" w:rsidP="004E71C0">
      <w:pPr>
        <w:pStyle w:val="subsection"/>
      </w:pPr>
      <w:r w:rsidRPr="00CE3138">
        <w:tab/>
        <w:t>(3)</w:t>
      </w:r>
      <w:r w:rsidRPr="00CE3138">
        <w:tab/>
        <w:t xml:space="preserve">Failure to comply with </w:t>
      </w:r>
      <w:r w:rsidR="00D24D39" w:rsidRPr="00CE3138">
        <w:t>subsection (</w:t>
      </w:r>
      <w:r w:rsidRPr="00CE3138">
        <w:t>1) does not affect the validity of the decision.</w:t>
      </w:r>
    </w:p>
    <w:p w14:paraId="52CF7FD6" w14:textId="08B4F874" w:rsidR="004E71C0" w:rsidRPr="00CE3138" w:rsidRDefault="002D61A4" w:rsidP="004E71C0">
      <w:pPr>
        <w:pStyle w:val="ActHead5"/>
      </w:pPr>
      <w:bookmarkStart w:id="45" w:name="_Toc169882190"/>
      <w:r>
        <w:rPr>
          <w:rStyle w:val="CharSectno"/>
        </w:rPr>
        <w:t>28</w:t>
      </w:r>
      <w:r w:rsidRPr="00CE3138">
        <w:t xml:space="preserve">  </w:t>
      </w:r>
      <w:r w:rsidR="004E71C0" w:rsidRPr="00CE3138">
        <w:t>Internal review of decisions made by delegates</w:t>
      </w:r>
      <w:bookmarkEnd w:id="45"/>
    </w:p>
    <w:p w14:paraId="7D681060" w14:textId="77777777" w:rsidR="004E71C0" w:rsidRPr="00CE3138" w:rsidRDefault="004E71C0" w:rsidP="004E71C0">
      <w:pPr>
        <w:pStyle w:val="SubsectionHead"/>
      </w:pPr>
      <w:r w:rsidRPr="00CE3138">
        <w:t>Initial internal review</w:t>
      </w:r>
    </w:p>
    <w:p w14:paraId="1C4938B3" w14:textId="77777777" w:rsidR="004E71C0" w:rsidRPr="00CE3138" w:rsidRDefault="004E71C0" w:rsidP="004E71C0">
      <w:pPr>
        <w:pStyle w:val="subsection"/>
      </w:pPr>
      <w:r w:rsidRPr="00CE3138">
        <w:tab/>
        <w:t>(1)</w:t>
      </w:r>
      <w:r w:rsidRPr="00CE3138">
        <w:tab/>
        <w:t>If a reviewable decision is made by a delegate of the Minister, the person affected by the decision may apply, in writing, to the Minister for review of the decision.</w:t>
      </w:r>
    </w:p>
    <w:p w14:paraId="4010EE63" w14:textId="77777777" w:rsidR="004E71C0" w:rsidRPr="00CE3138" w:rsidRDefault="004E71C0" w:rsidP="004E71C0">
      <w:pPr>
        <w:pStyle w:val="subsection"/>
      </w:pPr>
      <w:r w:rsidRPr="00CE3138">
        <w:tab/>
        <w:t>(2)</w:t>
      </w:r>
      <w:r w:rsidRPr="00CE3138">
        <w:tab/>
        <w:t>The application must:</w:t>
      </w:r>
    </w:p>
    <w:p w14:paraId="6496311E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be made within:</w:t>
      </w:r>
    </w:p>
    <w:p w14:paraId="70E72DFA" w14:textId="77777777" w:rsidR="004E71C0" w:rsidRPr="00CE3138" w:rsidRDefault="004E71C0" w:rsidP="004E71C0">
      <w:pPr>
        <w:pStyle w:val="paragraphsub"/>
      </w:pPr>
      <w:r w:rsidRPr="00CE3138">
        <w:tab/>
        <w:t>(i)</w:t>
      </w:r>
      <w:r w:rsidRPr="00CE3138">
        <w:tab/>
        <w:t>10 business days after the applicant received notice under this instrument of the reviewable decision; or</w:t>
      </w:r>
    </w:p>
    <w:p w14:paraId="6FDBC71B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>such longer period (if any) allowed by the Minister; and</w:t>
      </w:r>
    </w:p>
    <w:p w14:paraId="5D72373D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set out the reasons for making the application.</w:t>
      </w:r>
    </w:p>
    <w:p w14:paraId="01BE16AD" w14:textId="63C6C9AF" w:rsidR="004E71C0" w:rsidRPr="00CE3138" w:rsidRDefault="004E71C0" w:rsidP="004E71C0">
      <w:pPr>
        <w:pStyle w:val="subsection"/>
      </w:pPr>
      <w:bookmarkStart w:id="46" w:name="_Hlk65499594"/>
      <w:r w:rsidRPr="00CE3138">
        <w:tab/>
        <w:t>(3)</w:t>
      </w:r>
      <w:r w:rsidRPr="00CE3138">
        <w:tab/>
      </w:r>
      <w:r w:rsidR="006E526A">
        <w:t>Subject to subsection (6)</w:t>
      </w:r>
      <w:r w:rsidR="00C6345B">
        <w:t xml:space="preserve">, the Minister or a delegate </w:t>
      </w:r>
      <w:r w:rsidR="00787B5D">
        <w:t xml:space="preserve">of the Minister </w:t>
      </w:r>
      <w:r w:rsidR="00C6345B">
        <w:t>must</w:t>
      </w:r>
      <w:r w:rsidRPr="00CE3138">
        <w:t>, withi</w:t>
      </w:r>
      <w:r w:rsidRPr="00CE3138">
        <w:rPr>
          <w:lang w:eastAsia="en-US"/>
        </w:rPr>
        <w:t xml:space="preserve">n 10 business days </w:t>
      </w:r>
      <w:r w:rsidRPr="00CE3138">
        <w:t>after receiving the application:</w:t>
      </w:r>
    </w:p>
    <w:p w14:paraId="74789375" w14:textId="4CC34752" w:rsidR="004E71C0" w:rsidRDefault="004E71C0" w:rsidP="004E71C0">
      <w:pPr>
        <w:pStyle w:val="paragraph"/>
      </w:pPr>
      <w:r w:rsidRPr="00CE3138">
        <w:tab/>
        <w:t>(a)</w:t>
      </w:r>
      <w:r w:rsidRPr="00CE3138">
        <w:tab/>
        <w:t>review the reviewable decision; and</w:t>
      </w:r>
    </w:p>
    <w:p w14:paraId="647A1C08" w14:textId="77777777" w:rsidR="00CA04EA" w:rsidRPr="00CE3138" w:rsidRDefault="00CA04EA" w:rsidP="004E71C0">
      <w:pPr>
        <w:pStyle w:val="paragraph"/>
      </w:pPr>
    </w:p>
    <w:p w14:paraId="50BDDA94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 xml:space="preserve">make a decision (the </w:t>
      </w:r>
      <w:r w:rsidRPr="00CE3138">
        <w:rPr>
          <w:b/>
          <w:i/>
        </w:rPr>
        <w:t>initial review decision</w:t>
      </w:r>
      <w:r w:rsidRPr="00CE3138">
        <w:t>):</w:t>
      </w:r>
    </w:p>
    <w:p w14:paraId="1E773FE7" w14:textId="77777777" w:rsidR="004E71C0" w:rsidRPr="00CE3138" w:rsidRDefault="004E71C0" w:rsidP="004E71C0">
      <w:pPr>
        <w:pStyle w:val="paragraphsub"/>
      </w:pPr>
      <w:r w:rsidRPr="00CE3138">
        <w:tab/>
        <w:t>(i)</w:t>
      </w:r>
      <w:r w:rsidRPr="00CE3138">
        <w:tab/>
        <w:t>to affirm or vary the reviewable decision; or</w:t>
      </w:r>
    </w:p>
    <w:p w14:paraId="5FDB361E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>to revoke the reviewable decision, and make any other decision that the person thinks appropriate; and</w:t>
      </w:r>
    </w:p>
    <w:p w14:paraId="77B7F563" w14:textId="77777777" w:rsidR="004E71C0" w:rsidRPr="00CE3138" w:rsidRDefault="004E71C0" w:rsidP="004E71C0">
      <w:pPr>
        <w:pStyle w:val="paragraph"/>
      </w:pPr>
      <w:r w:rsidRPr="00CE3138">
        <w:tab/>
        <w:t>(c)</w:t>
      </w:r>
      <w:r w:rsidRPr="00CE3138">
        <w:tab/>
        <w:t>give the applicant written notice of the initial review decision.</w:t>
      </w:r>
    </w:p>
    <w:bookmarkEnd w:id="46"/>
    <w:p w14:paraId="674DC4A8" w14:textId="77777777" w:rsidR="004E71C0" w:rsidRPr="00CE3138" w:rsidRDefault="004E71C0" w:rsidP="004E71C0">
      <w:pPr>
        <w:pStyle w:val="SubsectionHead"/>
      </w:pPr>
      <w:r w:rsidRPr="00CE3138">
        <w:t>Further internal review</w:t>
      </w:r>
    </w:p>
    <w:p w14:paraId="2D7E5E3D" w14:textId="77777777" w:rsidR="004E71C0" w:rsidRPr="00CE3138" w:rsidRDefault="004E71C0" w:rsidP="004E71C0">
      <w:pPr>
        <w:pStyle w:val="subsection"/>
      </w:pPr>
      <w:r w:rsidRPr="00CE3138">
        <w:tab/>
        <w:t>(4)</w:t>
      </w:r>
      <w:r w:rsidRPr="00CE3138">
        <w:tab/>
        <w:t xml:space="preserve">The applicant may, within 10 business days after receiving notice of the initial review decision under </w:t>
      </w:r>
      <w:r w:rsidR="00DC46F8" w:rsidRPr="00CE3138">
        <w:t>paragraph (</w:t>
      </w:r>
      <w:r w:rsidRPr="00CE3138">
        <w:t>3)(c), request the Minister, in writing to review the initial review decision.</w:t>
      </w:r>
    </w:p>
    <w:p w14:paraId="63F211A4" w14:textId="4377CBCF" w:rsidR="004E71C0" w:rsidRPr="00CE3138" w:rsidRDefault="004E71C0" w:rsidP="004E71C0">
      <w:pPr>
        <w:pStyle w:val="subsection"/>
      </w:pPr>
      <w:r w:rsidRPr="00CE3138">
        <w:tab/>
        <w:t>(5)</w:t>
      </w:r>
      <w:r w:rsidRPr="00CE3138">
        <w:tab/>
      </w:r>
      <w:r w:rsidR="000C0A6B">
        <w:t>Subject to subsection (7), t</w:t>
      </w:r>
      <w:r w:rsidRPr="00CE3138">
        <w:t xml:space="preserve">he Minister or a </w:t>
      </w:r>
      <w:r w:rsidR="002F71F2">
        <w:t>delegate</w:t>
      </w:r>
      <w:r w:rsidR="00787B5D">
        <w:t xml:space="preserve"> of the Minister</w:t>
      </w:r>
      <w:r w:rsidRPr="00CE3138">
        <w:t xml:space="preserve"> (the </w:t>
      </w:r>
      <w:r w:rsidRPr="00CE3138">
        <w:rPr>
          <w:b/>
          <w:i/>
        </w:rPr>
        <w:t>further reviewer</w:t>
      </w:r>
      <w:r w:rsidRPr="00CE3138">
        <w:t xml:space="preserve">) must, within 10 business days after receiving the request under </w:t>
      </w:r>
      <w:r w:rsidR="00D24D39" w:rsidRPr="00CE3138">
        <w:t>subsection (</w:t>
      </w:r>
      <w:r w:rsidRPr="00CE3138">
        <w:t>4):</w:t>
      </w:r>
    </w:p>
    <w:p w14:paraId="589BA55B" w14:textId="77777777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 xml:space="preserve">review the initial review decision and decide (the </w:t>
      </w:r>
      <w:r w:rsidRPr="00CE3138">
        <w:rPr>
          <w:b/>
          <w:i/>
        </w:rPr>
        <w:t>further review decision</w:t>
      </w:r>
      <w:r w:rsidRPr="00CE3138">
        <w:t>):</w:t>
      </w:r>
    </w:p>
    <w:p w14:paraId="662379A9" w14:textId="77777777" w:rsidR="004E71C0" w:rsidRPr="00CE3138" w:rsidRDefault="004E71C0" w:rsidP="004E71C0">
      <w:pPr>
        <w:pStyle w:val="paragraphsub"/>
      </w:pPr>
      <w:r w:rsidRPr="00CE3138">
        <w:tab/>
        <w:t>(i)</w:t>
      </w:r>
      <w:r w:rsidRPr="00CE3138">
        <w:tab/>
        <w:t>to affirm or vary the initial review decision; or</w:t>
      </w:r>
    </w:p>
    <w:p w14:paraId="79FF2DEB" w14:textId="77777777" w:rsidR="004E71C0" w:rsidRPr="00CE3138" w:rsidRDefault="004E71C0" w:rsidP="004E71C0">
      <w:pPr>
        <w:pStyle w:val="paragraphsub"/>
      </w:pPr>
      <w:r w:rsidRPr="00CE3138">
        <w:tab/>
        <w:t>(ii)</w:t>
      </w:r>
      <w:r w:rsidRPr="00CE3138">
        <w:tab/>
        <w:t>to revoke the initial review decision, and make any other decision that the further reviewer thinks appropriate; and</w:t>
      </w:r>
    </w:p>
    <w:p w14:paraId="4D91954B" w14:textId="77777777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give written notice to the applicant of the further review decision.</w:t>
      </w:r>
    </w:p>
    <w:p w14:paraId="65194113" w14:textId="5217E18D" w:rsidR="004E71C0" w:rsidRPr="00CE3138" w:rsidRDefault="00B461F7" w:rsidP="004E71C0">
      <w:pPr>
        <w:pStyle w:val="SubsectionHead"/>
      </w:pPr>
      <w:r>
        <w:t>Limitations to subsections (3) and (5)</w:t>
      </w:r>
    </w:p>
    <w:p w14:paraId="14E26626" w14:textId="3B06CDFF" w:rsidR="004E71C0" w:rsidRPr="00CE3138" w:rsidRDefault="004E71C0" w:rsidP="004E71C0">
      <w:pPr>
        <w:pStyle w:val="subsection"/>
      </w:pPr>
      <w:r w:rsidRPr="00CE3138">
        <w:tab/>
        <w:t>(6)</w:t>
      </w:r>
      <w:r w:rsidRPr="00CE3138">
        <w:tab/>
      </w:r>
      <w:r w:rsidR="00B461F7">
        <w:t xml:space="preserve">A delegate </w:t>
      </w:r>
      <w:r w:rsidR="00787B5D">
        <w:t xml:space="preserve">of the Minister </w:t>
      </w:r>
      <w:r w:rsidR="00B461F7">
        <w:t xml:space="preserve">must not review a reviewable decision under subsection (3) if the delegate was involved in making the reviewable decision. </w:t>
      </w:r>
    </w:p>
    <w:p w14:paraId="4C757707" w14:textId="0F197E17" w:rsidR="004E71C0" w:rsidRPr="00CE3138" w:rsidRDefault="004E71C0" w:rsidP="004E71C0">
      <w:pPr>
        <w:pStyle w:val="subsection"/>
      </w:pPr>
      <w:bookmarkStart w:id="47" w:name="_Hlk65499752"/>
      <w:r w:rsidRPr="00CE3138">
        <w:tab/>
        <w:t>(7)</w:t>
      </w:r>
      <w:r w:rsidRPr="00CE3138">
        <w:tab/>
      </w:r>
      <w:r w:rsidR="00B461F7">
        <w:t xml:space="preserve">A delegate </w:t>
      </w:r>
      <w:r w:rsidR="00787B5D">
        <w:t xml:space="preserve">of the Minister </w:t>
      </w:r>
      <w:r w:rsidR="00B461F7">
        <w:t>must not review an initial review decision under subsection (5) if the delegate was involved in making:</w:t>
      </w:r>
    </w:p>
    <w:p w14:paraId="51641C5C" w14:textId="072A192D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</w:r>
      <w:r w:rsidR="00232154">
        <w:t>the initial review decision</w:t>
      </w:r>
      <w:r w:rsidRPr="00CE3138">
        <w:t xml:space="preserve">; </w:t>
      </w:r>
      <w:r w:rsidR="00232154">
        <w:t>or</w:t>
      </w:r>
    </w:p>
    <w:p w14:paraId="660374ED" w14:textId="38258824" w:rsidR="004E71C0" w:rsidRPr="00CE3138" w:rsidRDefault="004E71C0" w:rsidP="008101DC">
      <w:pPr>
        <w:pStyle w:val="paragraph"/>
      </w:pPr>
      <w:r w:rsidRPr="00CE3138">
        <w:tab/>
        <w:t>(b)</w:t>
      </w:r>
      <w:r w:rsidRPr="00CE3138">
        <w:tab/>
      </w:r>
      <w:r w:rsidR="00232154">
        <w:t>the reviewable decision to which the initial review decision relates</w:t>
      </w:r>
      <w:r w:rsidRPr="00CE3138">
        <w:t>.</w:t>
      </w:r>
    </w:p>
    <w:p w14:paraId="2DA99FFC" w14:textId="748FD0BB" w:rsidR="004E71C0" w:rsidRPr="00CE3138" w:rsidRDefault="002D61A4" w:rsidP="004E71C0">
      <w:pPr>
        <w:pStyle w:val="ActHead5"/>
      </w:pPr>
      <w:bookmarkStart w:id="48" w:name="_Toc169882191"/>
      <w:bookmarkEnd w:id="47"/>
      <w:r>
        <w:rPr>
          <w:rStyle w:val="CharSectno"/>
        </w:rPr>
        <w:t>29</w:t>
      </w:r>
      <w:r w:rsidRPr="00CE3138">
        <w:t xml:space="preserve">  </w:t>
      </w:r>
      <w:r w:rsidR="004E71C0" w:rsidRPr="00CE3138">
        <w:t>Notice of overpayment as a result of a review decision</w:t>
      </w:r>
      <w:bookmarkEnd w:id="48"/>
    </w:p>
    <w:p w14:paraId="5F6B5200" w14:textId="5FDB6BE0" w:rsidR="004E71C0" w:rsidRPr="00CE3138" w:rsidRDefault="004E71C0" w:rsidP="004E71C0">
      <w:pPr>
        <w:pStyle w:val="subsection"/>
      </w:pPr>
      <w:r w:rsidRPr="00CE3138">
        <w:tab/>
      </w:r>
      <w:r w:rsidRPr="00CE3138">
        <w:tab/>
        <w:t>If a person has overpaid an amount as a cost</w:t>
      </w:r>
      <w:r w:rsidR="003D794E" w:rsidRPr="00CE3138">
        <w:noBreakHyphen/>
      </w:r>
      <w:r w:rsidRPr="00CE3138">
        <w:t xml:space="preserve">recovery fee as a result of a decision made under </w:t>
      </w:r>
      <w:r w:rsidR="00512609" w:rsidRPr="00CE3138">
        <w:t>either</w:t>
      </w:r>
      <w:r w:rsidRPr="00CE3138">
        <w:t xml:space="preserve"> of the following provisions, the Minister must, within 20 business days after the decision was made, notify the person accordingly:</w:t>
      </w:r>
    </w:p>
    <w:p w14:paraId="3335A078" w14:textId="08100416" w:rsidR="004E71C0" w:rsidRPr="00CE3138" w:rsidRDefault="004E71C0" w:rsidP="004E71C0">
      <w:pPr>
        <w:pStyle w:val="paragraph"/>
      </w:pPr>
      <w:r w:rsidRPr="00CE3138">
        <w:tab/>
        <w:t>(a)</w:t>
      </w:r>
      <w:r w:rsidRPr="00CE3138">
        <w:tab/>
        <w:t>paragraph </w:t>
      </w:r>
      <w:r w:rsidR="009A373B">
        <w:t>28</w:t>
      </w:r>
      <w:r w:rsidRPr="00CE3138">
        <w:t>(3)(b) (an initial review decision);</w:t>
      </w:r>
    </w:p>
    <w:p w14:paraId="2B59E699" w14:textId="69797856" w:rsidR="004E71C0" w:rsidRPr="00CE3138" w:rsidRDefault="004E71C0" w:rsidP="004E71C0">
      <w:pPr>
        <w:pStyle w:val="paragraph"/>
      </w:pPr>
      <w:r w:rsidRPr="00CE3138">
        <w:tab/>
        <w:t>(b)</w:t>
      </w:r>
      <w:r w:rsidRPr="00CE3138">
        <w:tab/>
        <w:t>paragraph </w:t>
      </w:r>
      <w:r w:rsidR="009A373B">
        <w:t>28</w:t>
      </w:r>
      <w:r w:rsidRPr="00CE3138">
        <w:t>(5)(a) (a further review decision)</w:t>
      </w:r>
      <w:r w:rsidR="00425E55" w:rsidRPr="00CE3138">
        <w:t>.</w:t>
      </w:r>
    </w:p>
    <w:p w14:paraId="32F04E9B" w14:textId="740A6BDB" w:rsidR="004E71C0" w:rsidRPr="00CE3138" w:rsidRDefault="004E71C0" w:rsidP="004E71C0">
      <w:pPr>
        <w:pStyle w:val="notetext"/>
      </w:pPr>
      <w:r w:rsidRPr="00CE3138">
        <w:t>Note:</w:t>
      </w:r>
      <w:r w:rsidRPr="00CE3138">
        <w:tab/>
        <w:t xml:space="preserve">For refunds of overpayments, see </w:t>
      </w:r>
      <w:r w:rsidR="00D24D39" w:rsidRPr="00CE3138">
        <w:t>section </w:t>
      </w:r>
      <w:r w:rsidR="0059790B">
        <w:t>24</w:t>
      </w:r>
      <w:r w:rsidRPr="00CE3138">
        <w:t>.</w:t>
      </w:r>
    </w:p>
    <w:p w14:paraId="48044DAD" w14:textId="77777777" w:rsidR="006F6D32" w:rsidRPr="00CE3138" w:rsidRDefault="00255238" w:rsidP="006F6D32">
      <w:pPr>
        <w:pStyle w:val="ActHead2"/>
        <w:pageBreakBefore/>
        <w:rPr>
          <w:rFonts w:eastAsia="MS Mincho"/>
        </w:rPr>
      </w:pPr>
      <w:bookmarkStart w:id="49" w:name="_Toc169882192"/>
      <w:r w:rsidRPr="00CE3138">
        <w:rPr>
          <w:rStyle w:val="CharPartNo"/>
          <w:rFonts w:eastAsia="MS Mincho"/>
        </w:rPr>
        <w:lastRenderedPageBreak/>
        <w:t>Part 5</w:t>
      </w:r>
      <w:r w:rsidR="006F6D32" w:rsidRPr="00CE3138">
        <w:rPr>
          <w:rFonts w:eastAsia="MS Mincho"/>
        </w:rPr>
        <w:t>—</w:t>
      </w:r>
      <w:r w:rsidR="006F6D32" w:rsidRPr="00CE3138">
        <w:rPr>
          <w:rStyle w:val="CharPartText"/>
          <w:rFonts w:eastAsia="MS Mincho"/>
        </w:rPr>
        <w:t>Miscellaneous</w:t>
      </w:r>
      <w:bookmarkEnd w:id="49"/>
    </w:p>
    <w:p w14:paraId="6824B69E" w14:textId="77777777" w:rsidR="006F6D32" w:rsidRPr="00CE3138" w:rsidRDefault="006F6D32" w:rsidP="006F6D32">
      <w:pPr>
        <w:pStyle w:val="Header"/>
        <w:rPr>
          <w:rFonts w:eastAsia="MS Mincho"/>
        </w:rPr>
      </w:pPr>
      <w:r w:rsidRPr="00CE3138">
        <w:rPr>
          <w:rStyle w:val="CharDivNo"/>
          <w:rFonts w:eastAsia="MS Mincho"/>
        </w:rPr>
        <w:t xml:space="preserve"> </w:t>
      </w:r>
      <w:r w:rsidRPr="00CE3138">
        <w:rPr>
          <w:rStyle w:val="CharDivText"/>
          <w:rFonts w:eastAsia="MS Mincho"/>
        </w:rPr>
        <w:t xml:space="preserve"> </w:t>
      </w:r>
    </w:p>
    <w:p w14:paraId="637EC442" w14:textId="33CD4A65" w:rsidR="006F6D32" w:rsidRPr="00CE3138" w:rsidRDefault="002D61A4" w:rsidP="006F6D32">
      <w:pPr>
        <w:pStyle w:val="ActHead5"/>
      </w:pPr>
      <w:bookmarkStart w:id="50" w:name="_Toc169882193"/>
      <w:r>
        <w:rPr>
          <w:rStyle w:val="CharSectno"/>
        </w:rPr>
        <w:t>30</w:t>
      </w:r>
      <w:r w:rsidRPr="00CE3138">
        <w:t xml:space="preserve">  </w:t>
      </w:r>
      <w:r w:rsidR="006F6D32" w:rsidRPr="00CE3138">
        <w:t>Minister may have regard to recommendations and advice</w:t>
      </w:r>
      <w:bookmarkEnd w:id="50"/>
    </w:p>
    <w:p w14:paraId="113BF14B" w14:textId="763964B7" w:rsidR="006F6D32" w:rsidRPr="00CE3138" w:rsidRDefault="00336043" w:rsidP="00336043">
      <w:pPr>
        <w:pStyle w:val="subsection"/>
        <w:rPr>
          <w:rFonts w:eastAsia="MS Mincho"/>
        </w:rPr>
      </w:pPr>
      <w:r w:rsidRPr="00CE3138">
        <w:rPr>
          <w:rFonts w:eastAsia="MS Mincho"/>
        </w:rPr>
        <w:tab/>
        <w:t>(1)</w:t>
      </w:r>
      <w:r w:rsidRPr="00CE3138">
        <w:rPr>
          <w:rFonts w:eastAsia="MS Mincho"/>
        </w:rPr>
        <w:tab/>
      </w:r>
      <w:r w:rsidR="006F6D32" w:rsidRPr="00CE3138">
        <w:rPr>
          <w:rFonts w:eastAsia="MS Mincho"/>
        </w:rPr>
        <w:t xml:space="preserve">In making </w:t>
      </w:r>
      <w:r w:rsidR="00A930CE" w:rsidRPr="00CE3138">
        <w:rPr>
          <w:rFonts w:eastAsia="MS Mincho"/>
        </w:rPr>
        <w:t>a</w:t>
      </w:r>
      <w:r w:rsidR="006F6D32" w:rsidRPr="00CE3138">
        <w:rPr>
          <w:rFonts w:eastAsia="MS Mincho"/>
        </w:rPr>
        <w:t xml:space="preserve"> decision under </w:t>
      </w:r>
      <w:r w:rsidR="00DC46F8" w:rsidRPr="00CE3138">
        <w:rPr>
          <w:rFonts w:eastAsia="MS Mincho"/>
        </w:rPr>
        <w:t>section 7</w:t>
      </w:r>
      <w:r w:rsidR="006F6D32" w:rsidRPr="00CE3138">
        <w:rPr>
          <w:rFonts w:eastAsia="MS Mincho"/>
        </w:rPr>
        <w:t>2</w:t>
      </w:r>
      <w:r w:rsidR="003D794E" w:rsidRPr="00CE3138">
        <w:rPr>
          <w:rFonts w:eastAsia="MS Mincho"/>
        </w:rPr>
        <w:noBreakHyphen/>
      </w:r>
      <w:r w:rsidR="006F6D32" w:rsidRPr="00CE3138">
        <w:rPr>
          <w:rFonts w:eastAsia="MS Mincho"/>
        </w:rPr>
        <w:t>10 of the Act</w:t>
      </w:r>
      <w:r w:rsidR="00A930CE" w:rsidRPr="00CE3138">
        <w:rPr>
          <w:rFonts w:eastAsia="MS Mincho"/>
        </w:rPr>
        <w:t xml:space="preserve"> whether or not to grant </w:t>
      </w:r>
      <w:r w:rsidR="00C97C8D" w:rsidRPr="00CE3138">
        <w:rPr>
          <w:rFonts w:eastAsia="MS Mincho"/>
        </w:rPr>
        <w:t>a listing application</w:t>
      </w:r>
      <w:r w:rsidR="006F6D32" w:rsidRPr="00CE3138">
        <w:rPr>
          <w:rFonts w:eastAsia="MS Mincho"/>
        </w:rPr>
        <w:t>, the Minister may have regard to</w:t>
      </w:r>
      <w:r w:rsidR="006F6D32" w:rsidRPr="00CE3138">
        <w:rPr>
          <w:rFonts w:ascii="Arial" w:eastAsia="MS Mincho" w:hAnsi="Arial" w:cs="Arial"/>
        </w:rPr>
        <w:t xml:space="preserve"> </w:t>
      </w:r>
      <w:r w:rsidR="006F6D32" w:rsidRPr="00CE3138">
        <w:rPr>
          <w:rFonts w:eastAsia="MS Mincho"/>
        </w:rPr>
        <w:t xml:space="preserve">a recommendation </w:t>
      </w:r>
      <w:r w:rsidR="00B13507" w:rsidRPr="00CE3138">
        <w:rPr>
          <w:rFonts w:eastAsia="MS Mincho"/>
        </w:rPr>
        <w:t xml:space="preserve">or advice </w:t>
      </w:r>
      <w:r w:rsidR="006F6D32" w:rsidRPr="00CE3138">
        <w:rPr>
          <w:rFonts w:eastAsia="MS Mincho"/>
        </w:rPr>
        <w:t xml:space="preserve">from the </w:t>
      </w:r>
      <w:r w:rsidRPr="00CE3138">
        <w:rPr>
          <w:rFonts w:eastAsia="MS Mincho"/>
        </w:rPr>
        <w:t xml:space="preserve">body known as the </w:t>
      </w:r>
      <w:r w:rsidR="006F6D32" w:rsidRPr="00CE3138">
        <w:rPr>
          <w:rFonts w:eastAsia="MS Mincho"/>
        </w:rPr>
        <w:t>Medical Devices and Human Tissue Advisory Committee.</w:t>
      </w:r>
    </w:p>
    <w:p w14:paraId="43A49181" w14:textId="77777777" w:rsidR="00E3675F" w:rsidRPr="00CE3138" w:rsidRDefault="00336043" w:rsidP="00FA6B65">
      <w:pPr>
        <w:pStyle w:val="subsection"/>
      </w:pPr>
      <w:r w:rsidRPr="00CE3138">
        <w:rPr>
          <w:rFonts w:eastAsia="MS Mincho"/>
        </w:rPr>
        <w:tab/>
      </w:r>
      <w:r w:rsidRPr="00CE3138">
        <w:t>(2)</w:t>
      </w:r>
      <w:r w:rsidRPr="00CE3138">
        <w:tab/>
        <w:t>Subsection (1) does not limit the matters to which the Minister may have regard.</w:t>
      </w:r>
    </w:p>
    <w:p w14:paraId="78E064AB" w14:textId="77777777" w:rsidR="008D19EA" w:rsidRDefault="008D19EA" w:rsidP="008D19EA">
      <w:pPr>
        <w:sectPr w:rsidR="008D19EA" w:rsidSect="002E535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82BD399" w14:textId="5BBD2BD5" w:rsidR="00402949" w:rsidRPr="003D794E" w:rsidRDefault="00402949" w:rsidP="004C4E9B"/>
    <w:sectPr w:rsidR="00402949" w:rsidRPr="003D794E" w:rsidSect="002E535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32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0F9E" w14:textId="77777777" w:rsidR="00254AD4" w:rsidRDefault="00254AD4" w:rsidP="00715914">
      <w:pPr>
        <w:spacing w:line="240" w:lineRule="auto"/>
      </w:pPr>
      <w:r>
        <w:separator/>
      </w:r>
    </w:p>
  </w:endnote>
  <w:endnote w:type="continuationSeparator" w:id="0">
    <w:p w14:paraId="504636B4" w14:textId="77777777" w:rsidR="00254AD4" w:rsidRDefault="00254AD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A097" w14:textId="77777777" w:rsidR="00DD2DDE" w:rsidRDefault="00DD2DDE">
    <w:pPr>
      <w:pBdr>
        <w:top w:val="single" w:sz="6" w:space="1" w:color="auto"/>
      </w:pBdr>
      <w:jc w:val="right"/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8A1" w14:textId="77777777" w:rsidR="00DD2DDE" w:rsidRPr="007B3B51" w:rsidRDefault="00DD2DDE" w:rsidP="00E81701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943"/>
      <w:gridCol w:w="2920"/>
      <w:gridCol w:w="1524"/>
      <w:gridCol w:w="669"/>
    </w:tblGrid>
    <w:tr w:rsidR="00DD2DDE" w:rsidRPr="007B3B51" w14:paraId="7BACB0D6" w14:textId="77777777" w:rsidTr="00E81701">
      <w:tc>
        <w:tcPr>
          <w:tcW w:w="1247" w:type="dxa"/>
        </w:tcPr>
        <w:p w14:paraId="08EC8761" w14:textId="77777777" w:rsidR="00DD2DDE" w:rsidRPr="007B3B51" w:rsidRDefault="00DD2DDE" w:rsidP="00E81701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5387" w:type="dxa"/>
          <w:gridSpan w:val="3"/>
        </w:tcPr>
        <w:p w14:paraId="751256B2" w14:textId="32981B18" w:rsidR="00DD2DDE" w:rsidRPr="007B3B51" w:rsidRDefault="00DD2DDE" w:rsidP="00E81701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247106">
            <w:rPr>
              <w:i/>
              <w:noProof/>
              <w:sz w:val="16"/>
              <w:szCs w:val="16"/>
            </w:rPr>
            <w:t>Private Health Insurance (Medical Devices and Human Tissue Products) Rules (No. 1) 2024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669" w:type="dxa"/>
        </w:tcPr>
        <w:p w14:paraId="5B94EF49" w14:textId="77777777" w:rsidR="00DD2DDE" w:rsidRPr="007B3B51" w:rsidRDefault="00DD2DDE" w:rsidP="00E81701">
          <w:pPr>
            <w:jc w:val="right"/>
            <w:rPr>
              <w:sz w:val="16"/>
              <w:szCs w:val="16"/>
            </w:rPr>
          </w:pPr>
        </w:p>
      </w:tc>
    </w:tr>
    <w:tr w:rsidR="00DD2DDE" w:rsidRPr="0055472E" w14:paraId="1CF85A88" w14:textId="77777777" w:rsidTr="00E81701">
      <w:tc>
        <w:tcPr>
          <w:tcW w:w="2190" w:type="dxa"/>
          <w:gridSpan w:val="2"/>
        </w:tcPr>
        <w:p w14:paraId="2B090278" w14:textId="0B9D5A0A" w:rsidR="00DD2DDE" w:rsidRPr="0055472E" w:rsidRDefault="00DD2DDE" w:rsidP="00E81701">
          <w:pPr>
            <w:spacing w:before="120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No.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CompilationNumber </w:instrText>
          </w:r>
          <w:r>
            <w:rPr>
              <w:sz w:val="16"/>
              <w:szCs w:val="16"/>
            </w:rPr>
            <w:instrText>* CHARFORMAT</w:instrText>
          </w:r>
          <w:r w:rsidRPr="0055472E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t>1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2920" w:type="dxa"/>
        </w:tcPr>
        <w:p w14:paraId="13B091D5" w14:textId="509DEB84" w:rsidR="00DD2DDE" w:rsidRPr="0055472E" w:rsidRDefault="00DD2DDE" w:rsidP="00E81701">
          <w:pPr>
            <w:spacing w:before="120"/>
            <w:jc w:val="center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date: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 StartDate \@ "d</w:instrText>
          </w:r>
          <w:r>
            <w:rPr>
              <w:sz w:val="16"/>
              <w:szCs w:val="16"/>
            </w:rPr>
            <w:instrText>d</w:instrText>
          </w:r>
          <w:r w:rsidRPr="0055472E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55472E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55472E">
            <w:rPr>
              <w:sz w:val="16"/>
              <w:szCs w:val="16"/>
            </w:rPr>
            <w:instrText xml:space="preserve">"  </w:instrText>
          </w:r>
          <w:r w:rsidRPr="0055472E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t>11/11/2023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2193" w:type="dxa"/>
          <w:gridSpan w:val="2"/>
        </w:tcPr>
        <w:p w14:paraId="77D762DB" w14:textId="6626DC86" w:rsidR="00DD2DDE" w:rsidRPr="0055472E" w:rsidRDefault="00DD2DDE" w:rsidP="00E81701">
          <w:pPr>
            <w:spacing w:before="120"/>
            <w:jc w:val="right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Registered: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IF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</w:instrText>
          </w:r>
          <w:r w:rsidRPr="0055472E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instrText>4 March 2024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= #1/1/1901# "Unknown"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\@ "d</w:instrText>
          </w:r>
          <w:r>
            <w:rPr>
              <w:sz w:val="16"/>
              <w:szCs w:val="16"/>
            </w:rPr>
            <w:instrText>d</w:instrText>
          </w:r>
          <w:r w:rsidRPr="0055472E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55472E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55472E">
            <w:rPr>
              <w:sz w:val="16"/>
              <w:szCs w:val="16"/>
            </w:rPr>
            <w:instrText xml:space="preserve">" </w:instrText>
          </w:r>
          <w:r w:rsidRPr="0055472E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instrText>04/03/2024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</w:instrText>
          </w:r>
          <w:r w:rsidRPr="0055472E">
            <w:rPr>
              <w:sz w:val="16"/>
              <w:szCs w:val="16"/>
            </w:rPr>
            <w:fldChar w:fldCharType="separate"/>
          </w:r>
          <w:r w:rsidR="00247106">
            <w:rPr>
              <w:noProof/>
              <w:sz w:val="16"/>
              <w:szCs w:val="16"/>
            </w:rPr>
            <w:t>04/03/2024</w:t>
          </w:r>
          <w:r w:rsidRPr="0055472E">
            <w:rPr>
              <w:sz w:val="16"/>
              <w:szCs w:val="16"/>
            </w:rPr>
            <w:fldChar w:fldCharType="end"/>
          </w:r>
        </w:p>
      </w:tc>
    </w:tr>
  </w:tbl>
  <w:p w14:paraId="68A709A9" w14:textId="77777777" w:rsidR="00DD2DDE" w:rsidRDefault="00DD2DDE" w:rsidP="00E81701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6660" w14:textId="77777777" w:rsidR="00DD2DDE" w:rsidRPr="007B3B51" w:rsidRDefault="00DD2DDE" w:rsidP="00E81701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943"/>
      <w:gridCol w:w="2920"/>
      <w:gridCol w:w="1524"/>
      <w:gridCol w:w="669"/>
    </w:tblGrid>
    <w:tr w:rsidR="00DD2DDE" w:rsidRPr="007B3B51" w14:paraId="06C5A652" w14:textId="77777777" w:rsidTr="00E81701">
      <w:tc>
        <w:tcPr>
          <w:tcW w:w="1247" w:type="dxa"/>
        </w:tcPr>
        <w:p w14:paraId="686B520E" w14:textId="77777777" w:rsidR="00DD2DDE" w:rsidRPr="007B3B51" w:rsidRDefault="00DD2DDE" w:rsidP="00E81701">
          <w:pPr>
            <w:rPr>
              <w:i/>
              <w:sz w:val="16"/>
              <w:szCs w:val="16"/>
            </w:rPr>
          </w:pPr>
        </w:p>
      </w:tc>
      <w:tc>
        <w:tcPr>
          <w:tcW w:w="5387" w:type="dxa"/>
          <w:gridSpan w:val="3"/>
        </w:tcPr>
        <w:p w14:paraId="7837DEF0" w14:textId="6379650E" w:rsidR="00DD2DDE" w:rsidRPr="007B3B51" w:rsidRDefault="00DD2DDE" w:rsidP="00E81701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247106">
            <w:rPr>
              <w:i/>
              <w:noProof/>
              <w:sz w:val="16"/>
              <w:szCs w:val="16"/>
            </w:rPr>
            <w:t>Private Health Insurance (Medical Devices and Human Tissue Products) Rules (No. 1) 2024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669" w:type="dxa"/>
        </w:tcPr>
        <w:p w14:paraId="1270A70F" w14:textId="77777777" w:rsidR="00DD2DDE" w:rsidRPr="007B3B51" w:rsidRDefault="00DD2DDE" w:rsidP="00E81701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DD2DDE" w:rsidRPr="00130F37" w14:paraId="7CB2D183" w14:textId="77777777" w:rsidTr="00E81701">
      <w:tc>
        <w:tcPr>
          <w:tcW w:w="2190" w:type="dxa"/>
          <w:gridSpan w:val="2"/>
        </w:tcPr>
        <w:p w14:paraId="678A5048" w14:textId="3DDB7C37" w:rsidR="00DD2DDE" w:rsidRPr="00130F37" w:rsidRDefault="00DD2DDE" w:rsidP="00E81701">
          <w:pPr>
            <w:spacing w:before="120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No.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CompilationNumber  * CHARFORMAT </w:instrText>
          </w:r>
          <w:r w:rsidRPr="00130F37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t>1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2920" w:type="dxa"/>
        </w:tcPr>
        <w:p w14:paraId="4036D8B6" w14:textId="7F0C8E60" w:rsidR="00DD2DDE" w:rsidRPr="00130F37" w:rsidRDefault="00DD2DDE" w:rsidP="00E81701">
          <w:pPr>
            <w:spacing w:before="120"/>
            <w:jc w:val="center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date: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StartDate \@ "d</w:instrText>
          </w:r>
          <w:r>
            <w:rPr>
              <w:sz w:val="16"/>
              <w:szCs w:val="16"/>
            </w:rPr>
            <w:instrText>d</w:instrText>
          </w:r>
          <w:r w:rsidRPr="00130F37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130F37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130F37">
            <w:rPr>
              <w:sz w:val="16"/>
              <w:szCs w:val="16"/>
            </w:rPr>
            <w:instrText xml:space="preserve">"  </w:instrText>
          </w:r>
          <w:r w:rsidRPr="00130F37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t>11/11/2023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2193" w:type="dxa"/>
          <w:gridSpan w:val="2"/>
        </w:tcPr>
        <w:p w14:paraId="13248FF1" w14:textId="53D5B090" w:rsidR="00DD2DDE" w:rsidRPr="00130F37" w:rsidRDefault="00DD2DDE" w:rsidP="00E81701">
          <w:pPr>
            <w:spacing w:before="120"/>
            <w:jc w:val="right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Registered: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IF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</w:instrText>
          </w:r>
          <w:r w:rsidRPr="00130F37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instrText>4 March 2024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= #1/1/1901# "Unknown"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\@ "d</w:instrText>
          </w:r>
          <w:r>
            <w:rPr>
              <w:sz w:val="16"/>
              <w:szCs w:val="16"/>
            </w:rPr>
            <w:instrText>d</w:instrText>
          </w:r>
          <w:r w:rsidRPr="00130F37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130F37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130F37">
            <w:rPr>
              <w:sz w:val="16"/>
              <w:szCs w:val="16"/>
            </w:rPr>
            <w:instrText xml:space="preserve">" </w:instrText>
          </w:r>
          <w:r w:rsidRPr="00130F37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instrText>04/03/2024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</w:instrText>
          </w:r>
          <w:r w:rsidRPr="00130F37">
            <w:rPr>
              <w:sz w:val="16"/>
              <w:szCs w:val="16"/>
            </w:rPr>
            <w:fldChar w:fldCharType="separate"/>
          </w:r>
          <w:r w:rsidR="00247106">
            <w:rPr>
              <w:noProof/>
              <w:sz w:val="16"/>
              <w:szCs w:val="16"/>
            </w:rPr>
            <w:t>04/03/2024</w:t>
          </w:r>
          <w:r w:rsidRPr="00130F37">
            <w:rPr>
              <w:sz w:val="16"/>
              <w:szCs w:val="16"/>
            </w:rPr>
            <w:fldChar w:fldCharType="end"/>
          </w:r>
        </w:p>
      </w:tc>
    </w:tr>
  </w:tbl>
  <w:p w14:paraId="2643AC0E" w14:textId="77777777" w:rsidR="00DD2DDE" w:rsidRDefault="00DD2DDE" w:rsidP="00E81701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312C" w14:textId="77777777" w:rsidR="00DD2DDE" w:rsidRPr="00E33C1C" w:rsidRDefault="00DD2DD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D2DDE" w14:paraId="58AFAD3E" w14:textId="77777777" w:rsidTr="00313C2B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14326FF" w14:textId="77777777" w:rsidR="00DD2DDE" w:rsidRDefault="00DD2DDE" w:rsidP="00A2688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83BDF73" w14:textId="7ADBD61A" w:rsidR="00DD2DDE" w:rsidRDefault="00DD2DDE" w:rsidP="00A268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7106">
            <w:rPr>
              <w:i/>
              <w:sz w:val="18"/>
            </w:rPr>
            <w:t>Private Health Insurance (Medical Devices and Human Tissue Products) Rules (No. 2)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BF81E4F" w14:textId="77777777" w:rsidR="00DD2DDE" w:rsidRDefault="00DD2DDE" w:rsidP="00A268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D2DDE" w14:paraId="2222F619" w14:textId="77777777" w:rsidTr="00313C2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95F69E" w14:textId="77777777" w:rsidR="00DD2DDE" w:rsidRDefault="00DD2DDE" w:rsidP="00A26880">
          <w:pPr>
            <w:rPr>
              <w:sz w:val="18"/>
            </w:rPr>
          </w:pPr>
          <w:r>
            <w:rPr>
              <w:i/>
              <w:noProof/>
              <w:sz w:val="18"/>
            </w:rPr>
            <w:t>I23ZB223.v42.docx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15/6/2023 2:20 PM</w:t>
          </w:r>
        </w:p>
      </w:tc>
    </w:tr>
  </w:tbl>
  <w:p w14:paraId="3247E9BC" w14:textId="77777777" w:rsidR="00DD2DDE" w:rsidRPr="00ED79B6" w:rsidRDefault="00DD2DD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80E4" w14:textId="77777777" w:rsidR="00DD2DDE" w:rsidRDefault="00DD2DDE" w:rsidP="00313C2B">
    <w:pPr>
      <w:pBdr>
        <w:top w:val="single" w:sz="6" w:space="1" w:color="auto"/>
      </w:pBdr>
      <w:spacing w:before="120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102D" w14:textId="1A91F240" w:rsidR="00DD2DDE" w:rsidRPr="00ED79B6" w:rsidRDefault="00DD2DDE" w:rsidP="00313C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2C49" w14:textId="77777777" w:rsidR="00DD2DDE" w:rsidRPr="007B3B51" w:rsidRDefault="00DD2DDE" w:rsidP="002825AA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7"/>
      <w:gridCol w:w="1834"/>
      <w:gridCol w:w="3324"/>
      <w:gridCol w:w="1889"/>
      <w:gridCol w:w="609"/>
    </w:tblGrid>
    <w:tr w:rsidR="00DD2DDE" w:rsidRPr="007B3B51" w14:paraId="589BCF90" w14:textId="77777777" w:rsidTr="002825AA">
      <w:tc>
        <w:tcPr>
          <w:tcW w:w="396" w:type="pct"/>
        </w:tcPr>
        <w:p w14:paraId="356CAA56" w14:textId="77777777" w:rsidR="00DD2DDE" w:rsidRPr="007B3B51" w:rsidRDefault="00DD2DDE" w:rsidP="002825AA">
          <w:pPr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sz w:val="16"/>
              <w:szCs w:val="16"/>
            </w:rPr>
            <w:t>2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238" w:type="pct"/>
          <w:gridSpan w:val="3"/>
        </w:tcPr>
        <w:p w14:paraId="24CF7977" w14:textId="29ED404D" w:rsidR="00DD2DDE" w:rsidRPr="007B3B51" w:rsidRDefault="00DD2DDE" w:rsidP="002825AA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506362">
            <w:rPr>
              <w:i/>
              <w:noProof/>
              <w:sz w:val="16"/>
              <w:szCs w:val="16"/>
            </w:rPr>
            <w:t>Private Health Insurance (Medical Devices and Human Tissue Products) Rules (No. 1) 2024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366" w:type="pct"/>
        </w:tcPr>
        <w:p w14:paraId="46738400" w14:textId="77777777" w:rsidR="00DD2DDE" w:rsidRPr="007B3B51" w:rsidRDefault="00DD2DDE" w:rsidP="002825AA">
          <w:pPr>
            <w:jc w:val="right"/>
            <w:rPr>
              <w:sz w:val="16"/>
              <w:szCs w:val="16"/>
            </w:rPr>
          </w:pPr>
        </w:p>
      </w:tc>
    </w:tr>
    <w:tr w:rsidR="00DD2DDE" w:rsidRPr="00130F37" w14:paraId="0E2C35B7" w14:textId="77777777" w:rsidTr="002825AA">
      <w:tc>
        <w:tcPr>
          <w:tcW w:w="1499" w:type="pct"/>
          <w:gridSpan w:val="2"/>
        </w:tcPr>
        <w:p w14:paraId="6C769FCD" w14:textId="1D35BA45" w:rsidR="00DD2DDE" w:rsidRPr="00130F37" w:rsidRDefault="00DD2DDE" w:rsidP="002825AA">
          <w:pPr>
            <w:spacing w:before="120"/>
            <w:rPr>
              <w:sz w:val="16"/>
              <w:szCs w:val="16"/>
            </w:rPr>
          </w:pPr>
        </w:p>
      </w:tc>
      <w:tc>
        <w:tcPr>
          <w:tcW w:w="1999" w:type="pct"/>
        </w:tcPr>
        <w:p w14:paraId="1DDD692C" w14:textId="40C1CC89" w:rsidR="00DD2DDE" w:rsidRPr="00130F37" w:rsidRDefault="00DD2DDE" w:rsidP="002825AA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502" w:type="pct"/>
          <w:gridSpan w:val="2"/>
        </w:tcPr>
        <w:p w14:paraId="52186D76" w14:textId="08E00D53" w:rsidR="00DD2DDE" w:rsidRPr="00130F37" w:rsidRDefault="00DD2DDE" w:rsidP="002825AA">
          <w:pPr>
            <w:spacing w:before="120"/>
            <w:jc w:val="right"/>
            <w:rPr>
              <w:sz w:val="16"/>
              <w:szCs w:val="16"/>
            </w:rPr>
          </w:pPr>
        </w:p>
      </w:tc>
    </w:tr>
    <w:tr w:rsidR="00E82DAD" w:rsidRPr="00130F37" w14:paraId="71876EB1" w14:textId="77777777" w:rsidTr="002825AA">
      <w:tc>
        <w:tcPr>
          <w:tcW w:w="1499" w:type="pct"/>
          <w:gridSpan w:val="2"/>
        </w:tcPr>
        <w:p w14:paraId="5B706518" w14:textId="77777777" w:rsidR="00E82DAD" w:rsidRPr="00130F37" w:rsidRDefault="00E82DAD" w:rsidP="002825AA">
          <w:pPr>
            <w:spacing w:before="120"/>
            <w:rPr>
              <w:sz w:val="16"/>
              <w:szCs w:val="16"/>
            </w:rPr>
          </w:pPr>
        </w:p>
      </w:tc>
      <w:tc>
        <w:tcPr>
          <w:tcW w:w="1999" w:type="pct"/>
        </w:tcPr>
        <w:p w14:paraId="01E32DFA" w14:textId="77777777" w:rsidR="00E82DAD" w:rsidRPr="00130F37" w:rsidRDefault="00E82DAD" w:rsidP="002825AA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502" w:type="pct"/>
          <w:gridSpan w:val="2"/>
        </w:tcPr>
        <w:p w14:paraId="036784A6" w14:textId="77777777" w:rsidR="00E82DAD" w:rsidRPr="00130F37" w:rsidRDefault="00E82DAD" w:rsidP="002825AA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6AEF877D" w14:textId="77777777" w:rsidR="00DD2DDE" w:rsidRPr="002825AA" w:rsidRDefault="00DD2DDE" w:rsidP="002825A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268B" w14:textId="77777777" w:rsidR="00DD2DDE" w:rsidRPr="007B3B51" w:rsidRDefault="00DD2DDE" w:rsidP="005A0091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6"/>
      <w:gridCol w:w="6908"/>
      <w:gridCol w:w="609"/>
    </w:tblGrid>
    <w:tr w:rsidR="00DD2DDE" w:rsidRPr="007B3B51" w14:paraId="1A79A560" w14:textId="77777777" w:rsidTr="00E81701">
      <w:tc>
        <w:tcPr>
          <w:tcW w:w="479" w:type="pct"/>
        </w:tcPr>
        <w:p w14:paraId="47516927" w14:textId="77777777" w:rsidR="00DD2DDE" w:rsidRPr="007B3B51" w:rsidRDefault="00DD2DDE" w:rsidP="005A0091">
          <w:pPr>
            <w:rPr>
              <w:i/>
              <w:sz w:val="16"/>
              <w:szCs w:val="16"/>
            </w:rPr>
          </w:pPr>
        </w:p>
      </w:tc>
      <w:tc>
        <w:tcPr>
          <w:tcW w:w="4155" w:type="pct"/>
        </w:tcPr>
        <w:p w14:paraId="193BE206" w14:textId="3637981F" w:rsidR="00DD2DDE" w:rsidRPr="007B3B51" w:rsidRDefault="009F3933" w:rsidP="005A0091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Private Health Insurance (Medical Devices and Human Tissue Products) Rules (No. 1) 2024</w:t>
          </w:r>
        </w:p>
      </w:tc>
      <w:tc>
        <w:tcPr>
          <w:tcW w:w="366" w:type="pct"/>
        </w:tcPr>
        <w:p w14:paraId="295AC664" w14:textId="77777777" w:rsidR="00DD2DDE" w:rsidRPr="007B3B51" w:rsidRDefault="00DD2DDE" w:rsidP="005A0091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sz w:val="16"/>
              <w:szCs w:val="16"/>
            </w:rPr>
            <w:t>i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14:paraId="548541B0" w14:textId="77777777" w:rsidR="00DD2DDE" w:rsidRPr="005A0091" w:rsidRDefault="00DD2DDE" w:rsidP="005A009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E4A9" w14:textId="77777777" w:rsidR="00DD2DDE" w:rsidRPr="007B3B51" w:rsidRDefault="00DD2DDE" w:rsidP="00113B13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943"/>
      <w:gridCol w:w="2920"/>
      <w:gridCol w:w="1524"/>
      <w:gridCol w:w="669"/>
    </w:tblGrid>
    <w:tr w:rsidR="00DD2DDE" w:rsidRPr="007B3B51" w14:paraId="799B0C92" w14:textId="77777777" w:rsidTr="00113B13">
      <w:tc>
        <w:tcPr>
          <w:tcW w:w="1247" w:type="dxa"/>
        </w:tcPr>
        <w:p w14:paraId="400FD5ED" w14:textId="77777777" w:rsidR="00DD2DDE" w:rsidRPr="007B3B51" w:rsidRDefault="00DD2DDE" w:rsidP="00113B13">
          <w:pPr>
            <w:rPr>
              <w:i/>
              <w:sz w:val="16"/>
              <w:szCs w:val="16"/>
            </w:rPr>
          </w:pPr>
        </w:p>
      </w:tc>
      <w:tc>
        <w:tcPr>
          <w:tcW w:w="5387" w:type="dxa"/>
          <w:gridSpan w:val="3"/>
        </w:tcPr>
        <w:p w14:paraId="3A8EB738" w14:textId="4B6A1C25" w:rsidR="00DD2DDE" w:rsidRPr="007B3B51" w:rsidRDefault="00DD2DDE" w:rsidP="00113B13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247106">
            <w:rPr>
              <w:i/>
              <w:noProof/>
              <w:sz w:val="16"/>
              <w:szCs w:val="16"/>
            </w:rPr>
            <w:t>Private Health Insurance (Medical Devices and Human Tissue Products) Rules (No. 1) 2024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669" w:type="dxa"/>
        </w:tcPr>
        <w:p w14:paraId="1017BC2F" w14:textId="77777777" w:rsidR="00DD2DDE" w:rsidRPr="007B3B51" w:rsidRDefault="00DD2DDE" w:rsidP="00113B13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sz w:val="16"/>
              <w:szCs w:val="16"/>
            </w:rPr>
            <w:t>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DD2DDE" w:rsidRPr="00130F37" w14:paraId="3A83C7AA" w14:textId="77777777" w:rsidTr="00113B13">
      <w:tc>
        <w:tcPr>
          <w:tcW w:w="2190" w:type="dxa"/>
          <w:gridSpan w:val="2"/>
        </w:tcPr>
        <w:p w14:paraId="4C3E3167" w14:textId="1DEE1B40" w:rsidR="00DD2DDE" w:rsidRPr="00130F37" w:rsidRDefault="00DD2DDE" w:rsidP="00113B13">
          <w:pPr>
            <w:spacing w:before="120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No.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CompilationNumber  * CHARFORMAT </w:instrText>
          </w:r>
          <w:r w:rsidRPr="00130F37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t>1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2920" w:type="dxa"/>
        </w:tcPr>
        <w:p w14:paraId="08FA19B5" w14:textId="6DA3237A" w:rsidR="00DD2DDE" w:rsidRPr="00130F37" w:rsidRDefault="00DD2DDE" w:rsidP="00113B13">
          <w:pPr>
            <w:spacing w:before="120"/>
            <w:jc w:val="center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date: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StartDate \@ "d</w:instrText>
          </w:r>
          <w:r>
            <w:rPr>
              <w:sz w:val="16"/>
              <w:szCs w:val="16"/>
            </w:rPr>
            <w:instrText>d</w:instrText>
          </w:r>
          <w:r w:rsidRPr="00130F37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130F37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130F37">
            <w:rPr>
              <w:sz w:val="16"/>
              <w:szCs w:val="16"/>
            </w:rPr>
            <w:instrText xml:space="preserve">"  </w:instrText>
          </w:r>
          <w:r w:rsidRPr="00130F37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t>11/11/2023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2193" w:type="dxa"/>
          <w:gridSpan w:val="2"/>
        </w:tcPr>
        <w:p w14:paraId="7DB8EDB2" w14:textId="71C75511" w:rsidR="00DD2DDE" w:rsidRPr="00130F37" w:rsidRDefault="00DD2DDE" w:rsidP="00113B13">
          <w:pPr>
            <w:spacing w:before="120"/>
            <w:jc w:val="right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Registered: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IF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</w:instrText>
          </w:r>
          <w:r w:rsidRPr="00130F37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instrText>4 March 2024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= #1/1/1901# "Unknown"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\@ "d</w:instrText>
          </w:r>
          <w:r>
            <w:rPr>
              <w:sz w:val="16"/>
              <w:szCs w:val="16"/>
            </w:rPr>
            <w:instrText>d</w:instrText>
          </w:r>
          <w:r w:rsidRPr="00130F37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130F37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130F37">
            <w:rPr>
              <w:sz w:val="16"/>
              <w:szCs w:val="16"/>
            </w:rPr>
            <w:instrText xml:space="preserve">" </w:instrText>
          </w:r>
          <w:r w:rsidRPr="00130F37">
            <w:rPr>
              <w:sz w:val="16"/>
              <w:szCs w:val="16"/>
            </w:rPr>
            <w:fldChar w:fldCharType="separate"/>
          </w:r>
          <w:r w:rsidR="00247106">
            <w:rPr>
              <w:sz w:val="16"/>
              <w:szCs w:val="16"/>
            </w:rPr>
            <w:instrText>04/03/2024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</w:instrText>
          </w:r>
          <w:r w:rsidRPr="00130F37">
            <w:rPr>
              <w:sz w:val="16"/>
              <w:szCs w:val="16"/>
            </w:rPr>
            <w:fldChar w:fldCharType="separate"/>
          </w:r>
          <w:r w:rsidR="00247106">
            <w:rPr>
              <w:noProof/>
              <w:sz w:val="16"/>
              <w:szCs w:val="16"/>
            </w:rPr>
            <w:t>04/03/2024</w:t>
          </w:r>
          <w:r w:rsidRPr="00130F37">
            <w:rPr>
              <w:sz w:val="16"/>
              <w:szCs w:val="16"/>
            </w:rPr>
            <w:fldChar w:fldCharType="end"/>
          </w:r>
        </w:p>
      </w:tc>
    </w:tr>
  </w:tbl>
  <w:p w14:paraId="28BD77D8" w14:textId="77777777" w:rsidR="00DD2DDE" w:rsidRDefault="00DD2DDE" w:rsidP="00113B1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186F" w14:textId="77777777" w:rsidR="00DD2DDE" w:rsidRPr="007B3B51" w:rsidRDefault="00DD2DDE" w:rsidP="005A0091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7"/>
      <w:gridCol w:w="1834"/>
      <w:gridCol w:w="3324"/>
      <w:gridCol w:w="1889"/>
      <w:gridCol w:w="609"/>
    </w:tblGrid>
    <w:tr w:rsidR="00DD2DDE" w:rsidRPr="007B3B51" w14:paraId="3C8E6A6F" w14:textId="77777777" w:rsidTr="00E81701">
      <w:tc>
        <w:tcPr>
          <w:tcW w:w="396" w:type="pct"/>
        </w:tcPr>
        <w:p w14:paraId="29852029" w14:textId="77777777" w:rsidR="00DD2DDE" w:rsidRPr="007B3B51" w:rsidRDefault="00DD2DDE" w:rsidP="005A0091">
          <w:pPr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sz w:val="16"/>
              <w:szCs w:val="16"/>
            </w:rPr>
            <w:t>2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238" w:type="pct"/>
          <w:gridSpan w:val="3"/>
        </w:tcPr>
        <w:p w14:paraId="732F8375" w14:textId="0ECC94EB" w:rsidR="00DD2DDE" w:rsidRPr="007B3B51" w:rsidRDefault="00FC6081" w:rsidP="005A0091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Private Health Insurance (Medical Devices and Human Tissue Products Rules (No. 1) 2024</w:t>
          </w:r>
        </w:p>
      </w:tc>
      <w:tc>
        <w:tcPr>
          <w:tcW w:w="366" w:type="pct"/>
        </w:tcPr>
        <w:p w14:paraId="00D3130C" w14:textId="77777777" w:rsidR="00DD2DDE" w:rsidRPr="007B3B51" w:rsidRDefault="00DD2DDE" w:rsidP="005A0091">
          <w:pPr>
            <w:jc w:val="right"/>
            <w:rPr>
              <w:sz w:val="16"/>
              <w:szCs w:val="16"/>
            </w:rPr>
          </w:pPr>
        </w:p>
      </w:tc>
    </w:tr>
    <w:tr w:rsidR="00DD2DDE" w:rsidRPr="00130F37" w14:paraId="57F40864" w14:textId="77777777" w:rsidTr="00E81701">
      <w:tc>
        <w:tcPr>
          <w:tcW w:w="1499" w:type="pct"/>
          <w:gridSpan w:val="2"/>
        </w:tcPr>
        <w:p w14:paraId="3E95EB35" w14:textId="0C7490EC" w:rsidR="00DD2DDE" w:rsidRPr="00130F37" w:rsidRDefault="00DD2DDE" w:rsidP="005A0091">
          <w:pPr>
            <w:spacing w:before="120"/>
            <w:rPr>
              <w:sz w:val="16"/>
              <w:szCs w:val="16"/>
            </w:rPr>
          </w:pPr>
        </w:p>
      </w:tc>
      <w:tc>
        <w:tcPr>
          <w:tcW w:w="1999" w:type="pct"/>
        </w:tcPr>
        <w:p w14:paraId="186D2F1E" w14:textId="66FC46BD" w:rsidR="00DD2DDE" w:rsidRPr="00130F37" w:rsidRDefault="00DD2DDE" w:rsidP="005A0091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502" w:type="pct"/>
          <w:gridSpan w:val="2"/>
        </w:tcPr>
        <w:p w14:paraId="2FB543BA" w14:textId="6EBC4B5F" w:rsidR="00DD2DDE" w:rsidRPr="00130F37" w:rsidRDefault="00DD2DDE" w:rsidP="005A0091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47F2CBA7" w14:textId="77777777" w:rsidR="00DD2DDE" w:rsidRPr="00ED79B6" w:rsidRDefault="00DD2DDE" w:rsidP="005A009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BB21" w14:textId="77777777" w:rsidR="00DD2DDE" w:rsidRPr="007B3B51" w:rsidRDefault="00DD2DDE" w:rsidP="005A0091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7"/>
      <w:gridCol w:w="1834"/>
      <w:gridCol w:w="3324"/>
      <w:gridCol w:w="1889"/>
      <w:gridCol w:w="609"/>
    </w:tblGrid>
    <w:tr w:rsidR="00DD2DDE" w:rsidRPr="007B3B51" w14:paraId="6E891795" w14:textId="77777777" w:rsidTr="00E81701">
      <w:tc>
        <w:tcPr>
          <w:tcW w:w="396" w:type="pct"/>
        </w:tcPr>
        <w:p w14:paraId="689FB129" w14:textId="77777777" w:rsidR="00DD2DDE" w:rsidRPr="007B3B51" w:rsidRDefault="00DD2DDE" w:rsidP="005A0091">
          <w:pPr>
            <w:rPr>
              <w:i/>
              <w:sz w:val="16"/>
              <w:szCs w:val="16"/>
            </w:rPr>
          </w:pPr>
        </w:p>
      </w:tc>
      <w:tc>
        <w:tcPr>
          <w:tcW w:w="4238" w:type="pct"/>
          <w:gridSpan w:val="3"/>
        </w:tcPr>
        <w:p w14:paraId="515C595F" w14:textId="32709E45" w:rsidR="00DD2DDE" w:rsidRPr="007B3B51" w:rsidRDefault="00FC6081" w:rsidP="005A0091">
          <w:pPr>
            <w:jc w:val="center"/>
            <w:rPr>
              <w:i/>
              <w:sz w:val="16"/>
              <w:szCs w:val="16"/>
            </w:rPr>
          </w:pPr>
          <w:r w:rsidRPr="00FC6081">
            <w:rPr>
              <w:i/>
              <w:sz w:val="16"/>
              <w:szCs w:val="16"/>
            </w:rPr>
            <w:t>Private Health Insurance (Medical Devices and Human Tissue Products Rules (No. 1) 2024</w:t>
          </w:r>
        </w:p>
      </w:tc>
      <w:tc>
        <w:tcPr>
          <w:tcW w:w="366" w:type="pct"/>
        </w:tcPr>
        <w:p w14:paraId="5EDD656E" w14:textId="77777777" w:rsidR="00DD2DDE" w:rsidRPr="007B3B51" w:rsidRDefault="00DD2DDE" w:rsidP="005A0091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sz w:val="16"/>
              <w:szCs w:val="16"/>
            </w:rPr>
            <w:t>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DD2DDE" w:rsidRPr="00130F37" w14:paraId="21589D80" w14:textId="77777777" w:rsidTr="00E81701">
      <w:tc>
        <w:tcPr>
          <w:tcW w:w="1499" w:type="pct"/>
          <w:gridSpan w:val="2"/>
        </w:tcPr>
        <w:p w14:paraId="1C5A9B2E" w14:textId="6602AE15" w:rsidR="00DD2DDE" w:rsidRPr="00130F37" w:rsidRDefault="00DD2DDE" w:rsidP="005A0091">
          <w:pPr>
            <w:spacing w:before="120"/>
            <w:rPr>
              <w:sz w:val="16"/>
              <w:szCs w:val="16"/>
            </w:rPr>
          </w:pPr>
        </w:p>
      </w:tc>
      <w:tc>
        <w:tcPr>
          <w:tcW w:w="1999" w:type="pct"/>
        </w:tcPr>
        <w:p w14:paraId="5AFFE47D" w14:textId="034D4E00" w:rsidR="00DD2DDE" w:rsidRPr="00130F37" w:rsidRDefault="00DD2DDE" w:rsidP="005A0091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502" w:type="pct"/>
          <w:gridSpan w:val="2"/>
        </w:tcPr>
        <w:p w14:paraId="25ED72C4" w14:textId="3011A26A" w:rsidR="00DD2DDE" w:rsidRPr="00130F37" w:rsidRDefault="00DD2DDE" w:rsidP="005A0091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5F9EF83D" w14:textId="77777777" w:rsidR="00DD2DDE" w:rsidRPr="00ED79B6" w:rsidRDefault="00DD2DDE" w:rsidP="005A009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5C30" w14:textId="77777777" w:rsidR="00DD2DDE" w:rsidRPr="007B3B51" w:rsidRDefault="00DD2DDE" w:rsidP="005A0091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6"/>
      <w:gridCol w:w="6908"/>
      <w:gridCol w:w="609"/>
    </w:tblGrid>
    <w:tr w:rsidR="00DD2DDE" w:rsidRPr="007B3B51" w14:paraId="3EB79C52" w14:textId="77777777" w:rsidTr="00E81701">
      <w:tc>
        <w:tcPr>
          <w:tcW w:w="479" w:type="pct"/>
        </w:tcPr>
        <w:p w14:paraId="13469088" w14:textId="77777777" w:rsidR="00DD2DDE" w:rsidRPr="007B3B51" w:rsidRDefault="00DD2DDE" w:rsidP="005A0091">
          <w:pPr>
            <w:rPr>
              <w:i/>
              <w:sz w:val="16"/>
              <w:szCs w:val="16"/>
            </w:rPr>
          </w:pPr>
        </w:p>
      </w:tc>
      <w:tc>
        <w:tcPr>
          <w:tcW w:w="4155" w:type="pct"/>
        </w:tcPr>
        <w:p w14:paraId="152364E3" w14:textId="6FAE6150" w:rsidR="00DD2DDE" w:rsidRPr="007B3B51" w:rsidRDefault="00DD2DDE" w:rsidP="005A0091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62284C">
            <w:rPr>
              <w:i/>
              <w:noProof/>
              <w:sz w:val="16"/>
              <w:szCs w:val="16"/>
            </w:rPr>
            <w:t>Private Health Insurance (Medical Devices and Human Tissue Products) Rules (No. 1) 2024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366" w:type="pct"/>
        </w:tcPr>
        <w:p w14:paraId="09E203C7" w14:textId="77777777" w:rsidR="00DD2DDE" w:rsidRPr="007B3B51" w:rsidRDefault="00DD2DDE" w:rsidP="005A0091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sz w:val="16"/>
              <w:szCs w:val="16"/>
            </w:rPr>
            <w:t>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14:paraId="5F746E1A" w14:textId="77777777" w:rsidR="00DD2DDE" w:rsidRPr="005A0091" w:rsidRDefault="00DD2DDE" w:rsidP="005A0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CB25" w14:textId="77777777" w:rsidR="00254AD4" w:rsidRDefault="00254AD4" w:rsidP="00715914">
      <w:pPr>
        <w:spacing w:line="240" w:lineRule="auto"/>
      </w:pPr>
      <w:r>
        <w:separator/>
      </w:r>
    </w:p>
  </w:footnote>
  <w:footnote w:type="continuationSeparator" w:id="0">
    <w:p w14:paraId="056F0E48" w14:textId="77777777" w:rsidR="00254AD4" w:rsidRDefault="00254AD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2629" w14:textId="77777777" w:rsidR="00DD2DDE" w:rsidRDefault="00DD2DDE" w:rsidP="00313C2B">
    <w:pPr>
      <w:pStyle w:val="Header"/>
      <w:pBdr>
        <w:bottom w:val="single" w:sz="6" w:space="1" w:color="auto"/>
      </w:pBdr>
    </w:pPr>
  </w:p>
  <w:p w14:paraId="07C4BB81" w14:textId="77777777" w:rsidR="00DD2DDE" w:rsidRDefault="00DD2DDE" w:rsidP="00313C2B">
    <w:pPr>
      <w:pStyle w:val="Header"/>
      <w:pBdr>
        <w:bottom w:val="single" w:sz="6" w:space="1" w:color="auto"/>
      </w:pBdr>
    </w:pPr>
  </w:p>
  <w:p w14:paraId="2159F7B7" w14:textId="77777777" w:rsidR="00DD2DDE" w:rsidRPr="001E77D2" w:rsidRDefault="00DD2DDE" w:rsidP="00313C2B">
    <w:pPr>
      <w:pStyle w:val="Header"/>
      <w:pBdr>
        <w:bottom w:val="single" w:sz="6" w:space="1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C38D" w14:textId="529A9E69" w:rsidR="00DD2DDE" w:rsidRDefault="00DD2DD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247106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247106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556ACB2B" w14:textId="321EE17F" w:rsidR="00DD2DDE" w:rsidRDefault="00DD2DD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47106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47106">
      <w:rPr>
        <w:noProof/>
        <w:sz w:val="20"/>
      </w:rPr>
      <w:t>Miscellaneous</w:t>
    </w:r>
    <w:r>
      <w:rPr>
        <w:sz w:val="20"/>
      </w:rPr>
      <w:fldChar w:fldCharType="end"/>
    </w:r>
  </w:p>
  <w:p w14:paraId="7D010D61" w14:textId="47CB7029" w:rsidR="00DD2DDE" w:rsidRPr="007A1328" w:rsidRDefault="00DD2DD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C6B3D7F" w14:textId="77777777" w:rsidR="00DD2DDE" w:rsidRPr="007A1328" w:rsidRDefault="00DD2DDE" w:rsidP="00715914">
    <w:pPr>
      <w:rPr>
        <w:b/>
        <w:sz w:val="24"/>
      </w:rPr>
    </w:pPr>
  </w:p>
  <w:p w14:paraId="29230356" w14:textId="52FAB372" w:rsidR="00DD2DDE" w:rsidRPr="007A1328" w:rsidRDefault="00DD2DDE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4710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end"/>
    </w:r>
  </w:p>
  <w:p w14:paraId="3F43B7AF" w14:textId="77777777" w:rsidR="00DD2DDE" w:rsidRDefault="00DD2DDE"/>
  <w:p w14:paraId="23EA8C51" w14:textId="77777777" w:rsidR="00DD2DDE" w:rsidRDefault="00DD2DDE" w:rsidP="00FA6B65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0B29" w14:textId="570B6666" w:rsidR="00DD2DDE" w:rsidRPr="007A1328" w:rsidRDefault="00DD2DD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247106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247106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14:paraId="460A0E11" w14:textId="5CA9A785" w:rsidR="00DD2DDE" w:rsidRPr="007A1328" w:rsidRDefault="00DD2DD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47106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47106">
      <w:rPr>
        <w:b/>
        <w:noProof/>
        <w:sz w:val="20"/>
      </w:rPr>
      <w:t>Part 5</w:t>
    </w:r>
    <w:r>
      <w:rPr>
        <w:b/>
        <w:sz w:val="20"/>
      </w:rPr>
      <w:fldChar w:fldCharType="end"/>
    </w:r>
  </w:p>
  <w:p w14:paraId="0ACA8ADB" w14:textId="07738235" w:rsidR="00DD2DDE" w:rsidRPr="007A1328" w:rsidRDefault="00DD2DD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73D9D85" w14:textId="77777777" w:rsidR="00DD2DDE" w:rsidRPr="007A1328" w:rsidRDefault="00DD2DDE" w:rsidP="00715914">
    <w:pPr>
      <w:jc w:val="right"/>
      <w:rPr>
        <w:b/>
        <w:sz w:val="24"/>
      </w:rPr>
    </w:pPr>
  </w:p>
  <w:p w14:paraId="31D0C65E" w14:textId="45478C4B" w:rsidR="00DD2DDE" w:rsidRPr="007A1328" w:rsidRDefault="00DD2DDE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4710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end"/>
    </w:r>
  </w:p>
  <w:p w14:paraId="3156CFD4" w14:textId="77777777" w:rsidR="00DD2DDE" w:rsidRDefault="00DD2DDE"/>
  <w:p w14:paraId="6A6FBD06" w14:textId="77777777" w:rsidR="00DD2DDE" w:rsidRDefault="00DD2DDE" w:rsidP="00FA6B65">
    <w:pPr>
      <w:pBdr>
        <w:bottom w:val="single" w:sz="6" w:space="1" w:color="auto"/>
      </w:pBdr>
      <w:spacing w:after="12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A5A4" w14:textId="77777777" w:rsidR="00DD2DDE" w:rsidRPr="007A1328" w:rsidRDefault="00DD2DDE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0CA2" w14:textId="77777777" w:rsidR="00DD2DDE" w:rsidRDefault="00DD2DDE" w:rsidP="00313C2B">
    <w:pPr>
      <w:pStyle w:val="Header"/>
      <w:pBdr>
        <w:bottom w:val="single" w:sz="4" w:space="1" w:color="auto"/>
      </w:pBdr>
    </w:pPr>
  </w:p>
  <w:p w14:paraId="475D9950" w14:textId="77777777" w:rsidR="00DD2DDE" w:rsidRDefault="00DD2DDE" w:rsidP="00313C2B">
    <w:pPr>
      <w:pStyle w:val="Header"/>
      <w:pBdr>
        <w:bottom w:val="single" w:sz="4" w:space="1" w:color="auto"/>
      </w:pBdr>
    </w:pPr>
  </w:p>
  <w:p w14:paraId="6CCF7291" w14:textId="77777777" w:rsidR="00DD2DDE" w:rsidRPr="001E77D2" w:rsidRDefault="00DD2DDE" w:rsidP="00313C2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F6DD" w14:textId="77777777" w:rsidR="00DD2DDE" w:rsidRPr="005F1388" w:rsidRDefault="00DD2DDE" w:rsidP="00313C2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519A" w14:textId="77777777" w:rsidR="00DD2DDE" w:rsidRPr="00113B13" w:rsidRDefault="00DD2DDE" w:rsidP="00113B13">
    <w:pPr>
      <w:pBdr>
        <w:bottom w:val="single" w:sz="6" w:space="1" w:color="auto"/>
      </w:pBdr>
      <w:spacing w:before="1000"/>
      <w:rPr>
        <w:sz w:val="24"/>
      </w:rPr>
    </w:pPr>
    <w:r w:rsidRPr="00113B13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5ACFB35" wp14:editId="382E019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48" name="Text Box 48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A2D33" w14:textId="2D7D91A6" w:rsidR="00DD2DDE" w:rsidRPr="00324EB0" w:rsidRDefault="00DD2DDE" w:rsidP="00113B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471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471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471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471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0636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CFB35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alt="Sec-Headerevenpage" style="position:absolute;margin-left:0;margin-top:-2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0DA2D33" w14:textId="2D7D91A6" w:rsidR="00DD2DDE" w:rsidRPr="00324EB0" w:rsidRDefault="00DD2DDE" w:rsidP="00113B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471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47106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47106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471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0636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9AFE" w14:textId="4FC7CDB5" w:rsidR="00DD2DDE" w:rsidRPr="00113B13" w:rsidRDefault="00DD2DDE" w:rsidP="00113B13">
    <w:pPr>
      <w:pBdr>
        <w:bottom w:val="single" w:sz="6" w:space="1" w:color="auto"/>
      </w:pBdr>
      <w:spacing w:before="1000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7F94" w14:textId="77777777" w:rsidR="00DD2DDE" w:rsidRPr="00113B13" w:rsidRDefault="00DD2DDE" w:rsidP="00113B13">
    <w:pPr>
      <w:pStyle w:val="Header"/>
      <w:tabs>
        <w:tab w:val="clear" w:pos="4150"/>
        <w:tab w:val="clear" w:pos="8307"/>
      </w:tabs>
      <w:rPr>
        <w:sz w:val="24"/>
      </w:rPr>
    </w:pPr>
    <w:r w:rsidRPr="00113B13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C02A5C2" wp14:editId="6C9DF12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6" name="Text Box 16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43B5A" w14:textId="4DC97DF1" w:rsidR="00DD2DDE" w:rsidRPr="00324EB0" w:rsidRDefault="00DD2DDE" w:rsidP="00113B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471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471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4710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471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4710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2A5C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alt="Sec-Headerfirstpage" style="position:absolute;margin-left:0;margin-top:-25pt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61543B5A" w14:textId="4DC97DF1" w:rsidR="00DD2DDE" w:rsidRPr="00324EB0" w:rsidRDefault="00DD2DDE" w:rsidP="00113B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47106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47106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47106"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471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4710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A66B" w14:textId="06514B71" w:rsidR="00DD2DDE" w:rsidRDefault="00DD2DDE" w:rsidP="00E8170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2284C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2284C">
      <w:rPr>
        <w:noProof/>
        <w:sz w:val="20"/>
      </w:rPr>
      <w:t>Cost-recovery fees</w:t>
    </w:r>
    <w:r>
      <w:rPr>
        <w:sz w:val="20"/>
      </w:rPr>
      <w:fldChar w:fldCharType="end"/>
    </w:r>
  </w:p>
  <w:p w14:paraId="0E450D33" w14:textId="0CFC8376" w:rsidR="00DD2DDE" w:rsidRPr="007A1328" w:rsidRDefault="00DD2DDE" w:rsidP="00E8170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62284C">
      <w:rPr>
        <w:b/>
        <w:sz w:val="20"/>
      </w:rPr>
      <w:fldChar w:fldCharType="separate"/>
    </w:r>
    <w:r w:rsidR="0062284C">
      <w:rPr>
        <w:b/>
        <w:noProof/>
        <w:sz w:val="20"/>
      </w:rPr>
      <w:t>Division 2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62284C">
      <w:rPr>
        <w:sz w:val="20"/>
      </w:rPr>
      <w:fldChar w:fldCharType="separate"/>
    </w:r>
    <w:r w:rsidR="0062284C">
      <w:rPr>
        <w:noProof/>
        <w:sz w:val="20"/>
      </w:rPr>
      <w:t>Payment of cost-recovery fees</w:t>
    </w:r>
    <w:r>
      <w:rPr>
        <w:sz w:val="20"/>
      </w:rPr>
      <w:fldChar w:fldCharType="end"/>
    </w:r>
  </w:p>
  <w:p w14:paraId="0A180518" w14:textId="77777777" w:rsidR="00DD2DDE" w:rsidRPr="007A1328" w:rsidRDefault="00DD2DDE" w:rsidP="00E81701">
    <w:pPr>
      <w:rPr>
        <w:b/>
        <w:sz w:val="24"/>
      </w:rPr>
    </w:pPr>
  </w:p>
  <w:p w14:paraId="56881999" w14:textId="540B323E" w:rsidR="00DD2DDE" w:rsidRPr="00D0107E" w:rsidRDefault="00DD2DDE" w:rsidP="00D0107E">
    <w:pPr>
      <w:pBdr>
        <w:bottom w:val="single" w:sz="6" w:space="1" w:color="auto"/>
      </w:pBdr>
      <w:spacing w:after="120"/>
      <w:rPr>
        <w:sz w:val="24"/>
      </w:rPr>
    </w:pPr>
    <w:r w:rsidRPr="00D0107E">
      <w:rPr>
        <w:sz w:val="24"/>
      </w:rPr>
      <w:fldChar w:fldCharType="begin"/>
    </w:r>
    <w:r w:rsidRPr="00D0107E">
      <w:rPr>
        <w:sz w:val="24"/>
      </w:rPr>
      <w:instrText xml:space="preserve"> DOCPROPERTY  Header </w:instrText>
    </w:r>
    <w:r w:rsidRPr="00D0107E">
      <w:rPr>
        <w:sz w:val="24"/>
      </w:rPr>
      <w:fldChar w:fldCharType="separate"/>
    </w:r>
    <w:r w:rsidR="00247106">
      <w:rPr>
        <w:sz w:val="24"/>
      </w:rPr>
      <w:t>Section</w:t>
    </w:r>
    <w:r w:rsidRPr="00D0107E">
      <w:rPr>
        <w:sz w:val="24"/>
      </w:rPr>
      <w:fldChar w:fldCharType="end"/>
    </w:r>
    <w:r w:rsidRPr="00D0107E">
      <w:rPr>
        <w:sz w:val="24"/>
      </w:rPr>
      <w:t xml:space="preserve"> </w:t>
    </w:r>
    <w:r w:rsidRPr="00D0107E">
      <w:rPr>
        <w:sz w:val="24"/>
      </w:rPr>
      <w:fldChar w:fldCharType="begin"/>
    </w:r>
    <w:r w:rsidRPr="00D0107E">
      <w:rPr>
        <w:sz w:val="24"/>
      </w:rPr>
      <w:instrText xml:space="preserve"> STYLEREF CharSectno </w:instrText>
    </w:r>
    <w:r w:rsidRPr="00D0107E">
      <w:rPr>
        <w:sz w:val="24"/>
      </w:rPr>
      <w:fldChar w:fldCharType="separate"/>
    </w:r>
    <w:r w:rsidR="0062284C">
      <w:rPr>
        <w:noProof/>
        <w:sz w:val="24"/>
      </w:rPr>
      <w:t>22</w:t>
    </w:r>
    <w:r w:rsidRPr="00D0107E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D3D9" w14:textId="1C30E7D6" w:rsidR="00DD2DDE" w:rsidRPr="007A1328" w:rsidRDefault="00DD2DDE" w:rsidP="00E8170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62284C">
      <w:rPr>
        <w:noProof/>
        <w:sz w:val="20"/>
      </w:rPr>
      <w:t>Cost-recovery fees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62284C">
      <w:rPr>
        <w:b/>
        <w:noProof/>
        <w:sz w:val="20"/>
      </w:rPr>
      <w:t>Part 4</w:t>
    </w:r>
    <w:r>
      <w:rPr>
        <w:b/>
        <w:sz w:val="20"/>
      </w:rPr>
      <w:fldChar w:fldCharType="end"/>
    </w:r>
  </w:p>
  <w:p w14:paraId="3A4AE0CF" w14:textId="4B606F2F" w:rsidR="00DD2DDE" w:rsidRPr="007A1328" w:rsidRDefault="00DD2DDE" w:rsidP="00E8170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62284C">
      <w:rPr>
        <w:sz w:val="20"/>
      </w:rPr>
      <w:fldChar w:fldCharType="separate"/>
    </w:r>
    <w:r w:rsidR="0062284C">
      <w:rPr>
        <w:noProof/>
        <w:sz w:val="20"/>
      </w:rPr>
      <w:t>Refunds and waiver of cost-recovery fees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62284C">
      <w:rPr>
        <w:b/>
        <w:sz w:val="20"/>
      </w:rPr>
      <w:fldChar w:fldCharType="separate"/>
    </w:r>
    <w:r w:rsidR="0062284C">
      <w:rPr>
        <w:b/>
        <w:noProof/>
        <w:sz w:val="20"/>
      </w:rPr>
      <w:t>Division 3</w:t>
    </w:r>
    <w:r>
      <w:rPr>
        <w:b/>
        <w:sz w:val="20"/>
      </w:rPr>
      <w:fldChar w:fldCharType="end"/>
    </w:r>
  </w:p>
  <w:p w14:paraId="659F28C8" w14:textId="77777777" w:rsidR="00DD2DDE" w:rsidRPr="007A1328" w:rsidRDefault="00DD2DDE" w:rsidP="00E81701">
    <w:pPr>
      <w:jc w:val="right"/>
      <w:rPr>
        <w:b/>
        <w:sz w:val="24"/>
      </w:rPr>
    </w:pPr>
  </w:p>
  <w:p w14:paraId="25EC7AB7" w14:textId="15A14C8E" w:rsidR="00DD2DDE" w:rsidRPr="00D0107E" w:rsidRDefault="00DD2DDE" w:rsidP="00D0107E">
    <w:pPr>
      <w:pBdr>
        <w:bottom w:val="single" w:sz="6" w:space="1" w:color="auto"/>
      </w:pBdr>
      <w:spacing w:after="120"/>
      <w:jc w:val="right"/>
      <w:rPr>
        <w:sz w:val="24"/>
      </w:rPr>
    </w:pPr>
    <w:r w:rsidRPr="00D0107E">
      <w:rPr>
        <w:sz w:val="24"/>
      </w:rPr>
      <w:fldChar w:fldCharType="begin"/>
    </w:r>
    <w:r w:rsidRPr="00D0107E">
      <w:rPr>
        <w:sz w:val="24"/>
      </w:rPr>
      <w:instrText xml:space="preserve"> DOCPROPERTY  Header </w:instrText>
    </w:r>
    <w:r w:rsidRPr="00D0107E">
      <w:rPr>
        <w:sz w:val="24"/>
      </w:rPr>
      <w:fldChar w:fldCharType="separate"/>
    </w:r>
    <w:r w:rsidR="00247106">
      <w:rPr>
        <w:sz w:val="24"/>
      </w:rPr>
      <w:t>Section</w:t>
    </w:r>
    <w:r w:rsidRPr="00D0107E">
      <w:rPr>
        <w:sz w:val="24"/>
      </w:rPr>
      <w:fldChar w:fldCharType="end"/>
    </w:r>
    <w:r w:rsidRPr="00D0107E">
      <w:rPr>
        <w:sz w:val="24"/>
      </w:rPr>
      <w:t xml:space="preserve"> </w:t>
    </w:r>
    <w:r w:rsidRPr="00D0107E">
      <w:rPr>
        <w:sz w:val="24"/>
      </w:rPr>
      <w:fldChar w:fldCharType="begin"/>
    </w:r>
    <w:r w:rsidRPr="00D0107E">
      <w:rPr>
        <w:sz w:val="24"/>
      </w:rPr>
      <w:instrText xml:space="preserve"> STYLEREF CharSectno </w:instrText>
    </w:r>
    <w:r w:rsidRPr="00D0107E">
      <w:rPr>
        <w:sz w:val="24"/>
      </w:rPr>
      <w:fldChar w:fldCharType="separate"/>
    </w:r>
    <w:r w:rsidR="0062284C">
      <w:rPr>
        <w:noProof/>
        <w:sz w:val="24"/>
      </w:rPr>
      <w:t>24</w:t>
    </w:r>
    <w:r w:rsidRPr="00D0107E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1EC7" w14:textId="65A15249" w:rsidR="00DD2DDE" w:rsidRPr="007A1328" w:rsidRDefault="00DD2DDE" w:rsidP="00F031C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2284C">
      <w:rPr>
        <w:sz w:val="20"/>
      </w:rPr>
      <w:fldChar w:fldCharType="separate"/>
    </w:r>
    <w:r w:rsidR="0062284C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2284C">
      <w:rPr>
        <w:b/>
        <w:sz w:val="20"/>
      </w:rPr>
      <w:fldChar w:fldCharType="separate"/>
    </w:r>
    <w:r w:rsidR="0062284C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1CC8480" w14:textId="1C053673" w:rsidR="00DD2DDE" w:rsidRPr="007A1328" w:rsidRDefault="00DD2DDE" w:rsidP="00F031C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E03CB90" w14:textId="77777777" w:rsidR="00DD2DDE" w:rsidRPr="007A1328" w:rsidRDefault="00DD2DDE" w:rsidP="00F031C3">
    <w:pPr>
      <w:jc w:val="right"/>
      <w:rPr>
        <w:b/>
        <w:sz w:val="24"/>
      </w:rPr>
    </w:pPr>
  </w:p>
  <w:p w14:paraId="12A51B79" w14:textId="0D87A685" w:rsidR="00DD2DDE" w:rsidRPr="00D0107E" w:rsidRDefault="00DD2DDE" w:rsidP="00F031C3">
    <w:pPr>
      <w:pBdr>
        <w:bottom w:val="single" w:sz="6" w:space="1" w:color="auto"/>
      </w:pBdr>
      <w:spacing w:after="120"/>
      <w:jc w:val="right"/>
      <w:rPr>
        <w:sz w:val="24"/>
      </w:rPr>
    </w:pPr>
    <w:r w:rsidRPr="00D0107E">
      <w:rPr>
        <w:sz w:val="24"/>
      </w:rPr>
      <w:fldChar w:fldCharType="begin"/>
    </w:r>
    <w:r w:rsidRPr="00D0107E">
      <w:rPr>
        <w:sz w:val="24"/>
      </w:rPr>
      <w:instrText xml:space="preserve"> DOCPROPERTY  Header </w:instrText>
    </w:r>
    <w:r w:rsidRPr="00D0107E">
      <w:rPr>
        <w:sz w:val="24"/>
      </w:rPr>
      <w:fldChar w:fldCharType="separate"/>
    </w:r>
    <w:r w:rsidR="00247106">
      <w:rPr>
        <w:sz w:val="24"/>
      </w:rPr>
      <w:t>Section</w:t>
    </w:r>
    <w:r w:rsidRPr="00D0107E">
      <w:rPr>
        <w:sz w:val="24"/>
      </w:rPr>
      <w:fldChar w:fldCharType="end"/>
    </w:r>
    <w:r w:rsidRPr="00D0107E">
      <w:rPr>
        <w:sz w:val="24"/>
      </w:rPr>
      <w:t xml:space="preserve"> </w:t>
    </w:r>
    <w:r w:rsidRPr="00D0107E">
      <w:rPr>
        <w:sz w:val="24"/>
      </w:rPr>
      <w:fldChar w:fldCharType="begin"/>
    </w:r>
    <w:r w:rsidRPr="00D0107E">
      <w:rPr>
        <w:sz w:val="24"/>
      </w:rPr>
      <w:instrText xml:space="preserve"> STYLEREF CharSectno </w:instrText>
    </w:r>
    <w:r w:rsidRPr="00D0107E">
      <w:rPr>
        <w:sz w:val="24"/>
      </w:rPr>
      <w:fldChar w:fldCharType="separate"/>
    </w:r>
    <w:r w:rsidR="0062284C">
      <w:rPr>
        <w:noProof/>
        <w:sz w:val="24"/>
      </w:rPr>
      <w:t>1</w:t>
    </w:r>
    <w:r w:rsidRPr="00D0107E">
      <w:rPr>
        <w:sz w:val="24"/>
      </w:rPr>
      <w:fldChar w:fldCharType="end"/>
    </w:r>
  </w:p>
  <w:p w14:paraId="2493BCB8" w14:textId="77777777" w:rsidR="00DD2DDE" w:rsidRPr="00F031C3" w:rsidRDefault="00DD2DDE" w:rsidP="00F03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1E4C5C"/>
    <w:multiLevelType w:val="hybridMultilevel"/>
    <w:tmpl w:val="DEEC82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8A6E33"/>
    <w:multiLevelType w:val="hybridMultilevel"/>
    <w:tmpl w:val="DC8EE746"/>
    <w:lvl w:ilvl="0" w:tplc="2896859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30334127"/>
    <w:multiLevelType w:val="hybridMultilevel"/>
    <w:tmpl w:val="5860BC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0EC4"/>
    <w:multiLevelType w:val="hybridMultilevel"/>
    <w:tmpl w:val="4E28DF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D54785E"/>
    <w:multiLevelType w:val="hybridMultilevel"/>
    <w:tmpl w:val="FC141EB6"/>
    <w:lvl w:ilvl="0" w:tplc="29448D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908E47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4ED7F0E"/>
    <w:multiLevelType w:val="hybridMultilevel"/>
    <w:tmpl w:val="B3B49736"/>
    <w:lvl w:ilvl="0" w:tplc="0908E472">
      <w:start w:val="1"/>
      <w:numFmt w:val="lowerLetter"/>
      <w:lvlText w:val="(%1)"/>
      <w:lvlJc w:val="left"/>
      <w:pPr>
        <w:ind w:left="1411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01" w:hanging="360"/>
      </w:pPr>
    </w:lvl>
    <w:lvl w:ilvl="2" w:tplc="FFFFFFFF" w:tentative="1">
      <w:start w:val="1"/>
      <w:numFmt w:val="lowerRoman"/>
      <w:lvlText w:val="%3."/>
      <w:lvlJc w:val="right"/>
      <w:pPr>
        <w:ind w:left="2821" w:hanging="180"/>
      </w:pPr>
    </w:lvl>
    <w:lvl w:ilvl="3" w:tplc="FFFFFFFF" w:tentative="1">
      <w:start w:val="1"/>
      <w:numFmt w:val="decimal"/>
      <w:lvlText w:val="%4."/>
      <w:lvlJc w:val="left"/>
      <w:pPr>
        <w:ind w:left="3541" w:hanging="360"/>
      </w:pPr>
    </w:lvl>
    <w:lvl w:ilvl="4" w:tplc="FFFFFFFF" w:tentative="1">
      <w:start w:val="1"/>
      <w:numFmt w:val="lowerLetter"/>
      <w:lvlText w:val="%5."/>
      <w:lvlJc w:val="left"/>
      <w:pPr>
        <w:ind w:left="4261" w:hanging="360"/>
      </w:pPr>
    </w:lvl>
    <w:lvl w:ilvl="5" w:tplc="FFFFFFFF" w:tentative="1">
      <w:start w:val="1"/>
      <w:numFmt w:val="lowerRoman"/>
      <w:lvlText w:val="%6."/>
      <w:lvlJc w:val="right"/>
      <w:pPr>
        <w:ind w:left="4981" w:hanging="180"/>
      </w:pPr>
    </w:lvl>
    <w:lvl w:ilvl="6" w:tplc="FFFFFFFF" w:tentative="1">
      <w:start w:val="1"/>
      <w:numFmt w:val="decimal"/>
      <w:lvlText w:val="%7."/>
      <w:lvlJc w:val="left"/>
      <w:pPr>
        <w:ind w:left="5701" w:hanging="360"/>
      </w:pPr>
    </w:lvl>
    <w:lvl w:ilvl="7" w:tplc="FFFFFFFF" w:tentative="1">
      <w:start w:val="1"/>
      <w:numFmt w:val="lowerLetter"/>
      <w:lvlText w:val="%8."/>
      <w:lvlJc w:val="left"/>
      <w:pPr>
        <w:ind w:left="6421" w:hanging="360"/>
      </w:pPr>
    </w:lvl>
    <w:lvl w:ilvl="8" w:tplc="FFFFFFFF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4" w15:restartNumberingAfterBreak="0">
    <w:nsid w:val="4B220E16"/>
    <w:multiLevelType w:val="hybridMultilevel"/>
    <w:tmpl w:val="42702EEC"/>
    <w:lvl w:ilvl="0" w:tplc="65060C74">
      <w:start w:val="1"/>
      <w:numFmt w:val="lowerLetter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4BAC4CED"/>
    <w:multiLevelType w:val="hybridMultilevel"/>
    <w:tmpl w:val="17963794"/>
    <w:lvl w:ilvl="0" w:tplc="80106E48">
      <w:start w:val="1"/>
      <w:numFmt w:val="lowerLetter"/>
      <w:lvlText w:val="(%1)"/>
      <w:lvlJc w:val="left"/>
      <w:pPr>
        <w:ind w:left="1446" w:hanging="360"/>
      </w:pPr>
      <w:rPr>
        <w:rFonts w:ascii="Times New Roman" w:eastAsia="Times New Roman" w:hAnsi="Times New Roman" w:cs="Times New Roman"/>
      </w:rPr>
    </w:lvl>
    <w:lvl w:ilvl="1" w:tplc="80106E48">
      <w:start w:val="1"/>
      <w:numFmt w:val="lowerLetter"/>
      <w:lvlText w:val="(%2)"/>
      <w:lvlJc w:val="left"/>
      <w:pPr>
        <w:ind w:left="2166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 w15:restartNumberingAfterBreak="0">
    <w:nsid w:val="4F970A15"/>
    <w:multiLevelType w:val="hybridMultilevel"/>
    <w:tmpl w:val="73B094D0"/>
    <w:lvl w:ilvl="0" w:tplc="3322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0106E48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D07C1"/>
    <w:multiLevelType w:val="hybridMultilevel"/>
    <w:tmpl w:val="F4F01B52"/>
    <w:lvl w:ilvl="0" w:tplc="454261D8">
      <w:start w:val="1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87210404">
    <w:abstractNumId w:val="9"/>
  </w:num>
  <w:num w:numId="2" w16cid:durableId="1413698543">
    <w:abstractNumId w:val="7"/>
  </w:num>
  <w:num w:numId="3" w16cid:durableId="555626969">
    <w:abstractNumId w:val="6"/>
  </w:num>
  <w:num w:numId="4" w16cid:durableId="1376539013">
    <w:abstractNumId w:val="5"/>
  </w:num>
  <w:num w:numId="5" w16cid:durableId="123737393">
    <w:abstractNumId w:val="4"/>
  </w:num>
  <w:num w:numId="6" w16cid:durableId="132214573">
    <w:abstractNumId w:val="8"/>
  </w:num>
  <w:num w:numId="7" w16cid:durableId="1118181278">
    <w:abstractNumId w:val="3"/>
  </w:num>
  <w:num w:numId="8" w16cid:durableId="115566062">
    <w:abstractNumId w:val="2"/>
  </w:num>
  <w:num w:numId="9" w16cid:durableId="29456081">
    <w:abstractNumId w:val="1"/>
  </w:num>
  <w:num w:numId="10" w16cid:durableId="731277265">
    <w:abstractNumId w:val="0"/>
  </w:num>
  <w:num w:numId="11" w16cid:durableId="1542746014">
    <w:abstractNumId w:val="19"/>
  </w:num>
  <w:num w:numId="12" w16cid:durableId="1935166333">
    <w:abstractNumId w:val="11"/>
  </w:num>
  <w:num w:numId="13" w16cid:durableId="664016994">
    <w:abstractNumId w:val="12"/>
  </w:num>
  <w:num w:numId="14" w16cid:durableId="180318860">
    <w:abstractNumId w:val="15"/>
  </w:num>
  <w:num w:numId="15" w16cid:durableId="732242448">
    <w:abstractNumId w:val="14"/>
  </w:num>
  <w:num w:numId="16" w16cid:durableId="1146120092">
    <w:abstractNumId w:val="10"/>
  </w:num>
  <w:num w:numId="17" w16cid:durableId="944191016">
    <w:abstractNumId w:val="22"/>
  </w:num>
  <w:num w:numId="18" w16cid:durableId="1108741206">
    <w:abstractNumId w:val="21"/>
  </w:num>
  <w:num w:numId="19" w16cid:durableId="1361777548">
    <w:abstractNumId w:val="19"/>
  </w:num>
  <w:num w:numId="20" w16cid:durableId="49152212">
    <w:abstractNumId w:val="24"/>
  </w:num>
  <w:num w:numId="21" w16cid:durableId="758019527">
    <w:abstractNumId w:val="28"/>
  </w:num>
  <w:num w:numId="22" w16cid:durableId="1612014082">
    <w:abstractNumId w:val="27"/>
  </w:num>
  <w:num w:numId="23" w16cid:durableId="75790658">
    <w:abstractNumId w:val="26"/>
  </w:num>
  <w:num w:numId="24" w16cid:durableId="822427761">
    <w:abstractNumId w:val="20"/>
  </w:num>
  <w:num w:numId="25" w16cid:durableId="800925466">
    <w:abstractNumId w:val="25"/>
  </w:num>
  <w:num w:numId="26" w16cid:durableId="1769035663">
    <w:abstractNumId w:val="17"/>
  </w:num>
  <w:num w:numId="27" w16cid:durableId="1740203297">
    <w:abstractNumId w:val="13"/>
  </w:num>
  <w:num w:numId="28" w16cid:durableId="1444350754">
    <w:abstractNumId w:val="18"/>
  </w:num>
  <w:num w:numId="29" w16cid:durableId="1287195421">
    <w:abstractNumId w:val="16"/>
  </w:num>
  <w:num w:numId="30" w16cid:durableId="4326263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A2"/>
    <w:rsid w:val="0000176C"/>
    <w:rsid w:val="00002135"/>
    <w:rsid w:val="00004470"/>
    <w:rsid w:val="00006497"/>
    <w:rsid w:val="0000684A"/>
    <w:rsid w:val="000068E1"/>
    <w:rsid w:val="00006A60"/>
    <w:rsid w:val="00007C80"/>
    <w:rsid w:val="00010885"/>
    <w:rsid w:val="00013017"/>
    <w:rsid w:val="000136AF"/>
    <w:rsid w:val="00013E54"/>
    <w:rsid w:val="00016843"/>
    <w:rsid w:val="00016CD5"/>
    <w:rsid w:val="000216F7"/>
    <w:rsid w:val="00022ACC"/>
    <w:rsid w:val="00022B51"/>
    <w:rsid w:val="0002459F"/>
    <w:rsid w:val="00025B87"/>
    <w:rsid w:val="000263A6"/>
    <w:rsid w:val="00030601"/>
    <w:rsid w:val="0003125D"/>
    <w:rsid w:val="00033659"/>
    <w:rsid w:val="00033666"/>
    <w:rsid w:val="00034267"/>
    <w:rsid w:val="00035DF4"/>
    <w:rsid w:val="0003764D"/>
    <w:rsid w:val="000437C1"/>
    <w:rsid w:val="00043B01"/>
    <w:rsid w:val="0004584D"/>
    <w:rsid w:val="00045BB9"/>
    <w:rsid w:val="0005013E"/>
    <w:rsid w:val="00050A13"/>
    <w:rsid w:val="00051957"/>
    <w:rsid w:val="00051DFB"/>
    <w:rsid w:val="0005365D"/>
    <w:rsid w:val="00053FDF"/>
    <w:rsid w:val="00054516"/>
    <w:rsid w:val="0005462D"/>
    <w:rsid w:val="00055810"/>
    <w:rsid w:val="00055C78"/>
    <w:rsid w:val="00056186"/>
    <w:rsid w:val="000566CE"/>
    <w:rsid w:val="00056C44"/>
    <w:rsid w:val="00056D44"/>
    <w:rsid w:val="000605D3"/>
    <w:rsid w:val="000608C3"/>
    <w:rsid w:val="000614BF"/>
    <w:rsid w:val="000631F0"/>
    <w:rsid w:val="000633D4"/>
    <w:rsid w:val="0006518A"/>
    <w:rsid w:val="000653ED"/>
    <w:rsid w:val="00065D57"/>
    <w:rsid w:val="000664E0"/>
    <w:rsid w:val="000674E5"/>
    <w:rsid w:val="00073984"/>
    <w:rsid w:val="00074E6C"/>
    <w:rsid w:val="0007665B"/>
    <w:rsid w:val="00080710"/>
    <w:rsid w:val="00080AB5"/>
    <w:rsid w:val="00081BDC"/>
    <w:rsid w:val="00084F5A"/>
    <w:rsid w:val="000861FC"/>
    <w:rsid w:val="00086495"/>
    <w:rsid w:val="00086B19"/>
    <w:rsid w:val="00086D6B"/>
    <w:rsid w:val="000900C7"/>
    <w:rsid w:val="00091ACA"/>
    <w:rsid w:val="000940ED"/>
    <w:rsid w:val="00094660"/>
    <w:rsid w:val="00095066"/>
    <w:rsid w:val="000A1706"/>
    <w:rsid w:val="000A6531"/>
    <w:rsid w:val="000A66AA"/>
    <w:rsid w:val="000A6A8A"/>
    <w:rsid w:val="000A76FD"/>
    <w:rsid w:val="000B09A4"/>
    <w:rsid w:val="000B16AC"/>
    <w:rsid w:val="000B3865"/>
    <w:rsid w:val="000B4370"/>
    <w:rsid w:val="000B58FA"/>
    <w:rsid w:val="000B6311"/>
    <w:rsid w:val="000B7E30"/>
    <w:rsid w:val="000C0A6B"/>
    <w:rsid w:val="000C1D3C"/>
    <w:rsid w:val="000C3044"/>
    <w:rsid w:val="000C4787"/>
    <w:rsid w:val="000C4FBE"/>
    <w:rsid w:val="000C5C14"/>
    <w:rsid w:val="000D00C8"/>
    <w:rsid w:val="000D05EF"/>
    <w:rsid w:val="000D0F3F"/>
    <w:rsid w:val="000D17C1"/>
    <w:rsid w:val="000D5492"/>
    <w:rsid w:val="000D59BD"/>
    <w:rsid w:val="000D6CFE"/>
    <w:rsid w:val="000D7387"/>
    <w:rsid w:val="000E2261"/>
    <w:rsid w:val="000E232D"/>
    <w:rsid w:val="000E51AD"/>
    <w:rsid w:val="000F1681"/>
    <w:rsid w:val="000F1697"/>
    <w:rsid w:val="000F21C1"/>
    <w:rsid w:val="000F32CF"/>
    <w:rsid w:val="000F486B"/>
    <w:rsid w:val="000F4D17"/>
    <w:rsid w:val="000F5FCB"/>
    <w:rsid w:val="000F6DC3"/>
    <w:rsid w:val="00100133"/>
    <w:rsid w:val="00101C30"/>
    <w:rsid w:val="001031EA"/>
    <w:rsid w:val="001039CC"/>
    <w:rsid w:val="0010638F"/>
    <w:rsid w:val="00106A01"/>
    <w:rsid w:val="0010745C"/>
    <w:rsid w:val="00111EA7"/>
    <w:rsid w:val="0011223A"/>
    <w:rsid w:val="00113B13"/>
    <w:rsid w:val="00115CFF"/>
    <w:rsid w:val="00116095"/>
    <w:rsid w:val="001161D5"/>
    <w:rsid w:val="001161EC"/>
    <w:rsid w:val="0011754B"/>
    <w:rsid w:val="00120869"/>
    <w:rsid w:val="0012677E"/>
    <w:rsid w:val="00132CEB"/>
    <w:rsid w:val="00134429"/>
    <w:rsid w:val="00136823"/>
    <w:rsid w:val="00137628"/>
    <w:rsid w:val="001379D4"/>
    <w:rsid w:val="00141FF2"/>
    <w:rsid w:val="00142B1F"/>
    <w:rsid w:val="00142B62"/>
    <w:rsid w:val="00142FC6"/>
    <w:rsid w:val="00143672"/>
    <w:rsid w:val="0014539C"/>
    <w:rsid w:val="00145B83"/>
    <w:rsid w:val="00151552"/>
    <w:rsid w:val="00153893"/>
    <w:rsid w:val="00153D7E"/>
    <w:rsid w:val="00154562"/>
    <w:rsid w:val="00156FEA"/>
    <w:rsid w:val="001576E9"/>
    <w:rsid w:val="00157B8B"/>
    <w:rsid w:val="00157E40"/>
    <w:rsid w:val="00160E63"/>
    <w:rsid w:val="00161BC5"/>
    <w:rsid w:val="00163011"/>
    <w:rsid w:val="0016544C"/>
    <w:rsid w:val="00166C2F"/>
    <w:rsid w:val="00167D08"/>
    <w:rsid w:val="0017029D"/>
    <w:rsid w:val="0017048D"/>
    <w:rsid w:val="0017166F"/>
    <w:rsid w:val="001721AC"/>
    <w:rsid w:val="001769A7"/>
    <w:rsid w:val="001771FC"/>
    <w:rsid w:val="001809D7"/>
    <w:rsid w:val="00181FE0"/>
    <w:rsid w:val="00183505"/>
    <w:rsid w:val="0018551D"/>
    <w:rsid w:val="00186183"/>
    <w:rsid w:val="00186764"/>
    <w:rsid w:val="001870A4"/>
    <w:rsid w:val="00190975"/>
    <w:rsid w:val="00191D9D"/>
    <w:rsid w:val="0019291E"/>
    <w:rsid w:val="00192C17"/>
    <w:rsid w:val="00192FC7"/>
    <w:rsid w:val="001939E1"/>
    <w:rsid w:val="00193D56"/>
    <w:rsid w:val="00193E86"/>
    <w:rsid w:val="001945A5"/>
    <w:rsid w:val="001947C9"/>
    <w:rsid w:val="00194C3E"/>
    <w:rsid w:val="00195382"/>
    <w:rsid w:val="00195B9F"/>
    <w:rsid w:val="00195F42"/>
    <w:rsid w:val="001966B8"/>
    <w:rsid w:val="00197368"/>
    <w:rsid w:val="001A185B"/>
    <w:rsid w:val="001A4630"/>
    <w:rsid w:val="001A6D19"/>
    <w:rsid w:val="001B1448"/>
    <w:rsid w:val="001B1505"/>
    <w:rsid w:val="001B197C"/>
    <w:rsid w:val="001B4171"/>
    <w:rsid w:val="001B4CC9"/>
    <w:rsid w:val="001C3EE1"/>
    <w:rsid w:val="001C412F"/>
    <w:rsid w:val="001C4D48"/>
    <w:rsid w:val="001C53EB"/>
    <w:rsid w:val="001C61C5"/>
    <w:rsid w:val="001C69C4"/>
    <w:rsid w:val="001C72F7"/>
    <w:rsid w:val="001C78F6"/>
    <w:rsid w:val="001C7FAF"/>
    <w:rsid w:val="001D0447"/>
    <w:rsid w:val="001D127F"/>
    <w:rsid w:val="001D263E"/>
    <w:rsid w:val="001D37EF"/>
    <w:rsid w:val="001D3E0D"/>
    <w:rsid w:val="001D4218"/>
    <w:rsid w:val="001D6024"/>
    <w:rsid w:val="001D66CE"/>
    <w:rsid w:val="001D6CB5"/>
    <w:rsid w:val="001D74C7"/>
    <w:rsid w:val="001D755D"/>
    <w:rsid w:val="001E0E18"/>
    <w:rsid w:val="001E3590"/>
    <w:rsid w:val="001E5085"/>
    <w:rsid w:val="001E5B76"/>
    <w:rsid w:val="001E6EB1"/>
    <w:rsid w:val="001E7407"/>
    <w:rsid w:val="001F0851"/>
    <w:rsid w:val="001F12DC"/>
    <w:rsid w:val="001F3D64"/>
    <w:rsid w:val="001F5D5E"/>
    <w:rsid w:val="001F6219"/>
    <w:rsid w:val="001F632D"/>
    <w:rsid w:val="001F6CD4"/>
    <w:rsid w:val="00203483"/>
    <w:rsid w:val="00203E68"/>
    <w:rsid w:val="00205FD4"/>
    <w:rsid w:val="00206807"/>
    <w:rsid w:val="00206C4D"/>
    <w:rsid w:val="002073C5"/>
    <w:rsid w:val="0021053C"/>
    <w:rsid w:val="002148CB"/>
    <w:rsid w:val="00214F0A"/>
    <w:rsid w:val="002150FD"/>
    <w:rsid w:val="0021553B"/>
    <w:rsid w:val="00215AF1"/>
    <w:rsid w:val="00215E9B"/>
    <w:rsid w:val="00216012"/>
    <w:rsid w:val="002166A4"/>
    <w:rsid w:val="00217248"/>
    <w:rsid w:val="00221EAD"/>
    <w:rsid w:val="00221F7A"/>
    <w:rsid w:val="002238B7"/>
    <w:rsid w:val="00225E5D"/>
    <w:rsid w:val="00226562"/>
    <w:rsid w:val="00232154"/>
    <w:rsid w:val="002321E8"/>
    <w:rsid w:val="00232FF3"/>
    <w:rsid w:val="0023377C"/>
    <w:rsid w:val="00233CCD"/>
    <w:rsid w:val="00235317"/>
    <w:rsid w:val="00235413"/>
    <w:rsid w:val="00235A3C"/>
    <w:rsid w:val="00236EEC"/>
    <w:rsid w:val="00237392"/>
    <w:rsid w:val="0024010F"/>
    <w:rsid w:val="00240749"/>
    <w:rsid w:val="002418FC"/>
    <w:rsid w:val="00243018"/>
    <w:rsid w:val="00243742"/>
    <w:rsid w:val="00243984"/>
    <w:rsid w:val="00243FF3"/>
    <w:rsid w:val="002469E1"/>
    <w:rsid w:val="00246CD9"/>
    <w:rsid w:val="00246D26"/>
    <w:rsid w:val="00247106"/>
    <w:rsid w:val="00251847"/>
    <w:rsid w:val="0025230B"/>
    <w:rsid w:val="00252388"/>
    <w:rsid w:val="0025259F"/>
    <w:rsid w:val="00254AD4"/>
    <w:rsid w:val="00255238"/>
    <w:rsid w:val="002552C6"/>
    <w:rsid w:val="00255862"/>
    <w:rsid w:val="002564A4"/>
    <w:rsid w:val="002571A6"/>
    <w:rsid w:val="00257E2E"/>
    <w:rsid w:val="002628A9"/>
    <w:rsid w:val="00265F88"/>
    <w:rsid w:val="00266404"/>
    <w:rsid w:val="002670FC"/>
    <w:rsid w:val="002671DA"/>
    <w:rsid w:val="0026736C"/>
    <w:rsid w:val="0026772B"/>
    <w:rsid w:val="00267EFF"/>
    <w:rsid w:val="00273089"/>
    <w:rsid w:val="00273EB4"/>
    <w:rsid w:val="002806EE"/>
    <w:rsid w:val="00281308"/>
    <w:rsid w:val="00281C3E"/>
    <w:rsid w:val="00281DFF"/>
    <w:rsid w:val="002825AA"/>
    <w:rsid w:val="0028277B"/>
    <w:rsid w:val="00282C36"/>
    <w:rsid w:val="002833BF"/>
    <w:rsid w:val="00284719"/>
    <w:rsid w:val="0028545F"/>
    <w:rsid w:val="0028796D"/>
    <w:rsid w:val="00291CA6"/>
    <w:rsid w:val="00292029"/>
    <w:rsid w:val="00292C6A"/>
    <w:rsid w:val="002933E4"/>
    <w:rsid w:val="00293568"/>
    <w:rsid w:val="00296297"/>
    <w:rsid w:val="0029637D"/>
    <w:rsid w:val="002974EF"/>
    <w:rsid w:val="00297D9B"/>
    <w:rsid w:val="00297ECB"/>
    <w:rsid w:val="002A39A4"/>
    <w:rsid w:val="002A3A5F"/>
    <w:rsid w:val="002A7BCF"/>
    <w:rsid w:val="002B1003"/>
    <w:rsid w:val="002B78BF"/>
    <w:rsid w:val="002C0A2C"/>
    <w:rsid w:val="002C1B23"/>
    <w:rsid w:val="002C3485"/>
    <w:rsid w:val="002C410E"/>
    <w:rsid w:val="002C4A40"/>
    <w:rsid w:val="002C5F1D"/>
    <w:rsid w:val="002C603D"/>
    <w:rsid w:val="002D043A"/>
    <w:rsid w:val="002D292F"/>
    <w:rsid w:val="002D3F1D"/>
    <w:rsid w:val="002D46BA"/>
    <w:rsid w:val="002D51F7"/>
    <w:rsid w:val="002D5B9E"/>
    <w:rsid w:val="002D61A4"/>
    <w:rsid w:val="002D6224"/>
    <w:rsid w:val="002E3F4B"/>
    <w:rsid w:val="002E4689"/>
    <w:rsid w:val="002E4C8F"/>
    <w:rsid w:val="002E5352"/>
    <w:rsid w:val="002E5E30"/>
    <w:rsid w:val="002E7D1C"/>
    <w:rsid w:val="002F06E6"/>
    <w:rsid w:val="002F2F61"/>
    <w:rsid w:val="002F3C56"/>
    <w:rsid w:val="002F596C"/>
    <w:rsid w:val="002F6B8A"/>
    <w:rsid w:val="002F71F2"/>
    <w:rsid w:val="002F7449"/>
    <w:rsid w:val="003013BD"/>
    <w:rsid w:val="00301DFB"/>
    <w:rsid w:val="00302111"/>
    <w:rsid w:val="00303C87"/>
    <w:rsid w:val="00304C52"/>
    <w:rsid w:val="00304EDD"/>
    <w:rsid w:val="00304F8B"/>
    <w:rsid w:val="00305CB5"/>
    <w:rsid w:val="00306283"/>
    <w:rsid w:val="00306821"/>
    <w:rsid w:val="00306B36"/>
    <w:rsid w:val="0030791B"/>
    <w:rsid w:val="00312B26"/>
    <w:rsid w:val="00313514"/>
    <w:rsid w:val="00313554"/>
    <w:rsid w:val="00313C2B"/>
    <w:rsid w:val="00320894"/>
    <w:rsid w:val="00321C09"/>
    <w:rsid w:val="00323705"/>
    <w:rsid w:val="00324EE3"/>
    <w:rsid w:val="00334B97"/>
    <w:rsid w:val="003354D2"/>
    <w:rsid w:val="00335BC6"/>
    <w:rsid w:val="00336043"/>
    <w:rsid w:val="00336D4F"/>
    <w:rsid w:val="003413D6"/>
    <w:rsid w:val="003415D3"/>
    <w:rsid w:val="00342E74"/>
    <w:rsid w:val="00344701"/>
    <w:rsid w:val="00344B71"/>
    <w:rsid w:val="00350080"/>
    <w:rsid w:val="0035035C"/>
    <w:rsid w:val="00352B0F"/>
    <w:rsid w:val="0035447E"/>
    <w:rsid w:val="00354CE5"/>
    <w:rsid w:val="00355BA3"/>
    <w:rsid w:val="00356690"/>
    <w:rsid w:val="003576C3"/>
    <w:rsid w:val="00360459"/>
    <w:rsid w:val="00360B43"/>
    <w:rsid w:val="00364A08"/>
    <w:rsid w:val="00365B24"/>
    <w:rsid w:val="00366A4B"/>
    <w:rsid w:val="00366A8F"/>
    <w:rsid w:val="00367312"/>
    <w:rsid w:val="00371198"/>
    <w:rsid w:val="003733BC"/>
    <w:rsid w:val="00375927"/>
    <w:rsid w:val="00377CDC"/>
    <w:rsid w:val="003824F5"/>
    <w:rsid w:val="003849C7"/>
    <w:rsid w:val="00385F5A"/>
    <w:rsid w:val="0038771C"/>
    <w:rsid w:val="00390A76"/>
    <w:rsid w:val="003919E7"/>
    <w:rsid w:val="00391B06"/>
    <w:rsid w:val="00393AD3"/>
    <w:rsid w:val="003953FE"/>
    <w:rsid w:val="00395A9C"/>
    <w:rsid w:val="003970FE"/>
    <w:rsid w:val="00397523"/>
    <w:rsid w:val="003978F2"/>
    <w:rsid w:val="003A0A08"/>
    <w:rsid w:val="003A0D4F"/>
    <w:rsid w:val="003A30C6"/>
    <w:rsid w:val="003A36B8"/>
    <w:rsid w:val="003A3D0C"/>
    <w:rsid w:val="003A4E66"/>
    <w:rsid w:val="003A6159"/>
    <w:rsid w:val="003A628A"/>
    <w:rsid w:val="003A768B"/>
    <w:rsid w:val="003B0539"/>
    <w:rsid w:val="003B2D01"/>
    <w:rsid w:val="003B4FCB"/>
    <w:rsid w:val="003B77A7"/>
    <w:rsid w:val="003B7EAF"/>
    <w:rsid w:val="003C03A8"/>
    <w:rsid w:val="003C1B9E"/>
    <w:rsid w:val="003C4388"/>
    <w:rsid w:val="003C6231"/>
    <w:rsid w:val="003C6DBE"/>
    <w:rsid w:val="003C7174"/>
    <w:rsid w:val="003D0BFE"/>
    <w:rsid w:val="003D22A2"/>
    <w:rsid w:val="003D4901"/>
    <w:rsid w:val="003D4C1A"/>
    <w:rsid w:val="003D4ECB"/>
    <w:rsid w:val="003D51A6"/>
    <w:rsid w:val="003D5700"/>
    <w:rsid w:val="003D5EF7"/>
    <w:rsid w:val="003D5FA1"/>
    <w:rsid w:val="003D650B"/>
    <w:rsid w:val="003D794E"/>
    <w:rsid w:val="003E1ECA"/>
    <w:rsid w:val="003E341B"/>
    <w:rsid w:val="003E3608"/>
    <w:rsid w:val="003E3789"/>
    <w:rsid w:val="003E47B1"/>
    <w:rsid w:val="003E597C"/>
    <w:rsid w:val="003F00A6"/>
    <w:rsid w:val="003F165C"/>
    <w:rsid w:val="003F3958"/>
    <w:rsid w:val="003F419A"/>
    <w:rsid w:val="003F5667"/>
    <w:rsid w:val="003F56F2"/>
    <w:rsid w:val="003F7784"/>
    <w:rsid w:val="004017BF"/>
    <w:rsid w:val="0040203D"/>
    <w:rsid w:val="00402633"/>
    <w:rsid w:val="00402949"/>
    <w:rsid w:val="00402DE4"/>
    <w:rsid w:val="00405EBF"/>
    <w:rsid w:val="00411205"/>
    <w:rsid w:val="004116CD"/>
    <w:rsid w:val="00413577"/>
    <w:rsid w:val="00414072"/>
    <w:rsid w:val="00414427"/>
    <w:rsid w:val="004144EC"/>
    <w:rsid w:val="00414A4B"/>
    <w:rsid w:val="00414A85"/>
    <w:rsid w:val="004151B1"/>
    <w:rsid w:val="00417EB9"/>
    <w:rsid w:val="00421044"/>
    <w:rsid w:val="00424CA9"/>
    <w:rsid w:val="00425B1D"/>
    <w:rsid w:val="00425E55"/>
    <w:rsid w:val="00430A0D"/>
    <w:rsid w:val="00430B0B"/>
    <w:rsid w:val="00431C3B"/>
    <w:rsid w:val="00431E9B"/>
    <w:rsid w:val="0043223A"/>
    <w:rsid w:val="00432F45"/>
    <w:rsid w:val="0043327A"/>
    <w:rsid w:val="004333D3"/>
    <w:rsid w:val="004342C7"/>
    <w:rsid w:val="004342F9"/>
    <w:rsid w:val="004363F3"/>
    <w:rsid w:val="00436450"/>
    <w:rsid w:val="004373D4"/>
    <w:rsid w:val="004379E3"/>
    <w:rsid w:val="00437E5C"/>
    <w:rsid w:val="0044015E"/>
    <w:rsid w:val="0044143C"/>
    <w:rsid w:val="00441EEB"/>
    <w:rsid w:val="0044291A"/>
    <w:rsid w:val="004437CA"/>
    <w:rsid w:val="0044432C"/>
    <w:rsid w:val="004448F3"/>
    <w:rsid w:val="00444ABD"/>
    <w:rsid w:val="00450F69"/>
    <w:rsid w:val="00451EBE"/>
    <w:rsid w:val="00453C03"/>
    <w:rsid w:val="00453EE0"/>
    <w:rsid w:val="00454E5B"/>
    <w:rsid w:val="00457B6B"/>
    <w:rsid w:val="00461C81"/>
    <w:rsid w:val="00462A7F"/>
    <w:rsid w:val="00462C03"/>
    <w:rsid w:val="00465CEC"/>
    <w:rsid w:val="0046629B"/>
    <w:rsid w:val="00467661"/>
    <w:rsid w:val="004705B7"/>
    <w:rsid w:val="00470DEC"/>
    <w:rsid w:val="0047225E"/>
    <w:rsid w:val="00472DBE"/>
    <w:rsid w:val="00474A19"/>
    <w:rsid w:val="00477742"/>
    <w:rsid w:val="00477A7D"/>
    <w:rsid w:val="00480B65"/>
    <w:rsid w:val="0048416C"/>
    <w:rsid w:val="0048428E"/>
    <w:rsid w:val="00484D90"/>
    <w:rsid w:val="00485933"/>
    <w:rsid w:val="00487FD3"/>
    <w:rsid w:val="0049103F"/>
    <w:rsid w:val="004910BF"/>
    <w:rsid w:val="00494204"/>
    <w:rsid w:val="004956ED"/>
    <w:rsid w:val="00495D64"/>
    <w:rsid w:val="00496F97"/>
    <w:rsid w:val="004A2234"/>
    <w:rsid w:val="004A2FF1"/>
    <w:rsid w:val="004A6D94"/>
    <w:rsid w:val="004A7000"/>
    <w:rsid w:val="004B46A5"/>
    <w:rsid w:val="004B5F39"/>
    <w:rsid w:val="004B6976"/>
    <w:rsid w:val="004B705E"/>
    <w:rsid w:val="004C0CB6"/>
    <w:rsid w:val="004C1132"/>
    <w:rsid w:val="004C184C"/>
    <w:rsid w:val="004C4E9B"/>
    <w:rsid w:val="004C4F39"/>
    <w:rsid w:val="004C5CDB"/>
    <w:rsid w:val="004C6AE8"/>
    <w:rsid w:val="004C7080"/>
    <w:rsid w:val="004D0176"/>
    <w:rsid w:val="004D0A5B"/>
    <w:rsid w:val="004D315F"/>
    <w:rsid w:val="004D3593"/>
    <w:rsid w:val="004D3D8C"/>
    <w:rsid w:val="004D5E0B"/>
    <w:rsid w:val="004D75CE"/>
    <w:rsid w:val="004E063A"/>
    <w:rsid w:val="004E0ECB"/>
    <w:rsid w:val="004E41E5"/>
    <w:rsid w:val="004E5627"/>
    <w:rsid w:val="004E58BF"/>
    <w:rsid w:val="004E71C0"/>
    <w:rsid w:val="004E72A7"/>
    <w:rsid w:val="004E7455"/>
    <w:rsid w:val="004E7463"/>
    <w:rsid w:val="004E7BEC"/>
    <w:rsid w:val="004F2FEC"/>
    <w:rsid w:val="004F53FA"/>
    <w:rsid w:val="004F55CB"/>
    <w:rsid w:val="004F5B0A"/>
    <w:rsid w:val="004F64C9"/>
    <w:rsid w:val="004F73D5"/>
    <w:rsid w:val="00502011"/>
    <w:rsid w:val="00502EC7"/>
    <w:rsid w:val="00503600"/>
    <w:rsid w:val="00504BA1"/>
    <w:rsid w:val="00505D3D"/>
    <w:rsid w:val="00506362"/>
    <w:rsid w:val="00506704"/>
    <w:rsid w:val="00506AF6"/>
    <w:rsid w:val="005077AE"/>
    <w:rsid w:val="00507EBF"/>
    <w:rsid w:val="005104EA"/>
    <w:rsid w:val="005115A4"/>
    <w:rsid w:val="00511D64"/>
    <w:rsid w:val="00512249"/>
    <w:rsid w:val="00512609"/>
    <w:rsid w:val="00516B8D"/>
    <w:rsid w:val="0051717E"/>
    <w:rsid w:val="005171EF"/>
    <w:rsid w:val="00517CBF"/>
    <w:rsid w:val="0052495B"/>
    <w:rsid w:val="00526E02"/>
    <w:rsid w:val="0052728F"/>
    <w:rsid w:val="005308FC"/>
    <w:rsid w:val="005315FD"/>
    <w:rsid w:val="005342AF"/>
    <w:rsid w:val="00535AF8"/>
    <w:rsid w:val="00537FBC"/>
    <w:rsid w:val="00541169"/>
    <w:rsid w:val="005419FB"/>
    <w:rsid w:val="00543809"/>
    <w:rsid w:val="00544096"/>
    <w:rsid w:val="0054713D"/>
    <w:rsid w:val="0054774A"/>
    <w:rsid w:val="00547847"/>
    <w:rsid w:val="00547AA5"/>
    <w:rsid w:val="00551D71"/>
    <w:rsid w:val="00552137"/>
    <w:rsid w:val="0055231F"/>
    <w:rsid w:val="00553E52"/>
    <w:rsid w:val="00554954"/>
    <w:rsid w:val="00554F82"/>
    <w:rsid w:val="00554FEC"/>
    <w:rsid w:val="00556496"/>
    <w:rsid w:val="005574D1"/>
    <w:rsid w:val="005604D9"/>
    <w:rsid w:val="005627F7"/>
    <w:rsid w:val="0056383D"/>
    <w:rsid w:val="00563CA3"/>
    <w:rsid w:val="00563D7E"/>
    <w:rsid w:val="00564D3D"/>
    <w:rsid w:val="00567049"/>
    <w:rsid w:val="00571271"/>
    <w:rsid w:val="00573C14"/>
    <w:rsid w:val="00583607"/>
    <w:rsid w:val="00584811"/>
    <w:rsid w:val="00585784"/>
    <w:rsid w:val="00586010"/>
    <w:rsid w:val="0058766C"/>
    <w:rsid w:val="005910D0"/>
    <w:rsid w:val="00591111"/>
    <w:rsid w:val="00592A06"/>
    <w:rsid w:val="0059303E"/>
    <w:rsid w:val="00593AA6"/>
    <w:rsid w:val="00594161"/>
    <w:rsid w:val="00594749"/>
    <w:rsid w:val="00596ADE"/>
    <w:rsid w:val="0059790B"/>
    <w:rsid w:val="00597EAF"/>
    <w:rsid w:val="005A0091"/>
    <w:rsid w:val="005A0359"/>
    <w:rsid w:val="005A6A88"/>
    <w:rsid w:val="005A7693"/>
    <w:rsid w:val="005B0FC4"/>
    <w:rsid w:val="005B1787"/>
    <w:rsid w:val="005B4067"/>
    <w:rsid w:val="005B4683"/>
    <w:rsid w:val="005B48E1"/>
    <w:rsid w:val="005B4BA5"/>
    <w:rsid w:val="005B5A72"/>
    <w:rsid w:val="005B5F5E"/>
    <w:rsid w:val="005C20FC"/>
    <w:rsid w:val="005C3F41"/>
    <w:rsid w:val="005C5621"/>
    <w:rsid w:val="005D20AC"/>
    <w:rsid w:val="005D23BD"/>
    <w:rsid w:val="005D2567"/>
    <w:rsid w:val="005D28CB"/>
    <w:rsid w:val="005D2D09"/>
    <w:rsid w:val="005D4330"/>
    <w:rsid w:val="005E0736"/>
    <w:rsid w:val="005E1FE3"/>
    <w:rsid w:val="005E2843"/>
    <w:rsid w:val="005E3034"/>
    <w:rsid w:val="005F02FE"/>
    <w:rsid w:val="005F0CDE"/>
    <w:rsid w:val="005F1B7F"/>
    <w:rsid w:val="005F6AB9"/>
    <w:rsid w:val="00600219"/>
    <w:rsid w:val="006004CC"/>
    <w:rsid w:val="006037DF"/>
    <w:rsid w:val="00603DC4"/>
    <w:rsid w:val="00606404"/>
    <w:rsid w:val="00607DF3"/>
    <w:rsid w:val="00610779"/>
    <w:rsid w:val="00612DE6"/>
    <w:rsid w:val="00614E38"/>
    <w:rsid w:val="00615720"/>
    <w:rsid w:val="0061589F"/>
    <w:rsid w:val="00615ADA"/>
    <w:rsid w:val="006163C1"/>
    <w:rsid w:val="00616A01"/>
    <w:rsid w:val="00620076"/>
    <w:rsid w:val="00621441"/>
    <w:rsid w:val="00621D5E"/>
    <w:rsid w:val="0062284C"/>
    <w:rsid w:val="0062502E"/>
    <w:rsid w:val="006260D0"/>
    <w:rsid w:val="0062655E"/>
    <w:rsid w:val="006312E1"/>
    <w:rsid w:val="00632655"/>
    <w:rsid w:val="006326DD"/>
    <w:rsid w:val="00632A8E"/>
    <w:rsid w:val="0063621E"/>
    <w:rsid w:val="0063639D"/>
    <w:rsid w:val="00637BDF"/>
    <w:rsid w:val="00640DE7"/>
    <w:rsid w:val="0064285E"/>
    <w:rsid w:val="00644E3C"/>
    <w:rsid w:val="006452D5"/>
    <w:rsid w:val="00646D6C"/>
    <w:rsid w:val="00647CAD"/>
    <w:rsid w:val="00650F8E"/>
    <w:rsid w:val="006516F7"/>
    <w:rsid w:val="006542B9"/>
    <w:rsid w:val="00654A1D"/>
    <w:rsid w:val="0065588E"/>
    <w:rsid w:val="00655CE2"/>
    <w:rsid w:val="0065678A"/>
    <w:rsid w:val="00660D16"/>
    <w:rsid w:val="00663B30"/>
    <w:rsid w:val="00664040"/>
    <w:rsid w:val="00665365"/>
    <w:rsid w:val="00665C5D"/>
    <w:rsid w:val="0067096A"/>
    <w:rsid w:val="00670CB9"/>
    <w:rsid w:val="00670EA1"/>
    <w:rsid w:val="00673145"/>
    <w:rsid w:val="00673CE0"/>
    <w:rsid w:val="00674A58"/>
    <w:rsid w:val="00676B34"/>
    <w:rsid w:val="00677CC2"/>
    <w:rsid w:val="0068202A"/>
    <w:rsid w:val="0068208C"/>
    <w:rsid w:val="00682BE9"/>
    <w:rsid w:val="00683546"/>
    <w:rsid w:val="006852E4"/>
    <w:rsid w:val="006905DE"/>
    <w:rsid w:val="006906F3"/>
    <w:rsid w:val="0069125D"/>
    <w:rsid w:val="0069207B"/>
    <w:rsid w:val="0069324C"/>
    <w:rsid w:val="0069377F"/>
    <w:rsid w:val="00693B98"/>
    <w:rsid w:val="006944A8"/>
    <w:rsid w:val="006964BD"/>
    <w:rsid w:val="00697404"/>
    <w:rsid w:val="006A2FF9"/>
    <w:rsid w:val="006A4382"/>
    <w:rsid w:val="006A6E9C"/>
    <w:rsid w:val="006A71A3"/>
    <w:rsid w:val="006B0A15"/>
    <w:rsid w:val="006B1E76"/>
    <w:rsid w:val="006B1F17"/>
    <w:rsid w:val="006B272B"/>
    <w:rsid w:val="006B2798"/>
    <w:rsid w:val="006B4056"/>
    <w:rsid w:val="006B45CC"/>
    <w:rsid w:val="006B4B64"/>
    <w:rsid w:val="006B5789"/>
    <w:rsid w:val="006B5F52"/>
    <w:rsid w:val="006C2E56"/>
    <w:rsid w:val="006C30C5"/>
    <w:rsid w:val="006C35BA"/>
    <w:rsid w:val="006C4305"/>
    <w:rsid w:val="006C5089"/>
    <w:rsid w:val="006C7F6C"/>
    <w:rsid w:val="006C7F8C"/>
    <w:rsid w:val="006D3632"/>
    <w:rsid w:val="006D43F4"/>
    <w:rsid w:val="006D4FE6"/>
    <w:rsid w:val="006D551B"/>
    <w:rsid w:val="006D73DA"/>
    <w:rsid w:val="006D7A68"/>
    <w:rsid w:val="006E0D55"/>
    <w:rsid w:val="006E4AF4"/>
    <w:rsid w:val="006E526A"/>
    <w:rsid w:val="006E6246"/>
    <w:rsid w:val="006E6DD5"/>
    <w:rsid w:val="006E7356"/>
    <w:rsid w:val="006F25F4"/>
    <w:rsid w:val="006F272F"/>
    <w:rsid w:val="006F2E30"/>
    <w:rsid w:val="006F2E59"/>
    <w:rsid w:val="006F318F"/>
    <w:rsid w:val="006F36A8"/>
    <w:rsid w:val="006F4226"/>
    <w:rsid w:val="006F6D32"/>
    <w:rsid w:val="0070017E"/>
    <w:rsid w:val="00700B2C"/>
    <w:rsid w:val="00701A9E"/>
    <w:rsid w:val="007025A8"/>
    <w:rsid w:val="00702E77"/>
    <w:rsid w:val="007050A2"/>
    <w:rsid w:val="00711E66"/>
    <w:rsid w:val="00713084"/>
    <w:rsid w:val="007135B0"/>
    <w:rsid w:val="00713904"/>
    <w:rsid w:val="00714F20"/>
    <w:rsid w:val="0071590F"/>
    <w:rsid w:val="00715914"/>
    <w:rsid w:val="00721A16"/>
    <w:rsid w:val="00721CE8"/>
    <w:rsid w:val="00723465"/>
    <w:rsid w:val="0072593D"/>
    <w:rsid w:val="00731E00"/>
    <w:rsid w:val="0073211B"/>
    <w:rsid w:val="0073279B"/>
    <w:rsid w:val="00734157"/>
    <w:rsid w:val="00735D31"/>
    <w:rsid w:val="00735E3D"/>
    <w:rsid w:val="00735F23"/>
    <w:rsid w:val="0073771F"/>
    <w:rsid w:val="00740556"/>
    <w:rsid w:val="0074397D"/>
    <w:rsid w:val="00743E28"/>
    <w:rsid w:val="007440B7"/>
    <w:rsid w:val="00744E18"/>
    <w:rsid w:val="007500C8"/>
    <w:rsid w:val="007507E1"/>
    <w:rsid w:val="00752A11"/>
    <w:rsid w:val="0075466A"/>
    <w:rsid w:val="00756272"/>
    <w:rsid w:val="0075634E"/>
    <w:rsid w:val="00756E00"/>
    <w:rsid w:val="00757CC8"/>
    <w:rsid w:val="00760CF7"/>
    <w:rsid w:val="0076681A"/>
    <w:rsid w:val="0077024A"/>
    <w:rsid w:val="007715C9"/>
    <w:rsid w:val="00771613"/>
    <w:rsid w:val="00773985"/>
    <w:rsid w:val="00774EDD"/>
    <w:rsid w:val="007750C5"/>
    <w:rsid w:val="007757EC"/>
    <w:rsid w:val="007777AE"/>
    <w:rsid w:val="00777983"/>
    <w:rsid w:val="007808D7"/>
    <w:rsid w:val="007821CB"/>
    <w:rsid w:val="0078301D"/>
    <w:rsid w:val="00783518"/>
    <w:rsid w:val="00783E5C"/>
    <w:rsid w:val="00783E89"/>
    <w:rsid w:val="00787A9E"/>
    <w:rsid w:val="00787B5D"/>
    <w:rsid w:val="00791EF8"/>
    <w:rsid w:val="00793915"/>
    <w:rsid w:val="00793EDB"/>
    <w:rsid w:val="00793F95"/>
    <w:rsid w:val="007952B1"/>
    <w:rsid w:val="007A106A"/>
    <w:rsid w:val="007A21CB"/>
    <w:rsid w:val="007A27F8"/>
    <w:rsid w:val="007A2D63"/>
    <w:rsid w:val="007A43E0"/>
    <w:rsid w:val="007A6D6C"/>
    <w:rsid w:val="007A71D2"/>
    <w:rsid w:val="007B435E"/>
    <w:rsid w:val="007B4C1E"/>
    <w:rsid w:val="007B4DFB"/>
    <w:rsid w:val="007B5254"/>
    <w:rsid w:val="007B6034"/>
    <w:rsid w:val="007B64C0"/>
    <w:rsid w:val="007C2253"/>
    <w:rsid w:val="007C2B6D"/>
    <w:rsid w:val="007C2FF0"/>
    <w:rsid w:val="007C3E56"/>
    <w:rsid w:val="007C5A95"/>
    <w:rsid w:val="007C6E8E"/>
    <w:rsid w:val="007D0659"/>
    <w:rsid w:val="007D38D8"/>
    <w:rsid w:val="007D5A63"/>
    <w:rsid w:val="007D6D69"/>
    <w:rsid w:val="007D7B81"/>
    <w:rsid w:val="007E163D"/>
    <w:rsid w:val="007E3015"/>
    <w:rsid w:val="007E667A"/>
    <w:rsid w:val="007E7F28"/>
    <w:rsid w:val="007F1CD6"/>
    <w:rsid w:val="007F1EF8"/>
    <w:rsid w:val="007F28C9"/>
    <w:rsid w:val="007F5907"/>
    <w:rsid w:val="008025BC"/>
    <w:rsid w:val="00802FA1"/>
    <w:rsid w:val="00803064"/>
    <w:rsid w:val="00803587"/>
    <w:rsid w:val="008035AE"/>
    <w:rsid w:val="00803916"/>
    <w:rsid w:val="008048DE"/>
    <w:rsid w:val="00804916"/>
    <w:rsid w:val="00806978"/>
    <w:rsid w:val="00807626"/>
    <w:rsid w:val="008101DC"/>
    <w:rsid w:val="008117E9"/>
    <w:rsid w:val="00811A62"/>
    <w:rsid w:val="008149DD"/>
    <w:rsid w:val="008150FA"/>
    <w:rsid w:val="0081563A"/>
    <w:rsid w:val="00821B79"/>
    <w:rsid w:val="008233AA"/>
    <w:rsid w:val="00823915"/>
    <w:rsid w:val="00824498"/>
    <w:rsid w:val="00826152"/>
    <w:rsid w:val="0082738B"/>
    <w:rsid w:val="00831C12"/>
    <w:rsid w:val="00832E0D"/>
    <w:rsid w:val="00835D83"/>
    <w:rsid w:val="0083688A"/>
    <w:rsid w:val="008401D7"/>
    <w:rsid w:val="00841E1E"/>
    <w:rsid w:val="00844A1E"/>
    <w:rsid w:val="00846913"/>
    <w:rsid w:val="00846B78"/>
    <w:rsid w:val="00852E06"/>
    <w:rsid w:val="00853731"/>
    <w:rsid w:val="00855D6C"/>
    <w:rsid w:val="008568A4"/>
    <w:rsid w:val="00856A31"/>
    <w:rsid w:val="00861056"/>
    <w:rsid w:val="00863802"/>
    <w:rsid w:val="00864B24"/>
    <w:rsid w:val="00865983"/>
    <w:rsid w:val="008664CD"/>
    <w:rsid w:val="0086690F"/>
    <w:rsid w:val="008678C9"/>
    <w:rsid w:val="00867B37"/>
    <w:rsid w:val="00870CE2"/>
    <w:rsid w:val="008716CD"/>
    <w:rsid w:val="0087382C"/>
    <w:rsid w:val="00873D1E"/>
    <w:rsid w:val="00874949"/>
    <w:rsid w:val="008754D0"/>
    <w:rsid w:val="00875D67"/>
    <w:rsid w:val="008772E4"/>
    <w:rsid w:val="00877377"/>
    <w:rsid w:val="0087798A"/>
    <w:rsid w:val="00877E70"/>
    <w:rsid w:val="008855C9"/>
    <w:rsid w:val="00886456"/>
    <w:rsid w:val="008926BF"/>
    <w:rsid w:val="00892BFE"/>
    <w:rsid w:val="00893E5E"/>
    <w:rsid w:val="008940FC"/>
    <w:rsid w:val="008A2082"/>
    <w:rsid w:val="008A25B2"/>
    <w:rsid w:val="008A2EE9"/>
    <w:rsid w:val="008A3977"/>
    <w:rsid w:val="008A3A85"/>
    <w:rsid w:val="008A41DB"/>
    <w:rsid w:val="008A46E1"/>
    <w:rsid w:val="008A4E95"/>
    <w:rsid w:val="008A4F43"/>
    <w:rsid w:val="008B11C9"/>
    <w:rsid w:val="008B2706"/>
    <w:rsid w:val="008B4359"/>
    <w:rsid w:val="008B5F27"/>
    <w:rsid w:val="008B6789"/>
    <w:rsid w:val="008C00AD"/>
    <w:rsid w:val="008C25B4"/>
    <w:rsid w:val="008C2CD3"/>
    <w:rsid w:val="008C3F19"/>
    <w:rsid w:val="008C5623"/>
    <w:rsid w:val="008C66AC"/>
    <w:rsid w:val="008D0EE0"/>
    <w:rsid w:val="008D19EA"/>
    <w:rsid w:val="008D29D4"/>
    <w:rsid w:val="008D62A1"/>
    <w:rsid w:val="008E025D"/>
    <w:rsid w:val="008E4244"/>
    <w:rsid w:val="008E4F12"/>
    <w:rsid w:val="008E6067"/>
    <w:rsid w:val="008E61AE"/>
    <w:rsid w:val="008F134F"/>
    <w:rsid w:val="008F17A3"/>
    <w:rsid w:val="008F319D"/>
    <w:rsid w:val="008F54E7"/>
    <w:rsid w:val="008F7552"/>
    <w:rsid w:val="00903422"/>
    <w:rsid w:val="009039B4"/>
    <w:rsid w:val="00907792"/>
    <w:rsid w:val="00911D55"/>
    <w:rsid w:val="009158E2"/>
    <w:rsid w:val="00915DF9"/>
    <w:rsid w:val="0091696A"/>
    <w:rsid w:val="00916B9A"/>
    <w:rsid w:val="00917A1B"/>
    <w:rsid w:val="00917EEE"/>
    <w:rsid w:val="00920249"/>
    <w:rsid w:val="009207FF"/>
    <w:rsid w:val="00920E54"/>
    <w:rsid w:val="0092205D"/>
    <w:rsid w:val="0092304B"/>
    <w:rsid w:val="009242BC"/>
    <w:rsid w:val="00924F99"/>
    <w:rsid w:val="009254C3"/>
    <w:rsid w:val="00931099"/>
    <w:rsid w:val="00932377"/>
    <w:rsid w:val="009333D8"/>
    <w:rsid w:val="0093456B"/>
    <w:rsid w:val="00935DF8"/>
    <w:rsid w:val="00937A7D"/>
    <w:rsid w:val="00937BE8"/>
    <w:rsid w:val="009403CE"/>
    <w:rsid w:val="00940DD5"/>
    <w:rsid w:val="00944C81"/>
    <w:rsid w:val="00944FF3"/>
    <w:rsid w:val="0094694E"/>
    <w:rsid w:val="00947D5A"/>
    <w:rsid w:val="009516B4"/>
    <w:rsid w:val="00951AC3"/>
    <w:rsid w:val="00952221"/>
    <w:rsid w:val="009532A5"/>
    <w:rsid w:val="00953492"/>
    <w:rsid w:val="009543A2"/>
    <w:rsid w:val="00954467"/>
    <w:rsid w:val="009555D0"/>
    <w:rsid w:val="00956D29"/>
    <w:rsid w:val="00957BE2"/>
    <w:rsid w:val="00960994"/>
    <w:rsid w:val="00963167"/>
    <w:rsid w:val="00963961"/>
    <w:rsid w:val="009644A9"/>
    <w:rsid w:val="009719C4"/>
    <w:rsid w:val="009731F0"/>
    <w:rsid w:val="00973AC0"/>
    <w:rsid w:val="00974D58"/>
    <w:rsid w:val="009778FA"/>
    <w:rsid w:val="00982242"/>
    <w:rsid w:val="009830D9"/>
    <w:rsid w:val="00985AF2"/>
    <w:rsid w:val="009868E9"/>
    <w:rsid w:val="00986FE2"/>
    <w:rsid w:val="00992405"/>
    <w:rsid w:val="00992869"/>
    <w:rsid w:val="00994C62"/>
    <w:rsid w:val="0099686B"/>
    <w:rsid w:val="0099688C"/>
    <w:rsid w:val="009969C9"/>
    <w:rsid w:val="00996E3C"/>
    <w:rsid w:val="00997AA7"/>
    <w:rsid w:val="00997D64"/>
    <w:rsid w:val="009A032C"/>
    <w:rsid w:val="009A1843"/>
    <w:rsid w:val="009A20EA"/>
    <w:rsid w:val="009A373B"/>
    <w:rsid w:val="009A43F0"/>
    <w:rsid w:val="009A5069"/>
    <w:rsid w:val="009A5AD0"/>
    <w:rsid w:val="009A5D53"/>
    <w:rsid w:val="009A64E4"/>
    <w:rsid w:val="009B16AC"/>
    <w:rsid w:val="009B34FF"/>
    <w:rsid w:val="009B3BCD"/>
    <w:rsid w:val="009B5AB3"/>
    <w:rsid w:val="009B6EE4"/>
    <w:rsid w:val="009C074B"/>
    <w:rsid w:val="009C2879"/>
    <w:rsid w:val="009C33BE"/>
    <w:rsid w:val="009C53B2"/>
    <w:rsid w:val="009C57D7"/>
    <w:rsid w:val="009D0B0A"/>
    <w:rsid w:val="009D108E"/>
    <w:rsid w:val="009D126D"/>
    <w:rsid w:val="009D2AA9"/>
    <w:rsid w:val="009D3280"/>
    <w:rsid w:val="009D361B"/>
    <w:rsid w:val="009D3B6D"/>
    <w:rsid w:val="009E1604"/>
    <w:rsid w:val="009E19EF"/>
    <w:rsid w:val="009E2AFE"/>
    <w:rsid w:val="009E3977"/>
    <w:rsid w:val="009E3B79"/>
    <w:rsid w:val="009E5CFC"/>
    <w:rsid w:val="009E6E1E"/>
    <w:rsid w:val="009F3933"/>
    <w:rsid w:val="009F3A75"/>
    <w:rsid w:val="009F3C0F"/>
    <w:rsid w:val="009F4907"/>
    <w:rsid w:val="009F4B8D"/>
    <w:rsid w:val="009F4CA2"/>
    <w:rsid w:val="009F4F00"/>
    <w:rsid w:val="009F51F7"/>
    <w:rsid w:val="009F5294"/>
    <w:rsid w:val="009F5F2E"/>
    <w:rsid w:val="009F6A98"/>
    <w:rsid w:val="009F765B"/>
    <w:rsid w:val="009F77C7"/>
    <w:rsid w:val="00A02A29"/>
    <w:rsid w:val="00A03840"/>
    <w:rsid w:val="00A04634"/>
    <w:rsid w:val="00A0605F"/>
    <w:rsid w:val="00A079CB"/>
    <w:rsid w:val="00A1043E"/>
    <w:rsid w:val="00A12128"/>
    <w:rsid w:val="00A12A5B"/>
    <w:rsid w:val="00A16B5B"/>
    <w:rsid w:val="00A16FB8"/>
    <w:rsid w:val="00A20E26"/>
    <w:rsid w:val="00A21616"/>
    <w:rsid w:val="00A21DC4"/>
    <w:rsid w:val="00A22C98"/>
    <w:rsid w:val="00A231E2"/>
    <w:rsid w:val="00A23CBF"/>
    <w:rsid w:val="00A2495D"/>
    <w:rsid w:val="00A2542F"/>
    <w:rsid w:val="00A26880"/>
    <w:rsid w:val="00A3135B"/>
    <w:rsid w:val="00A34F1B"/>
    <w:rsid w:val="00A3504F"/>
    <w:rsid w:val="00A351B3"/>
    <w:rsid w:val="00A353FE"/>
    <w:rsid w:val="00A3551B"/>
    <w:rsid w:val="00A35F76"/>
    <w:rsid w:val="00A37F9D"/>
    <w:rsid w:val="00A40B40"/>
    <w:rsid w:val="00A40C08"/>
    <w:rsid w:val="00A41034"/>
    <w:rsid w:val="00A43AA2"/>
    <w:rsid w:val="00A459E3"/>
    <w:rsid w:val="00A45DD6"/>
    <w:rsid w:val="00A46D6E"/>
    <w:rsid w:val="00A47BC3"/>
    <w:rsid w:val="00A504A7"/>
    <w:rsid w:val="00A51AAA"/>
    <w:rsid w:val="00A52623"/>
    <w:rsid w:val="00A526F6"/>
    <w:rsid w:val="00A52B19"/>
    <w:rsid w:val="00A53C77"/>
    <w:rsid w:val="00A547E6"/>
    <w:rsid w:val="00A5764F"/>
    <w:rsid w:val="00A5769C"/>
    <w:rsid w:val="00A57D02"/>
    <w:rsid w:val="00A60D66"/>
    <w:rsid w:val="00A62D00"/>
    <w:rsid w:val="00A635CF"/>
    <w:rsid w:val="00A63BE5"/>
    <w:rsid w:val="00A64912"/>
    <w:rsid w:val="00A66DFE"/>
    <w:rsid w:val="00A70A74"/>
    <w:rsid w:val="00A719D9"/>
    <w:rsid w:val="00A729FA"/>
    <w:rsid w:val="00A72B05"/>
    <w:rsid w:val="00A73318"/>
    <w:rsid w:val="00A75264"/>
    <w:rsid w:val="00A80529"/>
    <w:rsid w:val="00A815B9"/>
    <w:rsid w:val="00A81995"/>
    <w:rsid w:val="00A8326C"/>
    <w:rsid w:val="00A868DE"/>
    <w:rsid w:val="00A90260"/>
    <w:rsid w:val="00A92AD1"/>
    <w:rsid w:val="00A92DF6"/>
    <w:rsid w:val="00A930CE"/>
    <w:rsid w:val="00A942AD"/>
    <w:rsid w:val="00A97C3B"/>
    <w:rsid w:val="00AA3540"/>
    <w:rsid w:val="00AA3E65"/>
    <w:rsid w:val="00AA3F72"/>
    <w:rsid w:val="00AA48E3"/>
    <w:rsid w:val="00AA6C88"/>
    <w:rsid w:val="00AA71BF"/>
    <w:rsid w:val="00AA769C"/>
    <w:rsid w:val="00AA7DE9"/>
    <w:rsid w:val="00AB18C7"/>
    <w:rsid w:val="00AB2D95"/>
    <w:rsid w:val="00AB4933"/>
    <w:rsid w:val="00AB4AC9"/>
    <w:rsid w:val="00AB50B3"/>
    <w:rsid w:val="00AB5144"/>
    <w:rsid w:val="00AB66B5"/>
    <w:rsid w:val="00AC17D6"/>
    <w:rsid w:val="00AC2161"/>
    <w:rsid w:val="00AC2D08"/>
    <w:rsid w:val="00AC2DBF"/>
    <w:rsid w:val="00AC66F2"/>
    <w:rsid w:val="00AD037B"/>
    <w:rsid w:val="00AD2109"/>
    <w:rsid w:val="00AD5641"/>
    <w:rsid w:val="00AD59C9"/>
    <w:rsid w:val="00AD7889"/>
    <w:rsid w:val="00AE0830"/>
    <w:rsid w:val="00AE09E4"/>
    <w:rsid w:val="00AE3652"/>
    <w:rsid w:val="00AE7431"/>
    <w:rsid w:val="00AE7888"/>
    <w:rsid w:val="00AF021B"/>
    <w:rsid w:val="00AF06CF"/>
    <w:rsid w:val="00AF1CEB"/>
    <w:rsid w:val="00AF1F7B"/>
    <w:rsid w:val="00AF267A"/>
    <w:rsid w:val="00AF4598"/>
    <w:rsid w:val="00AF58BD"/>
    <w:rsid w:val="00AF61A5"/>
    <w:rsid w:val="00AF6BB2"/>
    <w:rsid w:val="00B00684"/>
    <w:rsid w:val="00B017E3"/>
    <w:rsid w:val="00B0182A"/>
    <w:rsid w:val="00B01BCA"/>
    <w:rsid w:val="00B01ECA"/>
    <w:rsid w:val="00B023E0"/>
    <w:rsid w:val="00B02FD1"/>
    <w:rsid w:val="00B03755"/>
    <w:rsid w:val="00B03CF1"/>
    <w:rsid w:val="00B03D17"/>
    <w:rsid w:val="00B05CF4"/>
    <w:rsid w:val="00B07CDB"/>
    <w:rsid w:val="00B11AFC"/>
    <w:rsid w:val="00B12099"/>
    <w:rsid w:val="00B13507"/>
    <w:rsid w:val="00B147BE"/>
    <w:rsid w:val="00B15599"/>
    <w:rsid w:val="00B16A31"/>
    <w:rsid w:val="00B16CA0"/>
    <w:rsid w:val="00B17DFD"/>
    <w:rsid w:val="00B22C89"/>
    <w:rsid w:val="00B22D1B"/>
    <w:rsid w:val="00B308FE"/>
    <w:rsid w:val="00B3134B"/>
    <w:rsid w:val="00B33709"/>
    <w:rsid w:val="00B33B3C"/>
    <w:rsid w:val="00B33D69"/>
    <w:rsid w:val="00B34A2C"/>
    <w:rsid w:val="00B37434"/>
    <w:rsid w:val="00B4009E"/>
    <w:rsid w:val="00B433EE"/>
    <w:rsid w:val="00B461F7"/>
    <w:rsid w:val="00B47021"/>
    <w:rsid w:val="00B47169"/>
    <w:rsid w:val="00B47A0B"/>
    <w:rsid w:val="00B505DF"/>
    <w:rsid w:val="00B50ADC"/>
    <w:rsid w:val="00B50DBC"/>
    <w:rsid w:val="00B51027"/>
    <w:rsid w:val="00B53321"/>
    <w:rsid w:val="00B537CA"/>
    <w:rsid w:val="00B53A82"/>
    <w:rsid w:val="00B53EE5"/>
    <w:rsid w:val="00B566B1"/>
    <w:rsid w:val="00B56788"/>
    <w:rsid w:val="00B63684"/>
    <w:rsid w:val="00B63834"/>
    <w:rsid w:val="00B653C4"/>
    <w:rsid w:val="00B6560C"/>
    <w:rsid w:val="00B65F8A"/>
    <w:rsid w:val="00B6633B"/>
    <w:rsid w:val="00B67E9A"/>
    <w:rsid w:val="00B725ED"/>
    <w:rsid w:val="00B72734"/>
    <w:rsid w:val="00B7343B"/>
    <w:rsid w:val="00B74D56"/>
    <w:rsid w:val="00B80199"/>
    <w:rsid w:val="00B80723"/>
    <w:rsid w:val="00B823BB"/>
    <w:rsid w:val="00B83204"/>
    <w:rsid w:val="00B837C7"/>
    <w:rsid w:val="00B837F9"/>
    <w:rsid w:val="00B86A4E"/>
    <w:rsid w:val="00B91B50"/>
    <w:rsid w:val="00B91B86"/>
    <w:rsid w:val="00B92E31"/>
    <w:rsid w:val="00B93BED"/>
    <w:rsid w:val="00B95C64"/>
    <w:rsid w:val="00B9734B"/>
    <w:rsid w:val="00BA0C87"/>
    <w:rsid w:val="00BA20C0"/>
    <w:rsid w:val="00BA220B"/>
    <w:rsid w:val="00BA3A57"/>
    <w:rsid w:val="00BA3D38"/>
    <w:rsid w:val="00BA4014"/>
    <w:rsid w:val="00BA4CE1"/>
    <w:rsid w:val="00BA691F"/>
    <w:rsid w:val="00BA7C04"/>
    <w:rsid w:val="00BA7D00"/>
    <w:rsid w:val="00BB043D"/>
    <w:rsid w:val="00BB2A0E"/>
    <w:rsid w:val="00BB349B"/>
    <w:rsid w:val="00BB460A"/>
    <w:rsid w:val="00BB4E1A"/>
    <w:rsid w:val="00BC015E"/>
    <w:rsid w:val="00BC0D9B"/>
    <w:rsid w:val="00BC10EE"/>
    <w:rsid w:val="00BC44FA"/>
    <w:rsid w:val="00BC5D9A"/>
    <w:rsid w:val="00BC6A3E"/>
    <w:rsid w:val="00BC6DDB"/>
    <w:rsid w:val="00BC76AC"/>
    <w:rsid w:val="00BD0ECB"/>
    <w:rsid w:val="00BD0FD2"/>
    <w:rsid w:val="00BD12DB"/>
    <w:rsid w:val="00BD1587"/>
    <w:rsid w:val="00BD15D0"/>
    <w:rsid w:val="00BD2E0C"/>
    <w:rsid w:val="00BD3B1F"/>
    <w:rsid w:val="00BD4276"/>
    <w:rsid w:val="00BD61CF"/>
    <w:rsid w:val="00BE2155"/>
    <w:rsid w:val="00BE2213"/>
    <w:rsid w:val="00BE415F"/>
    <w:rsid w:val="00BE4528"/>
    <w:rsid w:val="00BE46B8"/>
    <w:rsid w:val="00BE5734"/>
    <w:rsid w:val="00BE5A7A"/>
    <w:rsid w:val="00BE719A"/>
    <w:rsid w:val="00BE720A"/>
    <w:rsid w:val="00BE76C1"/>
    <w:rsid w:val="00BF0764"/>
    <w:rsid w:val="00BF0CFA"/>
    <w:rsid w:val="00BF0D73"/>
    <w:rsid w:val="00BF0E88"/>
    <w:rsid w:val="00BF21D8"/>
    <w:rsid w:val="00BF2465"/>
    <w:rsid w:val="00C00D2B"/>
    <w:rsid w:val="00C0271B"/>
    <w:rsid w:val="00C05FD5"/>
    <w:rsid w:val="00C1013A"/>
    <w:rsid w:val="00C10875"/>
    <w:rsid w:val="00C14006"/>
    <w:rsid w:val="00C140E7"/>
    <w:rsid w:val="00C14BD9"/>
    <w:rsid w:val="00C15417"/>
    <w:rsid w:val="00C1544C"/>
    <w:rsid w:val="00C20CAF"/>
    <w:rsid w:val="00C22D83"/>
    <w:rsid w:val="00C2478E"/>
    <w:rsid w:val="00C25E7F"/>
    <w:rsid w:val="00C2746F"/>
    <w:rsid w:val="00C324A0"/>
    <w:rsid w:val="00C3300F"/>
    <w:rsid w:val="00C333BD"/>
    <w:rsid w:val="00C344EA"/>
    <w:rsid w:val="00C34ABD"/>
    <w:rsid w:val="00C35BC9"/>
    <w:rsid w:val="00C3761C"/>
    <w:rsid w:val="00C42BF8"/>
    <w:rsid w:val="00C43334"/>
    <w:rsid w:val="00C46B7F"/>
    <w:rsid w:val="00C47318"/>
    <w:rsid w:val="00C47B2E"/>
    <w:rsid w:val="00C50043"/>
    <w:rsid w:val="00C51CDC"/>
    <w:rsid w:val="00C51D1B"/>
    <w:rsid w:val="00C57802"/>
    <w:rsid w:val="00C5790A"/>
    <w:rsid w:val="00C616DE"/>
    <w:rsid w:val="00C61773"/>
    <w:rsid w:val="00C631AE"/>
    <w:rsid w:val="00C6345B"/>
    <w:rsid w:val="00C64113"/>
    <w:rsid w:val="00C70B02"/>
    <w:rsid w:val="00C7138F"/>
    <w:rsid w:val="00C7573B"/>
    <w:rsid w:val="00C75769"/>
    <w:rsid w:val="00C764B1"/>
    <w:rsid w:val="00C8106C"/>
    <w:rsid w:val="00C84A46"/>
    <w:rsid w:val="00C8519E"/>
    <w:rsid w:val="00C8674F"/>
    <w:rsid w:val="00C93C03"/>
    <w:rsid w:val="00C94C80"/>
    <w:rsid w:val="00C95B7F"/>
    <w:rsid w:val="00C97C8D"/>
    <w:rsid w:val="00CA04EA"/>
    <w:rsid w:val="00CA24A3"/>
    <w:rsid w:val="00CA490E"/>
    <w:rsid w:val="00CB00C5"/>
    <w:rsid w:val="00CB05F3"/>
    <w:rsid w:val="00CB0B1E"/>
    <w:rsid w:val="00CB0D53"/>
    <w:rsid w:val="00CB2C8E"/>
    <w:rsid w:val="00CB3DAC"/>
    <w:rsid w:val="00CB4738"/>
    <w:rsid w:val="00CB54E1"/>
    <w:rsid w:val="00CB602E"/>
    <w:rsid w:val="00CB64DE"/>
    <w:rsid w:val="00CB79C5"/>
    <w:rsid w:val="00CC4780"/>
    <w:rsid w:val="00CC5F84"/>
    <w:rsid w:val="00CC764A"/>
    <w:rsid w:val="00CD0FAA"/>
    <w:rsid w:val="00CD1E16"/>
    <w:rsid w:val="00CD247E"/>
    <w:rsid w:val="00CD4128"/>
    <w:rsid w:val="00CE051D"/>
    <w:rsid w:val="00CE0BF8"/>
    <w:rsid w:val="00CE1335"/>
    <w:rsid w:val="00CE3138"/>
    <w:rsid w:val="00CE3A9C"/>
    <w:rsid w:val="00CE493D"/>
    <w:rsid w:val="00CE5778"/>
    <w:rsid w:val="00CE59CA"/>
    <w:rsid w:val="00CE5CB8"/>
    <w:rsid w:val="00CE62B0"/>
    <w:rsid w:val="00CE63C3"/>
    <w:rsid w:val="00CE6BD0"/>
    <w:rsid w:val="00CE7158"/>
    <w:rsid w:val="00CF07FA"/>
    <w:rsid w:val="00CF0BB2"/>
    <w:rsid w:val="00CF3113"/>
    <w:rsid w:val="00CF3318"/>
    <w:rsid w:val="00CF3B0A"/>
    <w:rsid w:val="00CF3EE8"/>
    <w:rsid w:val="00CF4F1F"/>
    <w:rsid w:val="00CF5F28"/>
    <w:rsid w:val="00D01062"/>
    <w:rsid w:val="00D0107E"/>
    <w:rsid w:val="00D01959"/>
    <w:rsid w:val="00D02D12"/>
    <w:rsid w:val="00D0466E"/>
    <w:rsid w:val="00D04952"/>
    <w:rsid w:val="00D050E6"/>
    <w:rsid w:val="00D05791"/>
    <w:rsid w:val="00D071E6"/>
    <w:rsid w:val="00D104B6"/>
    <w:rsid w:val="00D13441"/>
    <w:rsid w:val="00D13539"/>
    <w:rsid w:val="00D14217"/>
    <w:rsid w:val="00D150E7"/>
    <w:rsid w:val="00D21075"/>
    <w:rsid w:val="00D2171F"/>
    <w:rsid w:val="00D219A8"/>
    <w:rsid w:val="00D220DC"/>
    <w:rsid w:val="00D22B6C"/>
    <w:rsid w:val="00D22FC7"/>
    <w:rsid w:val="00D23D9D"/>
    <w:rsid w:val="00D24476"/>
    <w:rsid w:val="00D24D39"/>
    <w:rsid w:val="00D25151"/>
    <w:rsid w:val="00D2569A"/>
    <w:rsid w:val="00D26208"/>
    <w:rsid w:val="00D267D4"/>
    <w:rsid w:val="00D26C2F"/>
    <w:rsid w:val="00D30D2C"/>
    <w:rsid w:val="00D328FA"/>
    <w:rsid w:val="00D32F65"/>
    <w:rsid w:val="00D3434B"/>
    <w:rsid w:val="00D34C4D"/>
    <w:rsid w:val="00D34F7A"/>
    <w:rsid w:val="00D35C21"/>
    <w:rsid w:val="00D36ED8"/>
    <w:rsid w:val="00D402FA"/>
    <w:rsid w:val="00D4059C"/>
    <w:rsid w:val="00D41474"/>
    <w:rsid w:val="00D43EF7"/>
    <w:rsid w:val="00D44860"/>
    <w:rsid w:val="00D4554A"/>
    <w:rsid w:val="00D4725E"/>
    <w:rsid w:val="00D52069"/>
    <w:rsid w:val="00D52B2D"/>
    <w:rsid w:val="00D52DC2"/>
    <w:rsid w:val="00D53BCC"/>
    <w:rsid w:val="00D5482E"/>
    <w:rsid w:val="00D5753B"/>
    <w:rsid w:val="00D6167A"/>
    <w:rsid w:val="00D66951"/>
    <w:rsid w:val="00D67E8A"/>
    <w:rsid w:val="00D70DFB"/>
    <w:rsid w:val="00D7498B"/>
    <w:rsid w:val="00D7588B"/>
    <w:rsid w:val="00D75A3A"/>
    <w:rsid w:val="00D766DF"/>
    <w:rsid w:val="00D80715"/>
    <w:rsid w:val="00D81537"/>
    <w:rsid w:val="00D836A5"/>
    <w:rsid w:val="00D8458E"/>
    <w:rsid w:val="00D84FCF"/>
    <w:rsid w:val="00D85D9A"/>
    <w:rsid w:val="00D8766B"/>
    <w:rsid w:val="00D87DBC"/>
    <w:rsid w:val="00D9160B"/>
    <w:rsid w:val="00D91C6F"/>
    <w:rsid w:val="00D94FA2"/>
    <w:rsid w:val="00D96A2B"/>
    <w:rsid w:val="00D97459"/>
    <w:rsid w:val="00D976A2"/>
    <w:rsid w:val="00D9777C"/>
    <w:rsid w:val="00DA186E"/>
    <w:rsid w:val="00DA4116"/>
    <w:rsid w:val="00DA421A"/>
    <w:rsid w:val="00DA5014"/>
    <w:rsid w:val="00DB03FB"/>
    <w:rsid w:val="00DB1E85"/>
    <w:rsid w:val="00DB251C"/>
    <w:rsid w:val="00DB3697"/>
    <w:rsid w:val="00DB3975"/>
    <w:rsid w:val="00DB4630"/>
    <w:rsid w:val="00DB6B10"/>
    <w:rsid w:val="00DB7234"/>
    <w:rsid w:val="00DC0606"/>
    <w:rsid w:val="00DC46F8"/>
    <w:rsid w:val="00DC4F88"/>
    <w:rsid w:val="00DC577E"/>
    <w:rsid w:val="00DD02DC"/>
    <w:rsid w:val="00DD1682"/>
    <w:rsid w:val="00DD2BC0"/>
    <w:rsid w:val="00DD2DDE"/>
    <w:rsid w:val="00DD50D0"/>
    <w:rsid w:val="00DD6A58"/>
    <w:rsid w:val="00DE0C89"/>
    <w:rsid w:val="00DE2855"/>
    <w:rsid w:val="00DE3788"/>
    <w:rsid w:val="00DE584D"/>
    <w:rsid w:val="00DE5B4C"/>
    <w:rsid w:val="00DE7110"/>
    <w:rsid w:val="00DF03DB"/>
    <w:rsid w:val="00DF2467"/>
    <w:rsid w:val="00DF50ED"/>
    <w:rsid w:val="00DF6618"/>
    <w:rsid w:val="00E00D55"/>
    <w:rsid w:val="00E01B69"/>
    <w:rsid w:val="00E02BB3"/>
    <w:rsid w:val="00E05704"/>
    <w:rsid w:val="00E06755"/>
    <w:rsid w:val="00E06B5E"/>
    <w:rsid w:val="00E07C76"/>
    <w:rsid w:val="00E10FA1"/>
    <w:rsid w:val="00E11E44"/>
    <w:rsid w:val="00E14108"/>
    <w:rsid w:val="00E14ACB"/>
    <w:rsid w:val="00E167D9"/>
    <w:rsid w:val="00E16C96"/>
    <w:rsid w:val="00E1773F"/>
    <w:rsid w:val="00E17B8B"/>
    <w:rsid w:val="00E2109B"/>
    <w:rsid w:val="00E274D2"/>
    <w:rsid w:val="00E277D5"/>
    <w:rsid w:val="00E3270E"/>
    <w:rsid w:val="00E338EF"/>
    <w:rsid w:val="00E34051"/>
    <w:rsid w:val="00E348F6"/>
    <w:rsid w:val="00E34DFD"/>
    <w:rsid w:val="00E35729"/>
    <w:rsid w:val="00E35810"/>
    <w:rsid w:val="00E3675F"/>
    <w:rsid w:val="00E40B49"/>
    <w:rsid w:val="00E40C22"/>
    <w:rsid w:val="00E414D5"/>
    <w:rsid w:val="00E45C82"/>
    <w:rsid w:val="00E47910"/>
    <w:rsid w:val="00E500E7"/>
    <w:rsid w:val="00E509B9"/>
    <w:rsid w:val="00E5252F"/>
    <w:rsid w:val="00E52DEB"/>
    <w:rsid w:val="00E53D4D"/>
    <w:rsid w:val="00E544BB"/>
    <w:rsid w:val="00E6083F"/>
    <w:rsid w:val="00E60E4D"/>
    <w:rsid w:val="00E62E8C"/>
    <w:rsid w:val="00E63A71"/>
    <w:rsid w:val="00E64BD0"/>
    <w:rsid w:val="00E653E8"/>
    <w:rsid w:val="00E65FA9"/>
    <w:rsid w:val="00E662B4"/>
    <w:rsid w:val="00E662CB"/>
    <w:rsid w:val="00E66EDB"/>
    <w:rsid w:val="00E67446"/>
    <w:rsid w:val="00E70B63"/>
    <w:rsid w:val="00E718EB"/>
    <w:rsid w:val="00E73AD3"/>
    <w:rsid w:val="00E74DC7"/>
    <w:rsid w:val="00E753F9"/>
    <w:rsid w:val="00E76508"/>
    <w:rsid w:val="00E76806"/>
    <w:rsid w:val="00E77EE7"/>
    <w:rsid w:val="00E80614"/>
    <w:rsid w:val="00E8075A"/>
    <w:rsid w:val="00E81701"/>
    <w:rsid w:val="00E819D3"/>
    <w:rsid w:val="00E82D57"/>
    <w:rsid w:val="00E82DAD"/>
    <w:rsid w:val="00E83285"/>
    <w:rsid w:val="00E8774B"/>
    <w:rsid w:val="00E8780A"/>
    <w:rsid w:val="00E87DA4"/>
    <w:rsid w:val="00E87FA8"/>
    <w:rsid w:val="00E915A0"/>
    <w:rsid w:val="00E92583"/>
    <w:rsid w:val="00E93AB8"/>
    <w:rsid w:val="00E946AC"/>
    <w:rsid w:val="00E94D5E"/>
    <w:rsid w:val="00E97DD4"/>
    <w:rsid w:val="00EA0011"/>
    <w:rsid w:val="00EA0E3D"/>
    <w:rsid w:val="00EA6C34"/>
    <w:rsid w:val="00EA7100"/>
    <w:rsid w:val="00EA7C7C"/>
    <w:rsid w:val="00EA7F9F"/>
    <w:rsid w:val="00EB06E6"/>
    <w:rsid w:val="00EB1274"/>
    <w:rsid w:val="00EB18A9"/>
    <w:rsid w:val="00EB4C3A"/>
    <w:rsid w:val="00EB5FD9"/>
    <w:rsid w:val="00EB6A08"/>
    <w:rsid w:val="00EB6AD0"/>
    <w:rsid w:val="00EB6B67"/>
    <w:rsid w:val="00EB6C1E"/>
    <w:rsid w:val="00EC007B"/>
    <w:rsid w:val="00EC21E7"/>
    <w:rsid w:val="00EC2806"/>
    <w:rsid w:val="00EC3B05"/>
    <w:rsid w:val="00EC3BDD"/>
    <w:rsid w:val="00EC6F8E"/>
    <w:rsid w:val="00ED0160"/>
    <w:rsid w:val="00ED2599"/>
    <w:rsid w:val="00ED2BB6"/>
    <w:rsid w:val="00ED30B6"/>
    <w:rsid w:val="00ED34E1"/>
    <w:rsid w:val="00ED3B8D"/>
    <w:rsid w:val="00ED659C"/>
    <w:rsid w:val="00ED6C8F"/>
    <w:rsid w:val="00EE1535"/>
    <w:rsid w:val="00EE4C97"/>
    <w:rsid w:val="00EE5017"/>
    <w:rsid w:val="00EE7AF2"/>
    <w:rsid w:val="00EE7BB5"/>
    <w:rsid w:val="00EF2E3A"/>
    <w:rsid w:val="00EF344F"/>
    <w:rsid w:val="00EF4199"/>
    <w:rsid w:val="00EF5EA2"/>
    <w:rsid w:val="00EF7525"/>
    <w:rsid w:val="00F00357"/>
    <w:rsid w:val="00F0086A"/>
    <w:rsid w:val="00F031C3"/>
    <w:rsid w:val="00F047AF"/>
    <w:rsid w:val="00F0610F"/>
    <w:rsid w:val="00F0670E"/>
    <w:rsid w:val="00F072A7"/>
    <w:rsid w:val="00F078DC"/>
    <w:rsid w:val="00F10FA9"/>
    <w:rsid w:val="00F11035"/>
    <w:rsid w:val="00F127BC"/>
    <w:rsid w:val="00F14ADB"/>
    <w:rsid w:val="00F151B8"/>
    <w:rsid w:val="00F16F60"/>
    <w:rsid w:val="00F178B3"/>
    <w:rsid w:val="00F207B5"/>
    <w:rsid w:val="00F23FDF"/>
    <w:rsid w:val="00F25542"/>
    <w:rsid w:val="00F27775"/>
    <w:rsid w:val="00F2792B"/>
    <w:rsid w:val="00F30298"/>
    <w:rsid w:val="00F30D2B"/>
    <w:rsid w:val="00F32BA8"/>
    <w:rsid w:val="00F33DB8"/>
    <w:rsid w:val="00F344A7"/>
    <w:rsid w:val="00F3482B"/>
    <w:rsid w:val="00F349F1"/>
    <w:rsid w:val="00F351CB"/>
    <w:rsid w:val="00F35395"/>
    <w:rsid w:val="00F35576"/>
    <w:rsid w:val="00F37327"/>
    <w:rsid w:val="00F4350D"/>
    <w:rsid w:val="00F50E2D"/>
    <w:rsid w:val="00F548D0"/>
    <w:rsid w:val="00F567F7"/>
    <w:rsid w:val="00F60D6B"/>
    <w:rsid w:val="00F62036"/>
    <w:rsid w:val="00F628C7"/>
    <w:rsid w:val="00F633FD"/>
    <w:rsid w:val="00F645F7"/>
    <w:rsid w:val="00F65B52"/>
    <w:rsid w:val="00F676FF"/>
    <w:rsid w:val="00F67BCA"/>
    <w:rsid w:val="00F737BD"/>
    <w:rsid w:val="00F73BD6"/>
    <w:rsid w:val="00F7405F"/>
    <w:rsid w:val="00F778CC"/>
    <w:rsid w:val="00F77DC4"/>
    <w:rsid w:val="00F80484"/>
    <w:rsid w:val="00F81DEA"/>
    <w:rsid w:val="00F82305"/>
    <w:rsid w:val="00F82595"/>
    <w:rsid w:val="00F83989"/>
    <w:rsid w:val="00F83A3B"/>
    <w:rsid w:val="00F85099"/>
    <w:rsid w:val="00F85528"/>
    <w:rsid w:val="00F8641B"/>
    <w:rsid w:val="00F9143A"/>
    <w:rsid w:val="00F929EC"/>
    <w:rsid w:val="00F9379C"/>
    <w:rsid w:val="00F93E4C"/>
    <w:rsid w:val="00F9632C"/>
    <w:rsid w:val="00F97544"/>
    <w:rsid w:val="00F97E28"/>
    <w:rsid w:val="00F97F00"/>
    <w:rsid w:val="00FA07D2"/>
    <w:rsid w:val="00FA1E52"/>
    <w:rsid w:val="00FA2356"/>
    <w:rsid w:val="00FA27FE"/>
    <w:rsid w:val="00FA3F55"/>
    <w:rsid w:val="00FA4930"/>
    <w:rsid w:val="00FA5B53"/>
    <w:rsid w:val="00FA5F8D"/>
    <w:rsid w:val="00FA6B65"/>
    <w:rsid w:val="00FA799C"/>
    <w:rsid w:val="00FA7B20"/>
    <w:rsid w:val="00FB0CA7"/>
    <w:rsid w:val="00FB1409"/>
    <w:rsid w:val="00FB18CC"/>
    <w:rsid w:val="00FB1C7C"/>
    <w:rsid w:val="00FB28B8"/>
    <w:rsid w:val="00FB4066"/>
    <w:rsid w:val="00FB40A3"/>
    <w:rsid w:val="00FB5865"/>
    <w:rsid w:val="00FB5E97"/>
    <w:rsid w:val="00FB6FE0"/>
    <w:rsid w:val="00FC0434"/>
    <w:rsid w:val="00FC0E7D"/>
    <w:rsid w:val="00FC3064"/>
    <w:rsid w:val="00FC6081"/>
    <w:rsid w:val="00FC62EF"/>
    <w:rsid w:val="00FC6CF3"/>
    <w:rsid w:val="00FC7489"/>
    <w:rsid w:val="00FD0020"/>
    <w:rsid w:val="00FD0090"/>
    <w:rsid w:val="00FD1869"/>
    <w:rsid w:val="00FD20A3"/>
    <w:rsid w:val="00FD4ABC"/>
    <w:rsid w:val="00FD51F4"/>
    <w:rsid w:val="00FD5D54"/>
    <w:rsid w:val="00FD6E16"/>
    <w:rsid w:val="00FE06AF"/>
    <w:rsid w:val="00FE0E99"/>
    <w:rsid w:val="00FE4688"/>
    <w:rsid w:val="00FE4D72"/>
    <w:rsid w:val="00FE4E6E"/>
    <w:rsid w:val="00FE55CD"/>
    <w:rsid w:val="00FF2822"/>
    <w:rsid w:val="00FF2AEC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AB5B2CE"/>
  <w15:docId w15:val="{474E1EE0-A990-4AF4-BE89-E063AEF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D2DD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DD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DD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DD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DD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2DD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2DD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2DD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2DD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2DD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2DDE"/>
  </w:style>
  <w:style w:type="paragraph" w:customStyle="1" w:styleId="OPCParaBase">
    <w:name w:val="OPCParaBase"/>
    <w:qFormat/>
    <w:rsid w:val="00DD2D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2D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2D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2D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2D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2D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D2D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2D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2D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2D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2D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2DDE"/>
  </w:style>
  <w:style w:type="paragraph" w:customStyle="1" w:styleId="Blocks">
    <w:name w:val="Blocks"/>
    <w:aliases w:val="bb"/>
    <w:basedOn w:val="OPCParaBase"/>
    <w:qFormat/>
    <w:rsid w:val="00DD2D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2D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2D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2DDE"/>
    <w:rPr>
      <w:i/>
    </w:rPr>
  </w:style>
  <w:style w:type="paragraph" w:customStyle="1" w:styleId="BoxList">
    <w:name w:val="BoxList"/>
    <w:aliases w:val="bl"/>
    <w:basedOn w:val="BoxText"/>
    <w:qFormat/>
    <w:rsid w:val="00DD2D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2D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2D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2DDE"/>
    <w:pPr>
      <w:ind w:left="1985" w:hanging="851"/>
    </w:pPr>
  </w:style>
  <w:style w:type="character" w:customStyle="1" w:styleId="CharAmPartNo">
    <w:name w:val="CharAmPartNo"/>
    <w:basedOn w:val="OPCCharBase"/>
    <w:qFormat/>
    <w:rsid w:val="00DD2DDE"/>
  </w:style>
  <w:style w:type="character" w:customStyle="1" w:styleId="CharAmPartText">
    <w:name w:val="CharAmPartText"/>
    <w:basedOn w:val="OPCCharBase"/>
    <w:qFormat/>
    <w:rsid w:val="00DD2DDE"/>
  </w:style>
  <w:style w:type="character" w:customStyle="1" w:styleId="CharAmSchNo">
    <w:name w:val="CharAmSchNo"/>
    <w:basedOn w:val="OPCCharBase"/>
    <w:qFormat/>
    <w:rsid w:val="00DD2DDE"/>
  </w:style>
  <w:style w:type="character" w:customStyle="1" w:styleId="CharAmSchText">
    <w:name w:val="CharAmSchText"/>
    <w:basedOn w:val="OPCCharBase"/>
    <w:qFormat/>
    <w:rsid w:val="00DD2DDE"/>
  </w:style>
  <w:style w:type="character" w:customStyle="1" w:styleId="CharBoldItalic">
    <w:name w:val="CharBoldItalic"/>
    <w:basedOn w:val="OPCCharBase"/>
    <w:uiPriority w:val="1"/>
    <w:qFormat/>
    <w:rsid w:val="00DD2D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2DDE"/>
  </w:style>
  <w:style w:type="character" w:customStyle="1" w:styleId="CharChapText">
    <w:name w:val="CharChapText"/>
    <w:basedOn w:val="OPCCharBase"/>
    <w:uiPriority w:val="1"/>
    <w:qFormat/>
    <w:rsid w:val="00DD2DDE"/>
  </w:style>
  <w:style w:type="character" w:customStyle="1" w:styleId="CharDivNo">
    <w:name w:val="CharDivNo"/>
    <w:basedOn w:val="OPCCharBase"/>
    <w:uiPriority w:val="1"/>
    <w:qFormat/>
    <w:rsid w:val="00DD2DDE"/>
  </w:style>
  <w:style w:type="character" w:customStyle="1" w:styleId="CharDivText">
    <w:name w:val="CharDivText"/>
    <w:basedOn w:val="OPCCharBase"/>
    <w:uiPriority w:val="1"/>
    <w:qFormat/>
    <w:rsid w:val="00DD2DDE"/>
  </w:style>
  <w:style w:type="character" w:customStyle="1" w:styleId="CharItalic">
    <w:name w:val="CharItalic"/>
    <w:basedOn w:val="OPCCharBase"/>
    <w:uiPriority w:val="1"/>
    <w:qFormat/>
    <w:rsid w:val="00DD2DDE"/>
    <w:rPr>
      <w:i/>
    </w:rPr>
  </w:style>
  <w:style w:type="character" w:customStyle="1" w:styleId="CharPartNo">
    <w:name w:val="CharPartNo"/>
    <w:basedOn w:val="OPCCharBase"/>
    <w:uiPriority w:val="1"/>
    <w:qFormat/>
    <w:rsid w:val="00DD2DDE"/>
  </w:style>
  <w:style w:type="character" w:customStyle="1" w:styleId="CharPartText">
    <w:name w:val="CharPartText"/>
    <w:basedOn w:val="OPCCharBase"/>
    <w:uiPriority w:val="1"/>
    <w:qFormat/>
    <w:rsid w:val="00DD2DDE"/>
  </w:style>
  <w:style w:type="character" w:customStyle="1" w:styleId="CharSectno">
    <w:name w:val="CharSectno"/>
    <w:basedOn w:val="OPCCharBase"/>
    <w:qFormat/>
    <w:rsid w:val="00DD2DDE"/>
  </w:style>
  <w:style w:type="character" w:customStyle="1" w:styleId="CharSubdNo">
    <w:name w:val="CharSubdNo"/>
    <w:basedOn w:val="OPCCharBase"/>
    <w:uiPriority w:val="1"/>
    <w:qFormat/>
    <w:rsid w:val="00DD2DDE"/>
  </w:style>
  <w:style w:type="character" w:customStyle="1" w:styleId="CharSubdText">
    <w:name w:val="CharSubdText"/>
    <w:basedOn w:val="OPCCharBase"/>
    <w:uiPriority w:val="1"/>
    <w:qFormat/>
    <w:rsid w:val="00DD2DDE"/>
  </w:style>
  <w:style w:type="paragraph" w:customStyle="1" w:styleId="CTA--">
    <w:name w:val="CTA --"/>
    <w:basedOn w:val="OPCParaBase"/>
    <w:next w:val="Normal"/>
    <w:rsid w:val="00DD2D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2D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2D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2D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2D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2D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2D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2D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2D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2D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2D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2D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2D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2D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2D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2DD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D2D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2D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2D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2D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2D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2D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2D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2D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2D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2D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2D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2D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2D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2D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2D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2D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2D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2D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2D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D2D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2D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2D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2D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2D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2D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2D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2D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2D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2D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2D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2D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2D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2D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2D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2D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2D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2D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2D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2D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D2DD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D2DD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D2DD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D2DD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D2DD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D2DD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D2DD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D2DD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D2DD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D2D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2D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2D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2D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2D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2D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2D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2D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D2DDE"/>
    <w:rPr>
      <w:sz w:val="16"/>
    </w:rPr>
  </w:style>
  <w:style w:type="table" w:customStyle="1" w:styleId="CFlag">
    <w:name w:val="CFlag"/>
    <w:basedOn w:val="TableNormal"/>
    <w:uiPriority w:val="99"/>
    <w:rsid w:val="00DD2DD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D2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2D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2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2DD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D2D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2DD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2D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2D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2DD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D2DD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D2DD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D2D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2D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D2DD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2DD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2D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2D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DD2D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DD2D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2D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2D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D2D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2D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2DDE"/>
  </w:style>
  <w:style w:type="character" w:customStyle="1" w:styleId="CharSubPartNoCASA">
    <w:name w:val="CharSubPartNo(CASA)"/>
    <w:basedOn w:val="OPCCharBase"/>
    <w:uiPriority w:val="1"/>
    <w:rsid w:val="00DD2DDE"/>
  </w:style>
  <w:style w:type="paragraph" w:customStyle="1" w:styleId="ENoteTTIndentHeadingSub">
    <w:name w:val="ENoteTTIndentHeadingSub"/>
    <w:aliases w:val="enTTHis"/>
    <w:basedOn w:val="OPCParaBase"/>
    <w:rsid w:val="00DD2D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2D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2D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2D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D2D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D2DD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2D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2DDE"/>
    <w:rPr>
      <w:sz w:val="22"/>
    </w:rPr>
  </w:style>
  <w:style w:type="paragraph" w:customStyle="1" w:styleId="SOTextNote">
    <w:name w:val="SO TextNote"/>
    <w:aliases w:val="sont"/>
    <w:basedOn w:val="SOText"/>
    <w:qFormat/>
    <w:rsid w:val="00DD2D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2D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2DDE"/>
    <w:rPr>
      <w:sz w:val="22"/>
    </w:rPr>
  </w:style>
  <w:style w:type="paragraph" w:customStyle="1" w:styleId="FileName">
    <w:name w:val="FileName"/>
    <w:basedOn w:val="Normal"/>
    <w:rsid w:val="00DD2DDE"/>
  </w:style>
  <w:style w:type="paragraph" w:customStyle="1" w:styleId="TableHeading">
    <w:name w:val="TableHeading"/>
    <w:aliases w:val="th"/>
    <w:basedOn w:val="OPCParaBase"/>
    <w:next w:val="Tabletext"/>
    <w:rsid w:val="00DD2D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2D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2D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2D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2D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2D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2D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2D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2DDE"/>
    <w:rPr>
      <w:sz w:val="18"/>
    </w:rPr>
  </w:style>
  <w:style w:type="paragraph" w:customStyle="1" w:styleId="SubPartCASA">
    <w:name w:val="SubPart(CASA)"/>
    <w:aliases w:val="csp"/>
    <w:basedOn w:val="OPCParaBase"/>
    <w:next w:val="ActHead3"/>
    <w:rsid w:val="00DD2D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2DD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D2DD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D2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2D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2D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2D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2D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D2D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D2D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D2D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dex1">
    <w:name w:val="index 1"/>
    <w:basedOn w:val="Normal"/>
    <w:next w:val="Normal"/>
    <w:autoRedefine/>
    <w:rsid w:val="00DD2DDE"/>
    <w:pPr>
      <w:ind w:left="240" w:hanging="240"/>
    </w:pPr>
  </w:style>
  <w:style w:type="paragraph" w:styleId="Index2">
    <w:name w:val="index 2"/>
    <w:basedOn w:val="Normal"/>
    <w:next w:val="Normal"/>
    <w:autoRedefine/>
    <w:rsid w:val="00DD2DDE"/>
    <w:pPr>
      <w:ind w:left="480" w:hanging="240"/>
    </w:pPr>
  </w:style>
  <w:style w:type="paragraph" w:styleId="Index3">
    <w:name w:val="index 3"/>
    <w:basedOn w:val="Normal"/>
    <w:next w:val="Normal"/>
    <w:autoRedefine/>
    <w:rsid w:val="00DD2DDE"/>
    <w:pPr>
      <w:ind w:left="720" w:hanging="240"/>
    </w:pPr>
  </w:style>
  <w:style w:type="paragraph" w:styleId="Index4">
    <w:name w:val="index 4"/>
    <w:basedOn w:val="Normal"/>
    <w:next w:val="Normal"/>
    <w:autoRedefine/>
    <w:rsid w:val="00DD2DDE"/>
    <w:pPr>
      <w:ind w:left="960" w:hanging="240"/>
    </w:pPr>
  </w:style>
  <w:style w:type="paragraph" w:styleId="Index5">
    <w:name w:val="index 5"/>
    <w:basedOn w:val="Normal"/>
    <w:next w:val="Normal"/>
    <w:autoRedefine/>
    <w:rsid w:val="00DD2DDE"/>
    <w:pPr>
      <w:ind w:left="1200" w:hanging="240"/>
    </w:pPr>
  </w:style>
  <w:style w:type="paragraph" w:styleId="Index6">
    <w:name w:val="index 6"/>
    <w:basedOn w:val="Normal"/>
    <w:next w:val="Normal"/>
    <w:autoRedefine/>
    <w:rsid w:val="00DD2DDE"/>
    <w:pPr>
      <w:ind w:left="1440" w:hanging="240"/>
    </w:pPr>
  </w:style>
  <w:style w:type="paragraph" w:styleId="Index7">
    <w:name w:val="index 7"/>
    <w:basedOn w:val="Normal"/>
    <w:next w:val="Normal"/>
    <w:autoRedefine/>
    <w:rsid w:val="00DD2DDE"/>
    <w:pPr>
      <w:ind w:left="1680" w:hanging="240"/>
    </w:pPr>
  </w:style>
  <w:style w:type="paragraph" w:styleId="Index8">
    <w:name w:val="index 8"/>
    <w:basedOn w:val="Normal"/>
    <w:next w:val="Normal"/>
    <w:autoRedefine/>
    <w:rsid w:val="00DD2DDE"/>
    <w:pPr>
      <w:ind w:left="1920" w:hanging="240"/>
    </w:pPr>
  </w:style>
  <w:style w:type="paragraph" w:styleId="Index9">
    <w:name w:val="index 9"/>
    <w:basedOn w:val="Normal"/>
    <w:next w:val="Normal"/>
    <w:autoRedefine/>
    <w:rsid w:val="00DD2DDE"/>
    <w:pPr>
      <w:ind w:left="2160" w:hanging="240"/>
    </w:pPr>
  </w:style>
  <w:style w:type="paragraph" w:styleId="NormalIndent">
    <w:name w:val="Normal Indent"/>
    <w:basedOn w:val="Normal"/>
    <w:rsid w:val="00DD2DDE"/>
    <w:pPr>
      <w:ind w:left="720"/>
    </w:pPr>
  </w:style>
  <w:style w:type="paragraph" w:styleId="FootnoteText">
    <w:name w:val="footnote text"/>
    <w:basedOn w:val="Normal"/>
    <w:link w:val="FootnoteTextChar"/>
    <w:rsid w:val="00DD2DD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2DDE"/>
  </w:style>
  <w:style w:type="paragraph" w:styleId="CommentText">
    <w:name w:val="annotation text"/>
    <w:basedOn w:val="Normal"/>
    <w:link w:val="CommentTextChar"/>
    <w:uiPriority w:val="99"/>
    <w:rsid w:val="00DD2D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DDE"/>
  </w:style>
  <w:style w:type="paragraph" w:styleId="IndexHeading">
    <w:name w:val="index heading"/>
    <w:basedOn w:val="Normal"/>
    <w:next w:val="Index1"/>
    <w:rsid w:val="00DD2DD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D2DD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D2DDE"/>
    <w:pPr>
      <w:ind w:left="480" w:hanging="480"/>
    </w:pPr>
  </w:style>
  <w:style w:type="paragraph" w:styleId="EnvelopeAddress">
    <w:name w:val="envelope address"/>
    <w:basedOn w:val="Normal"/>
    <w:rsid w:val="00DD2D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D2DD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D2DD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DD2DDE"/>
    <w:rPr>
      <w:sz w:val="16"/>
      <w:szCs w:val="16"/>
    </w:rPr>
  </w:style>
  <w:style w:type="character" w:styleId="PageNumber">
    <w:name w:val="page number"/>
    <w:basedOn w:val="DefaultParagraphFont"/>
    <w:rsid w:val="00DD2DDE"/>
  </w:style>
  <w:style w:type="character" w:styleId="EndnoteReference">
    <w:name w:val="endnote reference"/>
    <w:basedOn w:val="DefaultParagraphFont"/>
    <w:rsid w:val="00DD2DDE"/>
    <w:rPr>
      <w:vertAlign w:val="superscript"/>
    </w:rPr>
  </w:style>
  <w:style w:type="paragraph" w:styleId="EndnoteText">
    <w:name w:val="endnote text"/>
    <w:basedOn w:val="Normal"/>
    <w:link w:val="EndnoteTextChar"/>
    <w:rsid w:val="00DD2DD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2DDE"/>
  </w:style>
  <w:style w:type="paragraph" w:styleId="TableofAuthorities">
    <w:name w:val="table of authorities"/>
    <w:basedOn w:val="Normal"/>
    <w:next w:val="Normal"/>
    <w:rsid w:val="00DD2DDE"/>
    <w:pPr>
      <w:ind w:left="240" w:hanging="240"/>
    </w:pPr>
  </w:style>
  <w:style w:type="paragraph" w:styleId="MacroText">
    <w:name w:val="macro"/>
    <w:link w:val="MacroTextChar"/>
    <w:rsid w:val="00DD2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D2DD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D2DD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D2DDE"/>
    <w:pPr>
      <w:ind w:left="283" w:hanging="283"/>
    </w:pPr>
  </w:style>
  <w:style w:type="paragraph" w:styleId="ListBullet">
    <w:name w:val="List Bullet"/>
    <w:basedOn w:val="Normal"/>
    <w:autoRedefine/>
    <w:rsid w:val="00DD2DD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D2DD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D2DDE"/>
    <w:pPr>
      <w:ind w:left="566" w:hanging="283"/>
    </w:pPr>
  </w:style>
  <w:style w:type="paragraph" w:styleId="List3">
    <w:name w:val="List 3"/>
    <w:basedOn w:val="Normal"/>
    <w:rsid w:val="00DD2DDE"/>
    <w:pPr>
      <w:ind w:left="849" w:hanging="283"/>
    </w:pPr>
  </w:style>
  <w:style w:type="paragraph" w:styleId="List4">
    <w:name w:val="List 4"/>
    <w:basedOn w:val="Normal"/>
    <w:rsid w:val="00DD2DDE"/>
    <w:pPr>
      <w:ind w:left="1132" w:hanging="283"/>
    </w:pPr>
  </w:style>
  <w:style w:type="paragraph" w:styleId="List5">
    <w:name w:val="List 5"/>
    <w:basedOn w:val="Normal"/>
    <w:rsid w:val="00DD2DDE"/>
    <w:pPr>
      <w:ind w:left="1415" w:hanging="283"/>
    </w:pPr>
  </w:style>
  <w:style w:type="paragraph" w:styleId="ListBullet2">
    <w:name w:val="List Bullet 2"/>
    <w:basedOn w:val="Normal"/>
    <w:autoRedefine/>
    <w:rsid w:val="00DD2DD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D2DD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D2DD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D2DD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D2DD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D2DD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D2DD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D2DD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D2DD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D2DD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D2DDE"/>
    <w:pPr>
      <w:ind w:left="4252"/>
    </w:pPr>
  </w:style>
  <w:style w:type="character" w:customStyle="1" w:styleId="ClosingChar">
    <w:name w:val="Closing Char"/>
    <w:basedOn w:val="DefaultParagraphFont"/>
    <w:link w:val="Closing"/>
    <w:rsid w:val="00DD2DDE"/>
    <w:rPr>
      <w:sz w:val="22"/>
    </w:rPr>
  </w:style>
  <w:style w:type="paragraph" w:styleId="Signature">
    <w:name w:val="Signature"/>
    <w:basedOn w:val="Normal"/>
    <w:link w:val="SignatureChar"/>
    <w:rsid w:val="00DD2DD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D2DDE"/>
    <w:rPr>
      <w:sz w:val="22"/>
    </w:rPr>
  </w:style>
  <w:style w:type="paragraph" w:styleId="BodyText">
    <w:name w:val="Body Text"/>
    <w:basedOn w:val="Normal"/>
    <w:link w:val="BodyTextChar"/>
    <w:rsid w:val="00DD2D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2DDE"/>
    <w:rPr>
      <w:sz w:val="22"/>
    </w:rPr>
  </w:style>
  <w:style w:type="paragraph" w:styleId="BodyTextIndent">
    <w:name w:val="Body Text Indent"/>
    <w:basedOn w:val="Normal"/>
    <w:link w:val="BodyTextIndentChar"/>
    <w:rsid w:val="00DD2D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D2DDE"/>
    <w:rPr>
      <w:sz w:val="22"/>
    </w:rPr>
  </w:style>
  <w:style w:type="paragraph" w:styleId="ListContinue">
    <w:name w:val="List Continue"/>
    <w:basedOn w:val="Normal"/>
    <w:rsid w:val="00DD2DDE"/>
    <w:pPr>
      <w:spacing w:after="120"/>
      <w:ind w:left="283"/>
    </w:pPr>
  </w:style>
  <w:style w:type="paragraph" w:styleId="ListContinue2">
    <w:name w:val="List Continue 2"/>
    <w:basedOn w:val="Normal"/>
    <w:rsid w:val="00DD2DDE"/>
    <w:pPr>
      <w:spacing w:after="120"/>
      <w:ind w:left="566"/>
    </w:pPr>
  </w:style>
  <w:style w:type="paragraph" w:styleId="ListContinue3">
    <w:name w:val="List Continue 3"/>
    <w:basedOn w:val="Normal"/>
    <w:rsid w:val="00DD2DDE"/>
    <w:pPr>
      <w:spacing w:after="120"/>
      <w:ind w:left="849"/>
    </w:pPr>
  </w:style>
  <w:style w:type="paragraph" w:styleId="ListContinue4">
    <w:name w:val="List Continue 4"/>
    <w:basedOn w:val="Normal"/>
    <w:rsid w:val="00DD2DDE"/>
    <w:pPr>
      <w:spacing w:after="120"/>
      <w:ind w:left="1132"/>
    </w:pPr>
  </w:style>
  <w:style w:type="paragraph" w:styleId="ListContinue5">
    <w:name w:val="List Continue 5"/>
    <w:basedOn w:val="Normal"/>
    <w:rsid w:val="00DD2DD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D2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D2DD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D2DD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D2DD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D2DDE"/>
  </w:style>
  <w:style w:type="character" w:customStyle="1" w:styleId="SalutationChar">
    <w:name w:val="Salutation Char"/>
    <w:basedOn w:val="DefaultParagraphFont"/>
    <w:link w:val="Salutation"/>
    <w:rsid w:val="00DD2DDE"/>
    <w:rPr>
      <w:sz w:val="22"/>
    </w:rPr>
  </w:style>
  <w:style w:type="paragraph" w:styleId="Date">
    <w:name w:val="Date"/>
    <w:basedOn w:val="Normal"/>
    <w:next w:val="Normal"/>
    <w:link w:val="DateChar"/>
    <w:rsid w:val="00DD2DDE"/>
  </w:style>
  <w:style w:type="character" w:customStyle="1" w:styleId="DateChar">
    <w:name w:val="Date Char"/>
    <w:basedOn w:val="DefaultParagraphFont"/>
    <w:link w:val="Date"/>
    <w:rsid w:val="00DD2DDE"/>
    <w:rPr>
      <w:sz w:val="22"/>
    </w:rPr>
  </w:style>
  <w:style w:type="paragraph" w:styleId="BodyTextFirstIndent">
    <w:name w:val="Body Text First Indent"/>
    <w:basedOn w:val="BodyText"/>
    <w:link w:val="BodyTextFirstIndentChar"/>
    <w:rsid w:val="00DD2DD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D2DD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D2DD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D2DDE"/>
    <w:rPr>
      <w:sz w:val="22"/>
    </w:rPr>
  </w:style>
  <w:style w:type="paragraph" w:styleId="BodyText2">
    <w:name w:val="Body Text 2"/>
    <w:basedOn w:val="Normal"/>
    <w:link w:val="BodyText2Char"/>
    <w:rsid w:val="00DD2D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2DDE"/>
    <w:rPr>
      <w:sz w:val="22"/>
    </w:rPr>
  </w:style>
  <w:style w:type="paragraph" w:styleId="BodyText3">
    <w:name w:val="Body Text 3"/>
    <w:basedOn w:val="Normal"/>
    <w:link w:val="BodyText3Char"/>
    <w:rsid w:val="00DD2D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2DD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D2DD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D2DDE"/>
    <w:rPr>
      <w:sz w:val="22"/>
    </w:rPr>
  </w:style>
  <w:style w:type="paragraph" w:styleId="BodyTextIndent3">
    <w:name w:val="Body Text Indent 3"/>
    <w:basedOn w:val="Normal"/>
    <w:link w:val="BodyTextIndent3Char"/>
    <w:rsid w:val="00DD2DD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2DDE"/>
    <w:rPr>
      <w:sz w:val="16"/>
      <w:szCs w:val="16"/>
    </w:rPr>
  </w:style>
  <w:style w:type="paragraph" w:styleId="BlockText">
    <w:name w:val="Block Text"/>
    <w:basedOn w:val="Normal"/>
    <w:rsid w:val="00DD2DDE"/>
    <w:pPr>
      <w:spacing w:after="120"/>
      <w:ind w:left="1440" w:right="1440"/>
    </w:pPr>
  </w:style>
  <w:style w:type="character" w:styleId="Hyperlink">
    <w:name w:val="Hyperlink"/>
    <w:basedOn w:val="DefaultParagraphFont"/>
    <w:rsid w:val="00DD2DDE"/>
    <w:rPr>
      <w:color w:val="0000FF"/>
      <w:u w:val="single"/>
    </w:rPr>
  </w:style>
  <w:style w:type="character" w:styleId="FollowedHyperlink">
    <w:name w:val="FollowedHyperlink"/>
    <w:basedOn w:val="DefaultParagraphFont"/>
    <w:rsid w:val="00DD2DDE"/>
    <w:rPr>
      <w:color w:val="800080"/>
      <w:u w:val="single"/>
    </w:rPr>
  </w:style>
  <w:style w:type="character" w:styleId="Strong">
    <w:name w:val="Strong"/>
    <w:basedOn w:val="DefaultParagraphFont"/>
    <w:qFormat/>
    <w:rsid w:val="00DD2DDE"/>
    <w:rPr>
      <w:b/>
      <w:bCs/>
    </w:rPr>
  </w:style>
  <w:style w:type="character" w:styleId="Emphasis">
    <w:name w:val="Emphasis"/>
    <w:basedOn w:val="DefaultParagraphFont"/>
    <w:qFormat/>
    <w:rsid w:val="00DD2DDE"/>
    <w:rPr>
      <w:i/>
      <w:iCs/>
    </w:rPr>
  </w:style>
  <w:style w:type="paragraph" w:styleId="DocumentMap">
    <w:name w:val="Document Map"/>
    <w:basedOn w:val="Normal"/>
    <w:link w:val="DocumentMapChar"/>
    <w:rsid w:val="00DD2DD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D2DD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D2DD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2DD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D2DDE"/>
  </w:style>
  <w:style w:type="character" w:customStyle="1" w:styleId="E-mailSignatureChar">
    <w:name w:val="E-mail Signature Char"/>
    <w:basedOn w:val="DefaultParagraphFont"/>
    <w:link w:val="E-mailSignature"/>
    <w:rsid w:val="00DD2DDE"/>
    <w:rPr>
      <w:sz w:val="22"/>
    </w:rPr>
  </w:style>
  <w:style w:type="paragraph" w:styleId="NormalWeb">
    <w:name w:val="Normal (Web)"/>
    <w:basedOn w:val="Normal"/>
    <w:uiPriority w:val="99"/>
    <w:rsid w:val="00DD2DDE"/>
  </w:style>
  <w:style w:type="character" w:styleId="HTMLAcronym">
    <w:name w:val="HTML Acronym"/>
    <w:basedOn w:val="DefaultParagraphFont"/>
    <w:rsid w:val="00DD2DDE"/>
  </w:style>
  <w:style w:type="paragraph" w:styleId="HTMLAddress">
    <w:name w:val="HTML Address"/>
    <w:basedOn w:val="Normal"/>
    <w:link w:val="HTMLAddressChar"/>
    <w:rsid w:val="00DD2DD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2DDE"/>
    <w:rPr>
      <w:i/>
      <w:iCs/>
      <w:sz w:val="22"/>
    </w:rPr>
  </w:style>
  <w:style w:type="character" w:styleId="HTMLCite">
    <w:name w:val="HTML Cite"/>
    <w:basedOn w:val="DefaultParagraphFont"/>
    <w:rsid w:val="00DD2DDE"/>
    <w:rPr>
      <w:i/>
      <w:iCs/>
    </w:rPr>
  </w:style>
  <w:style w:type="character" w:styleId="HTMLCode">
    <w:name w:val="HTML Code"/>
    <w:basedOn w:val="DefaultParagraphFont"/>
    <w:rsid w:val="00DD2D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D2DDE"/>
    <w:rPr>
      <w:i/>
      <w:iCs/>
    </w:rPr>
  </w:style>
  <w:style w:type="character" w:styleId="HTMLKeyboard">
    <w:name w:val="HTML Keyboard"/>
    <w:basedOn w:val="DefaultParagraphFont"/>
    <w:rsid w:val="00DD2DD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D2DD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2DDE"/>
    <w:rPr>
      <w:rFonts w:ascii="Courier New" w:hAnsi="Courier New" w:cs="Courier New"/>
    </w:rPr>
  </w:style>
  <w:style w:type="character" w:styleId="HTMLSample">
    <w:name w:val="HTML Sample"/>
    <w:basedOn w:val="DefaultParagraphFont"/>
    <w:rsid w:val="00DD2DD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D2DD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D2DD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D2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2DDE"/>
    <w:rPr>
      <w:b/>
      <w:bCs/>
    </w:rPr>
  </w:style>
  <w:style w:type="numbering" w:styleId="1ai">
    <w:name w:val="Outline List 1"/>
    <w:basedOn w:val="NoList"/>
    <w:rsid w:val="00DD2DDE"/>
    <w:pPr>
      <w:numPr>
        <w:numId w:val="14"/>
      </w:numPr>
    </w:pPr>
  </w:style>
  <w:style w:type="numbering" w:styleId="111111">
    <w:name w:val="Outline List 2"/>
    <w:basedOn w:val="NoList"/>
    <w:rsid w:val="00DD2DDE"/>
    <w:pPr>
      <w:numPr>
        <w:numId w:val="15"/>
      </w:numPr>
    </w:pPr>
  </w:style>
  <w:style w:type="numbering" w:styleId="ArticleSection">
    <w:name w:val="Outline List 3"/>
    <w:basedOn w:val="NoList"/>
    <w:rsid w:val="00DD2DDE"/>
    <w:pPr>
      <w:numPr>
        <w:numId w:val="17"/>
      </w:numPr>
    </w:pPr>
  </w:style>
  <w:style w:type="table" w:styleId="TableSimple1">
    <w:name w:val="Table Simple 1"/>
    <w:basedOn w:val="TableNormal"/>
    <w:rsid w:val="00DD2DD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2DD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2D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D2D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2D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2DD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2DD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2DD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2DD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2DD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2DD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2DD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2DD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2DD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2DD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D2D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2DD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2DD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2DD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2D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2D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2DD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2DD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2DD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2DD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2DD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2DD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2D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2D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2DD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2DD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D2DD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2DD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2DD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D2DD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2DD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D2DD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2DD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2DD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2DD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2DD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2DD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2DD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D2DDE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DD2DDE"/>
  </w:style>
  <w:style w:type="paragraph" w:styleId="ListParagraph">
    <w:name w:val="List Paragraph"/>
    <w:basedOn w:val="Normal"/>
    <w:uiPriority w:val="34"/>
    <w:qFormat/>
    <w:rsid w:val="00DD2DDE"/>
    <w:pPr>
      <w:ind w:left="720"/>
      <w:contextualSpacing/>
    </w:pPr>
  </w:style>
  <w:style w:type="character" w:customStyle="1" w:styleId="paragraphChar">
    <w:name w:val="paragraph Char"/>
    <w:aliases w:val="a Char"/>
    <w:link w:val="paragraph"/>
    <w:rsid w:val="00B53EE5"/>
    <w:rPr>
      <w:rFonts w:eastAsia="Times New Roman" w:cs="Times New Roman"/>
      <w:sz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D2DDE"/>
    <w:rPr>
      <w:color w:val="808080"/>
    </w:rPr>
  </w:style>
  <w:style w:type="paragraph" w:customStyle="1" w:styleId="ActHead10">
    <w:name w:val="ActHead 10"/>
    <w:aliases w:val="sp"/>
    <w:basedOn w:val="OPCParaBase"/>
    <w:next w:val="ActHead3"/>
    <w:rsid w:val="00DD2DDE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DD2DDE"/>
    <w:pPr>
      <w:numPr>
        <w:numId w:val="22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DD2DDE"/>
    <w:rPr>
      <w:rFonts w:eastAsia="Times New Roman" w:cs="Times New Roman"/>
      <w:b/>
      <w:lang w:eastAsia="en-AU"/>
    </w:rPr>
  </w:style>
  <w:style w:type="paragraph" w:styleId="Revision">
    <w:name w:val="Revision"/>
    <w:hidden/>
    <w:uiPriority w:val="99"/>
    <w:semiHidden/>
    <w:rsid w:val="001E0E18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D2DDE"/>
    <w:rPr>
      <w:color w:val="605E5C"/>
      <w:shd w:val="clear" w:color="auto" w:fill="E1DFDD"/>
    </w:rPr>
  </w:style>
  <w:style w:type="paragraph" w:customStyle="1" w:styleId="Ruletext">
    <w:name w:val="Rule text"/>
    <w:basedOn w:val="Normal"/>
    <w:link w:val="RuletextChar"/>
    <w:qFormat/>
    <w:rsid w:val="000605D3"/>
    <w:pPr>
      <w:autoSpaceDE w:val="0"/>
      <w:autoSpaceDN w:val="0"/>
      <w:spacing w:before="120" w:line="260" w:lineRule="exact"/>
      <w:ind w:left="851"/>
    </w:pPr>
    <w:rPr>
      <w:rFonts w:eastAsiaTheme="minorEastAsia" w:cs="Times New Roman"/>
      <w:color w:val="000000"/>
      <w:sz w:val="24"/>
      <w:szCs w:val="24"/>
    </w:rPr>
  </w:style>
  <w:style w:type="character" w:customStyle="1" w:styleId="RuletextChar">
    <w:name w:val="Rule text Char"/>
    <w:basedOn w:val="DefaultParagraphFont"/>
    <w:link w:val="Ruletext"/>
    <w:rsid w:val="000605D3"/>
    <w:rPr>
      <w:rFonts w:eastAsiaTheme="minorEastAsia" w:cs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2DDE"/>
  </w:style>
  <w:style w:type="character" w:styleId="BookTitle">
    <w:name w:val="Book Title"/>
    <w:basedOn w:val="DefaultParagraphFont"/>
    <w:uiPriority w:val="33"/>
    <w:qFormat/>
    <w:rsid w:val="00DD2DD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2D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2DD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2DD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2D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2DD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2DD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2DD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D2D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2DD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2DD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2D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2DD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2DD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2DD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D2D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2DD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2DD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2D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2DD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2DD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2DD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2D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2DD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2DD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2D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2DD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2DD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2DD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2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2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2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2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2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2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2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2D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2D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2D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2D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2D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2D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2D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2D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2D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2D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2D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2D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2D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2D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D2DD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D2DD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D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DD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D2DD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D2D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2D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2DD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2D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2DD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2DD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2DD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2D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2DD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2DD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2D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2DD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2DD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2DD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2D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2DD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2DD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2D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2DD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2DD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2DD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DD2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2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2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2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2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2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2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2D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2DD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2DD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2D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2DD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2DD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2DD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2DD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2DD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2D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2DD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2DD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2D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2DD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2DD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2DD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2D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2DD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2DD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2D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2DD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2DD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2DD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2D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2DD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2DD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2D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2DD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2DD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2DD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D2D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2DD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2DD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2D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2DD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2DD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2DD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2D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2D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2D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2D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2D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2D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2D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2DD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2D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2D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2DD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2DD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2D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2DD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2DD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2DD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2D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2D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2D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2D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2D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2D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2D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D2DD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D2DD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DD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DDE"/>
    <w:rPr>
      <w:sz w:val="22"/>
    </w:rPr>
  </w:style>
  <w:style w:type="table" w:styleId="PlainTable1">
    <w:name w:val="Plain Table 1"/>
    <w:basedOn w:val="TableNormal"/>
    <w:uiPriority w:val="41"/>
    <w:rsid w:val="00DD2D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2D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2D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2D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2D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D2D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DD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D2DD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D2D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D2DD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D2D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DD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SOText2">
    <w:name w:val="SO Text2"/>
    <w:aliases w:val="sot2"/>
    <w:basedOn w:val="Normal"/>
    <w:next w:val="SOText"/>
    <w:link w:val="SOText2Char"/>
    <w:rsid w:val="00DD2D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2DDE"/>
    <w:rPr>
      <w:sz w:val="22"/>
    </w:rPr>
  </w:style>
  <w:style w:type="paragraph" w:customStyle="1" w:styleId="ETAsubitem">
    <w:name w:val="ETA(subitem)"/>
    <w:basedOn w:val="OPCParaBase"/>
    <w:rsid w:val="00DD2D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2D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2D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2D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charlegsubtitle1">
    <w:name w:val="charlegsubtitle1"/>
    <w:basedOn w:val="DefaultParagraphFont"/>
    <w:rsid w:val="00DD2DDE"/>
    <w:rPr>
      <w:rFonts w:ascii="Arial" w:hAnsi="Arial" w:cs="Arial" w:hint="default"/>
      <w:b/>
      <w:bCs/>
      <w:sz w:val="28"/>
      <w:szCs w:val="28"/>
    </w:rPr>
  </w:style>
  <w:style w:type="paragraph" w:customStyle="1" w:styleId="pf0">
    <w:name w:val="pf0"/>
    <w:basedOn w:val="Normal"/>
    <w:rsid w:val="00AF45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AF45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F4598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oter" Target="footer10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5" Type="http://schemas.openxmlformats.org/officeDocument/2006/relationships/hyperlink" Target="http://www.legislation.gov.au" TargetMode="External"/><Relationship Id="rId33" Type="http://schemas.openxmlformats.org/officeDocument/2006/relationships/header" Target="header1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6.xm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header" Target="header1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_v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866756-4c7d-453a-bc81-c124d3ecd8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2C13D38AFA74FA9D14E86DF7B7612" ma:contentTypeVersion="15" ma:contentTypeDescription="Create a new document." ma:contentTypeScope="" ma:versionID="e4c117718af9b82ef31f67be814bf5f8">
  <xsd:schema xmlns:xsd="http://www.w3.org/2001/XMLSchema" xmlns:xs="http://www.w3.org/2001/XMLSchema" xmlns:p="http://schemas.microsoft.com/office/2006/metadata/properties" xmlns:ns3="29866756-4c7d-453a-bc81-c124d3ecd80f" xmlns:ns4="7d265462-edc2-4388-a515-0b0e1e4a30d1" targetNamespace="http://schemas.microsoft.com/office/2006/metadata/properties" ma:root="true" ma:fieldsID="c45c5dc9954ebc6949223ce63ad8a2a5" ns3:_="" ns4:_="">
    <xsd:import namespace="29866756-4c7d-453a-bc81-c124d3ecd80f"/>
    <xsd:import namespace="7d265462-edc2-4388-a515-0b0e1e4a3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6756-4c7d-453a-bc81-c124d3ecd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65462-edc2-4388-a515-0b0e1e4a3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31285-1DCC-4FD8-85E4-3ACD8763C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364D6-6844-4080-A296-F25AD9CB7430}">
  <ds:schemaRefs>
    <ds:schemaRef ds:uri="http://schemas.microsoft.com/office/2006/metadata/properties"/>
    <ds:schemaRef ds:uri="http://schemas.microsoft.com/office/infopath/2007/PartnerControls"/>
    <ds:schemaRef ds:uri="29866756-4c7d-453a-bc81-c124d3ecd80f"/>
  </ds:schemaRefs>
</ds:datastoreItem>
</file>

<file path=customXml/itemProps3.xml><?xml version="1.0" encoding="utf-8"?>
<ds:datastoreItem xmlns:ds="http://schemas.openxmlformats.org/officeDocument/2006/customXml" ds:itemID="{FD8933EF-84E8-46C8-8FA4-9E7EFB304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FD27B-7D32-4CFE-8CA5-1D3361CF2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66756-4c7d-453a-bc81-c124d3ecd80f"/>
    <ds:schemaRef ds:uri="7d265462-edc2-4388-a515-0b0e1e4a3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ConsolINST_NEW_vol.dotx</Template>
  <TotalTime>1</TotalTime>
  <Pages>25</Pages>
  <Words>6424</Words>
  <Characters>36622</Characters>
  <Application>Microsoft Office Word</Application>
  <DocSecurity>4</DocSecurity>
  <PresentationFormat/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Insurance (Medical Devices and Human Tissue Products) Rules (No. 2) 2023</vt:lpstr>
    </vt:vector>
  </TitlesOfParts>
  <Manager/>
  <Company/>
  <LinksUpToDate>false</LinksUpToDate>
  <CharactersWithSpaces>42961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Insurance (Medical Devices and Human Tissue Products) Rules (No. 2) 2023</dc:title>
  <dc:subject/>
  <dc:creator>WOO, Celeste</dc:creator>
  <cp:keywords/>
  <dc:description/>
  <cp:lastModifiedBy>KWONG, Jady</cp:lastModifiedBy>
  <cp:revision>2</cp:revision>
  <cp:lastPrinted>2024-06-12T05:39:00Z</cp:lastPrinted>
  <dcterms:created xsi:type="dcterms:W3CDTF">2024-06-21T23:00:00Z</dcterms:created>
  <dcterms:modified xsi:type="dcterms:W3CDTF">2024-06-21T23:00:00Z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Private Health Insurance (Medical Devices and Human Tissue Products) Rules (No. 2) 2023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OPC66385</vt:lpwstr>
  </property>
  <property fmtid="{D5CDD505-2E9C-101B-9397-08002B2CF9AE}" pid="12" name="DLM">
    <vt:lpwstr> </vt:lpwstr>
  </property>
  <property fmtid="{D5CDD505-2E9C-101B-9397-08002B2CF9AE}" pid="13" name="Classification">
    <vt:lpwstr>OFFICIAL</vt:lpwstr>
  </property>
  <property fmtid="{D5CDD505-2E9C-101B-9397-08002B2CF9AE}" pid="14" name="TrimID">
    <vt:lpwstr>PC:D23/8992</vt:lpwstr>
  </property>
  <property fmtid="{D5CDD505-2E9C-101B-9397-08002B2CF9AE}" pid="15" name="CompilationNumber">
    <vt:lpwstr>1</vt:lpwstr>
  </property>
  <property fmtid="{D5CDD505-2E9C-101B-9397-08002B2CF9AE}" pid="16" name="StartDate">
    <vt:lpwstr>11 November 2023</vt:lpwstr>
  </property>
  <property fmtid="{D5CDD505-2E9C-101B-9397-08002B2CF9AE}" pid="17" name="IncludesUpTo">
    <vt:lpwstr>F2023L01487</vt:lpwstr>
  </property>
  <property fmtid="{D5CDD505-2E9C-101B-9397-08002B2CF9AE}" pid="18" name="RegisteredDate">
    <vt:lpwstr>4 March 2024</vt:lpwstr>
  </property>
  <property fmtid="{D5CDD505-2E9C-101B-9397-08002B2CF9AE}" pid="19" name="Converted">
    <vt:bool>false</vt:bool>
  </property>
  <property fmtid="{D5CDD505-2E9C-101B-9397-08002B2CF9AE}" pid="20" name="Compilation">
    <vt:lpwstr>Yes</vt:lpwstr>
  </property>
  <property fmtid="{D5CDD505-2E9C-101B-9397-08002B2CF9AE}" pid="21" name="CompilationVersion">
    <vt:i4>3</vt:i4>
  </property>
  <property fmtid="{D5CDD505-2E9C-101B-9397-08002B2CF9AE}" pid="22" name="ContentTypeId">
    <vt:lpwstr>0x010100DEA2C13D38AFA74FA9D14E86DF7B7612</vt:lpwstr>
  </property>
</Properties>
</file>