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16999" w14:textId="77777777" w:rsidR="00FB640B" w:rsidRPr="00443407" w:rsidRDefault="0057002B" w:rsidP="00BB0CF2">
      <w:pPr>
        <w:pStyle w:val="ESTitleHeader"/>
        <w:rPr>
          <w:b/>
          <w:u w:val="none"/>
        </w:rPr>
      </w:pPr>
      <w:r w:rsidRPr="00443407">
        <w:rPr>
          <w:b/>
          <w:u w:val="none"/>
        </w:rPr>
        <w:t>EXPLANATORY STATEMENT</w:t>
      </w:r>
    </w:p>
    <w:p w14:paraId="618CD7D0" w14:textId="21CFFB58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926B84">
        <w:t>Secretary of the Department of Home</w:t>
      </w:r>
      <w:r w:rsidR="00443407" w:rsidRPr="00443407">
        <w:t xml:space="preserve"> Affairs</w:t>
      </w:r>
    </w:p>
    <w:p w14:paraId="73404078" w14:textId="77777777" w:rsidR="0057002B" w:rsidRPr="008B24C8" w:rsidRDefault="00443407" w:rsidP="00BB0CF2">
      <w:pPr>
        <w:pStyle w:val="ESTitleEnablingLegislation"/>
      </w:pPr>
      <w:r>
        <w:t>Migration Act 1958</w:t>
      </w:r>
    </w:p>
    <w:p w14:paraId="02F629BE" w14:textId="4FECA5EE" w:rsidR="0057002B" w:rsidRPr="001E63A9" w:rsidRDefault="00443407" w:rsidP="00BB0CF2">
      <w:pPr>
        <w:pStyle w:val="ESTitleInstrumentName"/>
      </w:pPr>
      <w:r w:rsidRPr="001E63A9">
        <w:t>Migration (Approved Activities) Instrument (LIN 24/</w:t>
      </w:r>
      <w:r w:rsidR="001E63A9" w:rsidRPr="001E63A9">
        <w:t>054</w:t>
      </w:r>
      <w:r w:rsidRPr="001E63A9">
        <w:t>) 2024</w:t>
      </w:r>
    </w:p>
    <w:p w14:paraId="607AAA14" w14:textId="526A92C2" w:rsidR="005D5978" w:rsidRPr="001E63A9" w:rsidRDefault="0057002B" w:rsidP="00707901">
      <w:pPr>
        <w:pStyle w:val="ESPara"/>
        <w:numPr>
          <w:ilvl w:val="0"/>
          <w:numId w:val="7"/>
        </w:numPr>
      </w:pPr>
      <w:r w:rsidRPr="001E63A9">
        <w:t>The instrume</w:t>
      </w:r>
      <w:r w:rsidR="00443407" w:rsidRPr="001E63A9">
        <w:t>nt,</w:t>
      </w:r>
      <w:r w:rsidR="00707901" w:rsidRPr="001E63A9">
        <w:t xml:space="preserve"> </w:t>
      </w:r>
      <w:r w:rsidR="00707901" w:rsidRPr="001E63A9">
        <w:rPr>
          <w:i/>
        </w:rPr>
        <w:t>Migration (Approved Activities) Instrument (LIN 24/</w:t>
      </w:r>
      <w:r w:rsidR="001E63A9" w:rsidRPr="001E63A9">
        <w:rPr>
          <w:i/>
        </w:rPr>
        <w:t>054</w:t>
      </w:r>
      <w:r w:rsidR="00707901" w:rsidRPr="001E63A9">
        <w:rPr>
          <w:i/>
        </w:rPr>
        <w:t>) 2024</w:t>
      </w:r>
      <w:r w:rsidR="00926B84">
        <w:t>, d</w:t>
      </w:r>
      <w:r w:rsidR="00443407" w:rsidRPr="001E63A9">
        <w:t>epartmental reference LIN 24/</w:t>
      </w:r>
      <w:r w:rsidR="001E63A9" w:rsidRPr="001E63A9">
        <w:t>054</w:t>
      </w:r>
      <w:r w:rsidR="00443407" w:rsidRPr="001E63A9">
        <w:t xml:space="preserve">, is made under paragraph </w:t>
      </w:r>
      <w:proofErr w:type="gramStart"/>
      <w:r w:rsidR="00443407" w:rsidRPr="001E63A9">
        <w:t>245AF(</w:t>
      </w:r>
      <w:proofErr w:type="gramEnd"/>
      <w:r w:rsidR="00443407" w:rsidRPr="001E63A9">
        <w:t>a)</w:t>
      </w:r>
      <w:r w:rsidRPr="001E63A9">
        <w:t xml:space="preserve"> of the </w:t>
      </w:r>
      <w:r w:rsidR="00C81A5E" w:rsidRPr="001E63A9">
        <w:rPr>
          <w:i/>
        </w:rPr>
        <w:t>Migration Act 1958</w:t>
      </w:r>
      <w:r w:rsidRPr="001E63A9">
        <w:t xml:space="preserve"> (the Migration Act)</w:t>
      </w:r>
      <w:r w:rsidR="005D5978" w:rsidRPr="001E63A9">
        <w:t xml:space="preserve">. </w:t>
      </w:r>
    </w:p>
    <w:p w14:paraId="74D3F584" w14:textId="3F3C0331" w:rsidR="005D5978" w:rsidRDefault="00EA12C9" w:rsidP="005D5978">
      <w:pPr>
        <w:pStyle w:val="ESPara"/>
        <w:numPr>
          <w:ilvl w:val="0"/>
          <w:numId w:val="7"/>
        </w:numPr>
      </w:pPr>
      <w:r w:rsidRPr="008B24C8">
        <w:t xml:space="preserve">The instrument </w:t>
      </w:r>
      <w:r w:rsidR="00443407">
        <w:t xml:space="preserve">repeals </w:t>
      </w:r>
      <w:r w:rsidR="00443407" w:rsidRPr="005D5978">
        <w:rPr>
          <w:i/>
        </w:rPr>
        <w:t>Migration (Approved Activities) Instrument (LIN 20/053) 2020</w:t>
      </w:r>
      <w:r w:rsidR="00B75478">
        <w:t xml:space="preserve"> </w:t>
      </w:r>
      <w:r w:rsidR="005479BD">
        <w:t xml:space="preserve">(LIN 20/053) </w:t>
      </w:r>
      <w:r w:rsidRPr="008B24C8">
        <w:t xml:space="preserve">in accordance with subsection 33(3) of the </w:t>
      </w:r>
      <w:r w:rsidRPr="005D5978">
        <w:rPr>
          <w:i/>
        </w:rPr>
        <w:t>Acts Interpretation Act 1901</w:t>
      </w:r>
      <w:r w:rsidR="00BD598E" w:rsidRPr="005D5978">
        <w:rPr>
          <w:i/>
        </w:rPr>
        <w:t xml:space="preserve"> </w:t>
      </w:r>
      <w:r w:rsidR="00BD598E" w:rsidRPr="008B24C8">
        <w:t>(the Acts Interpretation Act)</w:t>
      </w:r>
      <w:r w:rsidR="00443407">
        <w:t xml:space="preserve">. </w:t>
      </w:r>
      <w:r w:rsidRPr="008B24C8">
        <w:t xml:space="preserve">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5D5978">
        <w:t xml:space="preserve">. </w:t>
      </w:r>
    </w:p>
    <w:p w14:paraId="5E8D3080" w14:textId="0DAD5AA2" w:rsidR="00BD598E" w:rsidRPr="00926B84" w:rsidRDefault="00AA4557" w:rsidP="005D5978">
      <w:pPr>
        <w:pStyle w:val="ESPara"/>
        <w:numPr>
          <w:ilvl w:val="0"/>
          <w:numId w:val="7"/>
        </w:numPr>
      </w:pPr>
      <w:r>
        <w:t>T</w:t>
      </w:r>
      <w:r w:rsidR="00443407">
        <w:t xml:space="preserve">he </w:t>
      </w:r>
      <w:r w:rsidR="00443407" w:rsidRPr="00926B84">
        <w:t>instrument commences on 1 July 2024</w:t>
      </w:r>
      <w:r w:rsidR="00926B84" w:rsidRPr="00926B84">
        <w:t xml:space="preserve">. It </w:t>
      </w:r>
      <w:r w:rsidRPr="00926B84">
        <w:t>i</w:t>
      </w:r>
      <w:r w:rsidR="00BD598E" w:rsidRPr="00926B84">
        <w:t xml:space="preserve">s a </w:t>
      </w:r>
      <w:r w:rsidRPr="00926B84">
        <w:t>legislative</w:t>
      </w:r>
      <w:r w:rsidR="00BD598E" w:rsidRPr="00926B84">
        <w:t xml:space="preserve"> instrument for </w:t>
      </w:r>
      <w:r w:rsidR="00B75478" w:rsidRPr="00926B84">
        <w:t xml:space="preserve">the </w:t>
      </w:r>
      <w:r w:rsidR="00100DFC" w:rsidRPr="00926B84">
        <w:rPr>
          <w:i/>
        </w:rPr>
        <w:t>Legislation Act 2003</w:t>
      </w:r>
      <w:r w:rsidR="00100DFC" w:rsidRPr="00926B84">
        <w:t xml:space="preserve"> (the Legislation Act)</w:t>
      </w:r>
      <w:r w:rsidR="00972052">
        <w:t>.</w:t>
      </w:r>
    </w:p>
    <w:p w14:paraId="077AB1B9" w14:textId="77777777" w:rsidR="005D5978" w:rsidRPr="00926B84" w:rsidRDefault="005D5978" w:rsidP="005D5978">
      <w:pPr>
        <w:pStyle w:val="ESHeading"/>
      </w:pPr>
      <w:r w:rsidRPr="00926B84">
        <w:t>Purpose</w:t>
      </w:r>
    </w:p>
    <w:p w14:paraId="6DD4E13C" w14:textId="7D46A798" w:rsidR="005D5978" w:rsidRDefault="00443407" w:rsidP="005D5978">
      <w:pPr>
        <w:pStyle w:val="ESPara"/>
        <w:numPr>
          <w:ilvl w:val="0"/>
          <w:numId w:val="7"/>
        </w:numPr>
      </w:pPr>
      <w:r w:rsidRPr="00443407">
        <w:t xml:space="preserve">The </w:t>
      </w:r>
      <w:r w:rsidRPr="005D5978">
        <w:rPr>
          <w:i/>
        </w:rPr>
        <w:t>Migration Amendment (Strengthening Employer Compliance) Act 2024</w:t>
      </w:r>
      <w:r w:rsidRPr="00443407">
        <w:t xml:space="preserve"> (</w:t>
      </w:r>
      <w:r>
        <w:t xml:space="preserve">the </w:t>
      </w:r>
      <w:r w:rsidRPr="00443407">
        <w:t xml:space="preserve">Strengthening Employer Compliance Act) received </w:t>
      </w:r>
      <w:r w:rsidR="00972052">
        <w:t xml:space="preserve">the </w:t>
      </w:r>
      <w:r w:rsidRPr="00443407">
        <w:t>Royal Assent on 20 February 202</w:t>
      </w:r>
      <w:r w:rsidR="00972052">
        <w:t>4 and commences on 1 July 2024.</w:t>
      </w:r>
    </w:p>
    <w:p w14:paraId="712C0863" w14:textId="0D55D3AB" w:rsidR="005D5978" w:rsidRDefault="00443407" w:rsidP="005D5978">
      <w:pPr>
        <w:pStyle w:val="ESPara"/>
        <w:numPr>
          <w:ilvl w:val="0"/>
          <w:numId w:val="7"/>
        </w:numPr>
      </w:pPr>
      <w:r w:rsidRPr="00443407">
        <w:t xml:space="preserve">Prior to the commencement of the Strengthening Employer Compliance Act, </w:t>
      </w:r>
      <w:r w:rsidR="00B11847">
        <w:t>section 235 of the Migration Act prohibited a lawful non-citizen from working in breach of their visa conditions or an unlawful non-citizen from working</w:t>
      </w:r>
      <w:r w:rsidRPr="00443407">
        <w:t xml:space="preserve">. Paragraph 235(7)(a) provided that ‘work’ for the purposes of section 235 of the Act did not include a voluntary activity performed by a detainee in immigration detention, if that activity was of a kind approved in writing by the Secretary </w:t>
      </w:r>
      <w:r w:rsidR="009A7B78">
        <w:t>(i.e. the Secretary of</w:t>
      </w:r>
      <w:r w:rsidRPr="00443407">
        <w:t xml:space="preserve"> the</w:t>
      </w:r>
      <w:r w:rsidR="009A7B78">
        <w:t xml:space="preserve"> Department of Home Affairs</w:t>
      </w:r>
      <w:r w:rsidRPr="00443407">
        <w:t>).</w:t>
      </w:r>
    </w:p>
    <w:p w14:paraId="74FF9B71" w14:textId="7ED6CDC8" w:rsidR="00D22011" w:rsidRPr="00A668C1" w:rsidRDefault="005D5978" w:rsidP="00D22011">
      <w:pPr>
        <w:pStyle w:val="ESPara"/>
        <w:numPr>
          <w:ilvl w:val="0"/>
          <w:numId w:val="7"/>
        </w:numPr>
      </w:pPr>
      <w:r w:rsidRPr="00A668C1">
        <w:t>Subdivision C of Division 12 of Part 2 of the Migration Act creates offences, and provides for civil penalties, to deal with</w:t>
      </w:r>
      <w:r w:rsidR="00D22011">
        <w:t xml:space="preserve"> where a person allows or refers a non-citizen to work unlawfully.</w:t>
      </w:r>
    </w:p>
    <w:p w14:paraId="0CB5AD89" w14:textId="339D8AD1" w:rsidR="005D5978" w:rsidRDefault="00B47832" w:rsidP="005D5978">
      <w:pPr>
        <w:pStyle w:val="ESPara"/>
        <w:numPr>
          <w:ilvl w:val="0"/>
          <w:numId w:val="7"/>
        </w:numPr>
      </w:pPr>
      <w:r w:rsidRPr="00B47832">
        <w:t>Section 245AF of the Migration Act</w:t>
      </w:r>
      <w:r w:rsidR="00B768A4">
        <w:t xml:space="preserve"> </w:t>
      </w:r>
      <w:r w:rsidR="00B768A4" w:rsidRPr="00B47832">
        <w:t xml:space="preserve">(which </w:t>
      </w:r>
      <w:r w:rsidR="000A618A">
        <w:t>was</w:t>
      </w:r>
      <w:r w:rsidR="00B768A4" w:rsidRPr="00B47832">
        <w:t xml:space="preserve"> not amended </w:t>
      </w:r>
      <w:r w:rsidR="00B768A4">
        <w:t xml:space="preserve">or repealed </w:t>
      </w:r>
      <w:r w:rsidR="00B768A4" w:rsidRPr="00B47832">
        <w:t>by the Strengthening Employer Compliance Act)</w:t>
      </w:r>
      <w:r w:rsidRPr="00B47832">
        <w:t xml:space="preserve"> sets out circumstances in which Subdivi</w:t>
      </w:r>
      <w:r w:rsidR="00B768A4">
        <w:t>sion C of Division 12 of Part </w:t>
      </w:r>
      <w:r w:rsidRPr="00B47832">
        <w:t xml:space="preserve">2 of the Act does not apply. Paragraph </w:t>
      </w:r>
      <w:proofErr w:type="gramStart"/>
      <w:r w:rsidRPr="00B47832">
        <w:t>245AF(</w:t>
      </w:r>
      <w:proofErr w:type="gramEnd"/>
      <w:r w:rsidRPr="00B47832">
        <w:t>a) of the Migration Act provides that the Subdivision does not apply where a detainee in immigration detention voluntarily engages in an activity of a kind approved in writing by the Secretary for the purposes of the paragraph</w:t>
      </w:r>
      <w:r w:rsidR="008B24C8" w:rsidRPr="00B47832">
        <w:t>.</w:t>
      </w:r>
    </w:p>
    <w:p w14:paraId="70854AB3" w14:textId="77777777" w:rsidR="005D5978" w:rsidRDefault="00B47832" w:rsidP="005D5978">
      <w:pPr>
        <w:pStyle w:val="ESPara"/>
        <w:numPr>
          <w:ilvl w:val="0"/>
          <w:numId w:val="7"/>
        </w:numPr>
      </w:pPr>
      <w:r w:rsidRPr="00B47832">
        <w:t>LIN 20/053 provided for approved activities that a detainee could voluntarily engage in for the purposes of paragraphs 235(7</w:t>
      </w:r>
      <w:proofErr w:type="gramStart"/>
      <w:r w:rsidRPr="00B47832">
        <w:t>)(</w:t>
      </w:r>
      <w:proofErr w:type="gramEnd"/>
      <w:r w:rsidRPr="00B47832">
        <w:t>a) and 245AF(a) of the Migration Act</w:t>
      </w:r>
      <w:r>
        <w:t>.</w:t>
      </w:r>
    </w:p>
    <w:p w14:paraId="5D49E6C4" w14:textId="748FC5BE" w:rsidR="005D5978" w:rsidRDefault="00B47832" w:rsidP="005D5978">
      <w:pPr>
        <w:pStyle w:val="ESPara"/>
        <w:numPr>
          <w:ilvl w:val="0"/>
          <w:numId w:val="7"/>
        </w:numPr>
      </w:pPr>
      <w:r w:rsidRPr="00B47832">
        <w:t>Section 235 of the Migration Act was repealed on 1 July 2024</w:t>
      </w:r>
      <w:r w:rsidR="00972052">
        <w:t>,</w:t>
      </w:r>
      <w:r w:rsidRPr="00B47832">
        <w:t xml:space="preserve"> </w:t>
      </w:r>
      <w:r>
        <w:t>on</w:t>
      </w:r>
      <w:r w:rsidRPr="00B47832">
        <w:t xml:space="preserve"> commencement of</w:t>
      </w:r>
      <w:r>
        <w:t xml:space="preserve"> the</w:t>
      </w:r>
      <w:r w:rsidRPr="00B47832">
        <w:t xml:space="preserve"> Strengthening Employer Compliance Act. As </w:t>
      </w:r>
      <w:r>
        <w:t xml:space="preserve">a </w:t>
      </w:r>
      <w:r w:rsidRPr="00B47832">
        <w:t xml:space="preserve">result, LIN 20/053 </w:t>
      </w:r>
      <w:r>
        <w:t>was</w:t>
      </w:r>
      <w:r w:rsidRPr="00B47832">
        <w:t xml:space="preserve"> impliedly repealed on 1 July 202</w:t>
      </w:r>
      <w:r>
        <w:t>4 to the extent that it provided</w:t>
      </w:r>
      <w:r w:rsidRPr="00B47832">
        <w:t xml:space="preserve"> for matters under paragraph 235(7</w:t>
      </w:r>
      <w:proofErr w:type="gramStart"/>
      <w:r w:rsidRPr="00B47832">
        <w:t>)(</w:t>
      </w:r>
      <w:proofErr w:type="gramEnd"/>
      <w:r w:rsidRPr="00B47832">
        <w:t>a) of the Migration Act</w:t>
      </w:r>
      <w:r w:rsidR="00F01122">
        <w:t>.</w:t>
      </w:r>
    </w:p>
    <w:p w14:paraId="35C66EA6" w14:textId="7E98CA1A" w:rsidR="00B47832" w:rsidRDefault="005D5978" w:rsidP="005D5978">
      <w:pPr>
        <w:pStyle w:val="ESPara"/>
        <w:numPr>
          <w:ilvl w:val="0"/>
          <w:numId w:val="7"/>
        </w:numPr>
      </w:pPr>
      <w:r>
        <w:t>The purpose of this i</w:t>
      </w:r>
      <w:r w:rsidR="00B47832" w:rsidRPr="00B47832">
        <w:t xml:space="preserve">nstrument is to repeal and remake LIN 20/053 to reflect the repeal of the enabling </w:t>
      </w:r>
      <w:r w:rsidR="00B47832" w:rsidRPr="001E63A9">
        <w:t>provision under paragraph 235(7</w:t>
      </w:r>
      <w:proofErr w:type="gramStart"/>
      <w:r w:rsidR="00B47832" w:rsidRPr="001E63A9">
        <w:t>)(</w:t>
      </w:r>
      <w:proofErr w:type="gramEnd"/>
      <w:r w:rsidR="00B47832" w:rsidRPr="001E63A9">
        <w:t>a) of the Migration Act. LIN 24/</w:t>
      </w:r>
      <w:r w:rsidR="001E63A9" w:rsidRPr="001E63A9">
        <w:t>054</w:t>
      </w:r>
      <w:r w:rsidR="00B47832" w:rsidRPr="001E63A9">
        <w:t xml:space="preserve"> provides for approved activities for</w:t>
      </w:r>
      <w:r w:rsidR="00B47832" w:rsidRPr="00B47832">
        <w:t xml:space="preserve"> the purposes of paragraph </w:t>
      </w:r>
      <w:proofErr w:type="gramStart"/>
      <w:r w:rsidR="00B47832" w:rsidRPr="00B47832">
        <w:t>245AF(</w:t>
      </w:r>
      <w:proofErr w:type="gramEnd"/>
      <w:r w:rsidR="00B47832" w:rsidRPr="00B47832">
        <w:t>a) of the Migration Act commencing on 1 July 2024</w:t>
      </w:r>
      <w:r w:rsidR="001125B5">
        <w:t>.</w:t>
      </w:r>
      <w:r w:rsidR="00972052">
        <w:t xml:space="preserve"> It maintains the list of approved activities as previously specified in LIN 24/054, with no substantive changes to that list.</w:t>
      </w:r>
    </w:p>
    <w:p w14:paraId="57C430ED" w14:textId="731EA6C9" w:rsidR="0033520D" w:rsidRDefault="0033520D" w:rsidP="0033520D">
      <w:pPr>
        <w:pStyle w:val="ESPara"/>
        <w:numPr>
          <w:ilvl w:val="0"/>
          <w:numId w:val="7"/>
        </w:numPr>
      </w:pPr>
      <w:r>
        <w:lastRenderedPageBreak/>
        <w:t xml:space="preserve">Further details of the instrument are set out in the </w:t>
      </w:r>
      <w:r w:rsidRPr="00275B74">
        <w:rPr>
          <w:b/>
        </w:rPr>
        <w:t>Attachment</w:t>
      </w:r>
      <w:r>
        <w:t>.</w:t>
      </w:r>
    </w:p>
    <w:p w14:paraId="20D01DD3" w14:textId="77777777" w:rsidR="005D5978" w:rsidRDefault="005D5978" w:rsidP="005D5978">
      <w:pPr>
        <w:pStyle w:val="ESHeading"/>
      </w:pPr>
      <w:r w:rsidRPr="008B24C8">
        <w:t>Consultation</w:t>
      </w:r>
    </w:p>
    <w:p w14:paraId="3BD41951" w14:textId="7654D123" w:rsidR="00275B74" w:rsidRDefault="00B47832" w:rsidP="00972052">
      <w:pPr>
        <w:pStyle w:val="ESPara"/>
        <w:numPr>
          <w:ilvl w:val="0"/>
          <w:numId w:val="7"/>
        </w:numPr>
      </w:pPr>
      <w:r w:rsidRPr="00B47832">
        <w:t>External consultation was not conducted</w:t>
      </w:r>
      <w:r w:rsidR="00B768A4">
        <w:t xml:space="preserve"> or required</w:t>
      </w:r>
      <w:r w:rsidRPr="00B47832">
        <w:t xml:space="preserve"> as the change was of a minor or machinery nature</w:t>
      </w:r>
      <w:r w:rsidR="005A3733" w:rsidRPr="00B47832">
        <w:t>.</w:t>
      </w:r>
      <w:r w:rsidR="00972052">
        <w:t xml:space="preserve"> The purpose of LIN 24/054 is to make clear that the list of specified activities previously specified for both paragraphs 237(7</w:t>
      </w:r>
      <w:proofErr w:type="gramStart"/>
      <w:r w:rsidR="00972052">
        <w:t>)(</w:t>
      </w:r>
      <w:proofErr w:type="gramEnd"/>
      <w:r w:rsidR="00972052">
        <w:t xml:space="preserve">a) and 245AF(a) of the Act continues to have effect for the purposes of paragraph 245AF(a), while appropriately removing reference to now-repealed paragraph </w:t>
      </w:r>
      <w:r w:rsidR="00972052" w:rsidRPr="00972052">
        <w:t>237(7)(a)</w:t>
      </w:r>
      <w:r w:rsidR="00972052">
        <w:t>.</w:t>
      </w:r>
      <w:r w:rsidR="000B66B8">
        <w:t xml:space="preserve"> The policy settings and details of approved activities specified in the instrument have not been substantively altered from former LIN 20/053.</w:t>
      </w:r>
    </w:p>
    <w:p w14:paraId="2D5C8B8F" w14:textId="30D31D69" w:rsidR="008B24C8" w:rsidRDefault="001E6E4B" w:rsidP="00275B74">
      <w:pPr>
        <w:pStyle w:val="ESPara"/>
        <w:numPr>
          <w:ilvl w:val="0"/>
          <w:numId w:val="7"/>
        </w:numPr>
      </w:pPr>
      <w:r w:rsidRPr="001E6E4B">
        <w:t>The Office of Impact Analysis (OIA) has been consulted i</w:t>
      </w:r>
      <w:r>
        <w:t>n relation to the amendments and no</w:t>
      </w:r>
      <w:r w:rsidRPr="001E6E4B">
        <w:t xml:space="preserve"> Regulation Impact Statement is required. The OIA consultation reference number is OIA24-07058</w:t>
      </w:r>
      <w:r w:rsidR="008B24C8" w:rsidRPr="00B47832">
        <w:t>.</w:t>
      </w:r>
    </w:p>
    <w:p w14:paraId="38A53D26" w14:textId="77777777" w:rsidR="00275B74" w:rsidRPr="00AA4557" w:rsidRDefault="00275B74" w:rsidP="00275B74">
      <w:pPr>
        <w:pStyle w:val="ESHeading"/>
      </w:pPr>
      <w:r>
        <w:t xml:space="preserve">Parliamentary scrutiny etc.  </w:t>
      </w:r>
    </w:p>
    <w:p w14:paraId="2048C2B0" w14:textId="7070D306" w:rsidR="00275B74" w:rsidRDefault="00275B74" w:rsidP="00275B74">
      <w:pPr>
        <w:pStyle w:val="ESPara"/>
        <w:numPr>
          <w:ilvl w:val="0"/>
          <w:numId w:val="7"/>
        </w:numPr>
      </w:pPr>
      <w:r>
        <w:t>This</w:t>
      </w:r>
      <w:r w:rsidR="00E03DCC">
        <w:t xml:space="preserve"> instrument is exempt from disallowance under sect</w:t>
      </w:r>
      <w:r w:rsidR="00683441">
        <w:t xml:space="preserve">ion 42 of the </w:t>
      </w:r>
      <w:r w:rsidR="00683441" w:rsidRPr="00275B74">
        <w:rPr>
          <w:i/>
        </w:rPr>
        <w:t>Legislation Act</w:t>
      </w:r>
      <w:r w:rsidR="00F01122" w:rsidRPr="00275B74">
        <w:rPr>
          <w:i/>
        </w:rPr>
        <w:t xml:space="preserve"> 2003</w:t>
      </w:r>
      <w:r w:rsidR="00F01122">
        <w:t xml:space="preserve"> (the Legislation Act)</w:t>
      </w:r>
      <w:r w:rsidR="00683441">
        <w:t>.</w:t>
      </w:r>
      <w:r w:rsidR="00F01122">
        <w:t xml:space="preserve"> Paragraph 44(2)(b) of the Legislation Act provides that section 42 of that Act does not apply if </w:t>
      </w:r>
      <w:r w:rsidR="00924703">
        <w:t>a legislative instrument is prescribed by regulation for the purposes of that paragraph.</w:t>
      </w:r>
      <w:r w:rsidR="00683441">
        <w:t xml:space="preserve"> </w:t>
      </w:r>
      <w:r w:rsidR="00683441" w:rsidRPr="00683441">
        <w:t xml:space="preserve">This instrument </w:t>
      </w:r>
      <w:r w:rsidR="003E3915">
        <w:t xml:space="preserve">is </w:t>
      </w:r>
      <w:r w:rsidR="00683441" w:rsidRPr="00683441">
        <w:t>made under Part 2 of the Migration Act</w:t>
      </w:r>
      <w:r w:rsidR="00924703">
        <w:t>, which</w:t>
      </w:r>
      <w:r w:rsidR="00683441" w:rsidRPr="00683441">
        <w:t xml:space="preserve"> is prescribed under item 20(a)</w:t>
      </w:r>
      <w:r w:rsidR="00C702C4">
        <w:t xml:space="preserve"> of regulation 10</w:t>
      </w:r>
      <w:r w:rsidR="00683441" w:rsidRPr="00683441">
        <w:t xml:space="preserve"> of the </w:t>
      </w:r>
      <w:r w:rsidR="00683441" w:rsidRPr="00275B74">
        <w:rPr>
          <w:i/>
        </w:rPr>
        <w:t>Legislation (Exemptions and Other Matters) Regulation 2015</w:t>
      </w:r>
      <w:r w:rsidR="00683441">
        <w:t>.</w:t>
      </w:r>
    </w:p>
    <w:p w14:paraId="237FEEF6" w14:textId="77777777" w:rsidR="00275B74" w:rsidRDefault="00736217" w:rsidP="00275B74">
      <w:pPr>
        <w:pStyle w:val="ESPara"/>
        <w:numPr>
          <w:ilvl w:val="0"/>
          <w:numId w:val="7"/>
        </w:numPr>
      </w:pPr>
      <w:r>
        <w:t>As the i</w:t>
      </w:r>
      <w:r w:rsidR="00B34CF1" w:rsidRPr="00B34CF1">
        <w:t xml:space="preserve">nstrument is exempt from disallowance, under paragraph </w:t>
      </w:r>
      <w:proofErr w:type="gramStart"/>
      <w:r w:rsidR="00B34CF1" w:rsidRPr="00B34CF1">
        <w:t>15J(</w:t>
      </w:r>
      <w:proofErr w:type="gramEnd"/>
      <w:r w:rsidR="00B34CF1" w:rsidRPr="00B34CF1">
        <w:t>2)(f) of the Legislation Act a Statement of Compatibility with Human Rights is not required</w:t>
      </w:r>
      <w:r w:rsidR="00B34CF1">
        <w:t>.</w:t>
      </w:r>
    </w:p>
    <w:p w14:paraId="2C2DAE65" w14:textId="77777777" w:rsidR="00275B74" w:rsidRDefault="00B75478" w:rsidP="00275B74">
      <w:pPr>
        <w:pStyle w:val="ESPara"/>
        <w:numPr>
          <w:ilvl w:val="0"/>
          <w:numId w:val="7"/>
        </w:numPr>
      </w:pPr>
      <w:r w:rsidRPr="00B75478">
        <w:t xml:space="preserve">The </w:t>
      </w:r>
      <w:r>
        <w:t xml:space="preserve">instrument was made by </w:t>
      </w:r>
      <w:r w:rsidR="00B34CF1">
        <w:t xml:space="preserve">the Secretary of the Department of Home Affairs in accordance with paragraph </w:t>
      </w:r>
      <w:proofErr w:type="gramStart"/>
      <w:r w:rsidR="00B34CF1">
        <w:t>245AF(</w:t>
      </w:r>
      <w:proofErr w:type="gramEnd"/>
      <w:r w:rsidR="00B34CF1">
        <w:t>a) of the Migration Act</w:t>
      </w:r>
      <w:r>
        <w:t xml:space="preserve">. </w:t>
      </w:r>
    </w:p>
    <w:p w14:paraId="10F4E6D2" w14:textId="36785A40" w:rsidR="00B75478" w:rsidRDefault="00736217" w:rsidP="00275B74">
      <w:pPr>
        <w:pStyle w:val="ESPara"/>
        <w:numPr>
          <w:ilvl w:val="0"/>
          <w:numId w:val="7"/>
        </w:numPr>
      </w:pPr>
      <w:r w:rsidRPr="00736217">
        <w:t xml:space="preserve">The Migration Act specifies no conditions that need to be satisfied before the power to make the </w:t>
      </w:r>
      <w:r w:rsidR="0033520D">
        <w:t>i</w:t>
      </w:r>
      <w:r w:rsidRPr="00736217">
        <w:t>nstrument may be exercised</w:t>
      </w:r>
      <w:r>
        <w:t>.</w:t>
      </w:r>
    </w:p>
    <w:p w14:paraId="1E47CDA0" w14:textId="77777777" w:rsidR="007E4691" w:rsidRDefault="007E4691" w:rsidP="00915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46AB8CB" w14:textId="194B9834" w:rsidR="004F5CE4" w:rsidRPr="005000A2" w:rsidRDefault="00707901" w:rsidP="00100DFC">
      <w:pPr>
        <w:pStyle w:val="ESAttAttName"/>
        <w:rPr>
          <w:u w:val="none"/>
        </w:rPr>
      </w:pPr>
      <w:r w:rsidRPr="005000A2">
        <w:rPr>
          <w:u w:val="none"/>
        </w:rPr>
        <w:lastRenderedPageBreak/>
        <w:t>ATTACHMENT</w:t>
      </w:r>
    </w:p>
    <w:p w14:paraId="2D40022A" w14:textId="29FA640B" w:rsidR="007E4691" w:rsidRPr="001E63A9" w:rsidRDefault="005000A2" w:rsidP="00100DFC">
      <w:pPr>
        <w:pStyle w:val="ESAttHeading"/>
        <w:rPr>
          <w:sz w:val="24"/>
          <w:szCs w:val="24"/>
        </w:rPr>
      </w:pPr>
      <w:r w:rsidRPr="001E63A9">
        <w:rPr>
          <w:sz w:val="24"/>
          <w:szCs w:val="24"/>
        </w:rPr>
        <w:t xml:space="preserve">Details of </w:t>
      </w:r>
      <w:r w:rsidRPr="001E63A9">
        <w:rPr>
          <w:i/>
          <w:sz w:val="24"/>
          <w:szCs w:val="24"/>
        </w:rPr>
        <w:t>Migration (Approved Activities) Instrument (LIN 24/</w:t>
      </w:r>
      <w:r w:rsidR="001E63A9" w:rsidRPr="001E63A9">
        <w:rPr>
          <w:i/>
          <w:sz w:val="24"/>
          <w:szCs w:val="24"/>
        </w:rPr>
        <w:t>054</w:t>
      </w:r>
      <w:r w:rsidRPr="001E63A9">
        <w:rPr>
          <w:i/>
          <w:sz w:val="24"/>
          <w:szCs w:val="24"/>
        </w:rPr>
        <w:t>) 2024</w:t>
      </w:r>
    </w:p>
    <w:p w14:paraId="0B9FC480" w14:textId="77777777" w:rsidR="007E4691" w:rsidRPr="001E63A9" w:rsidRDefault="007E4691" w:rsidP="00100DFC">
      <w:pPr>
        <w:pStyle w:val="ESAttHeading"/>
        <w:rPr>
          <w:b w:val="0"/>
        </w:rPr>
      </w:pPr>
      <w:r w:rsidRPr="001E63A9">
        <w:t>Section 1</w:t>
      </w:r>
      <w:r w:rsidRPr="001E63A9">
        <w:tab/>
        <w:t>Name</w:t>
      </w:r>
    </w:p>
    <w:p w14:paraId="03125552" w14:textId="241C2969" w:rsidR="007E4691" w:rsidRPr="001E63A9" w:rsidRDefault="007E4691" w:rsidP="00EE0D82">
      <w:pPr>
        <w:pStyle w:val="ESAttNormal"/>
        <w:numPr>
          <w:ilvl w:val="0"/>
          <w:numId w:val="8"/>
        </w:numPr>
      </w:pPr>
      <w:r w:rsidRPr="001E63A9">
        <w:t>This section provides that th</w:t>
      </w:r>
      <w:r w:rsidR="005000A2" w:rsidRPr="001E63A9">
        <w:t>e name of the instrument is</w:t>
      </w:r>
      <w:r w:rsidR="00B768A4">
        <w:t xml:space="preserve"> the</w:t>
      </w:r>
      <w:r w:rsidR="005000A2" w:rsidRPr="001E63A9">
        <w:t xml:space="preserve"> </w:t>
      </w:r>
      <w:r w:rsidR="005000A2" w:rsidRPr="001E63A9">
        <w:rPr>
          <w:i/>
        </w:rPr>
        <w:t>Migration (Approved Activities) Instrument (LIN 24/</w:t>
      </w:r>
      <w:r w:rsidR="001E63A9" w:rsidRPr="001E63A9">
        <w:rPr>
          <w:i/>
        </w:rPr>
        <w:t>054</w:t>
      </w:r>
      <w:r w:rsidR="005000A2" w:rsidRPr="001E63A9">
        <w:rPr>
          <w:i/>
        </w:rPr>
        <w:t>) 2024</w:t>
      </w:r>
      <w:r w:rsidR="005000A2" w:rsidRPr="001E63A9">
        <w:t xml:space="preserve"> (LIN 24/</w:t>
      </w:r>
      <w:r w:rsidR="001E63A9" w:rsidRPr="001E63A9">
        <w:t>054</w:t>
      </w:r>
      <w:r w:rsidR="005000A2" w:rsidRPr="001E63A9">
        <w:t>)</w:t>
      </w:r>
      <w:r w:rsidRPr="001E63A9">
        <w:t xml:space="preserve"> (the instrument).  </w:t>
      </w:r>
    </w:p>
    <w:p w14:paraId="0A413C0C" w14:textId="77777777" w:rsidR="00EE0D82" w:rsidRDefault="00EE0D82" w:rsidP="00EE0D82">
      <w:pPr>
        <w:pStyle w:val="ESAttHeading"/>
        <w:rPr>
          <w:b w:val="0"/>
        </w:rPr>
      </w:pPr>
      <w:r>
        <w:t>Section 2</w:t>
      </w:r>
      <w:r>
        <w:tab/>
        <w:t>Commencement</w:t>
      </w:r>
    </w:p>
    <w:p w14:paraId="0731D91F" w14:textId="0C090CAD" w:rsidR="00915032" w:rsidRDefault="007E4691" w:rsidP="00EE0D82">
      <w:pPr>
        <w:pStyle w:val="ESAttNormal"/>
        <w:numPr>
          <w:ilvl w:val="0"/>
          <w:numId w:val="8"/>
        </w:numPr>
      </w:pPr>
      <w:r>
        <w:t xml:space="preserve">This section provides that the instrument commences on </w:t>
      </w:r>
      <w:r w:rsidR="00EC48D2">
        <w:t>1 July 2024.</w:t>
      </w:r>
    </w:p>
    <w:p w14:paraId="2B29EB58" w14:textId="77777777" w:rsidR="00EE0D82" w:rsidRDefault="00EE0D82" w:rsidP="00EE0D82">
      <w:pPr>
        <w:pStyle w:val="ESAttHeading"/>
      </w:pPr>
      <w:r>
        <w:t>Section 3</w:t>
      </w:r>
      <w:r>
        <w:tab/>
        <w:t>Authority</w:t>
      </w:r>
    </w:p>
    <w:p w14:paraId="0EF5B854" w14:textId="5F81408E" w:rsidR="00EC48D2" w:rsidRDefault="00EC48D2" w:rsidP="005A3733">
      <w:pPr>
        <w:pStyle w:val="ESAttNormal"/>
        <w:numPr>
          <w:ilvl w:val="0"/>
          <w:numId w:val="8"/>
        </w:numPr>
      </w:pPr>
      <w:r w:rsidRPr="00EE0D82">
        <w:t>T</w:t>
      </w:r>
      <w:r w:rsidR="007E7EAF" w:rsidRPr="00EE0D82">
        <w:t xml:space="preserve">his section provides that the instrument is made under paragraph </w:t>
      </w:r>
      <w:proofErr w:type="gramStart"/>
      <w:r w:rsidR="007E7EAF" w:rsidRPr="00EE0D82">
        <w:t>245AF(</w:t>
      </w:r>
      <w:proofErr w:type="gramEnd"/>
      <w:r w:rsidR="007E7EAF" w:rsidRPr="00EE0D82">
        <w:t xml:space="preserve">a) of the </w:t>
      </w:r>
      <w:r w:rsidR="007E7EAF" w:rsidRPr="00EE0D82">
        <w:rPr>
          <w:i/>
        </w:rPr>
        <w:t>Migration Act 1958</w:t>
      </w:r>
      <w:r w:rsidR="007E7EAF" w:rsidRPr="00EE0D82">
        <w:t xml:space="preserve"> (Migration Act).</w:t>
      </w:r>
    </w:p>
    <w:p w14:paraId="62257E0C" w14:textId="77777777" w:rsidR="00EE0D82" w:rsidRPr="007E7EAF" w:rsidRDefault="00EE0D82" w:rsidP="00EE0D82">
      <w:pPr>
        <w:pStyle w:val="ESAttHeading"/>
      </w:pPr>
      <w:r>
        <w:t>Section 4</w:t>
      </w:r>
      <w:r>
        <w:tab/>
        <w:t>Definitions</w:t>
      </w:r>
    </w:p>
    <w:p w14:paraId="3C9F2B60" w14:textId="535F8040" w:rsidR="00EE0D82" w:rsidRDefault="007E7EAF" w:rsidP="00EE0D82">
      <w:pPr>
        <w:pStyle w:val="ESAttNormal"/>
        <w:numPr>
          <w:ilvl w:val="0"/>
          <w:numId w:val="8"/>
        </w:numPr>
      </w:pPr>
      <w:r>
        <w:t>This section provides for definitions used or referred to in the instrument.</w:t>
      </w:r>
    </w:p>
    <w:p w14:paraId="000407B6" w14:textId="3D0041F8" w:rsidR="00EE0D82" w:rsidRDefault="00EE0D82" w:rsidP="00EE0D82">
      <w:pPr>
        <w:pStyle w:val="ESAttHeading"/>
      </w:pPr>
      <w:r>
        <w:t>Section 5</w:t>
      </w:r>
      <w:r>
        <w:tab/>
        <w:t>Schedule</w:t>
      </w:r>
    </w:p>
    <w:p w14:paraId="547D0D36" w14:textId="133663A1" w:rsidR="00915032" w:rsidRDefault="00FC749B" w:rsidP="00100DFC">
      <w:pPr>
        <w:pStyle w:val="ESAttNormal"/>
        <w:numPr>
          <w:ilvl w:val="0"/>
          <w:numId w:val="8"/>
        </w:numPr>
      </w:pPr>
      <w:r>
        <w:t>This section provides in effect that Schedule 1 to the instrument provides for the repeal of the instruments set out in the Schedule.</w:t>
      </w:r>
    </w:p>
    <w:p w14:paraId="308E7011" w14:textId="77777777" w:rsidR="00FB3DE9" w:rsidRDefault="00FB3DE9" w:rsidP="00FB3DE9">
      <w:pPr>
        <w:pStyle w:val="ESAttHeading"/>
      </w:pPr>
      <w:r>
        <w:t>Section 6</w:t>
      </w:r>
      <w:r>
        <w:tab/>
        <w:t>Approved activities</w:t>
      </w:r>
    </w:p>
    <w:p w14:paraId="403AE085" w14:textId="1A13CA67" w:rsidR="00D22011" w:rsidRDefault="00D22011" w:rsidP="00D22011">
      <w:pPr>
        <w:pStyle w:val="ESAttNormal"/>
        <w:numPr>
          <w:ilvl w:val="0"/>
          <w:numId w:val="8"/>
        </w:numPr>
      </w:pPr>
      <w:r>
        <w:t>Subdivision C of Division 12 of Part 2 of the Migration Act</w:t>
      </w:r>
      <w:r w:rsidR="0008070D">
        <w:t xml:space="preserve"> (Subdivision C)</w:t>
      </w:r>
      <w:r>
        <w:t xml:space="preserve"> creates offences, and provides for civil penalties, to deal with the following situations:</w:t>
      </w:r>
    </w:p>
    <w:p w14:paraId="2DC42FCD" w14:textId="48ED7F8C" w:rsidR="00D22011" w:rsidRDefault="00D22011" w:rsidP="00D22011">
      <w:pPr>
        <w:pStyle w:val="ESAttNormal"/>
        <w:numPr>
          <w:ilvl w:val="0"/>
          <w:numId w:val="9"/>
        </w:numPr>
      </w:pPr>
      <w:r>
        <w:t xml:space="preserve">where </w:t>
      </w:r>
      <w:r w:rsidR="0008070D">
        <w:t>a person allows an unlawful non-</w:t>
      </w:r>
      <w:r>
        <w:t xml:space="preserve">citizen to </w:t>
      </w:r>
      <w:r w:rsidR="0008070D">
        <w:t>work, or refers an unlawful non-</w:t>
      </w:r>
      <w:r>
        <w:t>citizen for work;</w:t>
      </w:r>
    </w:p>
    <w:p w14:paraId="313170D9" w14:textId="1568A1C0" w:rsidR="00D22011" w:rsidRDefault="00D22011" w:rsidP="00D22011">
      <w:pPr>
        <w:pStyle w:val="ESAttNormal"/>
        <w:numPr>
          <w:ilvl w:val="0"/>
          <w:numId w:val="9"/>
        </w:numPr>
      </w:pPr>
      <w:proofErr w:type="gramStart"/>
      <w:r>
        <w:t>where</w:t>
      </w:r>
      <w:proofErr w:type="gramEnd"/>
      <w:r>
        <w:t xml:space="preserve"> a person all</w:t>
      </w:r>
      <w:r w:rsidR="0008070D">
        <w:t>ows a lawful non-</w:t>
      </w:r>
      <w:r>
        <w:t>c</w:t>
      </w:r>
      <w:r w:rsidR="0008070D">
        <w:t>itizen to work, or refers a non-</w:t>
      </w:r>
      <w:r>
        <w:t>citizen</w:t>
      </w:r>
      <w:r w:rsidR="0008070D">
        <w:t xml:space="preserve"> for work, in breach of the non-</w:t>
      </w:r>
      <w:r>
        <w:t>citizen’s visa conditions.</w:t>
      </w:r>
    </w:p>
    <w:p w14:paraId="375BE004" w14:textId="09D5DBE2" w:rsidR="0008070D" w:rsidRDefault="0008070D" w:rsidP="00100DFC">
      <w:pPr>
        <w:pStyle w:val="ESAttNormal"/>
        <w:numPr>
          <w:ilvl w:val="0"/>
          <w:numId w:val="8"/>
        </w:numPr>
      </w:pPr>
      <w:r>
        <w:t>Section 245AF of the Migration Act provides</w:t>
      </w:r>
      <w:r w:rsidR="00902874">
        <w:t xml:space="preserve"> circumstances</w:t>
      </w:r>
      <w:r>
        <w:t xml:space="preserve"> where Subdivision C does not apply.</w:t>
      </w:r>
    </w:p>
    <w:p w14:paraId="6B9B2167" w14:textId="3A1BCB79" w:rsidR="00915032" w:rsidRDefault="00FB3DE9" w:rsidP="0008070D">
      <w:pPr>
        <w:pStyle w:val="ESAttNormal"/>
        <w:numPr>
          <w:ilvl w:val="0"/>
          <w:numId w:val="8"/>
        </w:numPr>
      </w:pPr>
      <w:r>
        <w:t xml:space="preserve">Paragraph 245AF(a) of the Migration Act </w:t>
      </w:r>
      <w:r w:rsidR="00D22011">
        <w:t xml:space="preserve">provides that </w:t>
      </w:r>
      <w:r w:rsidR="0008070D">
        <w:t xml:space="preserve">Subdivision C does not apply where </w:t>
      </w:r>
      <w:r w:rsidR="0008070D" w:rsidRPr="0008070D">
        <w:t>a detainee in immigration detention voluntarily engages in an activity of a kind approved in writing by the Se</w:t>
      </w:r>
      <w:r w:rsidR="0008070D">
        <w:t>cretary for the purposes of the</w:t>
      </w:r>
      <w:r w:rsidR="0008070D" w:rsidRPr="0008070D">
        <w:t xml:space="preserve"> paragra</w:t>
      </w:r>
      <w:r w:rsidR="0008070D">
        <w:t>ph.</w:t>
      </w:r>
    </w:p>
    <w:p w14:paraId="70CCACF8" w14:textId="785A60CE" w:rsidR="0008070D" w:rsidRDefault="0008070D" w:rsidP="0008070D">
      <w:pPr>
        <w:pStyle w:val="ESAttNormal"/>
        <w:numPr>
          <w:ilvl w:val="0"/>
          <w:numId w:val="8"/>
        </w:numPr>
      </w:pPr>
      <w:r>
        <w:t>This section</w:t>
      </w:r>
      <w:r w:rsidR="001E6E4B">
        <w:t xml:space="preserve"> of the instrument</w:t>
      </w:r>
      <w:r>
        <w:t xml:space="preserve"> sets out approved activities for the purposes of paragraph </w:t>
      </w:r>
      <w:proofErr w:type="gramStart"/>
      <w:r>
        <w:t>245AF(</w:t>
      </w:r>
      <w:proofErr w:type="gramEnd"/>
      <w:r>
        <w:t xml:space="preserve">a) of the Migration Act. As a </w:t>
      </w:r>
      <w:r w:rsidR="00902874">
        <w:t xml:space="preserve">consequence </w:t>
      </w:r>
      <w:r>
        <w:t>it will not be an offence or a civil penalty provision under Subdivision C for a person to:</w:t>
      </w:r>
    </w:p>
    <w:p w14:paraId="16F7031D" w14:textId="09E63F3A" w:rsidR="0008070D" w:rsidRDefault="0008070D" w:rsidP="0008070D">
      <w:pPr>
        <w:pStyle w:val="ESAttNormal"/>
        <w:numPr>
          <w:ilvl w:val="0"/>
          <w:numId w:val="11"/>
        </w:numPr>
      </w:pPr>
      <w:r>
        <w:t xml:space="preserve">allow or refer an unlawful non-citizen to </w:t>
      </w:r>
      <w:r w:rsidR="00902874">
        <w:t>undertake those activities</w:t>
      </w:r>
      <w:r>
        <w:t>;</w:t>
      </w:r>
    </w:p>
    <w:p w14:paraId="1D3F2795" w14:textId="416F0D9C" w:rsidR="0008070D" w:rsidRDefault="0008070D" w:rsidP="0008070D">
      <w:pPr>
        <w:pStyle w:val="ESAttNormal"/>
        <w:numPr>
          <w:ilvl w:val="0"/>
          <w:numId w:val="11"/>
        </w:numPr>
      </w:pPr>
      <w:r>
        <w:t xml:space="preserve">allow or refer a lawful non-citizen to </w:t>
      </w:r>
      <w:r w:rsidR="00902874">
        <w:t>undertake those activities</w:t>
      </w:r>
      <w:r>
        <w:t xml:space="preserve"> in breach of th</w:t>
      </w:r>
      <w:r w:rsidR="00555602">
        <w:t>e non-citizen’s visa conditions;</w:t>
      </w:r>
    </w:p>
    <w:p w14:paraId="5C69E69F" w14:textId="0CC322F1" w:rsidR="00555602" w:rsidRDefault="00555602" w:rsidP="00555602">
      <w:pPr>
        <w:pStyle w:val="ESAttNormal"/>
        <w:ind w:left="360"/>
      </w:pPr>
      <w:r>
        <w:lastRenderedPageBreak/>
        <w:t xml:space="preserve">where the non-citizen is </w:t>
      </w:r>
      <w:r w:rsidRPr="00555602">
        <w:t>a detainee in immigration</w:t>
      </w:r>
      <w:r>
        <w:t xml:space="preserve"> who</w:t>
      </w:r>
      <w:r w:rsidRPr="00555602">
        <w:t xml:space="preserve"> </w:t>
      </w:r>
      <w:bookmarkStart w:id="0" w:name="_GoBack"/>
      <w:bookmarkEnd w:id="0"/>
      <w:r>
        <w:t>voluntarily engages in any of those activities.</w:t>
      </w:r>
    </w:p>
    <w:p w14:paraId="1D0F670A" w14:textId="7B7ED884" w:rsidR="00E9453E" w:rsidRDefault="00E9453E" w:rsidP="00100DFC">
      <w:pPr>
        <w:pStyle w:val="ESAttNormal"/>
        <w:numPr>
          <w:ilvl w:val="0"/>
          <w:numId w:val="8"/>
        </w:numPr>
      </w:pPr>
      <w:r>
        <w:t>The approved activities in this section are the same as in LIN 20/053.</w:t>
      </w:r>
    </w:p>
    <w:p w14:paraId="08A851E0" w14:textId="77777777" w:rsidR="00E9453E" w:rsidRPr="00DE3149" w:rsidRDefault="00E9453E" w:rsidP="00E9453E">
      <w:pPr>
        <w:pStyle w:val="ESAttHeading"/>
        <w:rPr>
          <w:sz w:val="24"/>
          <w:szCs w:val="24"/>
        </w:rPr>
      </w:pPr>
      <w:r w:rsidRPr="00DE3149">
        <w:rPr>
          <w:sz w:val="24"/>
          <w:szCs w:val="24"/>
        </w:rPr>
        <w:t>Schedule 1</w:t>
      </w:r>
      <w:r w:rsidRPr="00DE3149">
        <w:rPr>
          <w:sz w:val="24"/>
          <w:szCs w:val="24"/>
        </w:rPr>
        <w:tab/>
        <w:t>Repeals</w:t>
      </w:r>
    </w:p>
    <w:p w14:paraId="3D14759B" w14:textId="368791CC" w:rsidR="00DE3149" w:rsidRDefault="00DE3149" w:rsidP="00100DFC">
      <w:pPr>
        <w:pStyle w:val="ESAttNormal"/>
        <w:numPr>
          <w:ilvl w:val="0"/>
          <w:numId w:val="8"/>
        </w:numPr>
      </w:pPr>
      <w:r>
        <w:t xml:space="preserve">Schedule 1 of the instrument </w:t>
      </w:r>
      <w:r w:rsidR="000F3D4D">
        <w:t xml:space="preserve">repeals </w:t>
      </w:r>
      <w:r w:rsidR="00BC2E7F" w:rsidRPr="005D5978">
        <w:rPr>
          <w:i/>
        </w:rPr>
        <w:t>Migration (Approved Activities) Instrument (LIN 20/053) 2020</w:t>
      </w:r>
      <w:r w:rsidR="00BC2E7F">
        <w:t xml:space="preserve"> (LIN 20/053).</w:t>
      </w:r>
    </w:p>
    <w:p w14:paraId="52320933" w14:textId="42497797" w:rsidR="00DE3149" w:rsidRPr="000F3D4D" w:rsidRDefault="000F3D4D" w:rsidP="00DE3149">
      <w:pPr>
        <w:pStyle w:val="ESAttNormal"/>
        <w:rPr>
          <w:b/>
        </w:rPr>
      </w:pPr>
      <w:r w:rsidRPr="000F3D4D">
        <w:rPr>
          <w:b/>
        </w:rPr>
        <w:t>Item 1</w:t>
      </w:r>
    </w:p>
    <w:p w14:paraId="4AA516DF" w14:textId="1CD1369F" w:rsidR="000F3D4D" w:rsidRDefault="000F3D4D" w:rsidP="00100DFC">
      <w:pPr>
        <w:pStyle w:val="ESAttNormal"/>
        <w:numPr>
          <w:ilvl w:val="0"/>
          <w:numId w:val="8"/>
        </w:numPr>
      </w:pPr>
      <w:r>
        <w:t>Item 1</w:t>
      </w:r>
      <w:r w:rsidR="00BC2E7F">
        <w:t xml:space="preserve"> of Schedule </w:t>
      </w:r>
      <w:r w:rsidR="00FA688F">
        <w:t xml:space="preserve">1 </w:t>
      </w:r>
      <w:r w:rsidR="00BC2E7F">
        <w:t>repeals LIN 20/053.</w:t>
      </w:r>
    </w:p>
    <w:p w14:paraId="062E621A" w14:textId="77777777" w:rsidR="00BC2E7F" w:rsidRDefault="00BC2E7F" w:rsidP="00BC2E7F">
      <w:pPr>
        <w:pStyle w:val="ESPara"/>
        <w:numPr>
          <w:ilvl w:val="0"/>
          <w:numId w:val="8"/>
        </w:numPr>
      </w:pPr>
      <w:r w:rsidRPr="00443407">
        <w:t xml:space="preserve">The </w:t>
      </w:r>
      <w:r w:rsidRPr="005D5978">
        <w:rPr>
          <w:i/>
        </w:rPr>
        <w:t>Migration Amendment (Strengthening Employer Compliance) Act 2024</w:t>
      </w:r>
      <w:r w:rsidRPr="00443407">
        <w:t xml:space="preserve"> (</w:t>
      </w:r>
      <w:r>
        <w:t xml:space="preserve">the </w:t>
      </w:r>
      <w:r w:rsidRPr="00443407">
        <w:t>Strengthening Employer Compliance Act) received Royal Assent on 20 February 2024 and commences on 1 July 2024. Amongst other things, the Strengthening Employer Compliance Act repeals section 235 of the Migration Act</w:t>
      </w:r>
      <w:r>
        <w:t>.</w:t>
      </w:r>
    </w:p>
    <w:p w14:paraId="60127F98" w14:textId="77777777" w:rsidR="00B11847" w:rsidRDefault="00BC2E7F" w:rsidP="00BC2E7F">
      <w:pPr>
        <w:pStyle w:val="ESAttNormal"/>
        <w:numPr>
          <w:ilvl w:val="0"/>
          <w:numId w:val="8"/>
        </w:numPr>
      </w:pPr>
      <w:r w:rsidRPr="00443407">
        <w:t xml:space="preserve">Prior to the commencement of the Strengthening Employer Compliance Act, </w:t>
      </w:r>
      <w:r w:rsidR="00B11847">
        <w:t>section 235 of the Migration Act prohibited:</w:t>
      </w:r>
    </w:p>
    <w:p w14:paraId="6603F524" w14:textId="145333F5" w:rsidR="00B11847" w:rsidRDefault="00B11847" w:rsidP="00B11847">
      <w:pPr>
        <w:pStyle w:val="ESAttNormal"/>
        <w:numPr>
          <w:ilvl w:val="0"/>
          <w:numId w:val="12"/>
        </w:numPr>
      </w:pPr>
      <w:r>
        <w:t>a lawful non-citizen from working in breach of their visa conditions; and</w:t>
      </w:r>
    </w:p>
    <w:p w14:paraId="069441C8" w14:textId="65A80579" w:rsidR="00B11847" w:rsidRDefault="00B11847" w:rsidP="00B11847">
      <w:pPr>
        <w:pStyle w:val="ESAttNormal"/>
        <w:numPr>
          <w:ilvl w:val="0"/>
          <w:numId w:val="12"/>
        </w:numPr>
      </w:pPr>
      <w:proofErr w:type="gramStart"/>
      <w:r>
        <w:t>an</w:t>
      </w:r>
      <w:proofErr w:type="gramEnd"/>
      <w:r>
        <w:t xml:space="preserve"> unlawful non-citizen from working.</w:t>
      </w:r>
    </w:p>
    <w:p w14:paraId="4EAFD1DB" w14:textId="20EDF70D" w:rsidR="00915032" w:rsidRDefault="00BC2E7F" w:rsidP="00BC2E7F">
      <w:pPr>
        <w:pStyle w:val="ESAttNormal"/>
        <w:numPr>
          <w:ilvl w:val="0"/>
          <w:numId w:val="8"/>
        </w:numPr>
      </w:pPr>
      <w:r w:rsidRPr="00443407">
        <w:t xml:space="preserve">Paragraph 235(7)(a) provided that ‘work’ for the purposes of section 235 of the Act did not include a voluntary activity performed by a detainee in immigration detention, if that activity was of a kind approved in writing by the Secretary </w:t>
      </w:r>
      <w:r w:rsidR="009A7B78">
        <w:t xml:space="preserve">(i.e. Secretary of </w:t>
      </w:r>
      <w:r w:rsidRPr="00443407">
        <w:t>the Department of Home Affairs).</w:t>
      </w:r>
    </w:p>
    <w:p w14:paraId="7DCBF8E1" w14:textId="0AD7DF8E" w:rsidR="00F81954" w:rsidRDefault="00F81954" w:rsidP="00F81954">
      <w:pPr>
        <w:pStyle w:val="ESPara"/>
        <w:numPr>
          <w:ilvl w:val="0"/>
          <w:numId w:val="8"/>
        </w:numPr>
      </w:pPr>
      <w:r w:rsidRPr="00B47832">
        <w:t>LIN 20/053 provided for approved activities that a detainee could voluntarily engage in for the purposes of paragraphs 235(7</w:t>
      </w:r>
      <w:proofErr w:type="gramStart"/>
      <w:r w:rsidRPr="00B47832">
        <w:t>)(</w:t>
      </w:r>
      <w:proofErr w:type="gramEnd"/>
      <w:r w:rsidRPr="00B47832">
        <w:t xml:space="preserve">a) and 245AF(a) of the </w:t>
      </w:r>
      <w:r w:rsidRPr="00F81954">
        <w:rPr>
          <w:i/>
        </w:rPr>
        <w:t>Migration Act 1958</w:t>
      </w:r>
      <w:r>
        <w:t xml:space="preserve"> (Migration Act).</w:t>
      </w:r>
    </w:p>
    <w:p w14:paraId="30C7D891" w14:textId="55AFAC5F" w:rsidR="00F81954" w:rsidRDefault="00F81954" w:rsidP="00F81954">
      <w:pPr>
        <w:pStyle w:val="ESAttNormal"/>
        <w:numPr>
          <w:ilvl w:val="0"/>
          <w:numId w:val="8"/>
        </w:numPr>
      </w:pPr>
      <w:r w:rsidRPr="00B47832">
        <w:t xml:space="preserve">Section 235 of the Migration Act was repealed on 1 July 2024 </w:t>
      </w:r>
      <w:r>
        <w:t>on</w:t>
      </w:r>
      <w:r w:rsidRPr="00B47832">
        <w:t xml:space="preserve"> </w:t>
      </w:r>
      <w:r>
        <w:t xml:space="preserve">the </w:t>
      </w:r>
      <w:r w:rsidRPr="00B47832">
        <w:t>commencement of</w:t>
      </w:r>
      <w:r>
        <w:t xml:space="preserve"> the</w:t>
      </w:r>
      <w:r w:rsidRPr="00B47832">
        <w:t xml:space="preserve"> Strengthening Employer Compliance Act. As </w:t>
      </w:r>
      <w:r>
        <w:t xml:space="preserve">a </w:t>
      </w:r>
      <w:r w:rsidRPr="00B47832">
        <w:t xml:space="preserve">result, LIN 20/053 </w:t>
      </w:r>
      <w:r>
        <w:t>was</w:t>
      </w:r>
      <w:r w:rsidRPr="00B47832">
        <w:t xml:space="preserve"> impliedly repealed on 1 July 202</w:t>
      </w:r>
      <w:r>
        <w:t>4 to the extent that it provided</w:t>
      </w:r>
      <w:r w:rsidRPr="00B47832">
        <w:t xml:space="preserve"> for matters under paragraph 235(7</w:t>
      </w:r>
      <w:proofErr w:type="gramStart"/>
      <w:r w:rsidRPr="00B47832">
        <w:t>)(</w:t>
      </w:r>
      <w:proofErr w:type="gramEnd"/>
      <w:r w:rsidRPr="00B47832">
        <w:t>a) of the Migration Act</w:t>
      </w:r>
      <w:r>
        <w:t>.</w:t>
      </w:r>
    </w:p>
    <w:p w14:paraId="4F7497F8" w14:textId="778A6FC1" w:rsidR="00F81954" w:rsidRPr="00DE3149" w:rsidRDefault="00F81954" w:rsidP="00F81954">
      <w:pPr>
        <w:pStyle w:val="ESAttNormal"/>
        <w:numPr>
          <w:ilvl w:val="0"/>
          <w:numId w:val="8"/>
        </w:numPr>
      </w:pPr>
      <w:r>
        <w:t>For the avoidance of doubt,</w:t>
      </w:r>
      <w:r w:rsidR="00B11847">
        <w:t xml:space="preserve"> this item </w:t>
      </w:r>
      <w:r>
        <w:t>repeals LIN 20/053 in its entirety.</w:t>
      </w:r>
    </w:p>
    <w:sectPr w:rsidR="00F81954" w:rsidRPr="00DE3149" w:rsidSect="00855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E0559" w14:textId="77777777" w:rsidR="00855852" w:rsidRDefault="00855852" w:rsidP="00855852">
      <w:pPr>
        <w:spacing w:after="0" w:line="240" w:lineRule="auto"/>
      </w:pPr>
      <w:r>
        <w:separator/>
      </w:r>
    </w:p>
  </w:endnote>
  <w:endnote w:type="continuationSeparator" w:id="0">
    <w:p w14:paraId="64796661" w14:textId="77777777" w:rsidR="00855852" w:rsidRDefault="00855852" w:rsidP="0085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6B85" w14:textId="77777777" w:rsidR="00E04843" w:rsidRDefault="00E04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48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F28B7" w14:textId="2498DE7A" w:rsidR="00855852" w:rsidRDefault="008558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4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4BB605" w14:textId="7388496E" w:rsidR="00855852" w:rsidRPr="00E04843" w:rsidRDefault="00855852" w:rsidP="00855852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E04843">
      <w:rPr>
        <w:rFonts w:ascii="Times New Roman" w:hAnsi="Times New Roman" w:cs="Times New Roman"/>
        <w:i/>
        <w:sz w:val="18"/>
        <w:szCs w:val="18"/>
      </w:rPr>
      <w:t>Explanatory Statement – Migration (Approved Activities) Instrument (LIN 24/</w:t>
    </w:r>
    <w:r w:rsidR="001E63A9" w:rsidRPr="00E04843">
      <w:rPr>
        <w:rFonts w:ascii="Times New Roman" w:hAnsi="Times New Roman" w:cs="Times New Roman"/>
        <w:i/>
        <w:sz w:val="18"/>
        <w:szCs w:val="18"/>
      </w:rPr>
      <w:t>054</w:t>
    </w:r>
    <w:r w:rsidRPr="00E04843">
      <w:rPr>
        <w:rFonts w:ascii="Times New Roman" w:hAnsi="Times New Roman" w:cs="Times New Roman"/>
        <w:i/>
        <w:sz w:val="18"/>
        <w:szCs w:val="18"/>
      </w:rPr>
      <w:t>)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C95F5" w14:textId="77777777" w:rsidR="00E04843" w:rsidRDefault="00E04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B62AE" w14:textId="77777777" w:rsidR="00855852" w:rsidRDefault="00855852" w:rsidP="00855852">
      <w:pPr>
        <w:spacing w:after="0" w:line="240" w:lineRule="auto"/>
      </w:pPr>
      <w:r>
        <w:separator/>
      </w:r>
    </w:p>
  </w:footnote>
  <w:footnote w:type="continuationSeparator" w:id="0">
    <w:p w14:paraId="25DC3E9E" w14:textId="77777777" w:rsidR="00855852" w:rsidRDefault="00855852" w:rsidP="0085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A4D99" w14:textId="77777777" w:rsidR="00E04843" w:rsidRDefault="00E04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C4DE5" w14:textId="77777777" w:rsidR="00E04843" w:rsidRDefault="00E04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0D43C" w14:textId="77777777" w:rsidR="00E04843" w:rsidRDefault="00E04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43D"/>
    <w:multiLevelType w:val="hybridMultilevel"/>
    <w:tmpl w:val="B60219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A4E11"/>
    <w:multiLevelType w:val="hybridMultilevel"/>
    <w:tmpl w:val="E0BAC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E5E43"/>
    <w:multiLevelType w:val="hybridMultilevel"/>
    <w:tmpl w:val="08D64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029E9"/>
    <w:multiLevelType w:val="hybridMultilevel"/>
    <w:tmpl w:val="222EB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4407C"/>
    <w:multiLevelType w:val="hybridMultilevel"/>
    <w:tmpl w:val="3176E8E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6B61560"/>
    <w:multiLevelType w:val="hybridMultilevel"/>
    <w:tmpl w:val="974E0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C76A4"/>
    <w:multiLevelType w:val="hybridMultilevel"/>
    <w:tmpl w:val="A86CEB9C"/>
    <w:lvl w:ilvl="0" w:tplc="C13800F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562913"/>
    <w:multiLevelType w:val="hybridMultilevel"/>
    <w:tmpl w:val="E76A5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C9"/>
    <w:rsid w:val="0008070D"/>
    <w:rsid w:val="000A618A"/>
    <w:rsid w:val="000B66B8"/>
    <w:rsid w:val="000D014F"/>
    <w:rsid w:val="000F3D4D"/>
    <w:rsid w:val="00100DFC"/>
    <w:rsid w:val="001125B5"/>
    <w:rsid w:val="00151F70"/>
    <w:rsid w:val="00177DC9"/>
    <w:rsid w:val="0018319B"/>
    <w:rsid w:val="0019164E"/>
    <w:rsid w:val="001E63A9"/>
    <w:rsid w:val="001E6E4B"/>
    <w:rsid w:val="001F44B8"/>
    <w:rsid w:val="002402E0"/>
    <w:rsid w:val="00275B74"/>
    <w:rsid w:val="002D167E"/>
    <w:rsid w:val="002D6A71"/>
    <w:rsid w:val="0033520D"/>
    <w:rsid w:val="003E3915"/>
    <w:rsid w:val="00443407"/>
    <w:rsid w:val="00457D4A"/>
    <w:rsid w:val="00464080"/>
    <w:rsid w:val="004F5CE4"/>
    <w:rsid w:val="005000A2"/>
    <w:rsid w:val="005479BD"/>
    <w:rsid w:val="00555602"/>
    <w:rsid w:val="00560B24"/>
    <w:rsid w:val="0057002B"/>
    <w:rsid w:val="005A3733"/>
    <w:rsid w:val="005D5978"/>
    <w:rsid w:val="00604E06"/>
    <w:rsid w:val="00683441"/>
    <w:rsid w:val="00696EDE"/>
    <w:rsid w:val="00707901"/>
    <w:rsid w:val="00736217"/>
    <w:rsid w:val="007E4691"/>
    <w:rsid w:val="007E7EAF"/>
    <w:rsid w:val="0085049D"/>
    <w:rsid w:val="00855852"/>
    <w:rsid w:val="0088407D"/>
    <w:rsid w:val="00890415"/>
    <w:rsid w:val="008B24C8"/>
    <w:rsid w:val="00902874"/>
    <w:rsid w:val="00915032"/>
    <w:rsid w:val="00924703"/>
    <w:rsid w:val="00926B84"/>
    <w:rsid w:val="00941872"/>
    <w:rsid w:val="00972052"/>
    <w:rsid w:val="009A7B78"/>
    <w:rsid w:val="009D02B0"/>
    <w:rsid w:val="00A668C1"/>
    <w:rsid w:val="00A736F7"/>
    <w:rsid w:val="00AA4557"/>
    <w:rsid w:val="00AA4F77"/>
    <w:rsid w:val="00B11847"/>
    <w:rsid w:val="00B34CF1"/>
    <w:rsid w:val="00B445D9"/>
    <w:rsid w:val="00B47832"/>
    <w:rsid w:val="00B65A06"/>
    <w:rsid w:val="00B75478"/>
    <w:rsid w:val="00B768A4"/>
    <w:rsid w:val="00BA119E"/>
    <w:rsid w:val="00BB0CF2"/>
    <w:rsid w:val="00BC2E7F"/>
    <w:rsid w:val="00BD598E"/>
    <w:rsid w:val="00BE3E7F"/>
    <w:rsid w:val="00C702C4"/>
    <w:rsid w:val="00C81A5E"/>
    <w:rsid w:val="00C930F2"/>
    <w:rsid w:val="00D22011"/>
    <w:rsid w:val="00D40E1E"/>
    <w:rsid w:val="00DB4474"/>
    <w:rsid w:val="00DE3149"/>
    <w:rsid w:val="00E03DCC"/>
    <w:rsid w:val="00E04843"/>
    <w:rsid w:val="00E45FE2"/>
    <w:rsid w:val="00E9453E"/>
    <w:rsid w:val="00EA12C9"/>
    <w:rsid w:val="00EC48D2"/>
    <w:rsid w:val="00EE0D82"/>
    <w:rsid w:val="00F01122"/>
    <w:rsid w:val="00F14A6D"/>
    <w:rsid w:val="00F60066"/>
    <w:rsid w:val="00F81954"/>
    <w:rsid w:val="00FA688F"/>
    <w:rsid w:val="00FB3DE9"/>
    <w:rsid w:val="00FC749B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D8E3A7"/>
  <w15:chartTrackingRefBased/>
  <w15:docId w15:val="{89FB464E-1B8E-46AB-B82A-1248025B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47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8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8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5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852"/>
  </w:style>
  <w:style w:type="paragraph" w:styleId="Footer">
    <w:name w:val="footer"/>
    <w:basedOn w:val="Normal"/>
    <w:link w:val="FooterChar"/>
    <w:uiPriority w:val="99"/>
    <w:unhideWhenUsed/>
    <w:rsid w:val="00855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F8BB384-03D8-4EAA-8459-A0057FD24A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44CD3CCA6AB6C48B25389BFB2C59CC6" ma:contentTypeVersion="" ma:contentTypeDescription="PDMS Document Site Content Type" ma:contentTypeScope="" ma:versionID="6b4268361cbb780cf223070c6933ed57">
  <xsd:schema xmlns:xsd="http://www.w3.org/2001/XMLSchema" xmlns:xs="http://www.w3.org/2001/XMLSchema" xmlns:p="http://schemas.microsoft.com/office/2006/metadata/properties" xmlns:ns2="5F8BB384-03D8-4EAA-8459-A0057FD24A73" targetNamespace="http://schemas.microsoft.com/office/2006/metadata/properties" ma:root="true" ma:fieldsID="837f56566cfbed562ba55827bcc5b1cb" ns2:_="">
    <xsd:import namespace="5F8BB384-03D8-4EAA-8459-A0057FD24A7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BB384-03D8-4EAA-8459-A0057FD24A7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E7588-65D8-4435-8578-87589654E21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F8BB384-03D8-4EAA-8459-A0057FD24A7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C8E3B9-1D7F-4E05-9127-A43AF6654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BB384-03D8-4EAA-8459-A0057FD24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F4DAF-96FE-4A16-9506-051F3B4E0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LEILUA</dc:creator>
  <cp:keywords/>
  <dc:description/>
  <cp:lastModifiedBy>Andrew NEWMAN-MARTIN</cp:lastModifiedBy>
  <cp:revision>3</cp:revision>
  <dcterms:created xsi:type="dcterms:W3CDTF">2024-06-24T23:54:00Z</dcterms:created>
  <dcterms:modified xsi:type="dcterms:W3CDTF">2024-06-25T00:03:00Z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0x010100266966F133664895A6EE3632470D45F500644CD3CCA6AB6C48B25389BFB2C59CC6</vt:lpwstr>
  </property>
</Properties>
</file>