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BB17A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69444F76" w14:textId="71CA2C3F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66721B">
        <w:t>Minister for Home Affairs</w:t>
      </w:r>
      <w:r w:rsidR="00EC5F9D">
        <w:t xml:space="preserve"> and</w:t>
      </w:r>
      <w:r w:rsidR="0066721B">
        <w:t xml:space="preserve"> Minister for Cyber Security</w:t>
      </w:r>
    </w:p>
    <w:p w14:paraId="7CA96045" w14:textId="77777777" w:rsidR="0057002B" w:rsidRPr="008B24C8" w:rsidRDefault="0066721B" w:rsidP="00BB0CF2">
      <w:pPr>
        <w:pStyle w:val="ESTitleEnablingLegislation"/>
      </w:pPr>
      <w:r>
        <w:t>Migration Regulations 1994</w:t>
      </w:r>
    </w:p>
    <w:p w14:paraId="08DF2152" w14:textId="77777777" w:rsidR="0057002B" w:rsidRPr="00010CE2" w:rsidRDefault="00010CE2" w:rsidP="00BB0CF2">
      <w:pPr>
        <w:pStyle w:val="ESTitleInstrumentName"/>
      </w:pPr>
      <w:r w:rsidRPr="00010CE2">
        <w:t>Migration (Specification of Categories of Visas that Preclude a Person from Lodging a Student Visa Application in Australia) Amendment Instrument (LIN 24/051) 2024</w:t>
      </w:r>
    </w:p>
    <w:p w14:paraId="730DE9C7" w14:textId="02FF971D" w:rsidR="0057002B" w:rsidRPr="005B1E30" w:rsidRDefault="0057002B" w:rsidP="002D167E">
      <w:pPr>
        <w:pStyle w:val="ESPara"/>
      </w:pPr>
      <w:r w:rsidRPr="008B24C8">
        <w:t xml:space="preserve">The instrument, </w:t>
      </w:r>
      <w:r w:rsidR="00EC5F9D">
        <w:t>d</w:t>
      </w:r>
      <w:r w:rsidRPr="008B24C8">
        <w:t xml:space="preserve">epartmental </w:t>
      </w:r>
      <w:r w:rsidR="0066721B">
        <w:t>reference LIN 24/051</w:t>
      </w:r>
      <w:r w:rsidR="00973BA6">
        <w:t>,</w:t>
      </w:r>
      <w:r w:rsidRPr="008B24C8">
        <w:t xml:space="preserve"> is made under </w:t>
      </w:r>
      <w:r w:rsidR="00564882">
        <w:t xml:space="preserve">paragraph </w:t>
      </w:r>
      <w:r w:rsidR="00010CE2">
        <w:t>1222(5)(c</w:t>
      </w:r>
      <w:r w:rsidR="0066721B">
        <w:t>)</w:t>
      </w:r>
      <w:r w:rsidRPr="008B24C8">
        <w:t xml:space="preserve"> </w:t>
      </w:r>
      <w:r w:rsidR="00564882">
        <w:t xml:space="preserve">of </w:t>
      </w:r>
      <w:r w:rsidR="0066721B">
        <w:t xml:space="preserve">Schedule 1 </w:t>
      </w:r>
      <w:r w:rsidR="00564882">
        <w:t>to</w:t>
      </w:r>
      <w:r w:rsidR="00564882" w:rsidRPr="008B24C8">
        <w:t xml:space="preserve"> </w:t>
      </w:r>
      <w:r w:rsidRPr="008B24C8">
        <w:t xml:space="preserve">the </w:t>
      </w:r>
      <w:r w:rsidRPr="008B24C8">
        <w:rPr>
          <w:i/>
        </w:rPr>
        <w:t>Migration Regulations 1994</w:t>
      </w:r>
      <w:r w:rsidRPr="008B24C8">
        <w:t xml:space="preserve"> (the Migration Regulations)</w:t>
      </w:r>
      <w:r w:rsidR="00010CE2">
        <w:t xml:space="preserve"> for the purposes of subitem 1222(4)</w:t>
      </w:r>
      <w:r w:rsidR="005B1E30">
        <w:t xml:space="preserve"> of that schedule</w:t>
      </w:r>
      <w:r w:rsidR="0066721B">
        <w:t>.</w:t>
      </w:r>
    </w:p>
    <w:p w14:paraId="77CE70D3" w14:textId="5D483286" w:rsidR="00EA12C9" w:rsidRPr="005B1E30" w:rsidRDefault="0066721B" w:rsidP="002D167E">
      <w:pPr>
        <w:pStyle w:val="ESPara"/>
      </w:pPr>
      <w:r w:rsidRPr="005B1E30">
        <w:t>The instrument</w:t>
      </w:r>
      <w:r w:rsidR="00EA12C9" w:rsidRPr="005B1E30">
        <w:t xml:space="preserve"> </w:t>
      </w:r>
      <w:r w:rsidRPr="005B1E30">
        <w:t xml:space="preserve">amends </w:t>
      </w:r>
      <w:bookmarkStart w:id="0" w:name="_Toc167792170"/>
      <w:r w:rsidR="00010CE2" w:rsidRPr="005B1E30">
        <w:rPr>
          <w:i/>
        </w:rPr>
        <w:t>Migration Regulations 1994 - Specification of Categories of Visas that Preclude a Person from Lodging a Student Visa Application in Australia 2016/016 – IMMI 16/01</w:t>
      </w:r>
      <w:bookmarkEnd w:id="0"/>
      <w:r w:rsidR="00010CE2" w:rsidRPr="005B1E30">
        <w:rPr>
          <w:i/>
        </w:rPr>
        <w:t xml:space="preserve">6 </w:t>
      </w:r>
      <w:r w:rsidR="00010CE2" w:rsidRPr="005B1E30">
        <w:t>(</w:t>
      </w:r>
      <w:r w:rsidR="00010CE2" w:rsidRPr="005B1E30">
        <w:rPr>
          <w:shd w:val="clear" w:color="auto" w:fill="FFFFFF"/>
        </w:rPr>
        <w:t xml:space="preserve">F2016L00638) </w:t>
      </w:r>
      <w:r w:rsidR="00EA12C9" w:rsidRPr="005B1E30">
        <w:t xml:space="preserve">in accordance with subsection 33(3) of the </w:t>
      </w:r>
      <w:r w:rsidR="00EA12C9" w:rsidRPr="005B1E30">
        <w:rPr>
          <w:i/>
        </w:rPr>
        <w:t>Acts Interpretation Act 1901</w:t>
      </w:r>
      <w:r w:rsidR="00BD598E" w:rsidRPr="005B1E30">
        <w:rPr>
          <w:i/>
        </w:rPr>
        <w:t xml:space="preserve"> </w:t>
      </w:r>
      <w:r w:rsidR="00BD598E" w:rsidRPr="005B1E30">
        <w:t>(the Acts Interpretation Act)</w:t>
      </w:r>
      <w:r w:rsidR="00963FC1">
        <w:t xml:space="preserve">. </w:t>
      </w:r>
      <w:r w:rsidR="00EA12C9" w:rsidRPr="005B1E30">
        <w:t xml:space="preserve">That subsection provides that </w:t>
      </w:r>
      <w:r w:rsidR="00100DFC" w:rsidRPr="005B1E30">
        <w:t>a power to make a legislative instrument includes a power to amend or repeal that instrument in the same manner, and subject to the same conditions, as the power to make the instrument</w:t>
      </w:r>
      <w:r w:rsidR="00BD598E" w:rsidRPr="005B1E30">
        <w:t xml:space="preserve">.  </w:t>
      </w:r>
    </w:p>
    <w:p w14:paraId="45CB4078" w14:textId="6E43CBC4" w:rsidR="00BD598E" w:rsidRPr="005B1E30" w:rsidRDefault="00AA4557" w:rsidP="002D167E">
      <w:pPr>
        <w:pStyle w:val="ESPara"/>
      </w:pPr>
      <w:r w:rsidRPr="005B1E30">
        <w:t xml:space="preserve">The instrument commences </w:t>
      </w:r>
      <w:r w:rsidR="0066721B" w:rsidRPr="005B1E30">
        <w:t>on 1 July 2024</w:t>
      </w:r>
      <w:r w:rsidR="005B1E30">
        <w:t>. It is</w:t>
      </w:r>
      <w:r w:rsidR="00BD598E" w:rsidRPr="005B1E30">
        <w:t xml:space="preserve"> a </w:t>
      </w:r>
      <w:r w:rsidRPr="005B1E30">
        <w:t>legislative</w:t>
      </w:r>
      <w:r w:rsidR="00BD598E" w:rsidRPr="005B1E30">
        <w:t xml:space="preserve"> instrument for </w:t>
      </w:r>
      <w:r w:rsidR="005B1E30">
        <w:t xml:space="preserve">the purposes of </w:t>
      </w:r>
      <w:r w:rsidR="00B75478" w:rsidRPr="005B1E30">
        <w:t xml:space="preserve">the </w:t>
      </w:r>
      <w:r w:rsidR="00100DFC" w:rsidRPr="005B1E30">
        <w:rPr>
          <w:i/>
        </w:rPr>
        <w:t>Legislation Act 2003</w:t>
      </w:r>
      <w:r w:rsidR="00100DFC" w:rsidRPr="005B1E30">
        <w:t xml:space="preserve"> (the Legislation Act)</w:t>
      </w:r>
      <w:r w:rsidR="005B1E30">
        <w:t>.</w:t>
      </w:r>
    </w:p>
    <w:p w14:paraId="21751223" w14:textId="77777777" w:rsidR="00EA12C9" w:rsidRPr="005B1E30" w:rsidRDefault="00BD598E" w:rsidP="00100DFC">
      <w:pPr>
        <w:pStyle w:val="ESHeading"/>
      </w:pPr>
      <w:r w:rsidRPr="005B1E30">
        <w:t>Purpose</w:t>
      </w:r>
      <w:r w:rsidR="00BB0CF2" w:rsidRPr="005B1E30">
        <w:t xml:space="preserve"> </w:t>
      </w:r>
    </w:p>
    <w:p w14:paraId="23459AB0" w14:textId="19C4CC26" w:rsidR="00B75478" w:rsidRDefault="00534051" w:rsidP="002D167E">
      <w:pPr>
        <w:pStyle w:val="ESPara"/>
      </w:pPr>
      <w:r w:rsidRPr="005B1E30">
        <w:t xml:space="preserve">The instrument specifies matters relating to </w:t>
      </w:r>
      <w:r w:rsidR="009A4F8F" w:rsidRPr="005B1E30">
        <w:t xml:space="preserve">the making </w:t>
      </w:r>
      <w:r w:rsidR="00010CE2" w:rsidRPr="005B1E30">
        <w:t xml:space="preserve">of </w:t>
      </w:r>
      <w:r w:rsidR="009A4F8F" w:rsidRPr="005B1E30">
        <w:t xml:space="preserve">an </w:t>
      </w:r>
      <w:r w:rsidRPr="005B1E30">
        <w:t xml:space="preserve">application for </w:t>
      </w:r>
      <w:r w:rsidR="009A4F8F" w:rsidRPr="005B1E30">
        <w:t xml:space="preserve">a </w:t>
      </w:r>
      <w:r w:rsidR="008428D5" w:rsidRPr="005B1E30">
        <w:t>Student (Temporary) (Class TU) visa. This visa class</w:t>
      </w:r>
      <w:r w:rsidR="008428D5">
        <w:t xml:space="preserve"> encompasses both the </w:t>
      </w:r>
      <w:r w:rsidR="00877B11">
        <w:t>S</w:t>
      </w:r>
      <w:r w:rsidR="00FA0872">
        <w:t xml:space="preserve">ubclass 500 (Student) </w:t>
      </w:r>
      <w:r w:rsidR="008428D5">
        <w:t>and</w:t>
      </w:r>
      <w:r w:rsidR="009A4F8F">
        <w:t xml:space="preserve"> </w:t>
      </w:r>
      <w:r w:rsidR="00010CE2">
        <w:t>Subclass 590 (Student Guardian) visa</w:t>
      </w:r>
      <w:r w:rsidR="008428D5">
        <w:t xml:space="preserve"> subclasses</w:t>
      </w:r>
      <w:r w:rsidR="00010CE2">
        <w:t xml:space="preserve">. </w:t>
      </w:r>
    </w:p>
    <w:p w14:paraId="404C20D6" w14:textId="39ED1CFC" w:rsidR="00534051" w:rsidRDefault="009A4F8F" w:rsidP="002D167E">
      <w:pPr>
        <w:pStyle w:val="ESPara"/>
      </w:pPr>
      <w:r>
        <w:t xml:space="preserve">Paragraph </w:t>
      </w:r>
      <w:r w:rsidR="00534051">
        <w:t xml:space="preserve">1222(5)(c) </w:t>
      </w:r>
      <w:r>
        <w:t xml:space="preserve">of </w:t>
      </w:r>
      <w:r w:rsidR="00534051">
        <w:t xml:space="preserve">Schedule 1 </w:t>
      </w:r>
      <w:r>
        <w:t>t</w:t>
      </w:r>
      <w:r w:rsidR="00534051">
        <w:t>o the Migration Regulations provide</w:t>
      </w:r>
      <w:r>
        <w:t>s</w:t>
      </w:r>
      <w:r w:rsidR="00534051">
        <w:t xml:space="preserve"> that the Minister may, by legislative instrument, specify substantive temporary visas for the purposes of subitem 1222(4). That subitem provides that </w:t>
      </w:r>
      <w:r>
        <w:t>if an applicant for a Student (Temporary) (Class TU) visa is in Australia, the</w:t>
      </w:r>
      <w:r w:rsidR="00010CE2">
        <w:t xml:space="preserve"> applicant </w:t>
      </w:r>
      <w:r w:rsidR="00877B11">
        <w:t>must ho</w:t>
      </w:r>
      <w:r w:rsidR="00010CE2">
        <w:t xml:space="preserve">ld a substantive temporary visa, </w:t>
      </w:r>
      <w:r w:rsidR="00877B11">
        <w:t xml:space="preserve">other than a substantive temporary visa specified </w:t>
      </w:r>
      <w:r w:rsidR="00010CE2">
        <w:t xml:space="preserve">by the Minister </w:t>
      </w:r>
      <w:r w:rsidR="00877B11">
        <w:t xml:space="preserve">in an instrument </w:t>
      </w:r>
      <w:r w:rsidR="00010CE2">
        <w:t xml:space="preserve">in writing </w:t>
      </w:r>
      <w:r w:rsidR="00877B11">
        <w:t xml:space="preserve">under </w:t>
      </w:r>
      <w:r>
        <w:t xml:space="preserve">paragraph </w:t>
      </w:r>
      <w:r w:rsidR="00877B11">
        <w:t>1222(5)(c).</w:t>
      </w:r>
    </w:p>
    <w:p w14:paraId="439495D9" w14:textId="1BE48C92" w:rsidR="00010CE2" w:rsidRDefault="00010CE2" w:rsidP="002D167E">
      <w:pPr>
        <w:pStyle w:val="ESPara"/>
      </w:pPr>
      <w:r w:rsidRPr="00010CE2">
        <w:rPr>
          <w:i/>
        </w:rPr>
        <w:t>Migration Regulations 1994 - Specification of Categories of Visas that Preclude a Person from Lodging a Student Visa Application in Australia 2016/016 – IMMI 16/016</w:t>
      </w:r>
      <w:r>
        <w:rPr>
          <w:i/>
        </w:rPr>
        <w:t xml:space="preserve"> </w:t>
      </w:r>
      <w:r>
        <w:t>specifi</w:t>
      </w:r>
      <w:r w:rsidR="009A4F8F">
        <w:t>es</w:t>
      </w:r>
      <w:r>
        <w:t xml:space="preserve"> substantive temporary visas that</w:t>
      </w:r>
      <w:r w:rsidR="009A4F8F">
        <w:t>, if held by an applicant in Australia, would prevent them from making a valid application for a Subclass 500 or 590 visa</w:t>
      </w:r>
      <w:r>
        <w:t xml:space="preserve">. </w:t>
      </w:r>
    </w:p>
    <w:p w14:paraId="18368AE6" w14:textId="491595AC" w:rsidR="00912C61" w:rsidRPr="00ED3BFF" w:rsidRDefault="005A4428" w:rsidP="00912C61">
      <w:pPr>
        <w:pStyle w:val="ESPara"/>
      </w:pPr>
      <w:r>
        <w:t>T</w:t>
      </w:r>
      <w:r w:rsidR="00010CE2">
        <w:t xml:space="preserve">he purpose of this instrument is to </w:t>
      </w:r>
      <w:r w:rsidR="00867DD6">
        <w:t xml:space="preserve">amend </w:t>
      </w:r>
      <w:r w:rsidR="00010CE2">
        <w:t xml:space="preserve">IMMI 16/016 </w:t>
      </w:r>
      <w:r w:rsidR="00867DD6">
        <w:t xml:space="preserve">to </w:t>
      </w:r>
      <w:r w:rsidR="00010CE2">
        <w:t xml:space="preserve">specify </w:t>
      </w:r>
      <w:r w:rsidR="00676A29">
        <w:t xml:space="preserve">additional </w:t>
      </w:r>
      <w:r w:rsidR="00010CE2">
        <w:t>categories of substantive temporary visas that preclude a person</w:t>
      </w:r>
      <w:r w:rsidR="00867DD6">
        <w:t xml:space="preserve"> in Australia</w:t>
      </w:r>
      <w:r w:rsidR="00010CE2">
        <w:t xml:space="preserve"> from </w:t>
      </w:r>
      <w:r w:rsidR="00867DD6" w:rsidRPr="00ED3BFF">
        <w:t>mak</w:t>
      </w:r>
      <w:r w:rsidR="00AE652D" w:rsidRPr="00ED3BFF">
        <w:t>ing Subclass</w:t>
      </w:r>
      <w:r w:rsidR="00010CE2" w:rsidRPr="00ED3BFF">
        <w:t xml:space="preserve"> 500</w:t>
      </w:r>
      <w:r w:rsidR="00AE652D" w:rsidRPr="00ED3BFF">
        <w:t xml:space="preserve"> or </w:t>
      </w:r>
      <w:r w:rsidR="00676A29" w:rsidRPr="00ED3BFF">
        <w:t>590</w:t>
      </w:r>
      <w:r w:rsidR="00010CE2" w:rsidRPr="00ED3BFF">
        <w:t xml:space="preserve"> visa application</w:t>
      </w:r>
      <w:r w:rsidR="00AE652D" w:rsidRPr="00ED3BFF">
        <w:t>s</w:t>
      </w:r>
      <w:r w:rsidRPr="00ED3BFF">
        <w:t xml:space="preserve"> as part of the Government’s Migration Strategy published in December 2023</w:t>
      </w:r>
      <w:r w:rsidR="005B1E30">
        <w:t>.</w:t>
      </w:r>
    </w:p>
    <w:p w14:paraId="05AAF125" w14:textId="0A7BC5BE" w:rsidR="00D5728F" w:rsidRPr="00ED3BFF" w:rsidRDefault="00D5728F" w:rsidP="00912C61">
      <w:pPr>
        <w:pStyle w:val="ESPara"/>
      </w:pPr>
      <w:r w:rsidRPr="00ED3BFF">
        <w:t xml:space="preserve">The effect of this instrument is that all </w:t>
      </w:r>
      <w:r w:rsidR="00874FD5" w:rsidRPr="00ED3BFF">
        <w:t xml:space="preserve">holders of </w:t>
      </w:r>
      <w:r w:rsidR="00741ECF" w:rsidRPr="00ED3BFF">
        <w:t xml:space="preserve">a substantive temporary visa specified in LIN 24/051 </w:t>
      </w:r>
      <w:r w:rsidR="00874FD5" w:rsidRPr="00ED3BFF">
        <w:t xml:space="preserve">are </w:t>
      </w:r>
      <w:r w:rsidRPr="00ED3BFF">
        <w:t xml:space="preserve">prevented from making a valid </w:t>
      </w:r>
      <w:r w:rsidR="00741ECF" w:rsidRPr="00ED3BFF">
        <w:t xml:space="preserve">application in Australia for a </w:t>
      </w:r>
      <w:r w:rsidR="004A3E5B">
        <w:t>Student (Temporary) (Class TU)</w:t>
      </w:r>
      <w:r w:rsidR="00741ECF" w:rsidRPr="00ED3BFF">
        <w:t xml:space="preserve"> visa</w:t>
      </w:r>
      <w:r w:rsidR="00874FD5" w:rsidRPr="00ED3BFF">
        <w:t xml:space="preserve"> – regardless of whether the non-citizen is the primary applicant or a member of the family unit of a primary applicant</w:t>
      </w:r>
      <w:r w:rsidR="00741ECF" w:rsidRPr="00ED3BFF">
        <w:t xml:space="preserve">. </w:t>
      </w:r>
    </w:p>
    <w:p w14:paraId="00C6494B" w14:textId="77777777" w:rsidR="008B24C8" w:rsidRDefault="008B24C8" w:rsidP="00100DFC">
      <w:pPr>
        <w:pStyle w:val="ESHeading"/>
      </w:pPr>
      <w:r w:rsidRPr="008B24C8">
        <w:lastRenderedPageBreak/>
        <w:t>Consultation</w:t>
      </w:r>
    </w:p>
    <w:p w14:paraId="51F677E5" w14:textId="080CA6D3" w:rsidR="0079677E" w:rsidRPr="0079677E" w:rsidRDefault="0079677E" w:rsidP="002D167E">
      <w:pPr>
        <w:pStyle w:val="ESPara"/>
      </w:pPr>
      <w:r>
        <w:t xml:space="preserve">No external consultation was undertaken </w:t>
      </w:r>
      <w:r w:rsidR="004A3E5B">
        <w:t>in relation to</w:t>
      </w:r>
      <w:r>
        <w:t xml:space="preserve"> this instrument. However, strengthening and providing</w:t>
      </w:r>
      <w:r w:rsidR="00F7428C">
        <w:t xml:space="preserve"> a</w:t>
      </w:r>
      <w:r w:rsidR="005B1E30">
        <w:t xml:space="preserve"> high-</w:t>
      </w:r>
      <w:r>
        <w:t xml:space="preserve">quality student visa program has been widely supported by education providers, with broader consultation </w:t>
      </w:r>
      <w:r w:rsidR="005B1E30">
        <w:t>under</w:t>
      </w:r>
      <w:r>
        <w:t xml:space="preserve">taken and </w:t>
      </w:r>
      <w:r w:rsidR="005B1E30">
        <w:t xml:space="preserve">feedback </w:t>
      </w:r>
      <w:r>
        <w:t xml:space="preserve">considered as part of </w:t>
      </w:r>
      <w:r w:rsidR="00010CE2">
        <w:t xml:space="preserve">the </w:t>
      </w:r>
      <w:r>
        <w:t>Migration Strategy</w:t>
      </w:r>
      <w:r w:rsidR="005B1E30">
        <w:t>.</w:t>
      </w:r>
    </w:p>
    <w:p w14:paraId="77626820" w14:textId="39D308AE" w:rsidR="008B24C8" w:rsidRDefault="0079677E" w:rsidP="002D167E">
      <w:pPr>
        <w:pStyle w:val="ESPara"/>
      </w:pPr>
      <w:r>
        <w:rPr>
          <w:color w:val="000000" w:themeColor="text1"/>
        </w:rPr>
        <w:t xml:space="preserve">The Office of Impact Analysis (OIA) was consulted and considered that </w:t>
      </w:r>
      <w:r w:rsidR="000458F0">
        <w:rPr>
          <w:color w:val="000000" w:themeColor="text1"/>
        </w:rPr>
        <w:t xml:space="preserve">a detailed Impact Analysis is not required for this instrument. </w:t>
      </w:r>
      <w:r w:rsidR="000458F0">
        <w:t>OIA reference number is OIA23-05963.</w:t>
      </w:r>
    </w:p>
    <w:p w14:paraId="15419A6D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10CDF263" w14:textId="0E827A88" w:rsidR="00E03DCC" w:rsidRDefault="007E4691" w:rsidP="002D167E">
      <w:pPr>
        <w:pStyle w:val="ESPara"/>
      </w:pPr>
      <w:r>
        <w:t xml:space="preserve">Details of the instrument are set out in </w:t>
      </w:r>
      <w:r>
        <w:rPr>
          <w:b/>
          <w:u w:val="single"/>
        </w:rPr>
        <w:t xml:space="preserve">Attachment </w:t>
      </w:r>
      <w:r w:rsidR="000458F0">
        <w:rPr>
          <w:b/>
          <w:u w:val="single"/>
        </w:rPr>
        <w:t>A</w:t>
      </w:r>
      <w:r w:rsidR="000458F0" w:rsidRPr="005B1E30">
        <w:t>.</w:t>
      </w:r>
    </w:p>
    <w:p w14:paraId="47D86893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5430BA79" w14:textId="6F3D3905" w:rsidR="00F05239" w:rsidRDefault="00E03DCC" w:rsidP="002D167E">
      <w:pPr>
        <w:pStyle w:val="ESPara"/>
      </w:pPr>
      <w:r>
        <w:t>The instrument is exempt from disallowance under sect</w:t>
      </w:r>
      <w:r w:rsidR="005B1E30">
        <w:t xml:space="preserve">ion 42 of the Legislation Act. </w:t>
      </w:r>
      <w:r>
        <w:t xml:space="preserve">This is because </w:t>
      </w:r>
      <w:r w:rsidR="00F05239">
        <w:t xml:space="preserve">it is an instrument made under Schedule 1 to the Migration Regulations, which is exempt from disallowance under paragraph (b) of item 20 in section 10 of the </w:t>
      </w:r>
      <w:r w:rsidR="00F05239">
        <w:rPr>
          <w:i/>
        </w:rPr>
        <w:t>Legislation (Exemptions and Other Matters) Regulation 2015.</w:t>
      </w:r>
    </w:p>
    <w:p w14:paraId="6C6EA373" w14:textId="41D8B964" w:rsidR="00F05239" w:rsidRDefault="00F05239" w:rsidP="002D167E">
      <w:pPr>
        <w:pStyle w:val="ESPara"/>
      </w:pPr>
      <w:r>
        <w:t>As the instrument is exempt from disallowance, a Statement of Compatibility wit</w:t>
      </w:r>
      <w:r w:rsidR="005B1E30">
        <w:t>h Human Rights is not required.</w:t>
      </w:r>
    </w:p>
    <w:p w14:paraId="6B815767" w14:textId="4C1EB266" w:rsidR="00B75478" w:rsidRDefault="00B75478" w:rsidP="002D167E">
      <w:pPr>
        <w:pStyle w:val="ESPara"/>
      </w:pPr>
      <w:r w:rsidRPr="00B75478">
        <w:t xml:space="preserve">The </w:t>
      </w:r>
      <w:r>
        <w:t xml:space="preserve">instrument was made by </w:t>
      </w:r>
      <w:r w:rsidR="00F05239">
        <w:t xml:space="preserve">the Minister </w:t>
      </w:r>
      <w:r w:rsidR="00010CE2">
        <w:t>for</w:t>
      </w:r>
      <w:r w:rsidR="00F05239">
        <w:t xml:space="preserve"> Home Affairs </w:t>
      </w:r>
      <w:r>
        <w:t xml:space="preserve">in accordance with </w:t>
      </w:r>
      <w:r w:rsidR="00C22D25">
        <w:t xml:space="preserve">paragraph </w:t>
      </w:r>
      <w:r w:rsidR="00010CE2">
        <w:t>1222(5)(c</w:t>
      </w:r>
      <w:r w:rsidR="00F05239">
        <w:t>)</w:t>
      </w:r>
      <w:r w:rsidR="00010CE2">
        <w:t xml:space="preserve"> </w:t>
      </w:r>
      <w:r w:rsidR="00C22D25">
        <w:t xml:space="preserve">of </w:t>
      </w:r>
      <w:r w:rsidR="00010CE2">
        <w:t xml:space="preserve">Schedule 1 </w:t>
      </w:r>
      <w:r w:rsidR="00C22D25">
        <w:t xml:space="preserve">to </w:t>
      </w:r>
      <w:r w:rsidR="00010CE2">
        <w:t>the Migration R</w:t>
      </w:r>
      <w:r w:rsidR="00AE652D">
        <w:t>egulations.</w:t>
      </w:r>
      <w:r w:rsidR="00122189">
        <w:t xml:space="preserve"> </w:t>
      </w:r>
    </w:p>
    <w:p w14:paraId="5C030885" w14:textId="77777777" w:rsidR="007E4691" w:rsidRDefault="007E4691" w:rsidP="00915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6ACB20" w14:textId="1DDCC735" w:rsidR="004F5CE4" w:rsidRDefault="007E4691" w:rsidP="00100DFC">
      <w:pPr>
        <w:pStyle w:val="ESAttAttName"/>
      </w:pPr>
      <w:bookmarkStart w:id="1" w:name="_GoBack"/>
      <w:r>
        <w:t xml:space="preserve">Attachment </w:t>
      </w:r>
      <w:r w:rsidR="000458F0">
        <w:t>A</w:t>
      </w:r>
    </w:p>
    <w:bookmarkEnd w:id="1"/>
    <w:p w14:paraId="4AFF91A5" w14:textId="77777777" w:rsidR="007E4691" w:rsidRPr="00010CE2" w:rsidRDefault="007E4691" w:rsidP="00100DFC">
      <w:pPr>
        <w:pStyle w:val="ESAttHeading"/>
        <w:rPr>
          <w:i/>
        </w:rPr>
      </w:pPr>
      <w:r>
        <w:t>Details of the</w:t>
      </w:r>
      <w:r w:rsidRPr="00100DFC">
        <w:rPr>
          <w:i/>
        </w:rPr>
        <w:t xml:space="preserve"> </w:t>
      </w:r>
      <w:r w:rsidR="00010CE2" w:rsidRPr="00010CE2">
        <w:rPr>
          <w:i/>
        </w:rPr>
        <w:t>Migration (Specification of Categories of Visas that Preclude a Person from Lodging a Student Visa Application in Australia) Amendment Instrument (LIN 24/051) 2024</w:t>
      </w:r>
    </w:p>
    <w:p w14:paraId="49834D12" w14:textId="77777777" w:rsidR="007E4691" w:rsidRDefault="007E4691" w:rsidP="00203438">
      <w:pPr>
        <w:pStyle w:val="ESAttHeading"/>
        <w:tabs>
          <w:tab w:val="left" w:pos="1418"/>
        </w:tabs>
        <w:rPr>
          <w:b w:val="0"/>
        </w:rPr>
      </w:pPr>
      <w:r>
        <w:t>Section 1</w:t>
      </w:r>
      <w:r>
        <w:tab/>
        <w:t>Name</w:t>
      </w:r>
    </w:p>
    <w:p w14:paraId="4D30751E" w14:textId="1D01C47B" w:rsidR="007E4691" w:rsidRDefault="007E4691" w:rsidP="00100DFC">
      <w:pPr>
        <w:pStyle w:val="ESAttNormal"/>
      </w:pPr>
      <w:r>
        <w:t xml:space="preserve">This section provides that the name of the instrument is </w:t>
      </w:r>
      <w:r w:rsidR="00010CE2" w:rsidRPr="009C2562">
        <w:t xml:space="preserve">the </w:t>
      </w:r>
      <w:bookmarkStart w:id="2" w:name="BKCheck15B_3"/>
      <w:bookmarkEnd w:id="2"/>
      <w:r w:rsidR="00010CE2" w:rsidRPr="00DD527B">
        <w:rPr>
          <w:i/>
        </w:rPr>
        <w:t>Migration (</w:t>
      </w:r>
      <w:r w:rsidR="00010CE2">
        <w:rPr>
          <w:i/>
        </w:rPr>
        <w:t xml:space="preserve">Specification of </w:t>
      </w:r>
      <w:r w:rsidR="00010CE2" w:rsidRPr="00DD527B">
        <w:rPr>
          <w:i/>
        </w:rPr>
        <w:t>Categories of Visas that Preclude a Person from Lodging a Student Visa Application in Australia) Amendment Instrument (LIN</w:t>
      </w:r>
      <w:r w:rsidR="005B1E30">
        <w:rPr>
          <w:i/>
        </w:rPr>
        <w:t> </w:t>
      </w:r>
      <w:r w:rsidR="00010CE2" w:rsidRPr="00DD527B">
        <w:rPr>
          <w:i/>
        </w:rPr>
        <w:t>24/051) 2024</w:t>
      </w:r>
      <w:r w:rsidR="009977AB">
        <w:t>.</w:t>
      </w:r>
    </w:p>
    <w:p w14:paraId="5709E7F9" w14:textId="77777777" w:rsidR="007E4691" w:rsidRDefault="007E4691" w:rsidP="00100DFC">
      <w:pPr>
        <w:pStyle w:val="ESAttHeading"/>
        <w:rPr>
          <w:b w:val="0"/>
        </w:rPr>
      </w:pPr>
      <w:r>
        <w:t>Section 2</w:t>
      </w:r>
      <w:r>
        <w:tab/>
        <w:t>Commencement</w:t>
      </w:r>
    </w:p>
    <w:p w14:paraId="321520C3" w14:textId="77777777" w:rsidR="00915032" w:rsidRDefault="007E4691" w:rsidP="00100DFC">
      <w:pPr>
        <w:pStyle w:val="ESAttNormal"/>
      </w:pPr>
      <w:r>
        <w:t xml:space="preserve">This section provides that the instrument commences on </w:t>
      </w:r>
      <w:r w:rsidR="00010CE2">
        <w:t>1 July 2024.</w:t>
      </w:r>
    </w:p>
    <w:p w14:paraId="6F96A27E" w14:textId="77777777" w:rsidR="005A3733" w:rsidRDefault="00915032" w:rsidP="005A3733">
      <w:pPr>
        <w:pStyle w:val="ESAttHeading"/>
      </w:pPr>
      <w:r>
        <w:t>Section 3</w:t>
      </w:r>
      <w:r>
        <w:tab/>
      </w:r>
      <w:r w:rsidR="00010CE2">
        <w:t>Authority</w:t>
      </w:r>
    </w:p>
    <w:p w14:paraId="00E4AAD2" w14:textId="2E582445" w:rsidR="00915032" w:rsidRDefault="00010CE2" w:rsidP="00100DFC">
      <w:pPr>
        <w:pStyle w:val="ESAttNormal"/>
      </w:pPr>
      <w:r>
        <w:t xml:space="preserve">This section provides that the instrument is made under </w:t>
      </w:r>
      <w:r w:rsidR="002E0BA1">
        <w:t xml:space="preserve">paragraph </w:t>
      </w:r>
      <w:r>
        <w:t xml:space="preserve">1222(5)(c) of the </w:t>
      </w:r>
      <w:r>
        <w:rPr>
          <w:i/>
        </w:rPr>
        <w:t xml:space="preserve">Migration Regulations 1994 </w:t>
      </w:r>
      <w:r>
        <w:t>(the Migration Regulations)</w:t>
      </w:r>
      <w:r w:rsidR="002E0BA1">
        <w:t>,</w:t>
      </w:r>
      <w:r>
        <w:t xml:space="preserve"> for the purpose of subitem 1222(4) of the Migration Regulations. </w:t>
      </w:r>
    </w:p>
    <w:p w14:paraId="5F79F542" w14:textId="54F02B9C" w:rsidR="00915032" w:rsidRDefault="005A3733" w:rsidP="00100DFC">
      <w:pPr>
        <w:pStyle w:val="ESAttHeading"/>
      </w:pPr>
      <w:r>
        <w:t>Section 4</w:t>
      </w:r>
      <w:r w:rsidR="00915032">
        <w:tab/>
      </w:r>
      <w:r w:rsidR="00010CE2">
        <w:t xml:space="preserve">Schedules </w:t>
      </w:r>
    </w:p>
    <w:p w14:paraId="64C2BCF1" w14:textId="02D68CBA" w:rsidR="00915032" w:rsidRDefault="005B1E30" w:rsidP="00100DFC">
      <w:pPr>
        <w:pStyle w:val="ESAttNormal"/>
      </w:pPr>
      <w:r>
        <w:t>This section</w:t>
      </w:r>
      <w:r w:rsidR="00010CE2">
        <w:t xml:space="preserve"> indicates that Schedule 1 to LIN 24/051</w:t>
      </w:r>
      <w:r w:rsidR="009977AB">
        <w:t xml:space="preserve"> provides a list of items amending IMMI 16/016. </w:t>
      </w:r>
    </w:p>
    <w:p w14:paraId="1DD7584C" w14:textId="77777777" w:rsidR="00915032" w:rsidRDefault="009977AB" w:rsidP="00100DFC">
      <w:pPr>
        <w:pStyle w:val="ESAttHeading"/>
      </w:pPr>
      <w:r>
        <w:t>Schedule 1</w:t>
      </w:r>
      <w:r w:rsidR="00915032">
        <w:tab/>
      </w:r>
      <w:r>
        <w:t xml:space="preserve">Amendments </w:t>
      </w:r>
    </w:p>
    <w:p w14:paraId="696320EA" w14:textId="6C79D325" w:rsidR="00915032" w:rsidRDefault="009977AB" w:rsidP="00100DFC">
      <w:pPr>
        <w:pStyle w:val="ESAttNormal"/>
      </w:pPr>
      <w:r>
        <w:t xml:space="preserve">Item 1 of Schedule 1 to LIN 24/051 substitutes the existing table to IMMI 16/016 listing the </w:t>
      </w:r>
      <w:r w:rsidR="002E0BA1">
        <w:t xml:space="preserve">classes </w:t>
      </w:r>
      <w:r>
        <w:t>of substantive temporary visas that</w:t>
      </w:r>
      <w:r w:rsidR="002E0BA1">
        <w:t>, if held by a non-citizen in Australia, prevent them from making a valid application for a Student (Temporary) (Class TU) visa</w:t>
      </w:r>
      <w:r>
        <w:t xml:space="preserve">. </w:t>
      </w:r>
    </w:p>
    <w:p w14:paraId="1AF2B1E3" w14:textId="68689171" w:rsidR="009977AB" w:rsidRDefault="009977AB" w:rsidP="00100DFC">
      <w:pPr>
        <w:pStyle w:val="ESAttNormal"/>
      </w:pPr>
      <w:r>
        <w:t xml:space="preserve">Five additional substantive temporary visa </w:t>
      </w:r>
      <w:r w:rsidR="002E0BA1">
        <w:t>s</w:t>
      </w:r>
      <w:r>
        <w:t xml:space="preserve">ubclasses have been added to IMMI 16/016, including: </w:t>
      </w:r>
    </w:p>
    <w:p w14:paraId="6B9F151F" w14:textId="3A5F1C36" w:rsidR="009977AB" w:rsidRDefault="009977AB" w:rsidP="009977AB">
      <w:pPr>
        <w:pStyle w:val="ESAttNormal"/>
        <w:numPr>
          <w:ilvl w:val="0"/>
          <w:numId w:val="5"/>
        </w:numPr>
      </w:pPr>
      <w:r>
        <w:t xml:space="preserve">Subclass </w:t>
      </w:r>
      <w:r w:rsidRPr="0054592A">
        <w:t>485</w:t>
      </w:r>
      <w:r w:rsidR="002E0BA1">
        <w:t xml:space="preserve"> </w:t>
      </w:r>
      <w:r w:rsidR="002E0BA1">
        <w:rPr>
          <w:color w:val="000000"/>
        </w:rPr>
        <w:t>(</w:t>
      </w:r>
      <w:r>
        <w:t>Temporary Graduate</w:t>
      </w:r>
      <w:r w:rsidR="002E0BA1">
        <w:t>)</w:t>
      </w:r>
      <w:r>
        <w:t>;</w:t>
      </w:r>
    </w:p>
    <w:p w14:paraId="50FA474A" w14:textId="6DCA0900" w:rsidR="009977AB" w:rsidRDefault="009977AB" w:rsidP="009977AB">
      <w:pPr>
        <w:pStyle w:val="ESAttNormal"/>
        <w:numPr>
          <w:ilvl w:val="0"/>
          <w:numId w:val="5"/>
        </w:numPr>
      </w:pPr>
      <w:r w:rsidRPr="0054592A">
        <w:t>Subclass 601</w:t>
      </w:r>
      <w:r w:rsidR="002E0BA1">
        <w:rPr>
          <w:color w:val="000000"/>
        </w:rPr>
        <w:t xml:space="preserve"> (</w:t>
      </w:r>
      <w:r>
        <w:t>Electronic Travel Authority</w:t>
      </w:r>
      <w:r w:rsidR="002E0BA1">
        <w:t>)</w:t>
      </w:r>
      <w:r>
        <w:t>;</w:t>
      </w:r>
    </w:p>
    <w:p w14:paraId="2C8DB3A2" w14:textId="7AC8267A" w:rsidR="009977AB" w:rsidRDefault="009977AB" w:rsidP="009977AB">
      <w:pPr>
        <w:pStyle w:val="ESAttNormal"/>
        <w:numPr>
          <w:ilvl w:val="0"/>
          <w:numId w:val="5"/>
        </w:numPr>
      </w:pPr>
      <w:r w:rsidRPr="0054592A">
        <w:t>Subclass 602</w:t>
      </w:r>
      <w:r w:rsidR="002E0BA1">
        <w:rPr>
          <w:color w:val="000000"/>
        </w:rPr>
        <w:t xml:space="preserve"> (</w:t>
      </w:r>
      <w:r>
        <w:t>Medical Treatment</w:t>
      </w:r>
      <w:r w:rsidR="002E0BA1">
        <w:t>)</w:t>
      </w:r>
      <w:r>
        <w:t>;</w:t>
      </w:r>
    </w:p>
    <w:p w14:paraId="533107D8" w14:textId="6B7922A9" w:rsidR="009977AB" w:rsidRDefault="009977AB" w:rsidP="009977AB">
      <w:pPr>
        <w:pStyle w:val="ESAttNormal"/>
        <w:numPr>
          <w:ilvl w:val="0"/>
          <w:numId w:val="5"/>
        </w:numPr>
      </w:pPr>
      <w:r w:rsidRPr="0054592A">
        <w:t>Subclass 651</w:t>
      </w:r>
      <w:r w:rsidR="002E0BA1">
        <w:rPr>
          <w:color w:val="000000"/>
        </w:rPr>
        <w:t xml:space="preserve"> (</w:t>
      </w:r>
      <w:r w:rsidRPr="0054592A">
        <w:t>eVisitor</w:t>
      </w:r>
      <w:r w:rsidR="002E0BA1">
        <w:t>)</w:t>
      </w:r>
      <w:r>
        <w:t>; and</w:t>
      </w:r>
    </w:p>
    <w:p w14:paraId="1B06D9F0" w14:textId="21338F7A" w:rsidR="009977AB" w:rsidRPr="009977AB" w:rsidRDefault="009977AB" w:rsidP="009977AB">
      <w:pPr>
        <w:pStyle w:val="ESAttNormal"/>
        <w:numPr>
          <w:ilvl w:val="0"/>
          <w:numId w:val="5"/>
        </w:numPr>
      </w:pPr>
      <w:r w:rsidRPr="0054592A">
        <w:t>Subclass 988</w:t>
      </w:r>
      <w:r w:rsidR="002E0BA1">
        <w:rPr>
          <w:color w:val="000000"/>
        </w:rPr>
        <w:t xml:space="preserve"> (</w:t>
      </w:r>
      <w:r>
        <w:t>Maritime Crew</w:t>
      </w:r>
      <w:r w:rsidR="002E0BA1">
        <w:t>)</w:t>
      </w:r>
      <w:r>
        <w:rPr>
          <w:color w:val="000000"/>
        </w:rPr>
        <w:t>.</w:t>
      </w:r>
    </w:p>
    <w:p w14:paraId="665723E1" w14:textId="284B4AAA" w:rsidR="00915032" w:rsidRPr="00915032" w:rsidRDefault="002E0BA1" w:rsidP="00100DFC">
      <w:pPr>
        <w:pStyle w:val="ESAttNormal"/>
        <w:rPr>
          <w:b/>
        </w:rPr>
      </w:pPr>
      <w:r>
        <w:t>In addition, the</w:t>
      </w:r>
      <w:r w:rsidR="009977AB">
        <w:t xml:space="preserve"> Subclass 600</w:t>
      </w:r>
      <w:r>
        <w:t xml:space="preserve"> (</w:t>
      </w:r>
      <w:r w:rsidR="009977AB">
        <w:t>Visitor</w:t>
      </w:r>
      <w:r>
        <w:t>)</w:t>
      </w:r>
      <w:r w:rsidR="009977AB">
        <w:t xml:space="preserve"> visa</w:t>
      </w:r>
      <w:r>
        <w:t xml:space="preserve"> is now specified in its entirety for the purpose of </w:t>
      </w:r>
      <w:r w:rsidR="009977AB">
        <w:t xml:space="preserve">subitem 1222(4) </w:t>
      </w:r>
      <w:r>
        <w:t xml:space="preserve">of </w:t>
      </w:r>
      <w:r w:rsidR="009977AB">
        <w:t xml:space="preserve">Schedule 1 </w:t>
      </w:r>
      <w:r>
        <w:t xml:space="preserve">to </w:t>
      </w:r>
      <w:r w:rsidR="009977AB">
        <w:t>the Migration Regulations</w:t>
      </w:r>
      <w:r>
        <w:t>. Previously, only the Sponsored Family and Approved Destination Status streams were specified</w:t>
      </w:r>
      <w:r w:rsidR="009977AB">
        <w:t xml:space="preserve">. </w:t>
      </w:r>
      <w:r>
        <w:t xml:space="preserve">Now, all Subclass 600 visa holders are prevented from applying for a </w:t>
      </w:r>
      <w:r w:rsidR="004A3E5B" w:rsidRPr="004A3E5B">
        <w:t xml:space="preserve">Student (Temporary) (Class TU) </w:t>
      </w:r>
      <w:r>
        <w:t>visa in Australia.</w:t>
      </w:r>
    </w:p>
    <w:sectPr w:rsidR="00915032" w:rsidRPr="00915032" w:rsidSect="004F5CE4">
      <w:footerReference w:type="default" r:id="rId10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2406" w14:textId="77777777" w:rsidR="00963FC1" w:rsidRDefault="00963FC1" w:rsidP="00963FC1">
      <w:pPr>
        <w:spacing w:after="0" w:line="240" w:lineRule="auto"/>
      </w:pPr>
      <w:r>
        <w:separator/>
      </w:r>
    </w:p>
  </w:endnote>
  <w:endnote w:type="continuationSeparator" w:id="0">
    <w:p w14:paraId="5468A0E1" w14:textId="77777777" w:rsidR="00963FC1" w:rsidRDefault="00963FC1" w:rsidP="0096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932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ED08F8E" w14:textId="4DEA9972" w:rsidR="00963FC1" w:rsidRPr="00963FC1" w:rsidRDefault="00963FC1">
        <w:pPr>
          <w:pStyle w:val="Footer"/>
          <w:jc w:val="center"/>
          <w:rPr>
            <w:rFonts w:ascii="Times New Roman" w:hAnsi="Times New Roman" w:cs="Times New Roman"/>
          </w:rPr>
        </w:pPr>
        <w:r w:rsidRPr="00963FC1">
          <w:rPr>
            <w:rFonts w:ascii="Times New Roman" w:hAnsi="Times New Roman" w:cs="Times New Roman"/>
          </w:rPr>
          <w:fldChar w:fldCharType="begin"/>
        </w:r>
        <w:r w:rsidRPr="00963FC1">
          <w:rPr>
            <w:rFonts w:ascii="Times New Roman" w:hAnsi="Times New Roman" w:cs="Times New Roman"/>
          </w:rPr>
          <w:instrText xml:space="preserve"> PAGE   \* MERGEFORMAT </w:instrText>
        </w:r>
        <w:r w:rsidRPr="00963FC1">
          <w:rPr>
            <w:rFonts w:ascii="Times New Roman" w:hAnsi="Times New Roman" w:cs="Times New Roman"/>
          </w:rPr>
          <w:fldChar w:fldCharType="separate"/>
        </w:r>
        <w:r w:rsidR="00AF5296">
          <w:rPr>
            <w:rFonts w:ascii="Times New Roman" w:hAnsi="Times New Roman" w:cs="Times New Roman"/>
            <w:noProof/>
          </w:rPr>
          <w:t>1</w:t>
        </w:r>
        <w:r w:rsidRPr="00963FC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A4F476" w14:textId="77777777" w:rsidR="00963FC1" w:rsidRDefault="00963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81F5" w14:textId="77777777" w:rsidR="00963FC1" w:rsidRDefault="00963FC1" w:rsidP="00963FC1">
      <w:pPr>
        <w:spacing w:after="0" w:line="240" w:lineRule="auto"/>
      </w:pPr>
      <w:r>
        <w:separator/>
      </w:r>
    </w:p>
  </w:footnote>
  <w:footnote w:type="continuationSeparator" w:id="0">
    <w:p w14:paraId="55B29E71" w14:textId="77777777" w:rsidR="00963FC1" w:rsidRDefault="00963FC1" w:rsidP="0096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CD972BC"/>
    <w:multiLevelType w:val="hybridMultilevel"/>
    <w:tmpl w:val="D87CB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35"/>
    <w:rsid w:val="00010CE2"/>
    <w:rsid w:val="000458F0"/>
    <w:rsid w:val="000D014F"/>
    <w:rsid w:val="00100DFC"/>
    <w:rsid w:val="00122189"/>
    <w:rsid w:val="0019164E"/>
    <w:rsid w:val="00203438"/>
    <w:rsid w:val="002402E0"/>
    <w:rsid w:val="002D167E"/>
    <w:rsid w:val="002E0BA1"/>
    <w:rsid w:val="00457D4A"/>
    <w:rsid w:val="00464080"/>
    <w:rsid w:val="004A3603"/>
    <w:rsid w:val="004A3E5B"/>
    <w:rsid w:val="004F5CE4"/>
    <w:rsid w:val="00534051"/>
    <w:rsid w:val="00560B24"/>
    <w:rsid w:val="00564882"/>
    <w:rsid w:val="0057002B"/>
    <w:rsid w:val="005A3733"/>
    <w:rsid w:val="005A4428"/>
    <w:rsid w:val="005B1E30"/>
    <w:rsid w:val="00604E06"/>
    <w:rsid w:val="0066721B"/>
    <w:rsid w:val="00676A29"/>
    <w:rsid w:val="006A0D1B"/>
    <w:rsid w:val="00741ECF"/>
    <w:rsid w:val="0079677E"/>
    <w:rsid w:val="007E4691"/>
    <w:rsid w:val="008428D5"/>
    <w:rsid w:val="00867DD6"/>
    <w:rsid w:val="00874FD5"/>
    <w:rsid w:val="00877B11"/>
    <w:rsid w:val="0088407D"/>
    <w:rsid w:val="008B24C8"/>
    <w:rsid w:val="00912C61"/>
    <w:rsid w:val="00915032"/>
    <w:rsid w:val="00963FC1"/>
    <w:rsid w:val="00973BA6"/>
    <w:rsid w:val="009977AB"/>
    <w:rsid w:val="009A4F8F"/>
    <w:rsid w:val="00A63CFA"/>
    <w:rsid w:val="00AA4557"/>
    <w:rsid w:val="00AA4F77"/>
    <w:rsid w:val="00AE652D"/>
    <w:rsid w:val="00AF5296"/>
    <w:rsid w:val="00B04112"/>
    <w:rsid w:val="00B445D9"/>
    <w:rsid w:val="00B65A06"/>
    <w:rsid w:val="00B75478"/>
    <w:rsid w:val="00BB0CF2"/>
    <w:rsid w:val="00BD598E"/>
    <w:rsid w:val="00BE3E7F"/>
    <w:rsid w:val="00C22D25"/>
    <w:rsid w:val="00C81A5E"/>
    <w:rsid w:val="00C930F2"/>
    <w:rsid w:val="00D40E1E"/>
    <w:rsid w:val="00D5728F"/>
    <w:rsid w:val="00E03DCC"/>
    <w:rsid w:val="00E45FE2"/>
    <w:rsid w:val="00EA12C9"/>
    <w:rsid w:val="00EC5F9D"/>
    <w:rsid w:val="00ED3BFF"/>
    <w:rsid w:val="00F05239"/>
    <w:rsid w:val="00F201E9"/>
    <w:rsid w:val="00F73735"/>
    <w:rsid w:val="00F7428C"/>
    <w:rsid w:val="00FA0872"/>
    <w:rsid w:val="00FE0FEE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EDA7"/>
  <w15:chartTrackingRefBased/>
  <w15:docId w15:val="{53D1200D-F93E-4ADD-BC30-20CDD8BD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10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C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E2"/>
    <w:rPr>
      <w:rFonts w:ascii="Segoe UI" w:hAnsi="Segoe UI" w:cs="Segoe UI"/>
      <w:sz w:val="18"/>
      <w:szCs w:val="18"/>
    </w:rPr>
  </w:style>
  <w:style w:type="paragraph" w:customStyle="1" w:styleId="ActHead7">
    <w:name w:val="ActHead 7"/>
    <w:aliases w:val="ap"/>
    <w:basedOn w:val="Normal"/>
    <w:next w:val="Normal"/>
    <w:qFormat/>
    <w:rsid w:val="009977AB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99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41E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C1"/>
  </w:style>
  <w:style w:type="paragraph" w:styleId="Footer">
    <w:name w:val="footer"/>
    <w:basedOn w:val="Normal"/>
    <w:link w:val="FooterChar"/>
    <w:uiPriority w:val="99"/>
    <w:unhideWhenUsed/>
    <w:rsid w:val="0096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B3187D-4E58-4F52-AACC-63735E9E3C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D1CA6D8229EE4E88D83EB2BDD52C11" ma:contentTypeVersion="" ma:contentTypeDescription="PDMS Document Site Content Type" ma:contentTypeScope="" ma:versionID="5c3125e6e9ade81425ea9a8cbc669dc3">
  <xsd:schema xmlns:xsd="http://www.w3.org/2001/XMLSchema" xmlns:xs="http://www.w3.org/2001/XMLSchema" xmlns:p="http://schemas.microsoft.com/office/2006/metadata/properties" xmlns:ns2="7AB3187D-4E58-4F52-AACC-63735E9E3C28" targetNamespace="http://schemas.microsoft.com/office/2006/metadata/properties" ma:root="true" ma:fieldsID="79a3d5278c084050436a9645d421ed3f" ns2:_="">
    <xsd:import namespace="7AB3187D-4E58-4F52-AACC-63735E9E3C2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187D-4E58-4F52-AACC-63735E9E3C2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44ABA-A82F-4DD2-9B02-6183A79840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AB3187D-4E58-4F52-AACC-63735E9E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E3F91B-4D5E-49DB-8B78-1C752941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3187D-4E58-4F52-AACC-63735E9E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D3A3C-1898-49B3-95A3-AFB9E10AE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LEE</dc:creator>
  <cp:keywords/>
  <dc:description/>
  <cp:lastModifiedBy>Premini INDRAN</cp:lastModifiedBy>
  <cp:revision>2</cp:revision>
  <dcterms:created xsi:type="dcterms:W3CDTF">2024-06-26T03:56:00Z</dcterms:created>
  <dcterms:modified xsi:type="dcterms:W3CDTF">2024-06-26T03:56:00Z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0x010100266966F133664895A6EE3632470D45F50065D1CA6D8229EE4E88D83EB2BDD52C11</vt:lpwstr>
  </property>
</Properties>
</file>