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5F12" w14:textId="77777777" w:rsidR="005B395C" w:rsidRPr="006A10E7" w:rsidRDefault="004A3DEF" w:rsidP="005B395C">
      <w:pPr>
        <w:jc w:val="center"/>
        <w:rPr>
          <w:rFonts w:ascii="Times New Roman Bold" w:hAnsi="Times New Roman Bold" w:cs="Times New Roman Bold"/>
          <w:caps/>
          <w:sz w:val="22"/>
          <w:szCs w:val="22"/>
        </w:rPr>
      </w:pPr>
      <w:r>
        <w:rPr>
          <w:rFonts w:ascii="Times New Roman Bold" w:hAnsi="Times New Roman Bold" w:cs="Times New Roman Bold"/>
          <w:b/>
          <w:bCs/>
          <w:caps/>
          <w:sz w:val="22"/>
          <w:szCs w:val="22"/>
        </w:rPr>
        <w:t xml:space="preserve"> </w:t>
      </w:r>
      <w:r w:rsidR="005B395C" w:rsidRPr="006A10E7">
        <w:rPr>
          <w:rFonts w:ascii="Times New Roman Bold" w:hAnsi="Times New Roman Bold" w:cs="Times New Roman Bold"/>
          <w:b/>
          <w:bCs/>
          <w:caps/>
          <w:sz w:val="22"/>
          <w:szCs w:val="22"/>
        </w:rPr>
        <w:t>Explanatory Statement</w:t>
      </w:r>
    </w:p>
    <w:p w14:paraId="51A52495" w14:textId="77777777" w:rsidR="005B395C" w:rsidRPr="006A10E7" w:rsidRDefault="005B395C" w:rsidP="005B395C">
      <w:pPr>
        <w:rPr>
          <w:sz w:val="22"/>
          <w:szCs w:val="22"/>
        </w:rPr>
      </w:pPr>
    </w:p>
    <w:p w14:paraId="47794976" w14:textId="77777777" w:rsidR="005B395C" w:rsidRPr="006A10E7" w:rsidRDefault="005B395C" w:rsidP="005B395C">
      <w:pPr>
        <w:jc w:val="center"/>
        <w:rPr>
          <w:sz w:val="22"/>
          <w:szCs w:val="22"/>
        </w:rPr>
      </w:pPr>
    </w:p>
    <w:p w14:paraId="13040BD6" w14:textId="77777777" w:rsidR="00300953" w:rsidRPr="001E2610" w:rsidRDefault="00300953" w:rsidP="00300953">
      <w:pPr>
        <w:shd w:val="clear" w:color="auto" w:fill="FFFFFF"/>
        <w:jc w:val="center"/>
        <w:rPr>
          <w:color w:val="000000"/>
        </w:rPr>
      </w:pPr>
      <w:r w:rsidRPr="001E2610">
        <w:rPr>
          <w:i/>
          <w:iCs/>
          <w:color w:val="000000"/>
        </w:rPr>
        <w:t>National Health Act 1953</w:t>
      </w:r>
    </w:p>
    <w:p w14:paraId="1D46CDA9" w14:textId="77777777" w:rsidR="00300953" w:rsidRPr="001E2610" w:rsidRDefault="00300953" w:rsidP="00300953">
      <w:pPr>
        <w:shd w:val="clear" w:color="auto" w:fill="FFFFFF"/>
        <w:rPr>
          <w:color w:val="000000"/>
        </w:rPr>
      </w:pPr>
      <w:r w:rsidRPr="001E2610">
        <w:rPr>
          <w:color w:val="000000"/>
        </w:rPr>
        <w:t> </w:t>
      </w:r>
    </w:p>
    <w:p w14:paraId="404C99B9" w14:textId="77777777" w:rsidR="00300953" w:rsidRPr="001E2610" w:rsidRDefault="00300953" w:rsidP="00300953">
      <w:pPr>
        <w:shd w:val="clear" w:color="auto" w:fill="FFFFFF"/>
        <w:jc w:val="center"/>
        <w:rPr>
          <w:color w:val="000000"/>
        </w:rPr>
      </w:pPr>
      <w:r w:rsidRPr="001E2610">
        <w:rPr>
          <w:b/>
          <w:bCs/>
          <w:i/>
          <w:iCs/>
          <w:color w:val="000000"/>
        </w:rPr>
        <w:t>National Health (</w:t>
      </w:r>
      <w:r w:rsidR="00ED67C7">
        <w:rPr>
          <w:b/>
          <w:bCs/>
          <w:i/>
          <w:iCs/>
          <w:color w:val="000000"/>
        </w:rPr>
        <w:t>Medication Program for Homeless People</w:t>
      </w:r>
      <w:r w:rsidRPr="001E2610">
        <w:rPr>
          <w:b/>
          <w:bCs/>
          <w:i/>
          <w:iCs/>
          <w:color w:val="000000"/>
        </w:rPr>
        <w:t xml:space="preserve">) </w:t>
      </w:r>
      <w:r w:rsidR="00231621">
        <w:rPr>
          <w:b/>
          <w:bCs/>
          <w:i/>
          <w:iCs/>
          <w:color w:val="000000"/>
        </w:rPr>
        <w:t xml:space="preserve">Amendment </w:t>
      </w:r>
      <w:r w:rsidRPr="001E2610">
        <w:rPr>
          <w:b/>
          <w:bCs/>
          <w:i/>
          <w:iCs/>
          <w:color w:val="000000"/>
        </w:rPr>
        <w:t>Special Arrangement 20</w:t>
      </w:r>
      <w:r>
        <w:rPr>
          <w:b/>
          <w:bCs/>
          <w:i/>
          <w:iCs/>
          <w:color w:val="000000"/>
        </w:rPr>
        <w:t>2</w:t>
      </w:r>
      <w:r w:rsidR="00231621">
        <w:rPr>
          <w:b/>
          <w:bCs/>
          <w:i/>
          <w:iCs/>
          <w:color w:val="000000"/>
        </w:rPr>
        <w:t>4</w:t>
      </w:r>
    </w:p>
    <w:p w14:paraId="55B21311" w14:textId="77777777" w:rsidR="00300953" w:rsidRPr="001E2610" w:rsidRDefault="00300953" w:rsidP="00300953">
      <w:pPr>
        <w:shd w:val="clear" w:color="auto" w:fill="FFFFFF"/>
        <w:jc w:val="center"/>
        <w:rPr>
          <w:color w:val="000000"/>
        </w:rPr>
      </w:pPr>
      <w:r w:rsidRPr="001E2610">
        <w:rPr>
          <w:i/>
          <w:iCs/>
          <w:color w:val="000000"/>
        </w:rPr>
        <w:t> </w:t>
      </w:r>
    </w:p>
    <w:p w14:paraId="2B924A3E" w14:textId="047F4671" w:rsidR="005B395C" w:rsidRPr="006A10E7" w:rsidRDefault="00300953" w:rsidP="00133E27">
      <w:pPr>
        <w:shd w:val="clear" w:color="auto" w:fill="FFFFFF"/>
        <w:jc w:val="center"/>
        <w:rPr>
          <w:i/>
          <w:sz w:val="22"/>
          <w:szCs w:val="22"/>
        </w:rPr>
      </w:pPr>
      <w:r w:rsidRPr="00AD335D">
        <w:rPr>
          <w:b/>
          <w:bCs/>
          <w:color w:val="000000"/>
        </w:rPr>
        <w:t>PB </w:t>
      </w:r>
      <w:r w:rsidR="00AD335D" w:rsidRPr="00AD335D">
        <w:rPr>
          <w:b/>
          <w:bCs/>
          <w:color w:val="000000"/>
        </w:rPr>
        <w:t>73</w:t>
      </w:r>
      <w:r w:rsidRPr="00AD335D">
        <w:rPr>
          <w:b/>
          <w:bCs/>
          <w:color w:val="000000"/>
        </w:rPr>
        <w:t> of 202</w:t>
      </w:r>
      <w:r w:rsidR="00231621" w:rsidRPr="00AD335D">
        <w:rPr>
          <w:b/>
          <w:bCs/>
          <w:color w:val="000000"/>
        </w:rPr>
        <w:t>4</w:t>
      </w:r>
      <w:r w:rsidR="00016A5E">
        <w:rPr>
          <w:b/>
          <w:bCs/>
          <w:color w:val="000000"/>
        </w:rPr>
        <w:t xml:space="preserve"> </w:t>
      </w:r>
    </w:p>
    <w:p w14:paraId="263708E9" w14:textId="77777777" w:rsidR="005B395C" w:rsidRPr="006A10E7" w:rsidRDefault="005B395C" w:rsidP="005B395C">
      <w:pPr>
        <w:jc w:val="center"/>
        <w:rPr>
          <w:sz w:val="22"/>
          <w:szCs w:val="22"/>
        </w:rPr>
      </w:pPr>
    </w:p>
    <w:p w14:paraId="0A4C862C" w14:textId="77777777" w:rsidR="00880D41" w:rsidRPr="006A10E7" w:rsidRDefault="00880D41" w:rsidP="001E7CB8">
      <w:pPr>
        <w:jc w:val="both"/>
        <w:rPr>
          <w:sz w:val="22"/>
          <w:szCs w:val="22"/>
        </w:rPr>
      </w:pPr>
    </w:p>
    <w:p w14:paraId="34C407EC" w14:textId="0180566F" w:rsidR="00300953" w:rsidRPr="002900C0" w:rsidRDefault="00880D41" w:rsidP="005E37B9">
      <w:pPr>
        <w:rPr>
          <w:b/>
        </w:rPr>
      </w:pPr>
      <w:r w:rsidRPr="002900C0">
        <w:rPr>
          <w:b/>
        </w:rPr>
        <w:t>Purpose</w:t>
      </w:r>
      <w:r w:rsidR="00426FB4" w:rsidRPr="002900C0">
        <w:rPr>
          <w:b/>
        </w:rPr>
        <w:t xml:space="preserve"> </w:t>
      </w:r>
    </w:p>
    <w:p w14:paraId="7822EEDE" w14:textId="0F03B369" w:rsidR="005E37B9" w:rsidRDefault="005E37B9" w:rsidP="002900C0">
      <w:pPr>
        <w:rPr>
          <w:b/>
          <w:sz w:val="22"/>
          <w:szCs w:val="22"/>
        </w:rPr>
      </w:pPr>
    </w:p>
    <w:p w14:paraId="19AFC20B" w14:textId="3A661D9A" w:rsidR="00BB23BC" w:rsidRPr="000C10B6" w:rsidRDefault="00426FB4" w:rsidP="00FB5EA9">
      <w:pPr>
        <w:rPr>
          <w:color w:val="000000"/>
        </w:rPr>
      </w:pPr>
      <w:r>
        <w:t>T</w:t>
      </w:r>
      <w:r w:rsidR="00BB23BC" w:rsidRPr="00F27D27">
        <w:t xml:space="preserve">he </w:t>
      </w:r>
      <w:r w:rsidR="00BB23BC" w:rsidRPr="00F27D27">
        <w:rPr>
          <w:i/>
        </w:rPr>
        <w:t xml:space="preserve">National Health (Medication Program for Homeless People) Amendment Special Arrangement Instrument 2024 </w:t>
      </w:r>
      <w:r w:rsidR="00BB23BC" w:rsidRPr="00F27D27">
        <w:t>(</w:t>
      </w:r>
      <w:r>
        <w:t>Amendment</w:t>
      </w:r>
      <w:r w:rsidRPr="00F27D27">
        <w:t xml:space="preserve"> </w:t>
      </w:r>
      <w:r w:rsidR="00BB23BC" w:rsidRPr="00F27D27">
        <w:t>Instrument)</w:t>
      </w:r>
      <w:r w:rsidR="00044A24">
        <w:t xml:space="preserve"> </w:t>
      </w:r>
      <w:r w:rsidR="00BB23BC" w:rsidRPr="00F27D27">
        <w:t>amend</w:t>
      </w:r>
      <w:r>
        <w:t>s</w:t>
      </w:r>
      <w:r w:rsidR="00BB23BC" w:rsidRPr="00F27D27">
        <w:t xml:space="preserve"> the </w:t>
      </w:r>
      <w:bookmarkStart w:id="0" w:name="_Hlk156472691"/>
      <w:r w:rsidR="00BB23BC" w:rsidRPr="00F27D27">
        <w:rPr>
          <w:i/>
        </w:rPr>
        <w:t>National Health (Medication Program for Homeless People) Special Arrangement 2021</w:t>
      </w:r>
      <w:r w:rsidR="00BB23BC" w:rsidRPr="00F27D27">
        <w:t xml:space="preserve"> </w:t>
      </w:r>
      <w:bookmarkEnd w:id="0"/>
      <w:r w:rsidR="00BB23BC" w:rsidRPr="00F27D27">
        <w:t>(PB</w:t>
      </w:r>
      <w:r w:rsidR="00384F0C" w:rsidRPr="00F27D27">
        <w:t> </w:t>
      </w:r>
      <w:r w:rsidR="00BB23BC" w:rsidRPr="00F27D27">
        <w:t>73 of 2021)</w:t>
      </w:r>
      <w:r w:rsidR="00044A24">
        <w:t xml:space="preserve"> </w:t>
      </w:r>
      <w:r w:rsidR="00BB23BC" w:rsidRPr="00F27D27">
        <w:t>(Special Arrangement)</w:t>
      </w:r>
      <w:r>
        <w:t xml:space="preserve"> to </w:t>
      </w:r>
      <w:r w:rsidR="00E17A3C">
        <w:t xml:space="preserve">repeal </w:t>
      </w:r>
      <w:r w:rsidR="00FE0F29">
        <w:t>the definition of ‘</w:t>
      </w:r>
      <w:r w:rsidR="00E17A3C">
        <w:t xml:space="preserve">residential </w:t>
      </w:r>
      <w:r w:rsidR="00FE0F29">
        <w:t>care recipient’</w:t>
      </w:r>
      <w:r w:rsidR="002238BC">
        <w:t xml:space="preserve">, </w:t>
      </w:r>
      <w:r w:rsidR="00F770D9">
        <w:t xml:space="preserve">further </w:t>
      </w:r>
      <w:r w:rsidR="004D105D">
        <w:t>clarify</w:t>
      </w:r>
      <w:r w:rsidR="002238BC">
        <w:t xml:space="preserve"> the definition of ‘homeless’</w:t>
      </w:r>
      <w:r w:rsidR="00D9297F">
        <w:t>,</w:t>
      </w:r>
      <w:r w:rsidR="00082AAE">
        <w:t xml:space="preserve"> </w:t>
      </w:r>
      <w:r w:rsidR="00FE0F29">
        <w:t xml:space="preserve">and </w:t>
      </w:r>
      <w:r>
        <w:t xml:space="preserve">repeal </w:t>
      </w:r>
      <w:r w:rsidR="00082AAE">
        <w:t xml:space="preserve">the transitional provisions </w:t>
      </w:r>
      <w:r w:rsidR="0087221C">
        <w:t xml:space="preserve">under </w:t>
      </w:r>
      <w:r w:rsidR="004D105D">
        <w:t xml:space="preserve">Part </w:t>
      </w:r>
      <w:r w:rsidR="002238BC">
        <w:t xml:space="preserve">4 </w:t>
      </w:r>
      <w:r>
        <w:t xml:space="preserve">of the Special Arrangement </w:t>
      </w:r>
      <w:r w:rsidR="001A7631">
        <w:t xml:space="preserve">as </w:t>
      </w:r>
      <w:r>
        <w:t xml:space="preserve">the transitional provisions </w:t>
      </w:r>
      <w:r w:rsidR="001A7631">
        <w:t>have already ceased</w:t>
      </w:r>
      <w:r>
        <w:t xml:space="preserve"> on 30 September 2021 </w:t>
      </w:r>
      <w:r w:rsidR="001A7631">
        <w:t xml:space="preserve">or are due to cease on </w:t>
      </w:r>
      <w:r>
        <w:t>30 June 2024</w:t>
      </w:r>
      <w:r w:rsidR="00BB23BC" w:rsidRPr="00F27D27">
        <w:t>.</w:t>
      </w:r>
      <w:r w:rsidR="000C10B6">
        <w:t xml:space="preserve"> </w:t>
      </w:r>
    </w:p>
    <w:p w14:paraId="4E59A4DD" w14:textId="77777777" w:rsidR="002B62F1" w:rsidRPr="00F27D27" w:rsidRDefault="002B62F1" w:rsidP="00384F0C">
      <w:pPr>
        <w:pStyle w:val="ListParagraph"/>
        <w:ind w:left="0"/>
        <w:rPr>
          <w:color w:val="000000"/>
        </w:rPr>
      </w:pPr>
    </w:p>
    <w:p w14:paraId="5F37F4B2" w14:textId="13763F5D" w:rsidR="00044A24" w:rsidRPr="00F27D27" w:rsidRDefault="00BB23BC" w:rsidP="00384F0C">
      <w:pPr>
        <w:pStyle w:val="ListParagraph"/>
        <w:ind w:left="0"/>
        <w:rPr>
          <w:color w:val="000000"/>
        </w:rPr>
      </w:pPr>
      <w:r w:rsidRPr="00F27D27">
        <w:rPr>
          <w:color w:val="000000"/>
        </w:rPr>
        <w:t xml:space="preserve">The amendments will ensure that </w:t>
      </w:r>
      <w:r w:rsidR="00384F0C" w:rsidRPr="00F27D27">
        <w:rPr>
          <w:color w:val="000000"/>
        </w:rPr>
        <w:t xml:space="preserve">only eligible patients who meet the required eligibility criteria </w:t>
      </w:r>
      <w:r w:rsidR="002B62F1" w:rsidRPr="00F27D27">
        <w:rPr>
          <w:color w:val="000000"/>
        </w:rPr>
        <w:t xml:space="preserve">(including </w:t>
      </w:r>
      <w:r w:rsidR="00384F0C" w:rsidRPr="00F27D27">
        <w:rPr>
          <w:color w:val="000000"/>
        </w:rPr>
        <w:t>for Primary and Secondary homelessness as contained in the Special Arrangement</w:t>
      </w:r>
      <w:r w:rsidR="002B62F1" w:rsidRPr="00F27D27">
        <w:rPr>
          <w:color w:val="000000"/>
        </w:rPr>
        <w:t>)</w:t>
      </w:r>
      <w:r w:rsidR="00384F0C" w:rsidRPr="00F27D27">
        <w:rPr>
          <w:color w:val="000000"/>
        </w:rPr>
        <w:t xml:space="preserve"> have access to </w:t>
      </w:r>
      <w:r w:rsidR="00A10941">
        <w:rPr>
          <w:color w:val="000000"/>
        </w:rPr>
        <w:t>the Pharmaceutical Benefits Scheme (PBS)</w:t>
      </w:r>
      <w:r w:rsidR="00A10941" w:rsidRPr="00F27D27">
        <w:rPr>
          <w:color w:val="000000"/>
        </w:rPr>
        <w:t xml:space="preserve"> </w:t>
      </w:r>
      <w:r w:rsidR="00384F0C" w:rsidRPr="00F27D27">
        <w:rPr>
          <w:color w:val="000000"/>
        </w:rPr>
        <w:t>General Schedule medicines with no out</w:t>
      </w:r>
      <w:r w:rsidR="00384F0C" w:rsidRPr="00F27D27">
        <w:rPr>
          <w:color w:val="000000"/>
        </w:rPr>
        <w:noBreakHyphen/>
        <w:t xml:space="preserve">of-pocket expense. </w:t>
      </w:r>
    </w:p>
    <w:p w14:paraId="77D3A19B" w14:textId="79F7A959" w:rsidR="00BB23BC" w:rsidRPr="00DE6006" w:rsidRDefault="00BB23BC" w:rsidP="00D65802">
      <w:pPr>
        <w:pStyle w:val="ListParagraph"/>
        <w:ind w:left="0"/>
      </w:pPr>
    </w:p>
    <w:p w14:paraId="0CEBAA41" w14:textId="77777777" w:rsidR="00044A24" w:rsidRDefault="00C80A63" w:rsidP="005E37B9">
      <w:pPr>
        <w:shd w:val="clear" w:color="auto" w:fill="FFFFFF"/>
        <w:rPr>
          <w:b/>
          <w:bCs/>
          <w:color w:val="000000"/>
        </w:rPr>
      </w:pPr>
      <w:r w:rsidRPr="00C80A63">
        <w:rPr>
          <w:b/>
          <w:bCs/>
          <w:color w:val="000000"/>
        </w:rPr>
        <w:t>Background</w:t>
      </w:r>
    </w:p>
    <w:p w14:paraId="23D9C93F" w14:textId="77777777" w:rsidR="005E37B9" w:rsidRDefault="005E37B9" w:rsidP="002900C0">
      <w:pPr>
        <w:shd w:val="clear" w:color="auto" w:fill="FFFFFF"/>
        <w:rPr>
          <w:b/>
          <w:bCs/>
          <w:color w:val="000000"/>
        </w:rPr>
      </w:pPr>
    </w:p>
    <w:p w14:paraId="47EF30B1" w14:textId="77777777" w:rsidR="00B130D4" w:rsidRPr="00D65802" w:rsidRDefault="00B130D4" w:rsidP="00044A24">
      <w:pPr>
        <w:shd w:val="clear" w:color="auto" w:fill="FFFFFF"/>
        <w:spacing w:before="120" w:after="240"/>
        <w:rPr>
          <w:i/>
          <w:iCs/>
          <w:color w:val="000000"/>
        </w:rPr>
      </w:pPr>
      <w:r w:rsidRPr="00D65802">
        <w:rPr>
          <w:i/>
          <w:iCs/>
          <w:color w:val="000000"/>
        </w:rPr>
        <w:t>2019-2020 Reforms</w:t>
      </w:r>
    </w:p>
    <w:p w14:paraId="3E2BCF2B" w14:textId="2B5541B4" w:rsidR="00A203D3" w:rsidRPr="00D65802" w:rsidRDefault="00A203D3" w:rsidP="00A203D3">
      <w:pPr>
        <w:spacing w:after="120"/>
      </w:pPr>
      <w:r w:rsidRPr="00D65802">
        <w:t xml:space="preserve">The Medication Program for Homeless People, (previously known as the Continuing Medication Program </w:t>
      </w:r>
      <w:r w:rsidR="00CE012B">
        <w:t>(</w:t>
      </w:r>
      <w:r w:rsidRPr="00D65802">
        <w:t>CMP</w:t>
      </w:r>
      <w:r w:rsidR="00CE012B">
        <w:t>)</w:t>
      </w:r>
      <w:r w:rsidRPr="00D65802">
        <w:t>) assists homeless people who are unable to manage their own affairs to continue to access essential medicines where lack of medication could lead to undesirable medical or social consequences. The program covers the PBS concessional co</w:t>
      </w:r>
      <w:r w:rsidR="00B130D4">
        <w:noBreakHyphen/>
      </w:r>
      <w:r w:rsidRPr="00D65802">
        <w:t>payment for eligible homeless people.</w:t>
      </w:r>
    </w:p>
    <w:p w14:paraId="31B7686F" w14:textId="00C667D8" w:rsidR="00A203D3" w:rsidRPr="00D65802" w:rsidRDefault="00A203D3" w:rsidP="00A203D3">
      <w:pPr>
        <w:autoSpaceDE w:val="0"/>
        <w:autoSpaceDN w:val="0"/>
        <w:adjustRightInd w:val="0"/>
      </w:pPr>
      <w:r w:rsidRPr="00D65802">
        <w:t xml:space="preserve">An internal review of the CMP was undertaken in 2019-20 by the Department </w:t>
      </w:r>
      <w:r w:rsidR="00E272DC">
        <w:t xml:space="preserve">of Health and Aged Care (Department) </w:t>
      </w:r>
      <w:r w:rsidRPr="00D65802">
        <w:t xml:space="preserve">to assess the operation of the program. The </w:t>
      </w:r>
      <w:r w:rsidR="007823F7">
        <w:t>r</w:t>
      </w:r>
      <w:r w:rsidRPr="00D65802">
        <w:t>eview identified a number of issues with the operation of the CMP, including:</w:t>
      </w:r>
    </w:p>
    <w:p w14:paraId="642E2C8F" w14:textId="77777777" w:rsidR="00A203D3" w:rsidRPr="00D65802" w:rsidRDefault="00A203D3" w:rsidP="00A203D3">
      <w:pPr>
        <w:pStyle w:val="ListParagraph"/>
        <w:numPr>
          <w:ilvl w:val="0"/>
          <w:numId w:val="49"/>
        </w:numPr>
        <w:autoSpaceDE w:val="0"/>
        <w:autoSpaceDN w:val="0"/>
        <w:adjustRightInd w:val="0"/>
        <w:ind w:left="284" w:hanging="284"/>
        <w:rPr>
          <w:lang w:eastAsia="en-AU"/>
        </w:rPr>
      </w:pPr>
      <w:r w:rsidRPr="00D65802">
        <w:rPr>
          <w:lang w:eastAsia="en-AU"/>
        </w:rPr>
        <w:t>The CMP is administratively burdensome for organisations, pharmacies and the Department as it uses a manual payment process;</w:t>
      </w:r>
    </w:p>
    <w:p w14:paraId="5A7059AA" w14:textId="568A6797" w:rsidR="00A203D3" w:rsidRPr="00D65802" w:rsidRDefault="00A203D3" w:rsidP="00A203D3">
      <w:pPr>
        <w:pStyle w:val="ListParagraph"/>
        <w:numPr>
          <w:ilvl w:val="0"/>
          <w:numId w:val="49"/>
        </w:numPr>
        <w:autoSpaceDE w:val="0"/>
        <w:autoSpaceDN w:val="0"/>
        <w:adjustRightInd w:val="0"/>
        <w:ind w:left="284" w:hanging="284"/>
        <w:rPr>
          <w:lang w:eastAsia="en-AU"/>
        </w:rPr>
      </w:pPr>
      <w:r w:rsidRPr="00D65802">
        <w:rPr>
          <w:lang w:eastAsia="en-AU"/>
        </w:rPr>
        <w:t xml:space="preserve">The administration of the </w:t>
      </w:r>
      <w:r w:rsidR="00DB1BFB">
        <w:rPr>
          <w:lang w:eastAsia="en-AU"/>
        </w:rPr>
        <w:t>CMP</w:t>
      </w:r>
      <w:r w:rsidR="00DB1BFB" w:rsidRPr="00D65802">
        <w:rPr>
          <w:lang w:eastAsia="en-AU"/>
        </w:rPr>
        <w:t xml:space="preserve"> </w:t>
      </w:r>
      <w:r w:rsidRPr="00D65802">
        <w:rPr>
          <w:lang w:eastAsia="en-AU"/>
        </w:rPr>
        <w:t xml:space="preserve">(through funding agreements with approved not-for-profit organisations) does not align with the current legislative and financial rules; and </w:t>
      </w:r>
    </w:p>
    <w:p w14:paraId="232CC84B" w14:textId="73550801" w:rsidR="00A203D3" w:rsidRPr="00D65802" w:rsidRDefault="00A203D3" w:rsidP="00A203D3">
      <w:pPr>
        <w:pStyle w:val="ListParagraph"/>
        <w:numPr>
          <w:ilvl w:val="0"/>
          <w:numId w:val="49"/>
        </w:numPr>
        <w:autoSpaceDE w:val="0"/>
        <w:autoSpaceDN w:val="0"/>
        <w:adjustRightInd w:val="0"/>
        <w:ind w:left="284" w:hanging="284"/>
        <w:rPr>
          <w:lang w:eastAsia="en-AU"/>
        </w:rPr>
      </w:pPr>
      <w:r w:rsidRPr="00D65802">
        <w:rPr>
          <w:lang w:eastAsia="en-AU"/>
        </w:rPr>
        <w:t xml:space="preserve">The manual payment process does not align with similar arrangements, </w:t>
      </w:r>
      <w:r w:rsidR="00466708" w:rsidRPr="00D65802">
        <w:rPr>
          <w:lang w:eastAsia="en-AU"/>
        </w:rPr>
        <w:t>e.g.,</w:t>
      </w:r>
      <w:r w:rsidRPr="00D65802">
        <w:rPr>
          <w:lang w:eastAsia="en-AU"/>
        </w:rPr>
        <w:t xml:space="preserve"> the Closing the Gap (CTG) PBS Co-payment Measure, where the pharmacy is automatically reimbursed for the relevant PBS co-payment when claiming the PBS supply through PBS Online. </w:t>
      </w:r>
    </w:p>
    <w:p w14:paraId="69DDD9C0" w14:textId="59641DA5" w:rsidR="00522E8C" w:rsidRDefault="002900C0" w:rsidP="00522E8C">
      <w:pPr>
        <w:shd w:val="clear" w:color="auto" w:fill="FFFFFF"/>
        <w:spacing w:before="120"/>
      </w:pPr>
      <w:r>
        <w:br w:type="page"/>
      </w:r>
      <w:r w:rsidR="00A203D3" w:rsidRPr="00D65802">
        <w:lastRenderedPageBreak/>
        <w:t>As part of the 2020-21 Budget, the Government agreed to a range of administrative changes to the CMP, including establishing a new legislative instrument for the “Medication Program for Homeless People” established under s</w:t>
      </w:r>
      <w:r w:rsidR="00DB1BFB">
        <w:t xml:space="preserve">ection </w:t>
      </w:r>
      <w:r w:rsidR="00A203D3" w:rsidRPr="00D65802">
        <w:t xml:space="preserve">100 of the </w:t>
      </w:r>
      <w:r w:rsidR="00A203D3" w:rsidRPr="002900C0">
        <w:rPr>
          <w:i/>
          <w:iCs/>
        </w:rPr>
        <w:t>National Health Act 1953</w:t>
      </w:r>
      <w:r w:rsidR="00F8666E">
        <w:rPr>
          <w:i/>
          <w:iCs/>
        </w:rPr>
        <w:t xml:space="preserve"> </w:t>
      </w:r>
      <w:r w:rsidR="00F8666E">
        <w:t>(the Act)</w:t>
      </w:r>
      <w:r w:rsidR="00A203D3" w:rsidRPr="00D65802">
        <w:t>. Other enhancements to the program include</w:t>
      </w:r>
      <w:r w:rsidR="00DB1BFB">
        <w:t>d</w:t>
      </w:r>
      <w:r w:rsidR="00A203D3" w:rsidRPr="00D65802">
        <w:t xml:space="preserve"> updating operations and simplifying the claim</w:t>
      </w:r>
      <w:r w:rsidR="00DB1BFB">
        <w:t>s</w:t>
      </w:r>
      <w:r w:rsidR="00A203D3" w:rsidRPr="00D65802">
        <w:t xml:space="preserve"> process </w:t>
      </w:r>
      <w:r w:rsidR="00DB1BFB">
        <w:t>to</w:t>
      </w:r>
      <w:r w:rsidR="00DB1BFB" w:rsidRPr="00D65802">
        <w:t xml:space="preserve"> </w:t>
      </w:r>
      <w:r w:rsidR="00A203D3" w:rsidRPr="00D65802">
        <w:t>reduce the burden for participating not-for-profit organisations and community pharmacies.</w:t>
      </w:r>
      <w:r w:rsidR="00DB1BFB">
        <w:t xml:space="preserve"> </w:t>
      </w:r>
      <w:r w:rsidR="00F60AFE">
        <w:t xml:space="preserve">As part of </w:t>
      </w:r>
      <w:r w:rsidR="00AB509A">
        <w:t>discussions</w:t>
      </w:r>
      <w:r w:rsidR="00F60AFE">
        <w:t xml:space="preserve"> during the reforms and the preparation of the legislative instrument</w:t>
      </w:r>
      <w:r w:rsidR="00AB509A">
        <w:t xml:space="preserve">, it was determined that transitional provisions would be required in the legislative instrument. One of the transitional provisions was to allow 14 not-for-profit organisations who were already participating in the </w:t>
      </w:r>
      <w:r w:rsidR="00DB1BFB">
        <w:t xml:space="preserve">CMP </w:t>
      </w:r>
      <w:r w:rsidR="00AB509A">
        <w:t>three months to apply to the Department and be individually assessed under the new Special Arrangement. This transitional provision</w:t>
      </w:r>
      <w:r w:rsidR="00190AAF">
        <w:t xml:space="preserve"> under</w:t>
      </w:r>
      <w:r w:rsidR="008E6DC5">
        <w:t xml:space="preserve"> section 22 of the Special Arrangement</w:t>
      </w:r>
      <w:r w:rsidR="00AB509A">
        <w:t xml:space="preserve"> listed those 14 organisations.</w:t>
      </w:r>
    </w:p>
    <w:p w14:paraId="7EF7945B" w14:textId="7F8CFD29" w:rsidR="00F60AFE" w:rsidRDefault="00AB509A" w:rsidP="00D65802">
      <w:pPr>
        <w:shd w:val="clear" w:color="auto" w:fill="FFFFFF"/>
        <w:tabs>
          <w:tab w:val="left" w:pos="0"/>
        </w:tabs>
        <w:spacing w:before="120"/>
        <w:rPr>
          <w:bCs/>
          <w:color w:val="000000"/>
        </w:rPr>
      </w:pPr>
      <w:r>
        <w:t>The second transitional provision</w:t>
      </w:r>
      <w:r w:rsidR="00190AAF">
        <w:t xml:space="preserve"> under</w:t>
      </w:r>
      <w:r w:rsidR="008E6DC5">
        <w:t xml:space="preserve"> section 23 of the Special Arrangement</w:t>
      </w:r>
      <w:r>
        <w:t xml:space="preserve"> provided a three-year transitional arrangement for specific eligible residential care recipients</w:t>
      </w:r>
      <w:r w:rsidR="0004313C">
        <w:t xml:space="preserve">. This provision </w:t>
      </w:r>
      <w:r w:rsidR="00F60AFE">
        <w:rPr>
          <w:bCs/>
          <w:color w:val="000000"/>
        </w:rPr>
        <w:t>provide</w:t>
      </w:r>
      <w:r w:rsidR="0004313C">
        <w:rPr>
          <w:bCs/>
          <w:color w:val="000000"/>
        </w:rPr>
        <w:t>d</w:t>
      </w:r>
      <w:r w:rsidR="00F60AFE">
        <w:rPr>
          <w:bCs/>
          <w:color w:val="000000"/>
        </w:rPr>
        <w:t xml:space="preserve"> that a person is considered ‘homeless’ if they met </w:t>
      </w:r>
      <w:r w:rsidR="00522E8C">
        <w:rPr>
          <w:bCs/>
          <w:color w:val="000000"/>
        </w:rPr>
        <w:t xml:space="preserve">certain </w:t>
      </w:r>
      <w:r w:rsidR="00F60AFE">
        <w:rPr>
          <w:bCs/>
          <w:color w:val="000000"/>
        </w:rPr>
        <w:t>criteria</w:t>
      </w:r>
      <w:r w:rsidR="00522E8C">
        <w:rPr>
          <w:bCs/>
          <w:color w:val="000000"/>
        </w:rPr>
        <w:t xml:space="preserve">, including that they were a </w:t>
      </w:r>
      <w:r w:rsidR="00F60AFE">
        <w:rPr>
          <w:bCs/>
          <w:color w:val="000000"/>
        </w:rPr>
        <w:t xml:space="preserve">residential care recipient of an organisation mentioned in </w:t>
      </w:r>
      <w:r w:rsidR="00522E8C">
        <w:rPr>
          <w:bCs/>
          <w:color w:val="000000"/>
        </w:rPr>
        <w:t>the first transitional provision.</w:t>
      </w:r>
      <w:r w:rsidR="00F60AFE" w:rsidRPr="00EC0EA2">
        <w:rPr>
          <w:bCs/>
          <w:color w:val="000000"/>
        </w:rPr>
        <w:t xml:space="preserve">  </w:t>
      </w:r>
    </w:p>
    <w:p w14:paraId="6E307C9D" w14:textId="77777777" w:rsidR="00DF1C2B" w:rsidRPr="00D65802" w:rsidRDefault="00DF1C2B" w:rsidP="00D65802">
      <w:pPr>
        <w:shd w:val="clear" w:color="auto" w:fill="FFFFFF"/>
        <w:tabs>
          <w:tab w:val="left" w:pos="0"/>
        </w:tabs>
        <w:spacing w:before="120"/>
      </w:pPr>
    </w:p>
    <w:p w14:paraId="4B7AF439" w14:textId="77777777" w:rsidR="00631B73" w:rsidRDefault="00631B73" w:rsidP="005E37B9">
      <w:pPr>
        <w:pStyle w:val="ListParagraph"/>
        <w:ind w:left="0"/>
        <w:rPr>
          <w:i/>
          <w:iCs/>
          <w:color w:val="000000"/>
        </w:rPr>
      </w:pPr>
      <w:r>
        <w:rPr>
          <w:i/>
          <w:iCs/>
          <w:color w:val="000000"/>
        </w:rPr>
        <w:t>Patient eligibility for the Program</w:t>
      </w:r>
    </w:p>
    <w:p w14:paraId="49E19758" w14:textId="77777777" w:rsidR="005E37B9" w:rsidRPr="00D65802" w:rsidRDefault="005E37B9" w:rsidP="002900C0">
      <w:pPr>
        <w:pStyle w:val="ListParagraph"/>
        <w:ind w:left="0"/>
        <w:rPr>
          <w:i/>
          <w:iCs/>
          <w:color w:val="000000"/>
        </w:rPr>
      </w:pPr>
    </w:p>
    <w:p w14:paraId="3597A715" w14:textId="4591C2C3" w:rsidR="00044A24" w:rsidRDefault="00C80A63" w:rsidP="00665418">
      <w:pPr>
        <w:shd w:val="clear" w:color="auto" w:fill="FFFFFF"/>
        <w:spacing w:before="120"/>
      </w:pPr>
      <w:r w:rsidRPr="00C80A63">
        <w:t xml:space="preserve">The Government </w:t>
      </w:r>
      <w:r w:rsidR="000C10B6">
        <w:t xml:space="preserve">currently </w:t>
      </w:r>
      <w:r w:rsidRPr="00C80A63">
        <w:t xml:space="preserve">provides </w:t>
      </w:r>
      <w:r>
        <w:t>assistance to homeless people who are unable to manage their own affairs to continue to access PBS medicines</w:t>
      </w:r>
      <w:r w:rsidR="00C66068">
        <w:t xml:space="preserve"> through the Medica</w:t>
      </w:r>
      <w:r w:rsidR="008971C4">
        <w:t>tion</w:t>
      </w:r>
      <w:r w:rsidR="00C66068">
        <w:t xml:space="preserve"> Program for Homeless People</w:t>
      </w:r>
      <w:r w:rsidR="00631B73">
        <w:t xml:space="preserve"> (Program) established </w:t>
      </w:r>
      <w:r w:rsidR="00DB4375">
        <w:t>under the Special Arrangement</w:t>
      </w:r>
      <w:r w:rsidR="00C66068">
        <w:t>,</w:t>
      </w:r>
      <w:r>
        <w:t xml:space="preserve"> where </w:t>
      </w:r>
      <w:r w:rsidR="00631B73">
        <w:t>failing to receive their prescribed medication</w:t>
      </w:r>
      <w:r>
        <w:t xml:space="preserve"> could lead to undesirable medical or social</w:t>
      </w:r>
      <w:r w:rsidR="00631B73">
        <w:t xml:space="preserve"> consequences</w:t>
      </w:r>
      <w:r w:rsidR="00594E2E">
        <w:t>.</w:t>
      </w:r>
    </w:p>
    <w:p w14:paraId="15F1A36D" w14:textId="77777777" w:rsidR="00C80A63" w:rsidRDefault="00C80A63" w:rsidP="00C80A63">
      <w:pPr>
        <w:shd w:val="clear" w:color="auto" w:fill="FFFFFF"/>
      </w:pPr>
    </w:p>
    <w:p w14:paraId="051B1B60" w14:textId="03E99AFF" w:rsidR="00E76026" w:rsidRDefault="00326150" w:rsidP="00D65802">
      <w:pPr>
        <w:rPr>
          <w:iCs/>
          <w:color w:val="000000"/>
        </w:rPr>
      </w:pPr>
      <w:r w:rsidRPr="001A4E16">
        <w:rPr>
          <w:color w:val="000000"/>
        </w:rPr>
        <w:t xml:space="preserve">The </w:t>
      </w:r>
      <w:r w:rsidR="00C80A63">
        <w:rPr>
          <w:color w:val="000000"/>
        </w:rPr>
        <w:t xml:space="preserve">Special </w:t>
      </w:r>
      <w:r w:rsidR="00414B7D" w:rsidRPr="00414B7D">
        <w:rPr>
          <w:iCs/>
          <w:color w:val="000000"/>
        </w:rPr>
        <w:t>Arrangement</w:t>
      </w:r>
      <w:r w:rsidRPr="001A4E16">
        <w:rPr>
          <w:color w:val="000000"/>
        </w:rPr>
        <w:t xml:space="preserve"> benefit</w:t>
      </w:r>
      <w:r w:rsidR="00C80A63">
        <w:rPr>
          <w:color w:val="000000"/>
        </w:rPr>
        <w:t>s</w:t>
      </w:r>
      <w:r w:rsidRPr="001A4E16">
        <w:rPr>
          <w:color w:val="000000"/>
        </w:rPr>
        <w:t xml:space="preserve"> </w:t>
      </w:r>
      <w:r w:rsidR="000D4074" w:rsidRPr="001A4E16">
        <w:rPr>
          <w:color w:val="000000"/>
        </w:rPr>
        <w:t xml:space="preserve">eligible </w:t>
      </w:r>
      <w:r w:rsidRPr="001A4E16">
        <w:rPr>
          <w:color w:val="000000"/>
        </w:rPr>
        <w:t xml:space="preserve">homeless people </w:t>
      </w:r>
      <w:r w:rsidR="001126F0" w:rsidRPr="001A4E16">
        <w:rPr>
          <w:color w:val="000000"/>
        </w:rPr>
        <w:t>who</w:t>
      </w:r>
      <w:r w:rsidR="001126F0" w:rsidRPr="001E2610">
        <w:rPr>
          <w:color w:val="000000"/>
        </w:rPr>
        <w:t xml:space="preserve"> </w:t>
      </w:r>
      <w:r w:rsidR="00E76026">
        <w:rPr>
          <w:color w:val="000000"/>
        </w:rPr>
        <w:t xml:space="preserve">hold a concession card </w:t>
      </w:r>
      <w:r w:rsidR="001126F0">
        <w:rPr>
          <w:color w:val="000000"/>
        </w:rPr>
        <w:t xml:space="preserve">to </w:t>
      </w:r>
      <w:r w:rsidR="001126F0" w:rsidRPr="001E2610">
        <w:rPr>
          <w:color w:val="000000"/>
        </w:rPr>
        <w:t xml:space="preserve">receive their </w:t>
      </w:r>
      <w:r w:rsidR="001126F0">
        <w:rPr>
          <w:iCs/>
          <w:color w:val="000000"/>
        </w:rPr>
        <w:t>PBS</w:t>
      </w:r>
      <w:r w:rsidR="001A2F15">
        <w:rPr>
          <w:iCs/>
          <w:color w:val="000000"/>
        </w:rPr>
        <w:t xml:space="preserve"> </w:t>
      </w:r>
      <w:r w:rsidR="00E76026">
        <w:rPr>
          <w:iCs/>
          <w:color w:val="000000"/>
        </w:rPr>
        <w:t xml:space="preserve">General Schedule </w:t>
      </w:r>
      <w:r w:rsidR="001126F0" w:rsidRPr="001E2610">
        <w:rPr>
          <w:color w:val="000000"/>
        </w:rPr>
        <w:t xml:space="preserve">medicines </w:t>
      </w:r>
      <w:r w:rsidR="0034296D">
        <w:rPr>
          <w:iCs/>
          <w:color w:val="000000"/>
        </w:rPr>
        <w:t>with no out-of-pocket expense</w:t>
      </w:r>
      <w:r w:rsidR="00F639C8">
        <w:t xml:space="preserve">. </w:t>
      </w:r>
      <w:r w:rsidR="009D4339">
        <w:t>An</w:t>
      </w:r>
      <w:r w:rsidR="009D4339" w:rsidRPr="00032961">
        <w:t xml:space="preserve"> </w:t>
      </w:r>
      <w:r w:rsidR="00517262" w:rsidRPr="00032961">
        <w:t xml:space="preserve">eligible patient is not charged a PBS co-payment when they receive a supply of a pharmaceutical benefit through the </w:t>
      </w:r>
      <w:r w:rsidR="00044A24">
        <w:t xml:space="preserve">Special </w:t>
      </w:r>
      <w:r w:rsidR="00517262" w:rsidRPr="00032961">
        <w:t>Arrangement</w:t>
      </w:r>
      <w:r w:rsidR="00A75C51">
        <w:t xml:space="preserve">. </w:t>
      </w:r>
      <w:r w:rsidR="00A75C51">
        <w:rPr>
          <w:color w:val="000000"/>
          <w:shd w:val="clear" w:color="auto" w:fill="FFFFFF"/>
        </w:rPr>
        <w:t xml:space="preserve">The co-payment amount that would have been paid </w:t>
      </w:r>
      <w:r w:rsidR="00A73B02">
        <w:rPr>
          <w:color w:val="000000"/>
          <w:shd w:val="clear" w:color="auto" w:fill="FFFFFF"/>
        </w:rPr>
        <w:t xml:space="preserve">without this </w:t>
      </w:r>
      <w:r w:rsidR="00044A24">
        <w:rPr>
          <w:color w:val="000000"/>
          <w:shd w:val="clear" w:color="auto" w:fill="FFFFFF"/>
        </w:rPr>
        <w:t>S</w:t>
      </w:r>
      <w:r w:rsidR="00A73B02">
        <w:rPr>
          <w:color w:val="000000"/>
          <w:shd w:val="clear" w:color="auto" w:fill="FFFFFF"/>
        </w:rPr>
        <w:t xml:space="preserve">pecial </w:t>
      </w:r>
      <w:r w:rsidR="00044A24">
        <w:rPr>
          <w:color w:val="000000"/>
          <w:shd w:val="clear" w:color="auto" w:fill="FFFFFF"/>
        </w:rPr>
        <w:t>A</w:t>
      </w:r>
      <w:r w:rsidR="00A73B02">
        <w:rPr>
          <w:color w:val="000000"/>
          <w:shd w:val="clear" w:color="auto" w:fill="FFFFFF"/>
        </w:rPr>
        <w:t xml:space="preserve">rrangement </w:t>
      </w:r>
      <w:r w:rsidR="00A75C51">
        <w:rPr>
          <w:color w:val="000000"/>
          <w:shd w:val="clear" w:color="auto" w:fill="FFFFFF"/>
        </w:rPr>
        <w:t>continues to count towards the patient’s PBS safety net threshold</w:t>
      </w:r>
      <w:r w:rsidR="00113A82">
        <w:rPr>
          <w:color w:val="000000"/>
          <w:shd w:val="clear" w:color="auto" w:fill="FFFFFF"/>
        </w:rPr>
        <w:t>.</w:t>
      </w:r>
      <w:r w:rsidR="00517262" w:rsidRPr="00032961">
        <w:t xml:space="preserve"> </w:t>
      </w:r>
      <w:r w:rsidR="00417A43" w:rsidRPr="00417A43">
        <w:rPr>
          <w:iCs/>
          <w:color w:val="000000"/>
        </w:rPr>
        <w:t>The</w:t>
      </w:r>
      <w:r w:rsidR="00631B73">
        <w:rPr>
          <w:iCs/>
          <w:color w:val="000000"/>
        </w:rPr>
        <w:t xml:space="preserve"> Program</w:t>
      </w:r>
      <w:r w:rsidR="00046CD1">
        <w:rPr>
          <w:iCs/>
          <w:color w:val="000000"/>
        </w:rPr>
        <w:t xml:space="preserve"> </w:t>
      </w:r>
      <w:r w:rsidR="001126F0">
        <w:rPr>
          <w:iCs/>
          <w:color w:val="000000"/>
        </w:rPr>
        <w:t xml:space="preserve">operates </w:t>
      </w:r>
      <w:r w:rsidR="00E76026">
        <w:rPr>
          <w:iCs/>
          <w:color w:val="000000"/>
        </w:rPr>
        <w:t xml:space="preserve">with the support of approved </w:t>
      </w:r>
      <w:r w:rsidR="001126F0">
        <w:rPr>
          <w:iCs/>
          <w:color w:val="000000"/>
        </w:rPr>
        <w:t>not-for-profit organisations</w:t>
      </w:r>
      <w:r w:rsidR="00B529D5">
        <w:rPr>
          <w:iCs/>
          <w:color w:val="000000"/>
        </w:rPr>
        <w:t xml:space="preserve"> who</w:t>
      </w:r>
      <w:r w:rsidR="00A73B02">
        <w:rPr>
          <w:iCs/>
          <w:color w:val="000000"/>
        </w:rPr>
        <w:t xml:space="preserve"> </w:t>
      </w:r>
      <w:r w:rsidR="00CC2499">
        <w:rPr>
          <w:iCs/>
          <w:color w:val="000000"/>
        </w:rPr>
        <w:t>present eligible patient prescriptions and repeat authorisation</w:t>
      </w:r>
      <w:r w:rsidR="00DE4B77">
        <w:rPr>
          <w:iCs/>
          <w:color w:val="000000"/>
        </w:rPr>
        <w:t>s</w:t>
      </w:r>
      <w:r w:rsidR="00CC2499">
        <w:rPr>
          <w:iCs/>
          <w:color w:val="000000"/>
        </w:rPr>
        <w:t xml:space="preserve"> to a nominated pharmacist, receive the pharmaceutical benefits and then provide them to the eligible patient</w:t>
      </w:r>
      <w:r w:rsidR="001126F0">
        <w:rPr>
          <w:iCs/>
          <w:color w:val="000000"/>
        </w:rPr>
        <w:t xml:space="preserve">.  </w:t>
      </w:r>
    </w:p>
    <w:p w14:paraId="5590BEEF" w14:textId="77777777" w:rsidR="00996F62" w:rsidRDefault="00996F62" w:rsidP="00CF6D91">
      <w:pPr>
        <w:pStyle w:val="ListParagraph"/>
        <w:ind w:left="0"/>
      </w:pPr>
    </w:p>
    <w:p w14:paraId="2CF9AF64" w14:textId="3D097F23" w:rsidR="0066758D" w:rsidRDefault="0066758D" w:rsidP="0066758D">
      <w:pPr>
        <w:pStyle w:val="ListParagraph"/>
        <w:ind w:left="0"/>
      </w:pPr>
      <w:r w:rsidRPr="00996F62">
        <w:t xml:space="preserve">Experiencing homelessness means not having stable, safe and adequate housing, nor the means and ability of obtaining it. </w:t>
      </w:r>
      <w:r>
        <w:t>However, there</w:t>
      </w:r>
      <w:r w:rsidR="00996F62">
        <w:t xml:space="preserve"> is no</w:t>
      </w:r>
      <w:r w:rsidR="00F16C94">
        <w:t xml:space="preserve"> clear</w:t>
      </w:r>
      <w:r w:rsidR="00996F62">
        <w:t xml:space="preserve"> definition of ‘homelessness’, as different definitions </w:t>
      </w:r>
      <w:r>
        <w:t xml:space="preserve">may be used </w:t>
      </w:r>
      <w:r w:rsidR="00996F62">
        <w:t xml:space="preserve">depending on the purpose for which </w:t>
      </w:r>
      <w:r>
        <w:t>it</w:t>
      </w:r>
      <w:r w:rsidR="00996F62">
        <w:t xml:space="preserve"> is being defined.</w:t>
      </w:r>
      <w:r>
        <w:t xml:space="preserve"> Some definitions also encompass people who are ‘at risk’ of becoming homeless.</w:t>
      </w:r>
    </w:p>
    <w:p w14:paraId="01CA5DA2" w14:textId="77777777" w:rsidR="00CF6D91" w:rsidRDefault="00CF6D91" w:rsidP="00CF6D91">
      <w:pPr>
        <w:pStyle w:val="ListParagraph"/>
        <w:ind w:left="0"/>
        <w:rPr>
          <w:iCs/>
          <w:color w:val="000000"/>
        </w:rPr>
      </w:pPr>
    </w:p>
    <w:p w14:paraId="4B76BC35" w14:textId="785ADA4D" w:rsidR="00CF6D91" w:rsidRPr="00F76479" w:rsidRDefault="000D4074" w:rsidP="00F76479">
      <w:pPr>
        <w:pStyle w:val="NormalWeb"/>
        <w:spacing w:before="0" w:beforeAutospacing="0" w:after="0" w:afterAutospacing="0"/>
        <w:rPr>
          <w:rFonts w:ascii="Calibri" w:hAnsi="Calibri" w:cs="Calibri"/>
          <w:sz w:val="22"/>
          <w:szCs w:val="22"/>
        </w:rPr>
      </w:pPr>
      <w:r>
        <w:rPr>
          <w:iCs/>
          <w:color w:val="000000"/>
        </w:rPr>
        <w:t>Under the</w:t>
      </w:r>
      <w:r w:rsidR="00594E2E">
        <w:rPr>
          <w:iCs/>
          <w:color w:val="000000"/>
        </w:rPr>
        <w:t xml:space="preserve"> Special</w:t>
      </w:r>
      <w:r>
        <w:rPr>
          <w:iCs/>
          <w:color w:val="000000"/>
        </w:rPr>
        <w:t xml:space="preserve"> Arrangement, the definition of homelessness is based on</w:t>
      </w:r>
      <w:r>
        <w:t xml:space="preserve"> </w:t>
      </w:r>
      <w:r w:rsidR="002B0F1B">
        <w:t xml:space="preserve">the primary and secondary definition of homelessness </w:t>
      </w:r>
      <w:r w:rsidR="00F93150" w:rsidRPr="003F7139">
        <w:t>from a paper titled “</w:t>
      </w:r>
      <w:r w:rsidR="00F93150" w:rsidRPr="003F7139">
        <w:rPr>
          <w:i/>
        </w:rPr>
        <w:t>Understanding Contemporary Homelessness: Issues of Definition and Meaning</w:t>
      </w:r>
      <w:r w:rsidR="00F93150" w:rsidRPr="003F7139">
        <w:t>” published in the Australian Journal of Social Issues Vol.2</w:t>
      </w:r>
      <w:r w:rsidR="009064DB" w:rsidRPr="003F7139">
        <w:t>7</w:t>
      </w:r>
      <w:r w:rsidR="00F93150" w:rsidRPr="003F7139">
        <w:t xml:space="preserve"> No. 4</w:t>
      </w:r>
      <w:r w:rsidR="009064DB" w:rsidRPr="003F7139">
        <w:t>,</w:t>
      </w:r>
      <w:r w:rsidR="00F93150" w:rsidRPr="003F7139">
        <w:t xml:space="preserve"> November 1992 by Chamberlain and MacKenzie, </w:t>
      </w:r>
      <w:r w:rsidRPr="003F7139">
        <w:t xml:space="preserve">as </w:t>
      </w:r>
      <w:r w:rsidR="00AC023A" w:rsidRPr="003F7139">
        <w:t xml:space="preserve">this </w:t>
      </w:r>
      <w:r w:rsidRPr="003F7139">
        <w:t>best reflect</w:t>
      </w:r>
      <w:r w:rsidR="00323882" w:rsidRPr="003F7139">
        <w:t>s</w:t>
      </w:r>
      <w:r w:rsidRPr="003F7139">
        <w:t xml:space="preserve"> the policy intent of the Program.</w:t>
      </w:r>
      <w:r w:rsidR="002B0F1B" w:rsidRPr="003F7139">
        <w:rPr>
          <w:rFonts w:ascii="Helvetica Neue" w:hAnsi="Helvetica Neue"/>
          <w:shd w:val="clear" w:color="auto" w:fill="FFFFFF"/>
        </w:rPr>
        <w:t xml:space="preserve"> Although </w:t>
      </w:r>
      <w:r w:rsidR="002B0F1B" w:rsidRPr="003F7139">
        <w:t>Chamberlain and MacKenzie’s</w:t>
      </w:r>
      <w:r w:rsidR="002B0F1B">
        <w:t xml:space="preserve"> definition of homelessness i</w:t>
      </w:r>
      <w:r w:rsidR="002B0F1B">
        <w:rPr>
          <w:rFonts w:ascii="Helvetica Neue" w:hAnsi="Helvetica Neue"/>
          <w:shd w:val="clear" w:color="auto" w:fill="FFFFFF"/>
        </w:rPr>
        <w:t xml:space="preserve">ncludes three categories, </w:t>
      </w:r>
      <w:r w:rsidR="00DE04A3">
        <w:rPr>
          <w:rFonts w:ascii="Helvetica Neue" w:hAnsi="Helvetica Neue"/>
          <w:shd w:val="clear" w:color="auto" w:fill="FFFFFF"/>
        </w:rPr>
        <w:t>(</w:t>
      </w:r>
      <w:r w:rsidR="002B0F1B">
        <w:rPr>
          <w:rFonts w:ascii="Helvetica Neue" w:hAnsi="Helvetica Neue"/>
          <w:shd w:val="clear" w:color="auto" w:fill="FFFFFF"/>
        </w:rPr>
        <w:t>primary, secondary and tertiary homelessness</w:t>
      </w:r>
      <w:r w:rsidR="00DE04A3">
        <w:rPr>
          <w:rFonts w:ascii="Helvetica Neue" w:hAnsi="Helvetica Neue"/>
          <w:shd w:val="clear" w:color="auto" w:fill="FFFFFF"/>
        </w:rPr>
        <w:t xml:space="preserve">) </w:t>
      </w:r>
      <w:r w:rsidR="002B0F1B">
        <w:rPr>
          <w:rFonts w:ascii="Helvetica Neue" w:hAnsi="Helvetica Neue"/>
          <w:shd w:val="clear" w:color="auto" w:fill="FFFFFF"/>
        </w:rPr>
        <w:t xml:space="preserve">in recognition of the diversity of homelessness, </w:t>
      </w:r>
      <w:r w:rsidR="00AC023A">
        <w:rPr>
          <w:rFonts w:ascii="Helvetica Neue" w:hAnsi="Helvetica Neue"/>
          <w:shd w:val="clear" w:color="auto" w:fill="FFFFFF"/>
        </w:rPr>
        <w:t>under the</w:t>
      </w:r>
      <w:r w:rsidR="00CF6D91">
        <w:rPr>
          <w:iCs/>
          <w:color w:val="000000"/>
        </w:rPr>
        <w:t xml:space="preserve"> Program, </w:t>
      </w:r>
      <w:r w:rsidR="00AC023A">
        <w:rPr>
          <w:iCs/>
          <w:color w:val="000000"/>
        </w:rPr>
        <w:t xml:space="preserve">only the </w:t>
      </w:r>
      <w:r w:rsidR="00CA5C88">
        <w:rPr>
          <w:iCs/>
          <w:color w:val="000000"/>
        </w:rPr>
        <w:t>p</w:t>
      </w:r>
      <w:r w:rsidR="00AC023A">
        <w:rPr>
          <w:iCs/>
          <w:color w:val="000000"/>
        </w:rPr>
        <w:t xml:space="preserve">rimary and </w:t>
      </w:r>
      <w:r w:rsidR="00CA5C88">
        <w:rPr>
          <w:iCs/>
          <w:color w:val="000000"/>
        </w:rPr>
        <w:lastRenderedPageBreak/>
        <w:t>s</w:t>
      </w:r>
      <w:r w:rsidR="00AC023A">
        <w:rPr>
          <w:iCs/>
          <w:color w:val="000000"/>
        </w:rPr>
        <w:t>econdary definitions are used. A</w:t>
      </w:r>
      <w:r w:rsidR="00996F62">
        <w:rPr>
          <w:iCs/>
          <w:color w:val="000000"/>
        </w:rPr>
        <w:t xml:space="preserve"> person is defined as ‘homeless’</w:t>
      </w:r>
      <w:r w:rsidR="00315FBF">
        <w:rPr>
          <w:iCs/>
          <w:color w:val="000000"/>
        </w:rPr>
        <w:t xml:space="preserve"> under the Special Arrangement</w:t>
      </w:r>
      <w:r w:rsidR="00996F62">
        <w:rPr>
          <w:iCs/>
          <w:color w:val="000000"/>
        </w:rPr>
        <w:t xml:space="preserve"> if they meet one of the </w:t>
      </w:r>
      <w:r w:rsidR="00CF6D91">
        <w:rPr>
          <w:iCs/>
          <w:color w:val="000000"/>
        </w:rPr>
        <w:t>following definitions</w:t>
      </w:r>
      <w:r w:rsidR="00CF6D91" w:rsidRPr="000B02C5">
        <w:rPr>
          <w:iCs/>
          <w:color w:val="000000"/>
        </w:rPr>
        <w:t>:</w:t>
      </w:r>
    </w:p>
    <w:p w14:paraId="0A1FD31F" w14:textId="5075C52A" w:rsidR="005E37B9" w:rsidRPr="00E70F1F" w:rsidRDefault="00CF6D91" w:rsidP="002900C0">
      <w:pPr>
        <w:pStyle w:val="NormalWeb"/>
        <w:numPr>
          <w:ilvl w:val="0"/>
          <w:numId w:val="50"/>
        </w:numPr>
        <w:rPr>
          <w:i/>
          <w:iCs/>
          <w:color w:val="000000"/>
        </w:rPr>
      </w:pPr>
      <w:r w:rsidRPr="00BF5B80">
        <w:rPr>
          <w:b/>
          <w:bCs/>
          <w:color w:val="000000"/>
        </w:rPr>
        <w:t>Primary homelessness</w:t>
      </w:r>
      <w:r w:rsidRPr="00E70F1F">
        <w:rPr>
          <w:bCs/>
          <w:color w:val="000000"/>
        </w:rPr>
        <w:t>:</w:t>
      </w:r>
      <w:r w:rsidRPr="00E70F1F">
        <w:rPr>
          <w:b/>
          <w:bCs/>
          <w:color w:val="000000"/>
        </w:rPr>
        <w:t xml:space="preserve"> </w:t>
      </w:r>
      <w:r w:rsidRPr="00E70F1F">
        <w:rPr>
          <w:i/>
          <w:iCs/>
          <w:color w:val="000000"/>
        </w:rPr>
        <w:t>People without conventional accommodation, such as people living on the streets, sleeping in parks, squatting in derelict buildings, or using cars or railway carriages for temporary shelter.</w:t>
      </w:r>
      <w:r w:rsidR="005E37B9">
        <w:rPr>
          <w:i/>
          <w:iCs/>
          <w:color w:val="000000"/>
        </w:rPr>
        <w:br/>
      </w:r>
    </w:p>
    <w:p w14:paraId="37D3B938" w14:textId="08BB2770" w:rsidR="00CF6D91" w:rsidRPr="005E37B9" w:rsidRDefault="00CF6D91" w:rsidP="002900C0">
      <w:pPr>
        <w:pStyle w:val="NormalWeb"/>
        <w:numPr>
          <w:ilvl w:val="0"/>
          <w:numId w:val="50"/>
        </w:numPr>
        <w:spacing w:before="0" w:beforeAutospacing="0" w:after="0" w:afterAutospacing="0"/>
        <w:rPr>
          <w:i/>
          <w:iCs/>
          <w:color w:val="000000"/>
        </w:rPr>
      </w:pPr>
      <w:r w:rsidRPr="005E37B9">
        <w:rPr>
          <w:b/>
          <w:bCs/>
          <w:color w:val="000000"/>
        </w:rPr>
        <w:t>Secondary homelessness</w:t>
      </w:r>
      <w:r w:rsidRPr="005E37B9">
        <w:rPr>
          <w:bCs/>
          <w:color w:val="000000"/>
        </w:rPr>
        <w:t>:</w:t>
      </w:r>
      <w:r w:rsidRPr="005E37B9">
        <w:rPr>
          <w:b/>
          <w:bCs/>
          <w:i/>
          <w:iCs/>
          <w:color w:val="000000"/>
        </w:rPr>
        <w:t xml:space="preserve"> </w:t>
      </w:r>
      <w:r w:rsidRPr="005E37B9">
        <w:rPr>
          <w:i/>
          <w:iCs/>
          <w:color w:val="000000"/>
        </w:rPr>
        <w:t>People who move frequently from one form of temporary shelter to another. It cover</w:t>
      </w:r>
      <w:r w:rsidR="00394D40">
        <w:rPr>
          <w:i/>
          <w:iCs/>
          <w:color w:val="000000"/>
        </w:rPr>
        <w:t>s;</w:t>
      </w:r>
      <w:r w:rsidRPr="005E37B9">
        <w:rPr>
          <w:i/>
          <w:iCs/>
          <w:color w:val="000000"/>
        </w:rPr>
        <w:t xml:space="preserve"> people using emergency accommodation (such as hostels for the homeless or night shelters); teenagers staying in youth refuges; women and children escaping domestic violence (staying in women’s refuges).</w:t>
      </w:r>
      <w:r w:rsidR="005E37B9">
        <w:rPr>
          <w:i/>
          <w:iCs/>
          <w:color w:val="000000"/>
        </w:rPr>
        <w:br/>
      </w:r>
    </w:p>
    <w:p w14:paraId="50756146" w14:textId="1AB26ACF" w:rsidR="00E76026" w:rsidRDefault="002238BC" w:rsidP="00CF6D91">
      <w:pPr>
        <w:pStyle w:val="ListParagraph"/>
        <w:ind w:left="0"/>
      </w:pPr>
      <w:r>
        <w:rPr>
          <w:lang w:eastAsia="en-AU"/>
        </w:rPr>
        <w:t>For the purposes of th</w:t>
      </w:r>
      <w:r w:rsidR="003026F1">
        <w:rPr>
          <w:lang w:eastAsia="en-AU"/>
        </w:rPr>
        <w:t>e</w:t>
      </w:r>
      <w:r>
        <w:rPr>
          <w:lang w:eastAsia="en-AU"/>
        </w:rPr>
        <w:t xml:space="preserve"> </w:t>
      </w:r>
      <w:r w:rsidR="00FF59AC">
        <w:rPr>
          <w:lang w:eastAsia="en-AU"/>
        </w:rPr>
        <w:t>Special Arrangement</w:t>
      </w:r>
      <w:r>
        <w:rPr>
          <w:lang w:eastAsia="en-AU"/>
        </w:rPr>
        <w:t>, a person is not </w:t>
      </w:r>
      <w:r>
        <w:rPr>
          <w:b/>
          <w:bCs/>
          <w:i/>
          <w:iCs/>
          <w:lang w:eastAsia="en-AU"/>
        </w:rPr>
        <w:t>homeless</w:t>
      </w:r>
      <w:r>
        <w:rPr>
          <w:lang w:eastAsia="en-AU"/>
        </w:rPr>
        <w:t xml:space="preserve"> if the person is a care recipient of residential care within the meaning of the </w:t>
      </w:r>
      <w:r>
        <w:rPr>
          <w:i/>
          <w:iCs/>
          <w:lang w:eastAsia="en-AU"/>
        </w:rPr>
        <w:t>Aged Care Act 1997</w:t>
      </w:r>
      <w:r>
        <w:rPr>
          <w:lang w:eastAsia="en-AU"/>
        </w:rPr>
        <w:t>.</w:t>
      </w:r>
    </w:p>
    <w:p w14:paraId="1EB4534E" w14:textId="3B395C2E" w:rsidR="0012554D" w:rsidRPr="00CF6D91" w:rsidRDefault="0012554D" w:rsidP="002900C0">
      <w:pPr>
        <w:pStyle w:val="ListParagraph"/>
        <w:ind w:left="0"/>
      </w:pPr>
    </w:p>
    <w:p w14:paraId="06EC9501" w14:textId="77777777" w:rsidR="00BF5B80" w:rsidRPr="00BF5B80" w:rsidRDefault="00E76026" w:rsidP="005E37B9">
      <w:pPr>
        <w:shd w:val="clear" w:color="auto" w:fill="FFFFFF"/>
        <w:rPr>
          <w:iCs/>
          <w:color w:val="000000"/>
          <w:u w:val="single"/>
        </w:rPr>
      </w:pPr>
      <w:r w:rsidRPr="00D027C1">
        <w:rPr>
          <w:i/>
          <w:iCs/>
          <w:color w:val="000000"/>
        </w:rPr>
        <w:t>Approval of organisations to participate in the Program</w:t>
      </w:r>
    </w:p>
    <w:p w14:paraId="3D1D0DA6" w14:textId="7DE78C43" w:rsidR="00E76026" w:rsidRDefault="000C10B6" w:rsidP="005E37B9">
      <w:pPr>
        <w:shd w:val="clear" w:color="auto" w:fill="FFFFFF"/>
        <w:rPr>
          <w:iCs/>
          <w:color w:val="000000"/>
        </w:rPr>
      </w:pPr>
      <w:r>
        <w:rPr>
          <w:iCs/>
          <w:color w:val="000000"/>
        </w:rPr>
        <w:br/>
      </w:r>
      <w:r w:rsidR="001126F0">
        <w:rPr>
          <w:iCs/>
          <w:color w:val="000000"/>
        </w:rPr>
        <w:t>The</w:t>
      </w:r>
      <w:r w:rsidR="00C957C8">
        <w:rPr>
          <w:iCs/>
          <w:color w:val="000000"/>
        </w:rPr>
        <w:t xml:space="preserve"> Special</w:t>
      </w:r>
      <w:r w:rsidR="001126F0">
        <w:rPr>
          <w:iCs/>
          <w:color w:val="000000"/>
        </w:rPr>
        <w:t xml:space="preserve"> </w:t>
      </w:r>
      <w:r w:rsidR="00417A43" w:rsidRPr="00417A43">
        <w:rPr>
          <w:iCs/>
          <w:color w:val="000000"/>
        </w:rPr>
        <w:t>Arrangement sets out the</w:t>
      </w:r>
      <w:r w:rsidR="00E54C5C">
        <w:rPr>
          <w:iCs/>
          <w:color w:val="000000"/>
        </w:rPr>
        <w:t xml:space="preserve"> eligibility</w:t>
      </w:r>
      <w:r w:rsidR="00417A43" w:rsidRPr="00417A43">
        <w:rPr>
          <w:iCs/>
          <w:color w:val="000000"/>
        </w:rPr>
        <w:t xml:space="preserve"> requirements </w:t>
      </w:r>
      <w:r w:rsidR="00473FEE">
        <w:rPr>
          <w:iCs/>
          <w:color w:val="000000"/>
        </w:rPr>
        <w:t>for</w:t>
      </w:r>
      <w:r w:rsidR="00417A43" w:rsidRPr="00417A43">
        <w:rPr>
          <w:iCs/>
          <w:color w:val="000000"/>
        </w:rPr>
        <w:t xml:space="preserve"> </w:t>
      </w:r>
      <w:r w:rsidR="00E76026">
        <w:rPr>
          <w:iCs/>
          <w:color w:val="000000"/>
        </w:rPr>
        <w:t>an</w:t>
      </w:r>
      <w:r w:rsidR="00DA0DDB">
        <w:rPr>
          <w:iCs/>
          <w:color w:val="000000"/>
        </w:rPr>
        <w:t xml:space="preserve"> organisation applying to </w:t>
      </w:r>
      <w:r w:rsidR="00E76026">
        <w:rPr>
          <w:iCs/>
          <w:color w:val="000000"/>
        </w:rPr>
        <w:t xml:space="preserve">the </w:t>
      </w:r>
      <w:r w:rsidR="00E66B6D">
        <w:rPr>
          <w:iCs/>
          <w:color w:val="000000"/>
        </w:rPr>
        <w:t>Secretary</w:t>
      </w:r>
      <w:r w:rsidR="00594E2E">
        <w:rPr>
          <w:iCs/>
          <w:color w:val="000000"/>
        </w:rPr>
        <w:t xml:space="preserve"> of the Department </w:t>
      </w:r>
      <w:r w:rsidR="00E76026">
        <w:rPr>
          <w:iCs/>
          <w:color w:val="000000"/>
        </w:rPr>
        <w:t>to be approved to participate in the Program</w:t>
      </w:r>
      <w:r w:rsidR="00417A43" w:rsidRPr="00417A43">
        <w:rPr>
          <w:iCs/>
          <w:color w:val="000000"/>
        </w:rPr>
        <w:t>.</w:t>
      </w:r>
      <w:r w:rsidR="009A4C18">
        <w:rPr>
          <w:iCs/>
          <w:color w:val="000000"/>
        </w:rPr>
        <w:t xml:space="preserve">  </w:t>
      </w:r>
    </w:p>
    <w:p w14:paraId="1EA15B52" w14:textId="77777777" w:rsidR="00746E3F" w:rsidRDefault="00746E3F" w:rsidP="005E37B9">
      <w:pPr>
        <w:shd w:val="clear" w:color="auto" w:fill="FFFFFF"/>
        <w:rPr>
          <w:iCs/>
          <w:color w:val="000000"/>
        </w:rPr>
      </w:pPr>
    </w:p>
    <w:p w14:paraId="4197A5BE" w14:textId="72E516B3" w:rsidR="00C01703" w:rsidRDefault="00C01703" w:rsidP="005E37B9">
      <w:pPr>
        <w:textAlignment w:val="center"/>
        <w:rPr>
          <w:iCs/>
          <w:color w:val="000000"/>
        </w:rPr>
      </w:pPr>
      <w:r w:rsidRPr="00F93150">
        <w:rPr>
          <w:iCs/>
          <w:color w:val="000000"/>
        </w:rPr>
        <w:t>At an applicant’s request, the internal merits review support</w:t>
      </w:r>
      <w:r w:rsidR="00C80A63">
        <w:rPr>
          <w:iCs/>
          <w:color w:val="000000"/>
        </w:rPr>
        <w:t>s</w:t>
      </w:r>
      <w:r w:rsidRPr="00F93150">
        <w:rPr>
          <w:iCs/>
          <w:color w:val="000000"/>
        </w:rPr>
        <w:t xml:space="preserve"> a process by which the </w:t>
      </w:r>
      <w:r w:rsidRPr="00C4351D">
        <w:rPr>
          <w:iCs/>
          <w:color w:val="000000"/>
        </w:rPr>
        <w:t>Department</w:t>
      </w:r>
      <w:r w:rsidR="001C65E9" w:rsidRPr="00C4351D">
        <w:rPr>
          <w:iCs/>
          <w:color w:val="000000"/>
        </w:rPr>
        <w:t xml:space="preserve"> </w:t>
      </w:r>
      <w:r w:rsidRPr="00F93150">
        <w:rPr>
          <w:iCs/>
          <w:color w:val="000000"/>
        </w:rPr>
        <w:t>can reconsider an application, thus ensuring procedural fairness and accountability.</w:t>
      </w:r>
    </w:p>
    <w:p w14:paraId="71BE3CE5" w14:textId="77777777" w:rsidR="00D027C1" w:rsidRPr="00176E24" w:rsidRDefault="00D027C1" w:rsidP="005E37B9">
      <w:pPr>
        <w:pStyle w:val="ListParagraph"/>
        <w:ind w:left="0"/>
        <w:contextualSpacing w:val="0"/>
        <w:rPr>
          <w:iCs/>
          <w:color w:val="000000"/>
          <w:lang w:eastAsia="en-AU"/>
        </w:rPr>
      </w:pPr>
    </w:p>
    <w:p w14:paraId="76CF4862" w14:textId="77777777" w:rsidR="00426FB4" w:rsidRDefault="00426FB4" w:rsidP="005E37B9">
      <w:pPr>
        <w:rPr>
          <w:b/>
        </w:rPr>
      </w:pPr>
      <w:r w:rsidRPr="00D65802">
        <w:rPr>
          <w:b/>
        </w:rPr>
        <w:t xml:space="preserve">Authority </w:t>
      </w:r>
    </w:p>
    <w:p w14:paraId="3491C3AB" w14:textId="77777777" w:rsidR="005E37B9" w:rsidRPr="00D65802" w:rsidRDefault="005E37B9" w:rsidP="002900C0">
      <w:pPr>
        <w:rPr>
          <w:b/>
        </w:rPr>
      </w:pPr>
    </w:p>
    <w:p w14:paraId="0918CFDD" w14:textId="6E97093E" w:rsidR="00426FB4" w:rsidRDefault="00426FB4" w:rsidP="005E37B9">
      <w:pPr>
        <w:shd w:val="clear" w:color="auto" w:fill="FFFFFF"/>
        <w:rPr>
          <w:color w:val="000000"/>
        </w:rPr>
      </w:pPr>
      <w:r w:rsidRPr="006A66B3">
        <w:rPr>
          <w:color w:val="000000"/>
        </w:rPr>
        <w:t xml:space="preserve">Subsection 100(1) of the Act enables the Minister to make special arrangements for, or in relation to, providing that an adequate supply of pharmaceutical benefits will be available to certain persons. </w:t>
      </w:r>
    </w:p>
    <w:p w14:paraId="53700222" w14:textId="77777777" w:rsidR="005E37B9" w:rsidRPr="006A66B3" w:rsidRDefault="005E37B9" w:rsidP="002900C0">
      <w:pPr>
        <w:shd w:val="clear" w:color="auto" w:fill="FFFFFF"/>
        <w:rPr>
          <w:color w:val="000000"/>
        </w:rPr>
      </w:pPr>
    </w:p>
    <w:p w14:paraId="31361B14" w14:textId="4EF9FE6C" w:rsidR="00353925" w:rsidRPr="006A66B3" w:rsidRDefault="00426FB4" w:rsidP="002900C0">
      <w:pPr>
        <w:shd w:val="clear" w:color="auto" w:fill="FFFFFF"/>
        <w:rPr>
          <w:color w:val="000000"/>
        </w:rPr>
      </w:pPr>
      <w:r w:rsidRPr="006A66B3">
        <w:rPr>
          <w:color w:val="000000"/>
        </w:rPr>
        <w:t xml:space="preserve">Subsection 100(2) of the Act provides that the Minister may vary or revoke an arrangement made under subsection 100(1) of the Act. Subsection 100(3) of the Act provides that Part </w:t>
      </w:r>
      <w:r w:rsidR="00C34509">
        <w:rPr>
          <w:color w:val="000000"/>
        </w:rPr>
        <w:t>4</w:t>
      </w:r>
      <w:r w:rsidR="00C34509" w:rsidRPr="006A66B3">
        <w:rPr>
          <w:color w:val="000000"/>
        </w:rPr>
        <w:t xml:space="preserve"> </w:t>
      </w:r>
      <w:r w:rsidRPr="006A66B3">
        <w:rPr>
          <w:color w:val="000000"/>
        </w:rPr>
        <w:t xml:space="preserve">of the Act, and instruments made for the purposes of Part </w:t>
      </w:r>
      <w:r w:rsidR="00C34509">
        <w:rPr>
          <w:color w:val="000000"/>
        </w:rPr>
        <w:t>4</w:t>
      </w:r>
      <w:r w:rsidRPr="006A66B3">
        <w:rPr>
          <w:color w:val="000000"/>
        </w:rPr>
        <w:t>, have effect, subject to a special arrangement made under subsection 100(1).</w:t>
      </w:r>
      <w:r w:rsidRPr="006A66B3">
        <w:t xml:space="preserve"> </w:t>
      </w:r>
    </w:p>
    <w:p w14:paraId="6E197866" w14:textId="77777777" w:rsidR="00081AEB" w:rsidRDefault="00081AEB" w:rsidP="005E37B9">
      <w:pPr>
        <w:rPr>
          <w:b/>
          <w:bCs/>
          <w:color w:val="000000"/>
        </w:rPr>
      </w:pPr>
    </w:p>
    <w:p w14:paraId="622CE1C8" w14:textId="77777777" w:rsidR="00081AEB" w:rsidRDefault="00081AEB" w:rsidP="005E37B9">
      <w:pPr>
        <w:autoSpaceDE w:val="0"/>
        <w:autoSpaceDN w:val="0"/>
        <w:adjustRightInd w:val="0"/>
        <w:rPr>
          <w:b/>
          <w:bCs/>
          <w:color w:val="000000"/>
        </w:rPr>
      </w:pPr>
      <w:r>
        <w:rPr>
          <w:b/>
          <w:bCs/>
          <w:color w:val="000000"/>
        </w:rPr>
        <w:t>Commencement</w:t>
      </w:r>
    </w:p>
    <w:p w14:paraId="6EDE91E4" w14:textId="77777777" w:rsidR="00353925" w:rsidRPr="000011CD" w:rsidRDefault="00353925" w:rsidP="005E37B9">
      <w:pPr>
        <w:shd w:val="clear" w:color="auto" w:fill="FFFFFF"/>
      </w:pPr>
    </w:p>
    <w:p w14:paraId="6B8FC8AB" w14:textId="3A10292D" w:rsidR="007F12DE" w:rsidRDefault="00081AEB" w:rsidP="002900C0">
      <w:r>
        <w:t>The Amendment Instrument</w:t>
      </w:r>
      <w:r w:rsidR="005B403B" w:rsidRPr="00F27D27">
        <w:t xml:space="preserve"> commence</w:t>
      </w:r>
      <w:r w:rsidR="00414B7D" w:rsidRPr="00F27D27">
        <w:t>s</w:t>
      </w:r>
      <w:r w:rsidR="005B403B" w:rsidRPr="00F27D27">
        <w:t xml:space="preserve"> on 1 July 202</w:t>
      </w:r>
      <w:r w:rsidR="00CA3BA9" w:rsidRPr="00F27D27">
        <w:t>4</w:t>
      </w:r>
      <w:r w:rsidR="007F12DE" w:rsidRPr="00F27D27">
        <w:t xml:space="preserve">. </w:t>
      </w:r>
    </w:p>
    <w:p w14:paraId="0612373E" w14:textId="77777777" w:rsidR="00081AEB" w:rsidRDefault="00081AEB" w:rsidP="002900C0"/>
    <w:p w14:paraId="03DE0764" w14:textId="77777777" w:rsidR="00081AEB" w:rsidRPr="002900C0" w:rsidRDefault="00081AEB" w:rsidP="002900C0">
      <w:pPr>
        <w:autoSpaceDE w:val="0"/>
        <w:autoSpaceDN w:val="0"/>
        <w:adjustRightInd w:val="0"/>
        <w:rPr>
          <w:b/>
          <w:bCs/>
          <w:color w:val="000000"/>
        </w:rPr>
      </w:pPr>
      <w:r w:rsidRPr="002900C0">
        <w:rPr>
          <w:b/>
          <w:bCs/>
          <w:color w:val="000000"/>
        </w:rPr>
        <w:t>Consultation</w:t>
      </w:r>
    </w:p>
    <w:p w14:paraId="626BAF23" w14:textId="77777777" w:rsidR="00827A77" w:rsidRPr="002900C0" w:rsidRDefault="00827A77" w:rsidP="002900C0">
      <w:pPr>
        <w:shd w:val="clear" w:color="auto" w:fill="FFFFFF"/>
        <w:rPr>
          <w:b/>
          <w:bCs/>
        </w:rPr>
      </w:pPr>
    </w:p>
    <w:p w14:paraId="318B4AE6" w14:textId="63532EEA" w:rsidR="005E37B9" w:rsidRDefault="002900C0" w:rsidP="002900C0">
      <w:pPr>
        <w:shd w:val="clear" w:color="auto" w:fill="FFFFFF"/>
        <w:rPr>
          <w:color w:val="000000"/>
        </w:rPr>
      </w:pPr>
      <w:r w:rsidRPr="00A77094">
        <w:rPr>
          <w:color w:val="000000"/>
        </w:rPr>
        <w:t>As part of the 2019-2020 internal review, t</w:t>
      </w:r>
      <w:r w:rsidR="00081AEB" w:rsidRPr="00A77094">
        <w:rPr>
          <w:color w:val="000000"/>
        </w:rPr>
        <w:t>argeted</w:t>
      </w:r>
      <w:r w:rsidR="00081AEB">
        <w:rPr>
          <w:color w:val="000000"/>
        </w:rPr>
        <w:t xml:space="preserve"> c</w:t>
      </w:r>
      <w:r w:rsidR="00081AEB" w:rsidRPr="000011CD">
        <w:rPr>
          <w:color w:val="000000"/>
        </w:rPr>
        <w:t xml:space="preserve">onsultation </w:t>
      </w:r>
      <w:r w:rsidR="00081AEB">
        <w:rPr>
          <w:color w:val="000000"/>
        </w:rPr>
        <w:t xml:space="preserve">was </w:t>
      </w:r>
      <w:r w:rsidR="00081AEB" w:rsidRPr="000011CD">
        <w:rPr>
          <w:color w:val="000000"/>
        </w:rPr>
        <w:t xml:space="preserve">undertaken with </w:t>
      </w:r>
      <w:r w:rsidR="00081AEB">
        <w:rPr>
          <w:color w:val="000000"/>
        </w:rPr>
        <w:t xml:space="preserve">the 14 </w:t>
      </w:r>
      <w:r w:rsidR="00081AEB" w:rsidRPr="000011CD">
        <w:rPr>
          <w:color w:val="000000"/>
        </w:rPr>
        <w:t xml:space="preserve">not-for-profit organisations </w:t>
      </w:r>
      <w:r w:rsidR="00081AEB">
        <w:rPr>
          <w:color w:val="000000"/>
        </w:rPr>
        <w:t xml:space="preserve">who were </w:t>
      </w:r>
      <w:r w:rsidR="00081AEB" w:rsidRPr="00115A67">
        <w:rPr>
          <w:color w:val="000000"/>
        </w:rPr>
        <w:t>providing services</w:t>
      </w:r>
      <w:r w:rsidR="00A71325">
        <w:rPr>
          <w:color w:val="000000"/>
        </w:rPr>
        <w:t xml:space="preserve"> and </w:t>
      </w:r>
      <w:r w:rsidR="00081AEB" w:rsidRPr="00115A67">
        <w:rPr>
          <w:color w:val="000000"/>
        </w:rPr>
        <w:t xml:space="preserve">care to homeless people under the </w:t>
      </w:r>
      <w:r w:rsidR="005239A4">
        <w:rPr>
          <w:color w:val="000000"/>
        </w:rPr>
        <w:t xml:space="preserve">then </w:t>
      </w:r>
      <w:r w:rsidR="002C11FC">
        <w:rPr>
          <w:color w:val="000000"/>
        </w:rPr>
        <w:t xml:space="preserve">CMP </w:t>
      </w:r>
      <w:r w:rsidR="00081AEB">
        <w:rPr>
          <w:color w:val="000000"/>
        </w:rPr>
        <w:t>prior to the reforms which commenced on 1 July 2021</w:t>
      </w:r>
      <w:r w:rsidR="005239A4">
        <w:rPr>
          <w:color w:val="000000"/>
        </w:rPr>
        <w:t xml:space="preserve"> and </w:t>
      </w:r>
      <w:r w:rsidR="002272AF">
        <w:rPr>
          <w:color w:val="000000"/>
        </w:rPr>
        <w:t>formed</w:t>
      </w:r>
      <w:r w:rsidR="005239A4">
        <w:rPr>
          <w:color w:val="000000"/>
        </w:rPr>
        <w:t xml:space="preserve"> the current Program</w:t>
      </w:r>
      <w:r w:rsidR="00081AEB" w:rsidRPr="00E209A6">
        <w:rPr>
          <w:color w:val="000000"/>
        </w:rPr>
        <w:t xml:space="preserve">. These organisations were kept informed at various stages of the process. The </w:t>
      </w:r>
      <w:r w:rsidR="008E1C11">
        <w:rPr>
          <w:color w:val="000000"/>
        </w:rPr>
        <w:t>Department</w:t>
      </w:r>
      <w:r w:rsidR="00081AEB">
        <w:rPr>
          <w:color w:val="000000"/>
        </w:rPr>
        <w:t xml:space="preserve"> </w:t>
      </w:r>
      <w:r w:rsidR="00081AEB" w:rsidRPr="00E209A6">
        <w:rPr>
          <w:color w:val="000000"/>
        </w:rPr>
        <w:t xml:space="preserve">wrote to all participating not-for-profit organisations to inform them of the reforms to the </w:t>
      </w:r>
      <w:r w:rsidR="00AD335D" w:rsidRPr="00E209A6">
        <w:rPr>
          <w:color w:val="000000"/>
        </w:rPr>
        <w:t>Program and</w:t>
      </w:r>
      <w:r w:rsidR="000118BE">
        <w:rPr>
          <w:color w:val="000000"/>
        </w:rPr>
        <w:t xml:space="preserve"> provided</w:t>
      </w:r>
      <w:r w:rsidR="00081AEB" w:rsidRPr="00E209A6">
        <w:rPr>
          <w:color w:val="000000"/>
        </w:rPr>
        <w:t xml:space="preserve"> them with the opportunity to comment on the proposed changes, the draft guidelines and </w:t>
      </w:r>
      <w:r w:rsidR="00096EF8">
        <w:rPr>
          <w:color w:val="000000"/>
        </w:rPr>
        <w:t xml:space="preserve">form of </w:t>
      </w:r>
      <w:r w:rsidR="00081AEB" w:rsidRPr="00E209A6">
        <w:rPr>
          <w:color w:val="000000"/>
        </w:rPr>
        <w:t xml:space="preserve">application </w:t>
      </w:r>
      <w:r w:rsidR="00096EF8">
        <w:rPr>
          <w:color w:val="000000"/>
        </w:rPr>
        <w:t>required under the Program</w:t>
      </w:r>
      <w:r w:rsidR="00081AEB" w:rsidRPr="00E209A6">
        <w:rPr>
          <w:color w:val="000000"/>
        </w:rPr>
        <w:t xml:space="preserve">. The </w:t>
      </w:r>
      <w:r w:rsidR="00081AEB" w:rsidRPr="00E209A6">
        <w:rPr>
          <w:color w:val="000000"/>
        </w:rPr>
        <w:lastRenderedPageBreak/>
        <w:t xml:space="preserve">majority of these organisations were </w:t>
      </w:r>
      <w:r w:rsidR="000118BE">
        <w:rPr>
          <w:color w:val="000000"/>
        </w:rPr>
        <w:t>satisfied</w:t>
      </w:r>
      <w:r w:rsidR="00081AEB" w:rsidRPr="00E209A6">
        <w:rPr>
          <w:color w:val="000000"/>
        </w:rPr>
        <w:t xml:space="preserve"> with the </w:t>
      </w:r>
      <w:r w:rsidR="000118BE">
        <w:rPr>
          <w:color w:val="000000"/>
        </w:rPr>
        <w:t xml:space="preserve">proposed </w:t>
      </w:r>
      <w:r w:rsidR="00081AEB" w:rsidRPr="00E209A6">
        <w:rPr>
          <w:color w:val="000000"/>
        </w:rPr>
        <w:t xml:space="preserve">changes to streamline the </w:t>
      </w:r>
      <w:r w:rsidR="00096EF8">
        <w:rPr>
          <w:color w:val="000000"/>
        </w:rPr>
        <w:t>CMP</w:t>
      </w:r>
      <w:r w:rsidR="00081AEB" w:rsidRPr="00E209A6">
        <w:rPr>
          <w:color w:val="000000"/>
        </w:rPr>
        <w:t>, saving them time and resources.</w:t>
      </w:r>
      <w:r w:rsidR="005E37B9">
        <w:rPr>
          <w:color w:val="000000"/>
        </w:rPr>
        <w:t xml:space="preserve"> </w:t>
      </w:r>
    </w:p>
    <w:p w14:paraId="393723CD" w14:textId="77777777" w:rsidR="005E37B9" w:rsidRDefault="005E37B9" w:rsidP="002900C0">
      <w:pPr>
        <w:shd w:val="clear" w:color="auto" w:fill="FFFFFF"/>
        <w:rPr>
          <w:color w:val="000000"/>
        </w:rPr>
      </w:pPr>
    </w:p>
    <w:p w14:paraId="75606910" w14:textId="0A4EB991" w:rsidR="00934530" w:rsidRDefault="00081AEB" w:rsidP="002900C0">
      <w:pPr>
        <w:shd w:val="clear" w:color="auto" w:fill="FFFFFF"/>
        <w:rPr>
          <w:color w:val="000000"/>
        </w:rPr>
      </w:pPr>
      <w:r w:rsidRPr="00E209A6">
        <w:rPr>
          <w:color w:val="000000"/>
        </w:rPr>
        <w:t>One organisation raised a matter</w:t>
      </w:r>
      <w:r>
        <w:rPr>
          <w:color w:val="000000"/>
        </w:rPr>
        <w:t xml:space="preserve"> </w:t>
      </w:r>
      <w:r w:rsidRPr="00931BC5">
        <w:rPr>
          <w:color w:val="000000"/>
        </w:rPr>
        <w:t>regardi</w:t>
      </w:r>
      <w:r w:rsidRPr="00115A67">
        <w:rPr>
          <w:color w:val="000000"/>
        </w:rPr>
        <w:t>ng the eligibility of current care recipients</w:t>
      </w:r>
      <w:r w:rsidR="00877AED">
        <w:rPr>
          <w:color w:val="000000"/>
        </w:rPr>
        <w:t xml:space="preserve"> </w:t>
      </w:r>
      <w:r w:rsidR="00B67A9B">
        <w:rPr>
          <w:color w:val="000000"/>
        </w:rPr>
        <w:t xml:space="preserve">in </w:t>
      </w:r>
      <w:r w:rsidR="00877AED">
        <w:rPr>
          <w:color w:val="000000"/>
        </w:rPr>
        <w:t>residential aged care</w:t>
      </w:r>
      <w:r w:rsidRPr="00115A67">
        <w:rPr>
          <w:color w:val="000000"/>
        </w:rPr>
        <w:t xml:space="preserve">. </w:t>
      </w:r>
      <w:r w:rsidRPr="00E209A6">
        <w:rPr>
          <w:color w:val="000000"/>
        </w:rPr>
        <w:t>Th</w:t>
      </w:r>
      <w:r w:rsidR="00B67A9B">
        <w:rPr>
          <w:color w:val="000000"/>
        </w:rPr>
        <w:t>is</w:t>
      </w:r>
      <w:r w:rsidRPr="00E209A6">
        <w:rPr>
          <w:color w:val="000000"/>
        </w:rPr>
        <w:t xml:space="preserve"> matter </w:t>
      </w:r>
      <w:r>
        <w:rPr>
          <w:color w:val="000000"/>
        </w:rPr>
        <w:t>was</w:t>
      </w:r>
      <w:r w:rsidRPr="00E209A6">
        <w:rPr>
          <w:color w:val="000000"/>
        </w:rPr>
        <w:t xml:space="preserve"> addressed </w:t>
      </w:r>
      <w:r w:rsidR="00B67A9B">
        <w:rPr>
          <w:color w:val="000000"/>
        </w:rPr>
        <w:t>through the transitional provision</w:t>
      </w:r>
      <w:r w:rsidR="0073743D">
        <w:rPr>
          <w:color w:val="000000"/>
        </w:rPr>
        <w:t xml:space="preserve"> under</w:t>
      </w:r>
      <w:r w:rsidR="00B67A9B">
        <w:rPr>
          <w:color w:val="000000"/>
        </w:rPr>
        <w:t xml:space="preserve"> section 23 of</w:t>
      </w:r>
      <w:r w:rsidR="00B67A9B" w:rsidRPr="00E209A6">
        <w:rPr>
          <w:color w:val="000000"/>
        </w:rPr>
        <w:t xml:space="preserve"> </w:t>
      </w:r>
      <w:r w:rsidRPr="00E209A6">
        <w:rPr>
          <w:color w:val="000000"/>
        </w:rPr>
        <w:t>th</w:t>
      </w:r>
      <w:r w:rsidR="00A81F4A">
        <w:rPr>
          <w:color w:val="000000"/>
        </w:rPr>
        <w:t>e Special Arrangement</w:t>
      </w:r>
      <w:r w:rsidRPr="00E209A6">
        <w:rPr>
          <w:color w:val="000000"/>
        </w:rPr>
        <w:t xml:space="preserve">. </w:t>
      </w:r>
      <w:r w:rsidR="00A81F4A">
        <w:rPr>
          <w:color w:val="000000"/>
        </w:rPr>
        <w:t>The Department has consulted with this organisation about the transitional provisions in sections 22 and 23 of the Special Arrangement ceasing on 30 June 2024</w:t>
      </w:r>
      <w:r w:rsidR="00466708">
        <w:rPr>
          <w:color w:val="000000"/>
        </w:rPr>
        <w:t xml:space="preserve"> and they had no comment</w:t>
      </w:r>
      <w:r w:rsidR="00A81F4A">
        <w:rPr>
          <w:color w:val="000000"/>
        </w:rPr>
        <w:t xml:space="preserve">. </w:t>
      </w:r>
    </w:p>
    <w:p w14:paraId="43674738" w14:textId="77777777" w:rsidR="00DD1324" w:rsidRDefault="00DD1324" w:rsidP="002900C0">
      <w:pPr>
        <w:shd w:val="clear" w:color="auto" w:fill="FFFFFF"/>
        <w:rPr>
          <w:color w:val="000000"/>
        </w:rPr>
      </w:pPr>
    </w:p>
    <w:p w14:paraId="5BE0447F" w14:textId="0B3A9BA8" w:rsidR="00DD1324" w:rsidRDefault="00DD1324" w:rsidP="002900C0">
      <w:pPr>
        <w:shd w:val="clear" w:color="auto" w:fill="FFFFFF"/>
        <w:rPr>
          <w:color w:val="000000"/>
        </w:rPr>
      </w:pPr>
      <w:r>
        <w:rPr>
          <w:color w:val="000000"/>
        </w:rPr>
        <w:t xml:space="preserve">The Department has not undertaken further consultation with the participating not-for-profit organisations in relation to these amendments </w:t>
      </w:r>
      <w:r w:rsidR="00466708" w:rsidRPr="00466708">
        <w:rPr>
          <w:color w:val="000000"/>
        </w:rPr>
        <w:t>due to the administrative nature of these amendments</w:t>
      </w:r>
      <w:r>
        <w:rPr>
          <w:color w:val="000000"/>
        </w:rPr>
        <w:t xml:space="preserve">. </w:t>
      </w:r>
    </w:p>
    <w:p w14:paraId="0CD3D90B" w14:textId="77777777" w:rsidR="00081AEB" w:rsidRDefault="00081AEB" w:rsidP="005E37B9">
      <w:pPr>
        <w:rPr>
          <w:color w:val="000000"/>
        </w:rPr>
      </w:pPr>
    </w:p>
    <w:p w14:paraId="363A3A16" w14:textId="77777777" w:rsidR="00081AEB" w:rsidRDefault="00081AEB" w:rsidP="005E37B9">
      <w:pPr>
        <w:autoSpaceDE w:val="0"/>
        <w:autoSpaceDN w:val="0"/>
        <w:adjustRightInd w:val="0"/>
        <w:rPr>
          <w:color w:val="000000"/>
        </w:rPr>
      </w:pPr>
      <w:r>
        <w:rPr>
          <w:b/>
          <w:bCs/>
          <w:color w:val="000000"/>
        </w:rPr>
        <w:t xml:space="preserve">General </w:t>
      </w:r>
    </w:p>
    <w:p w14:paraId="72D33595" w14:textId="77777777" w:rsidR="00081AEB" w:rsidRDefault="00081AEB" w:rsidP="005E37B9">
      <w:pPr>
        <w:autoSpaceDE w:val="0"/>
        <w:autoSpaceDN w:val="0"/>
        <w:adjustRightInd w:val="0"/>
        <w:rPr>
          <w:color w:val="000000"/>
        </w:rPr>
      </w:pPr>
    </w:p>
    <w:p w14:paraId="2BBB7BEF" w14:textId="0E2B8AC4" w:rsidR="00081AEB" w:rsidRDefault="00081AEB" w:rsidP="005E37B9">
      <w:pPr>
        <w:autoSpaceDE w:val="0"/>
        <w:autoSpaceDN w:val="0"/>
        <w:adjustRightInd w:val="0"/>
        <w:rPr>
          <w:color w:val="000000"/>
        </w:rPr>
      </w:pPr>
      <w:r>
        <w:rPr>
          <w:color w:val="000000"/>
        </w:rPr>
        <w:t xml:space="preserve">This </w:t>
      </w:r>
      <w:r w:rsidR="006852D6">
        <w:rPr>
          <w:color w:val="000000"/>
        </w:rPr>
        <w:t>Amendment I</w:t>
      </w:r>
      <w:r>
        <w:rPr>
          <w:color w:val="000000"/>
        </w:rPr>
        <w:t xml:space="preserve">nstrument is a legislative instrument for the purposes of the </w:t>
      </w:r>
      <w:r>
        <w:rPr>
          <w:i/>
          <w:iCs/>
          <w:color w:val="000000"/>
        </w:rPr>
        <w:t>Legislation Act 2003</w:t>
      </w:r>
      <w:r>
        <w:rPr>
          <w:color w:val="000000"/>
        </w:rPr>
        <w:t xml:space="preserve">. </w:t>
      </w:r>
    </w:p>
    <w:p w14:paraId="528E3B64" w14:textId="77777777" w:rsidR="00081AEB" w:rsidRDefault="00081AEB" w:rsidP="005E37B9">
      <w:pPr>
        <w:autoSpaceDE w:val="0"/>
        <w:autoSpaceDN w:val="0"/>
        <w:adjustRightInd w:val="0"/>
        <w:rPr>
          <w:color w:val="000000"/>
        </w:rPr>
      </w:pPr>
    </w:p>
    <w:p w14:paraId="358954AE" w14:textId="3777283E" w:rsidR="00081AEB" w:rsidRDefault="00081AEB" w:rsidP="005E37B9">
      <w:pPr>
        <w:autoSpaceDE w:val="0"/>
        <w:autoSpaceDN w:val="0"/>
        <w:adjustRightInd w:val="0"/>
        <w:rPr>
          <w:color w:val="000000"/>
        </w:rPr>
      </w:pPr>
      <w:r>
        <w:rPr>
          <w:color w:val="000000"/>
        </w:rPr>
        <w:t xml:space="preserve">Details of this </w:t>
      </w:r>
      <w:r w:rsidR="00B83ADB">
        <w:rPr>
          <w:color w:val="000000"/>
        </w:rPr>
        <w:t>Amendment I</w:t>
      </w:r>
      <w:r>
        <w:rPr>
          <w:color w:val="000000"/>
        </w:rPr>
        <w:t xml:space="preserve">nstrument are set out in </w:t>
      </w:r>
      <w:r>
        <w:rPr>
          <w:b/>
          <w:bCs/>
          <w:color w:val="000000"/>
        </w:rPr>
        <w:t>Attachment A</w:t>
      </w:r>
      <w:r>
        <w:rPr>
          <w:color w:val="000000"/>
        </w:rPr>
        <w:t>.</w:t>
      </w:r>
    </w:p>
    <w:p w14:paraId="70825985" w14:textId="77777777" w:rsidR="00081AEB" w:rsidRDefault="00081AEB" w:rsidP="005E37B9">
      <w:pPr>
        <w:autoSpaceDE w:val="0"/>
        <w:autoSpaceDN w:val="0"/>
        <w:adjustRightInd w:val="0"/>
        <w:rPr>
          <w:color w:val="000000"/>
        </w:rPr>
      </w:pPr>
    </w:p>
    <w:p w14:paraId="53B13A00" w14:textId="714F9E59" w:rsidR="00081AEB" w:rsidRDefault="00081AEB" w:rsidP="005E37B9">
      <w:pPr>
        <w:autoSpaceDE w:val="0"/>
        <w:autoSpaceDN w:val="0"/>
        <w:adjustRightInd w:val="0"/>
        <w:rPr>
          <w:color w:val="000000"/>
        </w:rPr>
      </w:pPr>
      <w:r>
        <w:rPr>
          <w:color w:val="000000"/>
        </w:rPr>
        <w:t>This</w:t>
      </w:r>
      <w:r w:rsidR="00B83ADB">
        <w:rPr>
          <w:color w:val="000000"/>
        </w:rPr>
        <w:t xml:space="preserve"> Amendment</w:t>
      </w:r>
      <w:r>
        <w:rPr>
          <w:color w:val="000000"/>
        </w:rPr>
        <w:t xml:space="preserve"> </w:t>
      </w:r>
      <w:r w:rsidR="00B83ADB">
        <w:rPr>
          <w:color w:val="000000"/>
        </w:rPr>
        <w:t>I</w:t>
      </w:r>
      <w:r>
        <w:rPr>
          <w:color w:val="000000"/>
        </w:rPr>
        <w:t xml:space="preserve">nstrument is compatible with the human rights and freedoms recognised or declared under section 3 of the </w:t>
      </w:r>
      <w:r>
        <w:rPr>
          <w:i/>
          <w:iCs/>
          <w:color w:val="000000"/>
        </w:rPr>
        <w:t>Human Rights (Parliamentary Scrutiny) Act 2011</w:t>
      </w:r>
      <w:r>
        <w:rPr>
          <w:color w:val="000000"/>
        </w:rPr>
        <w:t xml:space="preserve">. A full statement of compatibility is set out in </w:t>
      </w:r>
      <w:r>
        <w:rPr>
          <w:b/>
          <w:bCs/>
          <w:color w:val="000000"/>
        </w:rPr>
        <w:t>Attachment B</w:t>
      </w:r>
      <w:r>
        <w:rPr>
          <w:color w:val="000000"/>
        </w:rPr>
        <w:t>.</w:t>
      </w:r>
    </w:p>
    <w:p w14:paraId="278C196B" w14:textId="77777777" w:rsidR="00DE7867" w:rsidRPr="000011CD" w:rsidRDefault="00DE7867" w:rsidP="002900C0">
      <w:pPr>
        <w:rPr>
          <w:i/>
        </w:rPr>
      </w:pPr>
    </w:p>
    <w:p w14:paraId="44B7F204" w14:textId="77777777" w:rsidR="005B395C" w:rsidRPr="0081785A" w:rsidRDefault="00DE7867" w:rsidP="003E41E2">
      <w:pPr>
        <w:jc w:val="right"/>
        <w:rPr>
          <w:rFonts w:ascii="Times New Roman Bold" w:hAnsi="Times New Roman Bold" w:cs="Times New Roman Bold"/>
          <w:b/>
          <w:bCs/>
          <w:caps/>
          <w:sz w:val="22"/>
          <w:szCs w:val="22"/>
        </w:rPr>
      </w:pPr>
      <w:r>
        <w:rPr>
          <w:u w:val="single"/>
        </w:rPr>
        <w:br w:type="page"/>
      </w:r>
      <w:r w:rsidR="005B395C" w:rsidRPr="0081785A">
        <w:rPr>
          <w:rFonts w:ascii="Times New Roman Bold" w:hAnsi="Times New Roman Bold" w:cs="Times New Roman Bold"/>
          <w:b/>
          <w:bCs/>
          <w:caps/>
          <w:sz w:val="22"/>
          <w:szCs w:val="22"/>
        </w:rPr>
        <w:lastRenderedPageBreak/>
        <w:t>Attachment</w:t>
      </w:r>
      <w:r w:rsidR="001F14B0">
        <w:rPr>
          <w:rFonts w:ascii="Times New Roman Bold" w:hAnsi="Times New Roman Bold" w:cs="Times New Roman Bold"/>
          <w:b/>
          <w:bCs/>
          <w:caps/>
          <w:sz w:val="22"/>
          <w:szCs w:val="22"/>
        </w:rPr>
        <w:t xml:space="preserve"> A</w:t>
      </w:r>
    </w:p>
    <w:p w14:paraId="5FCC5C9E" w14:textId="77777777" w:rsidR="005B395C" w:rsidRPr="0081785A" w:rsidRDefault="005B395C" w:rsidP="005B395C">
      <w:pPr>
        <w:rPr>
          <w:rFonts w:ascii="Times New Roman Bold" w:hAnsi="Times New Roman Bold" w:cs="Times New Roman Bold"/>
          <w:caps/>
          <w:sz w:val="22"/>
          <w:szCs w:val="22"/>
        </w:rPr>
      </w:pPr>
    </w:p>
    <w:p w14:paraId="3E09F915" w14:textId="0F0162F1" w:rsidR="00E64419" w:rsidRPr="002900C0" w:rsidRDefault="00642E2B" w:rsidP="005B395C">
      <w:pPr>
        <w:rPr>
          <w:b/>
          <w:bCs/>
          <w:u w:val="single"/>
        </w:rPr>
      </w:pPr>
      <w:r w:rsidRPr="002900C0">
        <w:rPr>
          <w:b/>
          <w:bCs/>
          <w:u w:val="single"/>
        </w:rPr>
        <w:t>Details of the</w:t>
      </w:r>
      <w:r w:rsidRPr="002900C0">
        <w:rPr>
          <w:u w:val="single"/>
        </w:rPr>
        <w:t xml:space="preserve"> </w:t>
      </w:r>
      <w:r w:rsidR="00300953" w:rsidRPr="002900C0">
        <w:rPr>
          <w:b/>
          <w:bCs/>
          <w:i/>
          <w:iCs/>
          <w:color w:val="000000"/>
          <w:u w:val="single"/>
        </w:rPr>
        <w:t>National Health (</w:t>
      </w:r>
      <w:r w:rsidR="00ED67C7" w:rsidRPr="002900C0">
        <w:rPr>
          <w:b/>
          <w:bCs/>
          <w:i/>
          <w:iCs/>
          <w:color w:val="000000"/>
          <w:u w:val="single"/>
        </w:rPr>
        <w:t>Medication Program for Homeless People</w:t>
      </w:r>
      <w:r w:rsidR="00300953" w:rsidRPr="002900C0">
        <w:rPr>
          <w:b/>
          <w:bCs/>
          <w:i/>
          <w:iCs/>
          <w:color w:val="000000"/>
          <w:u w:val="single"/>
        </w:rPr>
        <w:t xml:space="preserve">) </w:t>
      </w:r>
      <w:r w:rsidR="00BB23BC" w:rsidRPr="002900C0">
        <w:rPr>
          <w:b/>
          <w:bCs/>
          <w:i/>
          <w:iCs/>
          <w:color w:val="000000"/>
          <w:u w:val="single"/>
        </w:rPr>
        <w:t xml:space="preserve">Amendment </w:t>
      </w:r>
      <w:r w:rsidR="00300953" w:rsidRPr="002900C0">
        <w:rPr>
          <w:b/>
          <w:bCs/>
          <w:i/>
          <w:iCs/>
          <w:color w:val="000000"/>
          <w:u w:val="single"/>
        </w:rPr>
        <w:t>Special Arrangement 202</w:t>
      </w:r>
      <w:r w:rsidR="00BB23BC" w:rsidRPr="002900C0">
        <w:rPr>
          <w:b/>
          <w:bCs/>
          <w:i/>
          <w:iCs/>
          <w:color w:val="000000"/>
          <w:u w:val="single"/>
        </w:rPr>
        <w:t>4</w:t>
      </w:r>
    </w:p>
    <w:p w14:paraId="1FA572BF" w14:textId="77777777" w:rsidR="00C73B6F" w:rsidRPr="00D65802" w:rsidRDefault="00C73B6F" w:rsidP="00C73B6F">
      <w:pPr>
        <w:rPr>
          <w:b/>
          <w:bCs/>
        </w:rPr>
      </w:pPr>
    </w:p>
    <w:p w14:paraId="292FD43E" w14:textId="167AB5A5" w:rsidR="002B62F1" w:rsidRPr="00B10459" w:rsidRDefault="002B62F1" w:rsidP="002B62F1">
      <w:pPr>
        <w:rPr>
          <w:b/>
        </w:rPr>
      </w:pPr>
      <w:r w:rsidRPr="00B10459">
        <w:rPr>
          <w:b/>
        </w:rPr>
        <w:t>Section 1</w:t>
      </w:r>
      <w:r w:rsidR="00DD0F22">
        <w:rPr>
          <w:b/>
        </w:rPr>
        <w:t xml:space="preserve"> </w:t>
      </w:r>
      <w:r w:rsidR="00DD0F22" w:rsidRPr="00921BD9">
        <w:rPr>
          <w:b/>
        </w:rPr>
        <w:t>–</w:t>
      </w:r>
      <w:r w:rsidR="00DD0F22">
        <w:rPr>
          <w:b/>
        </w:rPr>
        <w:t xml:space="preserve"> </w:t>
      </w:r>
      <w:r w:rsidR="00DD0F22" w:rsidRPr="00C31FBE">
        <w:rPr>
          <w:b/>
        </w:rPr>
        <w:t>Name</w:t>
      </w:r>
    </w:p>
    <w:p w14:paraId="3BDD5E05" w14:textId="77777777" w:rsidR="00684810" w:rsidRDefault="00684810" w:rsidP="002B62F1"/>
    <w:p w14:paraId="2AEE139C" w14:textId="0F41B7B2" w:rsidR="002B62F1" w:rsidRPr="00B10459" w:rsidRDefault="00F32E67" w:rsidP="002B62F1">
      <w:r>
        <w:t>Section 1</w:t>
      </w:r>
      <w:r w:rsidR="002B62F1" w:rsidRPr="00B10459">
        <w:t xml:space="preserve"> provides </w:t>
      </w:r>
      <w:r w:rsidR="00D04EA0">
        <w:t xml:space="preserve">that </w:t>
      </w:r>
      <w:r w:rsidR="002B62F1" w:rsidRPr="00B10459">
        <w:t>the name of th</w:t>
      </w:r>
      <w:r w:rsidR="00D04EA0">
        <w:t>e</w:t>
      </w:r>
      <w:r w:rsidR="002B62F1" w:rsidRPr="00B10459">
        <w:t xml:space="preserve"> </w:t>
      </w:r>
      <w:r w:rsidR="002D5BEA">
        <w:t>I</w:t>
      </w:r>
      <w:r w:rsidR="002B62F1" w:rsidRPr="00B10459">
        <w:t xml:space="preserve">nstrument </w:t>
      </w:r>
      <w:r w:rsidR="00D04EA0">
        <w:t>is</w:t>
      </w:r>
      <w:r w:rsidR="00D04EA0" w:rsidRPr="00B10459">
        <w:t xml:space="preserve"> </w:t>
      </w:r>
      <w:r w:rsidR="002B62F1" w:rsidRPr="00B10459">
        <w:t xml:space="preserve">the </w:t>
      </w:r>
      <w:r w:rsidR="002B62F1" w:rsidRPr="00B10459">
        <w:rPr>
          <w:i/>
        </w:rPr>
        <w:t xml:space="preserve">National Health (Medication Program for Homeless People) Amendment Special Arrangement 2024 </w:t>
      </w:r>
      <w:r w:rsidR="00253CE6">
        <w:rPr>
          <w:iCs/>
        </w:rPr>
        <w:t xml:space="preserve">(the Amendment Instrument) </w:t>
      </w:r>
      <w:r w:rsidR="002B62F1" w:rsidRPr="00B10459">
        <w:t>and</w:t>
      </w:r>
      <w:r w:rsidR="00AA6FD9" w:rsidRPr="00B10459">
        <w:t xml:space="preserve"> that it</w:t>
      </w:r>
      <w:r w:rsidR="002B62F1" w:rsidRPr="00B10459">
        <w:t xml:space="preserve"> may also be cited as </w:t>
      </w:r>
      <w:r w:rsidR="002B62F1" w:rsidRPr="002900C0">
        <w:t xml:space="preserve">PB </w:t>
      </w:r>
      <w:r w:rsidR="00AD335D">
        <w:t>73</w:t>
      </w:r>
      <w:r w:rsidR="00232A19" w:rsidRPr="002900C0">
        <w:t xml:space="preserve"> </w:t>
      </w:r>
      <w:r w:rsidR="002B62F1" w:rsidRPr="002900C0">
        <w:t>of 2024</w:t>
      </w:r>
      <w:r w:rsidR="002B62F1" w:rsidRPr="00232A19">
        <w:t>.</w:t>
      </w:r>
    </w:p>
    <w:p w14:paraId="0A730D49" w14:textId="77777777" w:rsidR="002B62F1" w:rsidRPr="00B10459" w:rsidRDefault="002B62F1" w:rsidP="002B62F1">
      <w:pPr>
        <w:rPr>
          <w:b/>
        </w:rPr>
      </w:pPr>
    </w:p>
    <w:p w14:paraId="7AD1532D" w14:textId="5664359C" w:rsidR="002B62F1" w:rsidRPr="00B10459" w:rsidRDefault="002B62F1" w:rsidP="002B62F1">
      <w:pPr>
        <w:rPr>
          <w:b/>
        </w:rPr>
      </w:pPr>
      <w:r w:rsidRPr="00B10459">
        <w:rPr>
          <w:b/>
        </w:rPr>
        <w:t>Section 2</w:t>
      </w:r>
      <w:r w:rsidR="000431F6">
        <w:rPr>
          <w:b/>
        </w:rPr>
        <w:t xml:space="preserve"> </w:t>
      </w:r>
      <w:r w:rsidR="000431F6" w:rsidRPr="00921BD9">
        <w:rPr>
          <w:b/>
        </w:rPr>
        <w:t>–</w:t>
      </w:r>
      <w:r w:rsidR="000431F6">
        <w:rPr>
          <w:b/>
        </w:rPr>
        <w:t xml:space="preserve"> Commencement</w:t>
      </w:r>
    </w:p>
    <w:p w14:paraId="63F9B505" w14:textId="77777777" w:rsidR="00684810" w:rsidRDefault="00684810" w:rsidP="002B62F1"/>
    <w:p w14:paraId="4B70E540" w14:textId="19CFD3CA" w:rsidR="002B62F1" w:rsidRPr="00B10459" w:rsidRDefault="00F32E67" w:rsidP="002B62F1">
      <w:r>
        <w:t>Section 2</w:t>
      </w:r>
      <w:r w:rsidR="002B62F1" w:rsidRPr="00B10459">
        <w:t xml:space="preserve"> provides that th</w:t>
      </w:r>
      <w:r w:rsidR="002D5BEA">
        <w:t>e</w:t>
      </w:r>
      <w:r w:rsidR="002B62F1" w:rsidRPr="00B10459">
        <w:t xml:space="preserve"> </w:t>
      </w:r>
      <w:r w:rsidR="002D5BEA">
        <w:t>Amendment I</w:t>
      </w:r>
      <w:r w:rsidR="002B62F1" w:rsidRPr="00B10459">
        <w:t>nstrument commences on 1 July 2024.</w:t>
      </w:r>
    </w:p>
    <w:p w14:paraId="4517A47D" w14:textId="77777777" w:rsidR="002B62F1" w:rsidRPr="00B10459" w:rsidRDefault="002B62F1" w:rsidP="002B62F1">
      <w:pPr>
        <w:rPr>
          <w:b/>
        </w:rPr>
      </w:pPr>
      <w:bookmarkStart w:id="1" w:name="_Hlk112391209"/>
    </w:p>
    <w:p w14:paraId="370E19E4" w14:textId="54FC9990" w:rsidR="002B62F1" w:rsidRPr="00B10459" w:rsidRDefault="002B62F1" w:rsidP="002B62F1">
      <w:pPr>
        <w:rPr>
          <w:b/>
        </w:rPr>
      </w:pPr>
      <w:r w:rsidRPr="00B10459">
        <w:rPr>
          <w:b/>
        </w:rPr>
        <w:t>Section 3</w:t>
      </w:r>
      <w:r w:rsidR="006411FD">
        <w:rPr>
          <w:b/>
        </w:rPr>
        <w:t xml:space="preserve"> </w:t>
      </w:r>
      <w:r w:rsidR="006411FD" w:rsidRPr="00921BD9">
        <w:rPr>
          <w:b/>
        </w:rPr>
        <w:t>–</w:t>
      </w:r>
      <w:r w:rsidR="006411FD">
        <w:rPr>
          <w:b/>
        </w:rPr>
        <w:t xml:space="preserve"> Authority</w:t>
      </w:r>
    </w:p>
    <w:p w14:paraId="794F40AE" w14:textId="77777777" w:rsidR="00684810" w:rsidRDefault="00684810" w:rsidP="002B62F1">
      <w:pPr>
        <w:rPr>
          <w:color w:val="000000"/>
        </w:rPr>
      </w:pPr>
      <w:bookmarkStart w:id="2" w:name="_Hlk79566839"/>
    </w:p>
    <w:p w14:paraId="3304086F" w14:textId="5949E9F0" w:rsidR="002B62F1" w:rsidRPr="00B10459" w:rsidRDefault="00F32E67" w:rsidP="002B62F1">
      <w:pPr>
        <w:rPr>
          <w:b/>
        </w:rPr>
      </w:pPr>
      <w:r>
        <w:rPr>
          <w:color w:val="000000"/>
        </w:rPr>
        <w:t>Section 3</w:t>
      </w:r>
      <w:r w:rsidR="002B62F1" w:rsidRPr="00B10459">
        <w:rPr>
          <w:color w:val="000000"/>
        </w:rPr>
        <w:t xml:space="preserve"> </w:t>
      </w:r>
      <w:r w:rsidR="00AA6FD9" w:rsidRPr="00B10459">
        <w:rPr>
          <w:color w:val="000000"/>
        </w:rPr>
        <w:t xml:space="preserve">provides </w:t>
      </w:r>
      <w:r w:rsidR="002B62F1" w:rsidRPr="00B10459">
        <w:rPr>
          <w:color w:val="000000"/>
        </w:rPr>
        <w:t>that th</w:t>
      </w:r>
      <w:r w:rsidR="002D5BEA">
        <w:rPr>
          <w:color w:val="000000"/>
        </w:rPr>
        <w:t>e</w:t>
      </w:r>
      <w:r w:rsidR="002B62F1" w:rsidRPr="00B10459">
        <w:rPr>
          <w:color w:val="000000"/>
        </w:rPr>
        <w:t xml:space="preserve"> </w:t>
      </w:r>
      <w:r w:rsidR="002D5BEA">
        <w:rPr>
          <w:color w:val="000000"/>
        </w:rPr>
        <w:t>Amendment I</w:t>
      </w:r>
      <w:r w:rsidR="002B62F1" w:rsidRPr="00B10459">
        <w:rPr>
          <w:color w:val="000000"/>
        </w:rPr>
        <w:t xml:space="preserve">nstrument is made under </w:t>
      </w:r>
      <w:r w:rsidR="002B62F1" w:rsidRPr="00B10459">
        <w:t xml:space="preserve">subsection 100(2) </w:t>
      </w:r>
      <w:r w:rsidR="002B62F1" w:rsidRPr="00B10459">
        <w:rPr>
          <w:color w:val="000000"/>
        </w:rPr>
        <w:t xml:space="preserve">of the </w:t>
      </w:r>
      <w:r w:rsidR="002B62F1" w:rsidRPr="00B10459">
        <w:rPr>
          <w:i/>
          <w:iCs/>
          <w:color w:val="000000"/>
        </w:rPr>
        <w:t>National Health Act 1953</w:t>
      </w:r>
      <w:r w:rsidR="002B62F1" w:rsidRPr="00B10459">
        <w:rPr>
          <w:color w:val="000000"/>
        </w:rPr>
        <w:t>.</w:t>
      </w:r>
    </w:p>
    <w:bookmarkEnd w:id="2"/>
    <w:p w14:paraId="3CC4648A" w14:textId="77777777" w:rsidR="002B62F1" w:rsidRPr="00B10459" w:rsidRDefault="002B62F1" w:rsidP="002B62F1">
      <w:pPr>
        <w:ind w:left="720" w:hanging="720"/>
        <w:rPr>
          <w:b/>
        </w:rPr>
      </w:pPr>
    </w:p>
    <w:p w14:paraId="5551D048" w14:textId="40E4D94C" w:rsidR="002B62F1" w:rsidRPr="00B10459" w:rsidRDefault="002B62F1" w:rsidP="002B62F1">
      <w:pPr>
        <w:ind w:left="720" w:hanging="720"/>
        <w:rPr>
          <w:b/>
          <w:bCs/>
        </w:rPr>
      </w:pPr>
      <w:r w:rsidRPr="00B10459">
        <w:rPr>
          <w:b/>
        </w:rPr>
        <w:t>Section 4</w:t>
      </w:r>
      <w:r w:rsidR="009103D2">
        <w:rPr>
          <w:b/>
        </w:rPr>
        <w:t xml:space="preserve"> </w:t>
      </w:r>
      <w:r w:rsidR="009103D2" w:rsidRPr="00921BD9">
        <w:rPr>
          <w:b/>
        </w:rPr>
        <w:t>–</w:t>
      </w:r>
      <w:r w:rsidR="009103D2">
        <w:rPr>
          <w:b/>
        </w:rPr>
        <w:t xml:space="preserve"> Schedule</w:t>
      </w:r>
    </w:p>
    <w:p w14:paraId="18F6CE5A" w14:textId="77777777" w:rsidR="00684810" w:rsidRDefault="00684810" w:rsidP="002B62F1"/>
    <w:p w14:paraId="3EB0454E" w14:textId="0FD4A10B" w:rsidR="002B62F1" w:rsidRPr="00B10459" w:rsidRDefault="002B62F1" w:rsidP="002B62F1">
      <w:r w:rsidRPr="00B10459">
        <w:t xml:space="preserve">Section 4 provides that each instrument that is specified in a Schedule to the </w:t>
      </w:r>
      <w:r w:rsidR="00E3285D">
        <w:t>Amend</w:t>
      </w:r>
      <w:r w:rsidR="00DD1EC6">
        <w:t>ment</w:t>
      </w:r>
      <w:r w:rsidR="00E3285D">
        <w:t xml:space="preserve"> I</w:t>
      </w:r>
      <w:r w:rsidRPr="00B10459">
        <w:t>nstrument is amended or repealed as set out in the applicable items in the Schedule concerned, and any other item in a Schedule to th</w:t>
      </w:r>
      <w:r w:rsidR="00DD1EC6">
        <w:t>is</w:t>
      </w:r>
      <w:r w:rsidRPr="00B10459">
        <w:t xml:space="preserve"> </w:t>
      </w:r>
      <w:r w:rsidR="00DD1EC6">
        <w:t>Amendment I</w:t>
      </w:r>
      <w:r w:rsidRPr="00B10459">
        <w:t>nstrument has effect according to its terms.</w:t>
      </w:r>
    </w:p>
    <w:bookmarkEnd w:id="1"/>
    <w:p w14:paraId="0B5F9170" w14:textId="77777777" w:rsidR="002B62F1" w:rsidRPr="00D65802" w:rsidRDefault="002B62F1" w:rsidP="002B62F1">
      <w:pPr>
        <w:rPr>
          <w:b/>
        </w:rPr>
      </w:pPr>
    </w:p>
    <w:p w14:paraId="6C5B2FD4" w14:textId="2031307F" w:rsidR="002B62F1" w:rsidRPr="00D65802" w:rsidRDefault="002B62F1" w:rsidP="002B62F1">
      <w:pPr>
        <w:rPr>
          <w:b/>
        </w:rPr>
      </w:pPr>
      <w:r w:rsidRPr="00D65802">
        <w:rPr>
          <w:b/>
        </w:rPr>
        <w:t>Schedule</w:t>
      </w:r>
      <w:r w:rsidR="00947338">
        <w:rPr>
          <w:b/>
        </w:rPr>
        <w:t xml:space="preserve"> </w:t>
      </w:r>
      <w:r w:rsidR="00947338" w:rsidRPr="00CA75AB">
        <w:rPr>
          <w:b/>
        </w:rPr>
        <w:t>1 –</w:t>
      </w:r>
      <w:r w:rsidR="00E03981">
        <w:rPr>
          <w:b/>
        </w:rPr>
        <w:t xml:space="preserve"> Amendments</w:t>
      </w:r>
    </w:p>
    <w:p w14:paraId="2A0D5783" w14:textId="77777777" w:rsidR="005E37B9" w:rsidRPr="00D65802" w:rsidRDefault="005E37B9" w:rsidP="002B62F1">
      <w:pPr>
        <w:rPr>
          <w:u w:val="single"/>
        </w:rPr>
      </w:pPr>
    </w:p>
    <w:p w14:paraId="2B04DAA2" w14:textId="0605BA86" w:rsidR="006620B4" w:rsidRDefault="002B62F1" w:rsidP="005E37B9">
      <w:r w:rsidRPr="002900C0">
        <w:t>Item</w:t>
      </w:r>
      <w:r w:rsidR="00E0639E" w:rsidRPr="002900C0">
        <w:t xml:space="preserve"> </w:t>
      </w:r>
      <w:r w:rsidRPr="002900C0">
        <w:t>1</w:t>
      </w:r>
      <w:r w:rsidR="00637568" w:rsidRPr="002900C0">
        <w:t xml:space="preserve"> </w:t>
      </w:r>
      <w:r w:rsidR="00FC6F69">
        <w:t>repeals</w:t>
      </w:r>
      <w:r w:rsidR="00FC6F69" w:rsidRPr="002900C0">
        <w:t xml:space="preserve"> </w:t>
      </w:r>
      <w:r w:rsidR="00FE0F29" w:rsidRPr="002900C0">
        <w:t>the definition of ‘</w:t>
      </w:r>
      <w:r w:rsidR="0098146D">
        <w:t>residential care recipient</w:t>
      </w:r>
      <w:r w:rsidR="00FE0F29" w:rsidRPr="002900C0">
        <w:t>’</w:t>
      </w:r>
      <w:r w:rsidR="006620B4">
        <w:t>. Repealing this definition</w:t>
      </w:r>
      <w:r w:rsidR="00DE3E15" w:rsidRPr="002900C0">
        <w:t xml:space="preserve"> </w:t>
      </w:r>
      <w:r w:rsidR="00DE3E15" w:rsidRPr="00637568">
        <w:t>will not</w:t>
      </w:r>
      <w:r w:rsidR="00DE3E15">
        <w:t xml:space="preserve"> substantially affect the intended operation of the </w:t>
      </w:r>
      <w:r w:rsidR="006620B4">
        <w:t>Amend</w:t>
      </w:r>
      <w:r w:rsidR="00B96436">
        <w:t>ment</w:t>
      </w:r>
      <w:r w:rsidR="006620B4">
        <w:t xml:space="preserve"> I</w:t>
      </w:r>
      <w:r w:rsidR="00DE3E15">
        <w:t>nstrument. </w:t>
      </w:r>
    </w:p>
    <w:p w14:paraId="20B003E7" w14:textId="77777777" w:rsidR="005E37B9" w:rsidRDefault="005E37B9" w:rsidP="002900C0"/>
    <w:p w14:paraId="005D3110" w14:textId="244AB048" w:rsidR="00DE3E15" w:rsidRDefault="00E0639E" w:rsidP="002900C0">
      <w:r>
        <w:rPr>
          <w:color w:val="000000"/>
        </w:rPr>
        <w:t xml:space="preserve">Item </w:t>
      </w:r>
      <w:r w:rsidR="00FE0F29">
        <w:rPr>
          <w:color w:val="000000"/>
        </w:rPr>
        <w:t>2</w:t>
      </w:r>
      <w:r w:rsidR="00DE3E15">
        <w:rPr>
          <w:color w:val="000000"/>
        </w:rPr>
        <w:t xml:space="preserve"> </w:t>
      </w:r>
      <w:r w:rsidR="006620B4">
        <w:rPr>
          <w:color w:val="000000"/>
        </w:rPr>
        <w:t xml:space="preserve">repeals </w:t>
      </w:r>
      <w:r w:rsidR="00DE3E15">
        <w:rPr>
          <w:color w:val="000000"/>
        </w:rPr>
        <w:t xml:space="preserve">and substitutes </w:t>
      </w:r>
      <w:r w:rsidR="00253CE6">
        <w:rPr>
          <w:color w:val="000000"/>
        </w:rPr>
        <w:t xml:space="preserve">subsection 6(2) of the Special Arrangement </w:t>
      </w:r>
      <w:r w:rsidR="00063E47">
        <w:rPr>
          <w:color w:val="000000"/>
        </w:rPr>
        <w:t xml:space="preserve">to </w:t>
      </w:r>
      <w:r w:rsidR="00CC346A">
        <w:rPr>
          <w:color w:val="000000"/>
        </w:rPr>
        <w:t xml:space="preserve">further </w:t>
      </w:r>
      <w:r w:rsidR="00063E47">
        <w:rPr>
          <w:color w:val="000000"/>
        </w:rPr>
        <w:t>clarify the</w:t>
      </w:r>
      <w:r w:rsidR="004B54FF">
        <w:rPr>
          <w:color w:val="000000"/>
        </w:rPr>
        <w:t xml:space="preserve"> </w:t>
      </w:r>
      <w:r w:rsidR="00253CE6">
        <w:rPr>
          <w:color w:val="000000"/>
        </w:rPr>
        <w:t>definition of ‘homeless</w:t>
      </w:r>
      <w:r w:rsidR="00085DC8">
        <w:rPr>
          <w:color w:val="000000"/>
        </w:rPr>
        <w:t>’</w:t>
      </w:r>
      <w:r w:rsidR="004B54FF">
        <w:rPr>
          <w:color w:val="000000"/>
        </w:rPr>
        <w:t>.</w:t>
      </w:r>
      <w:r w:rsidR="00063E47">
        <w:rPr>
          <w:color w:val="000000"/>
        </w:rPr>
        <w:t xml:space="preserve"> </w:t>
      </w:r>
      <w:r w:rsidR="004B54FF">
        <w:rPr>
          <w:color w:val="000000"/>
        </w:rPr>
        <w:t xml:space="preserve">Namely, a person is </w:t>
      </w:r>
      <w:r w:rsidR="0069798D">
        <w:rPr>
          <w:color w:val="000000"/>
        </w:rPr>
        <w:t xml:space="preserve">not </w:t>
      </w:r>
      <w:r w:rsidR="004B54FF">
        <w:rPr>
          <w:color w:val="000000"/>
        </w:rPr>
        <w:t xml:space="preserve">‘homeless’ </w:t>
      </w:r>
      <w:r w:rsidR="00C32BBC">
        <w:rPr>
          <w:color w:val="000000"/>
        </w:rPr>
        <w:t xml:space="preserve">under the Special Arrangement </w:t>
      </w:r>
      <w:r w:rsidR="00A70320">
        <w:rPr>
          <w:color w:val="000000"/>
        </w:rPr>
        <w:t>if the person</w:t>
      </w:r>
      <w:r w:rsidR="00DE3E15">
        <w:rPr>
          <w:color w:val="000000"/>
        </w:rPr>
        <w:t xml:space="preserve"> is a care recipient of residential care</w:t>
      </w:r>
      <w:r w:rsidR="00A70320">
        <w:rPr>
          <w:color w:val="000000"/>
        </w:rPr>
        <w:t xml:space="preserve"> within the meaning of the </w:t>
      </w:r>
      <w:r w:rsidR="00A70320">
        <w:rPr>
          <w:i/>
          <w:iCs/>
          <w:color w:val="000000"/>
        </w:rPr>
        <w:t>Aged Care Act 1997</w:t>
      </w:r>
      <w:r w:rsidR="00A70320">
        <w:rPr>
          <w:color w:val="000000"/>
        </w:rPr>
        <w:t>.</w:t>
      </w:r>
      <w:r w:rsidR="00DE3E15">
        <w:rPr>
          <w:color w:val="000000"/>
        </w:rPr>
        <w:t xml:space="preserve"> </w:t>
      </w:r>
      <w:r w:rsidR="00DE3E15">
        <w:t>This will help ensure that this provision is read in isolation and will not disrupt contrary provisions within other legislation</w:t>
      </w:r>
      <w:r w:rsidR="009D78D7">
        <w:t>, such as</w:t>
      </w:r>
      <w:r w:rsidR="00DE3E15">
        <w:t xml:space="preserve"> the homeless supplement provisions within the </w:t>
      </w:r>
      <w:r w:rsidR="00DE3E15">
        <w:rPr>
          <w:i/>
          <w:iCs/>
        </w:rPr>
        <w:t>Subsidy Principles 2014</w:t>
      </w:r>
      <w:r w:rsidR="00DE3E15">
        <w:t>.</w:t>
      </w:r>
    </w:p>
    <w:p w14:paraId="122FE71E" w14:textId="77777777" w:rsidR="002238BC" w:rsidRDefault="002238BC" w:rsidP="00C80A63">
      <w:pPr>
        <w:pStyle w:val="CommentText"/>
        <w:rPr>
          <w:color w:val="000000"/>
          <w:sz w:val="24"/>
          <w:szCs w:val="24"/>
        </w:rPr>
      </w:pPr>
    </w:p>
    <w:p w14:paraId="51FBCE0B" w14:textId="0086024C" w:rsidR="00E8170C" w:rsidRDefault="002238BC">
      <w:pPr>
        <w:shd w:val="clear" w:color="auto" w:fill="FFFFFF"/>
        <w:rPr>
          <w:bCs/>
          <w:color w:val="000000"/>
        </w:rPr>
      </w:pPr>
      <w:r>
        <w:rPr>
          <w:color w:val="000000"/>
        </w:rPr>
        <w:t xml:space="preserve">Item 3 </w:t>
      </w:r>
      <w:r w:rsidR="00E0639E">
        <w:rPr>
          <w:color w:val="000000"/>
        </w:rPr>
        <w:t>repeals</w:t>
      </w:r>
      <w:r w:rsidR="00C32BBC">
        <w:rPr>
          <w:color w:val="000000"/>
        </w:rPr>
        <w:t xml:space="preserve"> the transitional</w:t>
      </w:r>
      <w:r w:rsidR="00863A34">
        <w:rPr>
          <w:color w:val="000000"/>
        </w:rPr>
        <w:t xml:space="preserve"> arrangements provided under </w:t>
      </w:r>
      <w:r w:rsidR="00E0639E">
        <w:rPr>
          <w:color w:val="000000"/>
        </w:rPr>
        <w:t xml:space="preserve">Part 4 of the Special Arrangement. Sections </w:t>
      </w:r>
      <w:r w:rsidR="00C80A63" w:rsidRPr="00D65802">
        <w:rPr>
          <w:color w:val="000000"/>
        </w:rPr>
        <w:t>22 and 23</w:t>
      </w:r>
      <w:r w:rsidR="00E0639E">
        <w:rPr>
          <w:color w:val="000000"/>
        </w:rPr>
        <w:t xml:space="preserve"> </w:t>
      </w:r>
      <w:r w:rsidR="00490DF9">
        <w:rPr>
          <w:color w:val="000000"/>
        </w:rPr>
        <w:t xml:space="preserve">are the only provisions in </w:t>
      </w:r>
      <w:r w:rsidR="00E0639E">
        <w:rPr>
          <w:color w:val="000000"/>
        </w:rPr>
        <w:t>Part 4 of the Special Arrangement</w:t>
      </w:r>
      <w:r w:rsidR="00C80A63" w:rsidRPr="00D65802">
        <w:rPr>
          <w:color w:val="000000"/>
        </w:rPr>
        <w:t xml:space="preserve"> </w:t>
      </w:r>
      <w:r w:rsidR="00490DF9">
        <w:rPr>
          <w:color w:val="000000"/>
        </w:rPr>
        <w:t xml:space="preserve">and </w:t>
      </w:r>
      <w:r w:rsidR="00C80A63" w:rsidRPr="00D65802">
        <w:rPr>
          <w:color w:val="000000"/>
        </w:rPr>
        <w:t xml:space="preserve">were </w:t>
      </w:r>
      <w:r w:rsidR="00490DF9">
        <w:rPr>
          <w:color w:val="000000"/>
        </w:rPr>
        <w:t xml:space="preserve">initially </w:t>
      </w:r>
      <w:r w:rsidR="00C80A63" w:rsidRPr="00D65802">
        <w:rPr>
          <w:color w:val="000000"/>
        </w:rPr>
        <w:t xml:space="preserve">included </w:t>
      </w:r>
      <w:r w:rsidR="002B62F1" w:rsidRPr="00D65802">
        <w:rPr>
          <w:color w:val="000000"/>
        </w:rPr>
        <w:t xml:space="preserve">to assist </w:t>
      </w:r>
      <w:r w:rsidR="00C80A63" w:rsidRPr="00D65802">
        <w:rPr>
          <w:color w:val="000000"/>
        </w:rPr>
        <w:t xml:space="preserve">approved not-for-profit organisations transition to the new arrangements following the reforms to the </w:t>
      </w:r>
      <w:r w:rsidR="00877AED">
        <w:rPr>
          <w:color w:val="000000"/>
        </w:rPr>
        <w:t>P</w:t>
      </w:r>
      <w:r w:rsidR="00C80A63" w:rsidRPr="00D65802">
        <w:rPr>
          <w:color w:val="000000"/>
        </w:rPr>
        <w:t>rogram.</w:t>
      </w:r>
      <w:r w:rsidR="00AF257F" w:rsidRPr="00827A77">
        <w:rPr>
          <w:color w:val="000000"/>
        </w:rPr>
        <w:t xml:space="preserve"> </w:t>
      </w:r>
      <w:r w:rsidR="00E61E08">
        <w:rPr>
          <w:bCs/>
          <w:color w:val="000000"/>
        </w:rPr>
        <w:t xml:space="preserve">Section 22 </w:t>
      </w:r>
      <w:r w:rsidR="005F1468">
        <w:rPr>
          <w:bCs/>
          <w:color w:val="000000"/>
        </w:rPr>
        <w:t xml:space="preserve">provides for transitional arrangements for a list of </w:t>
      </w:r>
      <w:r w:rsidR="00E61E08">
        <w:rPr>
          <w:bCs/>
          <w:color w:val="000000"/>
        </w:rPr>
        <w:t xml:space="preserve">14 not-for-profit organisations who were already approved to participate in </w:t>
      </w:r>
      <w:r w:rsidR="00AF257F">
        <w:rPr>
          <w:bCs/>
          <w:color w:val="000000"/>
        </w:rPr>
        <w:t xml:space="preserve">the </w:t>
      </w:r>
      <w:r w:rsidR="00E61E08">
        <w:rPr>
          <w:bCs/>
          <w:color w:val="000000"/>
        </w:rPr>
        <w:t xml:space="preserve">Program on the commencement date of </w:t>
      </w:r>
      <w:r w:rsidR="00A756CA">
        <w:rPr>
          <w:bCs/>
          <w:color w:val="000000"/>
        </w:rPr>
        <w:t xml:space="preserve">the Special </w:t>
      </w:r>
      <w:r w:rsidR="00A756CA" w:rsidRPr="005E37B9">
        <w:rPr>
          <w:color w:val="000000"/>
        </w:rPr>
        <w:t>Arrangement, being 1 July 2021</w:t>
      </w:r>
      <w:r w:rsidR="005E37B9">
        <w:rPr>
          <w:color w:val="000000"/>
        </w:rPr>
        <w:t>.</w:t>
      </w:r>
      <w:r w:rsidR="00E21BD2">
        <w:rPr>
          <w:color w:val="000000"/>
        </w:rPr>
        <w:t xml:space="preserve"> </w:t>
      </w:r>
      <w:r w:rsidR="0018539F" w:rsidRPr="00AB36E8">
        <w:rPr>
          <w:color w:val="000000"/>
        </w:rPr>
        <w:t>Section 23 provide</w:t>
      </w:r>
      <w:r w:rsidR="0018539F">
        <w:rPr>
          <w:color w:val="000000"/>
        </w:rPr>
        <w:t>s</w:t>
      </w:r>
      <w:r w:rsidR="0018539F" w:rsidRPr="00AB36E8">
        <w:rPr>
          <w:color w:val="000000"/>
        </w:rPr>
        <w:t xml:space="preserve"> a three-year transitional arrangement for specific eligible residential care recipients and</w:t>
      </w:r>
      <w:r w:rsidR="0018539F">
        <w:rPr>
          <w:color w:val="000000"/>
        </w:rPr>
        <w:t xml:space="preserve"> will cease on</w:t>
      </w:r>
      <w:r w:rsidR="0018539F" w:rsidRPr="00AB36E8">
        <w:rPr>
          <w:bCs/>
          <w:color w:val="000000"/>
        </w:rPr>
        <w:t xml:space="preserve"> 30 June 2024. </w:t>
      </w:r>
      <w:r w:rsidR="00B62CBB" w:rsidRPr="00AB36E8">
        <w:rPr>
          <w:bCs/>
          <w:color w:val="000000"/>
        </w:rPr>
        <w:t>Subsection 23</w:t>
      </w:r>
      <w:r w:rsidR="00B62CBB" w:rsidRPr="005E37B9">
        <w:rPr>
          <w:color w:val="000000"/>
        </w:rPr>
        <w:t>(2) of the Special Arrangement provide</w:t>
      </w:r>
      <w:r w:rsidR="00A2202E">
        <w:rPr>
          <w:color w:val="000000"/>
        </w:rPr>
        <w:t>s</w:t>
      </w:r>
      <w:r w:rsidR="00B62CBB" w:rsidRPr="005E37B9">
        <w:rPr>
          <w:color w:val="000000"/>
        </w:rPr>
        <w:t xml:space="preserve"> that a person </w:t>
      </w:r>
      <w:r w:rsidR="00321EA6">
        <w:rPr>
          <w:color w:val="000000"/>
        </w:rPr>
        <w:t>is considered</w:t>
      </w:r>
      <w:r w:rsidR="00B62CBB" w:rsidRPr="005E37B9">
        <w:rPr>
          <w:color w:val="000000"/>
        </w:rPr>
        <w:t xml:space="preserve"> ‘homeless’ if they met </w:t>
      </w:r>
      <w:r w:rsidR="00B62CBB" w:rsidRPr="005E37B9">
        <w:rPr>
          <w:color w:val="000000"/>
        </w:rPr>
        <w:lastRenderedPageBreak/>
        <w:t>specified criteria, including that the person was a residential care recipient of an organisation mentioned in section 22 of the Special Arrangement.</w:t>
      </w:r>
    </w:p>
    <w:p w14:paraId="0FB97189" w14:textId="77777777" w:rsidR="00E8170C" w:rsidRDefault="00E8170C">
      <w:pPr>
        <w:shd w:val="clear" w:color="auto" w:fill="FFFFFF"/>
        <w:rPr>
          <w:bCs/>
          <w:color w:val="000000"/>
        </w:rPr>
      </w:pPr>
    </w:p>
    <w:p w14:paraId="1057E9B3" w14:textId="1EF80823" w:rsidR="00626459" w:rsidRPr="005E37B9" w:rsidRDefault="00E21BD2" w:rsidP="002900C0">
      <w:pPr>
        <w:shd w:val="clear" w:color="auto" w:fill="FFFFFF"/>
        <w:rPr>
          <w:color w:val="000000"/>
        </w:rPr>
      </w:pPr>
      <w:r>
        <w:rPr>
          <w:color w:val="000000"/>
        </w:rPr>
        <w:t xml:space="preserve">While the transitional arrangements under section 22 </w:t>
      </w:r>
      <w:r w:rsidR="00453C17">
        <w:rPr>
          <w:color w:val="000000"/>
        </w:rPr>
        <w:t xml:space="preserve">were intended to automatically </w:t>
      </w:r>
      <w:r>
        <w:rPr>
          <w:color w:val="000000"/>
        </w:rPr>
        <w:t xml:space="preserve">repeal </w:t>
      </w:r>
      <w:r w:rsidR="000F095E">
        <w:rPr>
          <w:color w:val="000000"/>
        </w:rPr>
        <w:t>at the end of 30</w:t>
      </w:r>
      <w:r w:rsidR="00A77094">
        <w:rPr>
          <w:color w:val="000000"/>
        </w:rPr>
        <w:t> </w:t>
      </w:r>
      <w:r w:rsidR="000F095E">
        <w:rPr>
          <w:color w:val="000000"/>
        </w:rPr>
        <w:t xml:space="preserve">September 2021, </w:t>
      </w:r>
      <w:r w:rsidR="002C432B">
        <w:rPr>
          <w:color w:val="000000"/>
        </w:rPr>
        <w:t xml:space="preserve">as section 22 was still required to give effect to the transitional arrangements under section 23 of the Special Arrangement, </w:t>
      </w:r>
      <w:r w:rsidR="00804FDF">
        <w:rPr>
          <w:color w:val="000000"/>
        </w:rPr>
        <w:t xml:space="preserve">both provisions are </w:t>
      </w:r>
      <w:r w:rsidR="00453C17">
        <w:rPr>
          <w:color w:val="000000"/>
        </w:rPr>
        <w:t xml:space="preserve">now </w:t>
      </w:r>
      <w:r w:rsidR="00804FDF">
        <w:rPr>
          <w:color w:val="000000"/>
        </w:rPr>
        <w:t xml:space="preserve">being repealed </w:t>
      </w:r>
      <w:r w:rsidR="00321EA6">
        <w:rPr>
          <w:color w:val="000000"/>
        </w:rPr>
        <w:t xml:space="preserve">through this Amendment Instrument </w:t>
      </w:r>
      <w:r w:rsidR="00E529E0">
        <w:rPr>
          <w:color w:val="000000"/>
        </w:rPr>
        <w:t>to align with the c</w:t>
      </w:r>
      <w:r w:rsidR="00897D60">
        <w:rPr>
          <w:color w:val="000000"/>
        </w:rPr>
        <w:t xml:space="preserve">eased operation of section 23 </w:t>
      </w:r>
      <w:r w:rsidR="00693691">
        <w:rPr>
          <w:color w:val="000000"/>
        </w:rPr>
        <w:t>at the end of</w:t>
      </w:r>
      <w:r w:rsidR="00897D60">
        <w:rPr>
          <w:color w:val="000000"/>
        </w:rPr>
        <w:t xml:space="preserve"> 30 June 2024.</w:t>
      </w:r>
    </w:p>
    <w:p w14:paraId="17AD443B" w14:textId="77777777" w:rsidR="00600209" w:rsidRPr="00B10459" w:rsidRDefault="00600209" w:rsidP="000F45E2">
      <w:pPr>
        <w:spacing w:after="240"/>
      </w:pPr>
    </w:p>
    <w:p w14:paraId="6D1F5ADB" w14:textId="77777777" w:rsidR="00674AED" w:rsidRPr="0081785A" w:rsidRDefault="00894ED5" w:rsidP="00674AED">
      <w:pPr>
        <w:jc w:val="right"/>
        <w:rPr>
          <w:rFonts w:ascii="Times New Roman Bold" w:hAnsi="Times New Roman Bold" w:cs="Times New Roman Bold"/>
          <w:b/>
          <w:bCs/>
          <w:caps/>
          <w:sz w:val="22"/>
          <w:szCs w:val="22"/>
        </w:rPr>
      </w:pPr>
      <w:r w:rsidRPr="00B10459">
        <w:br w:type="page"/>
      </w:r>
      <w:r w:rsidR="00674AED" w:rsidRPr="0081785A">
        <w:rPr>
          <w:rFonts w:ascii="Times New Roman Bold" w:hAnsi="Times New Roman Bold" w:cs="Times New Roman Bold"/>
          <w:b/>
          <w:bCs/>
          <w:caps/>
          <w:sz w:val="22"/>
          <w:szCs w:val="22"/>
        </w:rPr>
        <w:lastRenderedPageBreak/>
        <w:t>Attachment</w:t>
      </w:r>
      <w:r w:rsidR="00674AED">
        <w:rPr>
          <w:rFonts w:ascii="Times New Roman Bold" w:hAnsi="Times New Roman Bold" w:cs="Times New Roman Bold"/>
          <w:b/>
          <w:bCs/>
          <w:caps/>
          <w:sz w:val="22"/>
          <w:szCs w:val="22"/>
        </w:rPr>
        <w:t xml:space="preserve"> B</w:t>
      </w:r>
    </w:p>
    <w:p w14:paraId="66ED7213" w14:textId="77777777" w:rsidR="00674AED" w:rsidRDefault="00674AED" w:rsidP="00993707">
      <w:pPr>
        <w:jc w:val="center"/>
      </w:pPr>
    </w:p>
    <w:p w14:paraId="3E3E401C" w14:textId="77777777" w:rsidR="00F111F0" w:rsidRPr="00D65802" w:rsidRDefault="00F111F0" w:rsidP="00993707">
      <w:pPr>
        <w:jc w:val="center"/>
        <w:rPr>
          <w:b/>
          <w:bCs/>
          <w:color w:val="FF0000"/>
        </w:rPr>
      </w:pPr>
      <w:r w:rsidRPr="00D65802">
        <w:rPr>
          <w:b/>
          <w:bCs/>
        </w:rPr>
        <w:t>Statement of Compatibility with Human Rights</w:t>
      </w:r>
    </w:p>
    <w:p w14:paraId="5103A5D3" w14:textId="74BC3172" w:rsidR="005A288B" w:rsidRDefault="00AB36E8">
      <w:pPr>
        <w:jc w:val="center"/>
        <w:rPr>
          <w:i/>
        </w:rPr>
      </w:pPr>
      <w:r>
        <w:rPr>
          <w:i/>
        </w:rPr>
        <w:br/>
      </w:r>
      <w:r w:rsidR="00F111F0" w:rsidRPr="00D65802">
        <w:rPr>
          <w:i/>
        </w:rPr>
        <w:t>Prepared in accordance with Part 3 of the Human Rights (Parliamentary Scrutiny) Act 2011</w:t>
      </w:r>
    </w:p>
    <w:p w14:paraId="05F349C0" w14:textId="77777777" w:rsidR="005A288B" w:rsidRPr="00D65802" w:rsidRDefault="005A288B" w:rsidP="002900C0">
      <w:pPr>
        <w:jc w:val="center"/>
      </w:pPr>
    </w:p>
    <w:p w14:paraId="41261B18" w14:textId="77777777" w:rsidR="00F111F0" w:rsidRDefault="00300953" w:rsidP="00E20748">
      <w:pPr>
        <w:shd w:val="clear" w:color="auto" w:fill="FFFFFF"/>
        <w:jc w:val="center"/>
        <w:rPr>
          <w:b/>
          <w:bCs/>
          <w:i/>
          <w:iCs/>
          <w:color w:val="000000"/>
        </w:rPr>
      </w:pPr>
      <w:r w:rsidRPr="00674AED">
        <w:rPr>
          <w:b/>
          <w:bCs/>
          <w:i/>
          <w:iCs/>
          <w:color w:val="000000"/>
        </w:rPr>
        <w:t>National Health (</w:t>
      </w:r>
      <w:r w:rsidR="00ED67C7" w:rsidRPr="00674AED">
        <w:rPr>
          <w:b/>
          <w:bCs/>
          <w:i/>
          <w:iCs/>
          <w:color w:val="000000"/>
        </w:rPr>
        <w:t>Medication Program for Homeless People</w:t>
      </w:r>
      <w:r w:rsidRPr="00674AED">
        <w:rPr>
          <w:b/>
          <w:bCs/>
          <w:i/>
          <w:iCs/>
          <w:color w:val="000000"/>
        </w:rPr>
        <w:t xml:space="preserve">) </w:t>
      </w:r>
      <w:r w:rsidR="00384F0C" w:rsidRPr="00674AED">
        <w:rPr>
          <w:b/>
          <w:bCs/>
          <w:i/>
          <w:iCs/>
          <w:color w:val="000000"/>
        </w:rPr>
        <w:t xml:space="preserve">Amendment </w:t>
      </w:r>
      <w:r w:rsidRPr="00674AED">
        <w:rPr>
          <w:b/>
          <w:bCs/>
          <w:i/>
          <w:iCs/>
          <w:color w:val="000000"/>
        </w:rPr>
        <w:t>Special Arrangement 202</w:t>
      </w:r>
      <w:r w:rsidR="00384F0C" w:rsidRPr="00674AED">
        <w:rPr>
          <w:b/>
          <w:bCs/>
          <w:i/>
          <w:iCs/>
          <w:color w:val="000000"/>
        </w:rPr>
        <w:t>4</w:t>
      </w:r>
    </w:p>
    <w:p w14:paraId="6DEA2DD9" w14:textId="77777777" w:rsidR="0094367B" w:rsidRPr="00D65802" w:rsidRDefault="0094367B" w:rsidP="00E20748">
      <w:pPr>
        <w:shd w:val="clear" w:color="auto" w:fill="FFFFFF"/>
        <w:jc w:val="center"/>
      </w:pPr>
    </w:p>
    <w:p w14:paraId="7F82CFFA" w14:textId="13AF52AF" w:rsidR="00F111F0" w:rsidRPr="00D65802" w:rsidRDefault="00F111F0" w:rsidP="002900C0">
      <w:pPr>
        <w:jc w:val="center"/>
      </w:pPr>
      <w:r w:rsidRPr="00D65802">
        <w:t xml:space="preserve">This </w:t>
      </w:r>
      <w:r w:rsidR="005A288B">
        <w:rPr>
          <w:color w:val="000000"/>
        </w:rPr>
        <w:t>legislative instrument</w:t>
      </w:r>
      <w:r w:rsidR="007E3C44" w:rsidRPr="00674AED">
        <w:rPr>
          <w:iCs/>
          <w:color w:val="000000"/>
        </w:rPr>
        <w:t xml:space="preserve"> </w:t>
      </w:r>
      <w:r w:rsidR="007E3C44" w:rsidRPr="00D65802">
        <w:t>is</w:t>
      </w:r>
      <w:r w:rsidRPr="00D65802">
        <w:t xml:space="preserve"> compatible with the human rights and freedoms recognised or declared in the international instruments listed in section 3 of the </w:t>
      </w:r>
      <w:r w:rsidRPr="00D65802">
        <w:rPr>
          <w:i/>
        </w:rPr>
        <w:t>Human Rights (Parliamentary Scrutiny) Act 2011</w:t>
      </w:r>
      <w:r w:rsidRPr="00D65802">
        <w:t>.</w:t>
      </w:r>
      <w:r w:rsidR="00AB36E8">
        <w:br/>
      </w:r>
    </w:p>
    <w:p w14:paraId="5871B5EF" w14:textId="77777777" w:rsidR="00500EA4" w:rsidRDefault="00F111F0" w:rsidP="0059078A">
      <w:pPr>
        <w:pStyle w:val="Heading3"/>
        <w:spacing w:before="0" w:after="0"/>
      </w:pPr>
      <w:r w:rsidRPr="00D65802">
        <w:t xml:space="preserve">Overview of the </w:t>
      </w:r>
      <w:r w:rsidR="0094367B">
        <w:t xml:space="preserve">Disallowable Legislative </w:t>
      </w:r>
      <w:r w:rsidRPr="00D65802">
        <w:t>Instrument</w:t>
      </w:r>
    </w:p>
    <w:p w14:paraId="3699E943" w14:textId="77777777" w:rsidR="0059078A" w:rsidRPr="00066ECA" w:rsidRDefault="0059078A" w:rsidP="002900C0"/>
    <w:p w14:paraId="27D4FDF1" w14:textId="7D852C86" w:rsidR="002B62F1" w:rsidRDefault="003946BF" w:rsidP="0059078A">
      <w:pPr>
        <w:shd w:val="clear" w:color="auto" w:fill="FFFFFF"/>
      </w:pPr>
      <w:r>
        <w:t>The</w:t>
      </w:r>
      <w:r w:rsidR="002B62F1" w:rsidRPr="00674AED">
        <w:t xml:space="preserve"> </w:t>
      </w:r>
      <w:r w:rsidR="002B62F1" w:rsidRPr="00674AED">
        <w:rPr>
          <w:i/>
        </w:rPr>
        <w:t xml:space="preserve">National Health (Medication Program for Homeless People) Amendment Special Arrangement Instrument 2024 </w:t>
      </w:r>
      <w:r w:rsidR="002B62F1" w:rsidRPr="00674AED">
        <w:t>(</w:t>
      </w:r>
      <w:r w:rsidR="007B22A0">
        <w:t>Amendment</w:t>
      </w:r>
      <w:r w:rsidR="007B22A0" w:rsidRPr="00674AED">
        <w:t xml:space="preserve"> </w:t>
      </w:r>
      <w:r w:rsidR="002B62F1" w:rsidRPr="00674AED">
        <w:t>Instrument) amend</w:t>
      </w:r>
      <w:r>
        <w:t>s</w:t>
      </w:r>
      <w:r w:rsidR="002B62F1" w:rsidRPr="00674AED">
        <w:t xml:space="preserve"> the </w:t>
      </w:r>
      <w:r w:rsidR="002B62F1" w:rsidRPr="00674AED">
        <w:rPr>
          <w:i/>
        </w:rPr>
        <w:t>National Health (Medication Program for Homeless People) Special Arrangement 2021</w:t>
      </w:r>
      <w:r w:rsidR="002B62F1" w:rsidRPr="00674AED">
        <w:t xml:space="preserve"> (PB 73 of 2021) (Special Arrangement)</w:t>
      </w:r>
      <w:r>
        <w:t xml:space="preserve"> </w:t>
      </w:r>
      <w:r w:rsidR="00685972">
        <w:t xml:space="preserve">to </w:t>
      </w:r>
      <w:r w:rsidR="000A4CEF">
        <w:t xml:space="preserve">repeal </w:t>
      </w:r>
      <w:r w:rsidR="00685972">
        <w:t>the definition of ‘</w:t>
      </w:r>
      <w:r w:rsidR="004531EB">
        <w:t>residential care</w:t>
      </w:r>
      <w:r w:rsidR="00685972">
        <w:t xml:space="preserve"> recipient’, </w:t>
      </w:r>
      <w:r w:rsidR="00987095">
        <w:t>further clarify</w:t>
      </w:r>
      <w:r w:rsidR="00AD1B6F">
        <w:t xml:space="preserve"> the definition</w:t>
      </w:r>
      <w:r w:rsidR="00747A0F">
        <w:t xml:space="preserve"> of ‘homeless’ under</w:t>
      </w:r>
      <w:r w:rsidR="0068711D">
        <w:t xml:space="preserve"> subsection 6(2) </w:t>
      </w:r>
      <w:r w:rsidR="00685972">
        <w:t>and repeal</w:t>
      </w:r>
      <w:r w:rsidR="00DA5817">
        <w:t xml:space="preserve"> the transitional provisions under</w:t>
      </w:r>
      <w:r w:rsidR="00685972">
        <w:t xml:space="preserve"> </w:t>
      </w:r>
      <w:r w:rsidR="0068711D">
        <w:t xml:space="preserve">Part 4, being </w:t>
      </w:r>
      <w:r w:rsidR="00685972">
        <w:t>sections 22 and 23</w:t>
      </w:r>
      <w:r w:rsidR="0068711D">
        <w:t xml:space="preserve"> </w:t>
      </w:r>
      <w:r w:rsidR="00685972">
        <w:t>of the Special Arrangement</w:t>
      </w:r>
      <w:r w:rsidR="00685972" w:rsidRPr="00F27D27">
        <w:t>.</w:t>
      </w:r>
    </w:p>
    <w:p w14:paraId="4317214A" w14:textId="77777777" w:rsidR="001479E0" w:rsidRPr="00674AED" w:rsidRDefault="001479E0" w:rsidP="0059078A">
      <w:pPr>
        <w:shd w:val="clear" w:color="auto" w:fill="FFFFFF"/>
        <w:rPr>
          <w:iCs/>
          <w:color w:val="000000"/>
        </w:rPr>
      </w:pPr>
    </w:p>
    <w:p w14:paraId="311EE1BD" w14:textId="55022D31" w:rsidR="00DD1D50" w:rsidRPr="00674AED" w:rsidRDefault="00C80A63" w:rsidP="0059078A">
      <w:pPr>
        <w:shd w:val="clear" w:color="auto" w:fill="FFFFFF"/>
        <w:rPr>
          <w:iCs/>
          <w:color w:val="000000"/>
        </w:rPr>
      </w:pPr>
      <w:r w:rsidRPr="00674AED">
        <w:rPr>
          <w:iCs/>
          <w:color w:val="000000"/>
        </w:rPr>
        <w:t>T</w:t>
      </w:r>
      <w:r w:rsidR="00DD1D50" w:rsidRPr="00674AED">
        <w:rPr>
          <w:iCs/>
          <w:color w:val="000000"/>
        </w:rPr>
        <w:t xml:space="preserve">he </w:t>
      </w:r>
      <w:r w:rsidR="00AF58CD">
        <w:rPr>
          <w:iCs/>
          <w:color w:val="000000"/>
        </w:rPr>
        <w:t xml:space="preserve">Special Arrangement </w:t>
      </w:r>
      <w:r w:rsidR="00DD1D50" w:rsidRPr="00674AED">
        <w:rPr>
          <w:iCs/>
          <w:color w:val="000000"/>
        </w:rPr>
        <w:t xml:space="preserve">is </w:t>
      </w:r>
      <w:r w:rsidR="00AF58CD">
        <w:rPr>
          <w:iCs/>
          <w:color w:val="000000"/>
        </w:rPr>
        <w:t>made</w:t>
      </w:r>
      <w:r w:rsidR="00DD1D50" w:rsidRPr="00674AED">
        <w:rPr>
          <w:iCs/>
          <w:color w:val="000000"/>
        </w:rPr>
        <w:t xml:space="preserve"> under </w:t>
      </w:r>
      <w:r w:rsidR="00D22CF0">
        <w:rPr>
          <w:iCs/>
          <w:color w:val="000000"/>
        </w:rPr>
        <w:t>sub</w:t>
      </w:r>
      <w:r w:rsidR="00DD1D50" w:rsidRPr="00674AED">
        <w:rPr>
          <w:iCs/>
          <w:color w:val="000000"/>
        </w:rPr>
        <w:t>s</w:t>
      </w:r>
      <w:r w:rsidR="00AF58CD">
        <w:rPr>
          <w:iCs/>
          <w:color w:val="000000"/>
        </w:rPr>
        <w:t>ection</w:t>
      </w:r>
      <w:r w:rsidR="00DD1D50" w:rsidRPr="00674AED">
        <w:rPr>
          <w:iCs/>
          <w:color w:val="000000"/>
        </w:rPr>
        <w:t> 100</w:t>
      </w:r>
      <w:r w:rsidR="00D22CF0">
        <w:rPr>
          <w:iCs/>
          <w:color w:val="000000"/>
        </w:rPr>
        <w:t>(1</w:t>
      </w:r>
      <w:r w:rsidR="00AF58CD">
        <w:rPr>
          <w:iCs/>
          <w:color w:val="000000"/>
        </w:rPr>
        <w:t>)</w:t>
      </w:r>
      <w:r w:rsidR="00DD1D50" w:rsidRPr="00674AED">
        <w:rPr>
          <w:iCs/>
          <w:color w:val="000000"/>
        </w:rPr>
        <w:t xml:space="preserve"> of the </w:t>
      </w:r>
      <w:r w:rsidR="00AF58CD" w:rsidRPr="00D65802">
        <w:rPr>
          <w:i/>
          <w:color w:val="000000"/>
        </w:rPr>
        <w:t>National Health Act 1953</w:t>
      </w:r>
      <w:r w:rsidR="00AF58CD" w:rsidRPr="00674AED">
        <w:rPr>
          <w:iCs/>
          <w:color w:val="000000"/>
        </w:rPr>
        <w:t xml:space="preserve"> </w:t>
      </w:r>
      <w:r w:rsidR="00DD1D50" w:rsidRPr="00674AED">
        <w:rPr>
          <w:iCs/>
          <w:color w:val="000000"/>
        </w:rPr>
        <w:t xml:space="preserve">to support the Medication Program for Homeless People (Program). The Program assists homeless people who are unable to manage their own affairs to continue to access essential Pharmaceutical Benefit Scheme (PBS) medicines </w:t>
      </w:r>
      <w:r w:rsidR="00DD1D50" w:rsidRPr="00674AED">
        <w:t xml:space="preserve">where lack of medication </w:t>
      </w:r>
      <w:r w:rsidR="00D22CF0">
        <w:t>is likely to</w:t>
      </w:r>
      <w:r w:rsidR="00D22CF0" w:rsidRPr="00674AED">
        <w:t xml:space="preserve"> </w:t>
      </w:r>
      <w:r w:rsidR="00DD1D50" w:rsidRPr="00674AED">
        <w:t>lead to undesirable medical or social consequences</w:t>
      </w:r>
      <w:r w:rsidR="00DD1D50" w:rsidRPr="00674AED">
        <w:rPr>
          <w:iCs/>
          <w:color w:val="000000"/>
        </w:rPr>
        <w:t>.</w:t>
      </w:r>
    </w:p>
    <w:p w14:paraId="08C6EBAD" w14:textId="77777777" w:rsidR="00DD1D50" w:rsidRPr="00674AED" w:rsidRDefault="00DD1D50" w:rsidP="0059078A">
      <w:pPr>
        <w:shd w:val="clear" w:color="auto" w:fill="FFFFFF"/>
        <w:rPr>
          <w:iCs/>
          <w:color w:val="000000"/>
        </w:rPr>
      </w:pPr>
    </w:p>
    <w:p w14:paraId="524C016C" w14:textId="12533E8F" w:rsidR="00DD1D50" w:rsidRPr="00D65802" w:rsidRDefault="00AF58CD" w:rsidP="0059078A">
      <w:pPr>
        <w:rPr>
          <w:color w:val="1F497D"/>
        </w:rPr>
      </w:pPr>
      <w:r>
        <w:rPr>
          <w:color w:val="000000"/>
        </w:rPr>
        <w:t>The Amendment Instrument</w:t>
      </w:r>
      <w:r w:rsidR="00B472F1" w:rsidRPr="00674AED">
        <w:rPr>
          <w:color w:val="000000"/>
        </w:rPr>
        <w:t xml:space="preserve"> will ensure that only those patients who meet the eligibility criteria contained in the </w:t>
      </w:r>
      <w:r w:rsidR="00305FC5">
        <w:rPr>
          <w:color w:val="000000"/>
        </w:rPr>
        <w:t xml:space="preserve">Special </w:t>
      </w:r>
      <w:r w:rsidR="00B472F1" w:rsidRPr="00674AED">
        <w:rPr>
          <w:color w:val="000000"/>
        </w:rPr>
        <w:t xml:space="preserve">Arrangement can access PBS General Schedule medicines </w:t>
      </w:r>
      <w:r w:rsidR="00DD1D50" w:rsidRPr="00674AED">
        <w:rPr>
          <w:iCs/>
          <w:color w:val="000000"/>
        </w:rPr>
        <w:t>with no out</w:t>
      </w:r>
      <w:r w:rsidR="00B472F1" w:rsidRPr="00674AED">
        <w:rPr>
          <w:iCs/>
          <w:color w:val="000000"/>
        </w:rPr>
        <w:noBreakHyphen/>
      </w:r>
      <w:r w:rsidR="00DD1D50" w:rsidRPr="00674AED">
        <w:rPr>
          <w:iCs/>
          <w:color w:val="000000"/>
        </w:rPr>
        <w:t>of</w:t>
      </w:r>
      <w:r w:rsidR="00B472F1" w:rsidRPr="00674AED">
        <w:rPr>
          <w:iCs/>
          <w:color w:val="000000"/>
        </w:rPr>
        <w:noBreakHyphen/>
      </w:r>
      <w:r w:rsidR="00DD1D50" w:rsidRPr="00674AED">
        <w:rPr>
          <w:iCs/>
          <w:color w:val="000000"/>
        </w:rPr>
        <w:t>pocket expense</w:t>
      </w:r>
      <w:r w:rsidR="00B472F1" w:rsidRPr="00674AED">
        <w:rPr>
          <w:iCs/>
          <w:color w:val="000000"/>
        </w:rPr>
        <w:t>s</w:t>
      </w:r>
      <w:r w:rsidR="00DD1D50" w:rsidRPr="00674AED">
        <w:t xml:space="preserve">. </w:t>
      </w:r>
      <w:r w:rsidR="00B472F1" w:rsidRPr="00674AED">
        <w:t>Those not</w:t>
      </w:r>
      <w:r w:rsidR="00B472F1" w:rsidRPr="00674AED">
        <w:noBreakHyphen/>
        <w:t>for</w:t>
      </w:r>
      <w:r w:rsidR="00B472F1" w:rsidRPr="00674AED">
        <w:noBreakHyphen/>
        <w:t>profit organisations who have already been approved by the Department</w:t>
      </w:r>
      <w:r w:rsidR="00A845D1">
        <w:t xml:space="preserve"> of Health and Aged Care (Department)</w:t>
      </w:r>
      <w:r w:rsidR="00B472F1" w:rsidRPr="00674AED">
        <w:t xml:space="preserve"> to participate in the </w:t>
      </w:r>
      <w:r w:rsidR="00305FC5">
        <w:t>P</w:t>
      </w:r>
      <w:r w:rsidR="00B472F1" w:rsidRPr="00674AED">
        <w:t>rogram can continue to do so. Any new not</w:t>
      </w:r>
      <w:r w:rsidR="00B472F1" w:rsidRPr="00674AED">
        <w:softHyphen/>
      </w:r>
      <w:r w:rsidR="00B472F1" w:rsidRPr="00674AED">
        <w:noBreakHyphen/>
        <w:t>for</w:t>
      </w:r>
      <w:r w:rsidR="00B472F1" w:rsidRPr="00674AED">
        <w:noBreakHyphen/>
        <w:t xml:space="preserve">profit organisations can apply to the Department to participate in the </w:t>
      </w:r>
      <w:r w:rsidR="00A845D1">
        <w:t>P</w:t>
      </w:r>
      <w:r w:rsidR="00B472F1" w:rsidRPr="00674AED">
        <w:t>rogram</w:t>
      </w:r>
      <w:r w:rsidR="00A845D1">
        <w:t xml:space="preserve">. </w:t>
      </w:r>
      <w:r w:rsidR="00DD1D50" w:rsidRPr="00674AED">
        <w:t>The eligible patient is not charged a PBS co</w:t>
      </w:r>
      <w:r w:rsidR="00A77094">
        <w:noBreakHyphen/>
      </w:r>
      <w:r w:rsidR="00DD1D50" w:rsidRPr="00674AED">
        <w:t xml:space="preserve">payment when they receive a supply of a pharmaceutical benefit through the </w:t>
      </w:r>
      <w:r w:rsidR="00A845D1">
        <w:t xml:space="preserve">Special </w:t>
      </w:r>
      <w:r w:rsidR="00DD1D50" w:rsidRPr="00674AED">
        <w:t xml:space="preserve">Arrangement. </w:t>
      </w:r>
      <w:r w:rsidR="00DD1D50" w:rsidRPr="00674AED">
        <w:rPr>
          <w:color w:val="000000"/>
          <w:shd w:val="clear" w:color="auto" w:fill="FFFFFF"/>
        </w:rPr>
        <w:t xml:space="preserve">The co-payment amount that would have been paid without </w:t>
      </w:r>
      <w:r w:rsidR="00305FC5">
        <w:rPr>
          <w:color w:val="000000"/>
          <w:shd w:val="clear" w:color="auto" w:fill="FFFFFF"/>
        </w:rPr>
        <w:t>the</w:t>
      </w:r>
      <w:r w:rsidR="00305FC5" w:rsidRPr="00674AED">
        <w:rPr>
          <w:color w:val="000000"/>
          <w:shd w:val="clear" w:color="auto" w:fill="FFFFFF"/>
        </w:rPr>
        <w:t xml:space="preserve"> </w:t>
      </w:r>
      <w:r w:rsidR="00305FC5">
        <w:rPr>
          <w:color w:val="000000"/>
          <w:shd w:val="clear" w:color="auto" w:fill="FFFFFF"/>
        </w:rPr>
        <w:t>S</w:t>
      </w:r>
      <w:r w:rsidR="00DD1D50" w:rsidRPr="00674AED">
        <w:rPr>
          <w:color w:val="000000"/>
          <w:shd w:val="clear" w:color="auto" w:fill="FFFFFF"/>
        </w:rPr>
        <w:t xml:space="preserve">pecial </w:t>
      </w:r>
      <w:r w:rsidR="00305FC5">
        <w:rPr>
          <w:color w:val="000000"/>
          <w:shd w:val="clear" w:color="auto" w:fill="FFFFFF"/>
        </w:rPr>
        <w:t>A</w:t>
      </w:r>
      <w:r w:rsidR="00DD1D50" w:rsidRPr="00674AED">
        <w:rPr>
          <w:color w:val="000000"/>
          <w:shd w:val="clear" w:color="auto" w:fill="FFFFFF"/>
        </w:rPr>
        <w:t xml:space="preserve">rrangement continues to count towards the </w:t>
      </w:r>
      <w:r w:rsidR="00305FC5">
        <w:rPr>
          <w:color w:val="000000"/>
          <w:shd w:val="clear" w:color="auto" w:fill="FFFFFF"/>
        </w:rPr>
        <w:t xml:space="preserve">eligible </w:t>
      </w:r>
      <w:r w:rsidR="00DD1D50" w:rsidRPr="00674AED">
        <w:rPr>
          <w:color w:val="000000"/>
          <w:shd w:val="clear" w:color="auto" w:fill="FFFFFF"/>
        </w:rPr>
        <w:t>patient’s PBS safety net threshold.</w:t>
      </w:r>
      <w:r w:rsidR="00DD1D50" w:rsidRPr="00674AED">
        <w:t xml:space="preserve"> </w:t>
      </w:r>
      <w:r w:rsidR="00DD1D50" w:rsidRPr="00674AED">
        <w:rPr>
          <w:iCs/>
          <w:color w:val="000000"/>
        </w:rPr>
        <w:t>The Program operates with the support of approved not-for-profit organisations</w:t>
      </w:r>
      <w:r w:rsidR="00305FC5">
        <w:rPr>
          <w:iCs/>
          <w:color w:val="000000"/>
        </w:rPr>
        <w:t xml:space="preserve"> who </w:t>
      </w:r>
      <w:r w:rsidR="00DD1D50" w:rsidRPr="00674AED">
        <w:rPr>
          <w:iCs/>
          <w:color w:val="000000"/>
        </w:rPr>
        <w:t xml:space="preserve">present eligible patient prescriptions and repeat authorisations to a nominated pharmacist, receive the pharmaceutical benefits and then provide them to the eligible patient.  </w:t>
      </w:r>
    </w:p>
    <w:p w14:paraId="44178D96" w14:textId="08A94A4F" w:rsidR="00DD1D50" w:rsidRPr="00674AED" w:rsidRDefault="00DD1D50" w:rsidP="0059078A">
      <w:pPr>
        <w:shd w:val="clear" w:color="auto" w:fill="FFFFFF"/>
      </w:pPr>
    </w:p>
    <w:p w14:paraId="569F8F6E" w14:textId="77777777" w:rsidR="00F111F0" w:rsidRDefault="00F111F0" w:rsidP="0059078A">
      <w:pPr>
        <w:pStyle w:val="Heading3"/>
        <w:spacing w:before="0" w:after="0"/>
      </w:pPr>
      <w:r w:rsidRPr="00592E84">
        <w:t xml:space="preserve">Human </w:t>
      </w:r>
      <w:r w:rsidR="00913BC7" w:rsidRPr="00592E84">
        <w:t>R</w:t>
      </w:r>
      <w:r w:rsidRPr="00592E84">
        <w:t xml:space="preserve">ights </w:t>
      </w:r>
      <w:r w:rsidR="00913BC7" w:rsidRPr="00592E84">
        <w:t>I</w:t>
      </w:r>
      <w:r w:rsidRPr="00592E84">
        <w:t>mplications</w:t>
      </w:r>
    </w:p>
    <w:p w14:paraId="00017588" w14:textId="77777777" w:rsidR="0059078A" w:rsidRPr="00066ECA" w:rsidRDefault="0059078A" w:rsidP="002900C0"/>
    <w:p w14:paraId="031D2BF1" w14:textId="70BEB863" w:rsidR="00370BE7" w:rsidRPr="002900C0" w:rsidRDefault="00370BE7" w:rsidP="002900C0">
      <w:bookmarkStart w:id="3" w:name="_Hlk90288405"/>
      <w:r w:rsidRPr="002900C0">
        <w:t xml:space="preserve">This </w:t>
      </w:r>
      <w:r w:rsidR="00346142" w:rsidRPr="002900C0">
        <w:t>Amendment</w:t>
      </w:r>
      <w:r w:rsidRPr="002900C0">
        <w:t xml:space="preserve"> </w:t>
      </w:r>
      <w:r w:rsidR="005B7658" w:rsidRPr="002900C0">
        <w:t xml:space="preserve">Instrument </w:t>
      </w:r>
      <w:r w:rsidRPr="002900C0">
        <w:t xml:space="preserve">engages Articles 9 and 12 of the International Covenant on Economic Social and Cultural Rights (ICESCR), specifically the rights to </w:t>
      </w:r>
      <w:bookmarkStart w:id="4" w:name="_Hlk93905106"/>
      <w:r w:rsidRPr="002900C0">
        <w:t>social security and health.</w:t>
      </w:r>
      <w:bookmarkEnd w:id="4"/>
    </w:p>
    <w:bookmarkEnd w:id="3"/>
    <w:p w14:paraId="1FA3FC7C" w14:textId="77777777" w:rsidR="0059078A" w:rsidRDefault="0059078A" w:rsidP="0059078A">
      <w:pPr>
        <w:rPr>
          <w:i/>
          <w:iCs/>
        </w:rPr>
      </w:pPr>
    </w:p>
    <w:p w14:paraId="112B726D" w14:textId="1E93AB2C" w:rsidR="00370BE7" w:rsidRDefault="00A77094" w:rsidP="0059078A">
      <w:pPr>
        <w:rPr>
          <w:i/>
          <w:iCs/>
        </w:rPr>
      </w:pPr>
      <w:r>
        <w:rPr>
          <w:i/>
          <w:iCs/>
        </w:rPr>
        <w:br w:type="page"/>
      </w:r>
      <w:r w:rsidR="00370BE7" w:rsidRPr="002900C0">
        <w:rPr>
          <w:i/>
          <w:iCs/>
        </w:rPr>
        <w:lastRenderedPageBreak/>
        <w:t>The Right to Social Security</w:t>
      </w:r>
      <w:r w:rsidR="00AB36E8">
        <w:rPr>
          <w:i/>
          <w:iCs/>
        </w:rPr>
        <w:br/>
      </w:r>
    </w:p>
    <w:p w14:paraId="4AD18A14" w14:textId="77777777" w:rsidR="00370BE7" w:rsidRDefault="00370BE7" w:rsidP="0059078A">
      <w:r w:rsidRPr="002900C0">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A68B007" w14:textId="77777777" w:rsidR="0059078A" w:rsidRPr="002900C0" w:rsidRDefault="0059078A" w:rsidP="002900C0"/>
    <w:p w14:paraId="79FD61FE" w14:textId="2A41A63F" w:rsidR="00BE11CE" w:rsidRPr="00F27D27" w:rsidRDefault="00370BE7" w:rsidP="00BE11CE">
      <w:pPr>
        <w:pStyle w:val="ListParagraph"/>
        <w:ind w:left="0"/>
        <w:rPr>
          <w:color w:val="000000"/>
        </w:rPr>
      </w:pPr>
      <w:bookmarkStart w:id="5" w:name="_Hlk93905188"/>
      <w:r w:rsidRPr="002900C0">
        <w:t>The U</w:t>
      </w:r>
      <w:r w:rsidR="003C2E68" w:rsidRPr="002900C0">
        <w:t xml:space="preserve">nited </w:t>
      </w:r>
      <w:r w:rsidRPr="002900C0">
        <w:t>N</w:t>
      </w:r>
      <w:r w:rsidR="003C2E68" w:rsidRPr="002900C0">
        <w:t>ations</w:t>
      </w:r>
      <w:r w:rsidRPr="002900C0">
        <w:t xml:space="preserve"> Committee on Economic Social and Cultural Rights</w:t>
      </w:r>
      <w:r w:rsidR="00C17BD9" w:rsidRPr="002900C0">
        <w:t xml:space="preserve"> (</w:t>
      </w:r>
      <w:r w:rsidR="004D21CD" w:rsidRPr="002900C0">
        <w:t>the Committee</w:t>
      </w:r>
      <w:r w:rsidR="00C17BD9" w:rsidRPr="002900C0">
        <w:t>)</w:t>
      </w:r>
      <w:r w:rsidRPr="002900C0">
        <w:t xml:space="preserv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r w:rsidR="00FF2D08">
        <w:t xml:space="preserve"> </w:t>
      </w:r>
      <w:r w:rsidR="000003F4">
        <w:t>The</w:t>
      </w:r>
      <w:r w:rsidR="00FF2D08">
        <w:t xml:space="preserve"> Amendment Instrument </w:t>
      </w:r>
      <w:r w:rsidR="008F21E6">
        <w:t xml:space="preserve">does not aim to deny benefits to persons or groups previously entitled to them, but rather aims at clarifying the criteria of </w:t>
      </w:r>
      <w:r w:rsidR="004B26FE">
        <w:t>persons</w:t>
      </w:r>
      <w:r w:rsidR="008F21E6">
        <w:t xml:space="preserve"> who are eligible to receive such benefits. </w:t>
      </w:r>
    </w:p>
    <w:p w14:paraId="63AB00DF" w14:textId="08A53D38" w:rsidR="00370BE7" w:rsidRDefault="00370BE7" w:rsidP="0059078A"/>
    <w:bookmarkEnd w:id="5"/>
    <w:p w14:paraId="324D6286" w14:textId="77777777" w:rsidR="00370BE7" w:rsidRDefault="00370BE7" w:rsidP="0059078A">
      <w:pPr>
        <w:rPr>
          <w:i/>
          <w:iCs/>
        </w:rPr>
      </w:pPr>
      <w:r w:rsidRPr="002900C0">
        <w:rPr>
          <w:i/>
          <w:iCs/>
        </w:rPr>
        <w:t>The Right to Health</w:t>
      </w:r>
    </w:p>
    <w:p w14:paraId="6718CD78" w14:textId="77777777" w:rsidR="0059078A" w:rsidRPr="002900C0" w:rsidRDefault="0059078A" w:rsidP="002900C0">
      <w:pPr>
        <w:rPr>
          <w:i/>
          <w:iCs/>
        </w:rPr>
      </w:pPr>
    </w:p>
    <w:p w14:paraId="5DC97DA7" w14:textId="50542DF8" w:rsidR="00370BE7" w:rsidRDefault="00370BE7" w:rsidP="0059078A">
      <w:r w:rsidRPr="002900C0">
        <w:t xml:space="preserve">The right to the enjoyment of the highest attainable standard of physical and mental health is contained in Article 12 of the ICESCR. The Committee has stated that the right to health is not a right for each individual to be </w:t>
      </w:r>
      <w:r w:rsidR="00AD335D" w:rsidRPr="002900C0">
        <w:t>healthy but</w:t>
      </w:r>
      <w:r w:rsidRPr="002900C0">
        <w:t xml:space="preserve"> is a right to a system of health protection which provides equality of opportunity for people to enjoy the highest attainable level of health.</w:t>
      </w:r>
    </w:p>
    <w:p w14:paraId="6B830EA0" w14:textId="77777777" w:rsidR="0059078A" w:rsidRPr="002900C0" w:rsidRDefault="0059078A" w:rsidP="002900C0"/>
    <w:p w14:paraId="15E65ABE" w14:textId="017BF592" w:rsidR="00370BE7" w:rsidRPr="002900C0" w:rsidRDefault="00370BE7" w:rsidP="002900C0">
      <w:r w:rsidRPr="002900C0">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6F7228FD" w14:textId="77777777" w:rsidR="00A77094" w:rsidRDefault="00A77094" w:rsidP="002900C0">
      <w:pPr>
        <w:pStyle w:val="pf0"/>
        <w:spacing w:before="0" w:beforeAutospacing="0" w:after="0" w:afterAutospacing="0"/>
        <w:rPr>
          <w:color w:val="000000"/>
        </w:rPr>
      </w:pPr>
    </w:p>
    <w:p w14:paraId="577CC05F" w14:textId="221A8BCE" w:rsidR="0059078A" w:rsidRPr="00592E84" w:rsidRDefault="00346142" w:rsidP="002900C0">
      <w:pPr>
        <w:pStyle w:val="pf0"/>
        <w:spacing w:before="0" w:beforeAutospacing="0" w:after="0" w:afterAutospacing="0"/>
        <w:rPr>
          <w:color w:val="000000"/>
        </w:rPr>
      </w:pPr>
      <w:r w:rsidRPr="00592E84">
        <w:rPr>
          <w:color w:val="000000"/>
        </w:rPr>
        <w:t xml:space="preserve">This </w:t>
      </w:r>
      <w:r w:rsidRPr="00592E84">
        <w:t>A</w:t>
      </w:r>
      <w:r w:rsidR="002F1E5E" w:rsidRPr="00592E84">
        <w:t>m</w:t>
      </w:r>
      <w:r w:rsidRPr="00592E84">
        <w:t>endment</w:t>
      </w:r>
      <w:r w:rsidRPr="00592E84">
        <w:rPr>
          <w:color w:val="000000"/>
        </w:rPr>
        <w:t xml:space="preserve"> </w:t>
      </w:r>
      <w:r w:rsidR="000823BB">
        <w:rPr>
          <w:color w:val="000000"/>
        </w:rPr>
        <w:t xml:space="preserve">Instrument </w:t>
      </w:r>
      <w:r w:rsidRPr="00592E84">
        <w:rPr>
          <w:color w:val="000000"/>
        </w:rPr>
        <w:t xml:space="preserve">assists with </w:t>
      </w:r>
      <w:r w:rsidR="000823BB">
        <w:rPr>
          <w:color w:val="000000"/>
        </w:rPr>
        <w:t xml:space="preserve">the </w:t>
      </w:r>
      <w:r w:rsidRPr="00592E84">
        <w:rPr>
          <w:color w:val="000000"/>
        </w:rPr>
        <w:t xml:space="preserve">advancement of the human rights </w:t>
      </w:r>
      <w:r w:rsidR="00FA255C">
        <w:rPr>
          <w:color w:val="000000"/>
        </w:rPr>
        <w:t xml:space="preserve">contained in Article 9 and 12 of the ICESCR </w:t>
      </w:r>
      <w:r w:rsidRPr="00592E84">
        <w:rPr>
          <w:color w:val="000000"/>
        </w:rPr>
        <w:t xml:space="preserve">by providing for PBS subsidised access to medicines, free of charge to eligible homeless people. This Amendment </w:t>
      </w:r>
      <w:r w:rsidR="000823BB">
        <w:rPr>
          <w:color w:val="000000"/>
        </w:rPr>
        <w:t xml:space="preserve">Instrument </w:t>
      </w:r>
      <w:r w:rsidRPr="00592E84">
        <w:rPr>
          <w:color w:val="000000"/>
        </w:rPr>
        <w:t>ensures more ready and equitable access to PBS medicines for eligible homeless people</w:t>
      </w:r>
      <w:r w:rsidR="0059078A">
        <w:rPr>
          <w:color w:val="000000"/>
        </w:rPr>
        <w:t xml:space="preserve"> by</w:t>
      </w:r>
      <w:r w:rsidR="002F1E5E" w:rsidRPr="002900C0">
        <w:rPr>
          <w:rStyle w:val="CommentReference"/>
          <w:sz w:val="24"/>
          <w:szCs w:val="24"/>
        </w:rPr>
        <w:t xml:space="preserve"> </w:t>
      </w:r>
      <w:r w:rsidR="002F1E5E" w:rsidRPr="00592E84">
        <w:rPr>
          <w:color w:val="000000"/>
        </w:rPr>
        <w:t>ensuring that only eligible patients who meet the required eligibility criteria have access to PBS medicines with no out</w:t>
      </w:r>
      <w:r w:rsidR="002F1E5E" w:rsidRPr="00592E84">
        <w:rPr>
          <w:color w:val="000000"/>
        </w:rPr>
        <w:noBreakHyphen/>
        <w:t xml:space="preserve">of-pocket expense. </w:t>
      </w:r>
      <w:r w:rsidR="0059078A">
        <w:rPr>
          <w:color w:val="000000"/>
        </w:rPr>
        <w:br/>
      </w:r>
    </w:p>
    <w:p w14:paraId="3EAB1EB4" w14:textId="77777777" w:rsidR="00313AAE" w:rsidRDefault="00313AAE" w:rsidP="00313AAE">
      <w:pPr>
        <w:shd w:val="clear" w:color="auto" w:fill="FFFFFF"/>
        <w:rPr>
          <w:b/>
          <w:bCs/>
          <w:color w:val="000000"/>
        </w:rPr>
      </w:pPr>
      <w:r w:rsidRPr="00592E84">
        <w:rPr>
          <w:b/>
          <w:bCs/>
          <w:color w:val="000000"/>
        </w:rPr>
        <w:t>Conclusion</w:t>
      </w:r>
    </w:p>
    <w:p w14:paraId="7654B3DA" w14:textId="77777777" w:rsidR="0059078A" w:rsidRPr="00592E84" w:rsidRDefault="0059078A" w:rsidP="00313AAE">
      <w:pPr>
        <w:shd w:val="clear" w:color="auto" w:fill="FFFFFF"/>
        <w:rPr>
          <w:color w:val="000000"/>
        </w:rPr>
      </w:pPr>
    </w:p>
    <w:p w14:paraId="2A2913B5" w14:textId="3ADEC26F" w:rsidR="00271554" w:rsidRPr="00D65802" w:rsidRDefault="00313AAE" w:rsidP="002900C0">
      <w:pPr>
        <w:shd w:val="clear" w:color="auto" w:fill="FFFFFF"/>
      </w:pPr>
      <w:r w:rsidRPr="00592E84">
        <w:rPr>
          <w:color w:val="000000"/>
        </w:rPr>
        <w:t xml:space="preserve">This </w:t>
      </w:r>
      <w:r w:rsidR="00F00AA2">
        <w:t>Amendment</w:t>
      </w:r>
      <w:r w:rsidR="00A00CBF" w:rsidRPr="00592E84">
        <w:t xml:space="preserve"> Instrument </w:t>
      </w:r>
      <w:r w:rsidRPr="00592E84">
        <w:rPr>
          <w:color w:val="000000"/>
        </w:rPr>
        <w:t xml:space="preserve">is compatible with human rights </w:t>
      </w:r>
      <w:r w:rsidR="00ED67C7" w:rsidRPr="00592E84">
        <w:rPr>
          <w:color w:val="000000"/>
        </w:rPr>
        <w:t xml:space="preserve">as it </w:t>
      </w:r>
      <w:r w:rsidR="00913BC7" w:rsidRPr="00592E84">
        <w:rPr>
          <w:color w:val="000000"/>
        </w:rPr>
        <w:t>promotes the protection of</w:t>
      </w:r>
      <w:r w:rsidR="00ED67C7" w:rsidRPr="00592E84">
        <w:rPr>
          <w:color w:val="000000"/>
        </w:rPr>
        <w:t xml:space="preserve"> human rights</w:t>
      </w:r>
      <w:r w:rsidRPr="00592E84">
        <w:rPr>
          <w:color w:val="000000"/>
        </w:rPr>
        <w:t>.</w:t>
      </w:r>
    </w:p>
    <w:p w14:paraId="04E5D5F5" w14:textId="77777777" w:rsidR="009C3811" w:rsidRPr="00D65802" w:rsidRDefault="009C3811" w:rsidP="00F111F0">
      <w:pPr>
        <w:spacing w:before="120" w:after="120"/>
      </w:pPr>
    </w:p>
    <w:p w14:paraId="004DCB42" w14:textId="71EBE2D6" w:rsidR="00356ECB" w:rsidRPr="00D65802" w:rsidRDefault="00A77094" w:rsidP="00356ECB">
      <w:pPr>
        <w:widowControl w:val="0"/>
        <w:tabs>
          <w:tab w:val="left" w:pos="3119"/>
        </w:tabs>
        <w:spacing w:line="300" w:lineRule="atLeast"/>
        <w:jc w:val="center"/>
        <w:rPr>
          <w:b/>
        </w:rPr>
      </w:pPr>
      <w:r>
        <w:rPr>
          <w:b/>
        </w:rPr>
        <w:br w:type="page"/>
      </w:r>
      <w:r w:rsidR="00FB75C4">
        <w:rPr>
          <w:b/>
        </w:rPr>
        <w:lastRenderedPageBreak/>
        <w:t>David Laffan</w:t>
      </w:r>
    </w:p>
    <w:p w14:paraId="4D4F87BD" w14:textId="3DF60199" w:rsidR="00541746" w:rsidRDefault="007539B1" w:rsidP="00356ECB">
      <w:pPr>
        <w:widowControl w:val="0"/>
        <w:tabs>
          <w:tab w:val="left" w:pos="3119"/>
        </w:tabs>
        <w:spacing w:line="300" w:lineRule="atLeast"/>
        <w:jc w:val="center"/>
        <w:rPr>
          <w:b/>
        </w:rPr>
      </w:pPr>
      <w:r w:rsidRPr="00D65802">
        <w:rPr>
          <w:b/>
        </w:rPr>
        <w:t xml:space="preserve">Assistant </w:t>
      </w:r>
      <w:r w:rsidR="00356ECB" w:rsidRPr="00D65802">
        <w:rPr>
          <w:b/>
        </w:rPr>
        <w:t>Secret</w:t>
      </w:r>
      <w:r w:rsidR="00356ECB" w:rsidRPr="000937A6">
        <w:rPr>
          <w:b/>
        </w:rPr>
        <w:t>ary</w:t>
      </w:r>
    </w:p>
    <w:p w14:paraId="37EB8281" w14:textId="4B282DCB" w:rsidR="00541746" w:rsidRDefault="00B8473C" w:rsidP="00356ECB">
      <w:pPr>
        <w:widowControl w:val="0"/>
        <w:tabs>
          <w:tab w:val="left" w:pos="3119"/>
        </w:tabs>
        <w:spacing w:line="300" w:lineRule="atLeast"/>
        <w:jc w:val="center"/>
      </w:pPr>
      <w:r w:rsidRPr="002900C0">
        <w:rPr>
          <w:b/>
        </w:rPr>
        <w:t>Pharmacy Branch</w:t>
      </w:r>
    </w:p>
    <w:p w14:paraId="437B5FBE" w14:textId="67E78523" w:rsidR="007539B1" w:rsidRPr="00D65802" w:rsidRDefault="007539B1" w:rsidP="00356ECB">
      <w:pPr>
        <w:widowControl w:val="0"/>
        <w:tabs>
          <w:tab w:val="left" w:pos="3119"/>
        </w:tabs>
        <w:spacing w:line="300" w:lineRule="atLeast"/>
        <w:jc w:val="center"/>
        <w:rPr>
          <w:b/>
        </w:rPr>
      </w:pPr>
      <w:r w:rsidRPr="00D65802">
        <w:rPr>
          <w:b/>
        </w:rPr>
        <w:t>Technology Assessment and Access Division</w:t>
      </w:r>
    </w:p>
    <w:p w14:paraId="6F14E1C6" w14:textId="77777777" w:rsidR="00356ECB" w:rsidRPr="00D65802" w:rsidRDefault="00356ECB" w:rsidP="00356ECB">
      <w:pPr>
        <w:widowControl w:val="0"/>
        <w:tabs>
          <w:tab w:val="left" w:pos="3119"/>
        </w:tabs>
        <w:spacing w:line="300" w:lineRule="atLeast"/>
        <w:jc w:val="center"/>
        <w:rPr>
          <w:b/>
        </w:rPr>
      </w:pPr>
      <w:r w:rsidRPr="00D65802">
        <w:rPr>
          <w:b/>
        </w:rPr>
        <w:t xml:space="preserve"> Health </w:t>
      </w:r>
      <w:r w:rsidR="0048216F" w:rsidRPr="00D65802">
        <w:rPr>
          <w:b/>
        </w:rPr>
        <w:t xml:space="preserve">Resourcing </w:t>
      </w:r>
      <w:r w:rsidRPr="00D65802">
        <w:rPr>
          <w:b/>
        </w:rPr>
        <w:t>Group</w:t>
      </w:r>
    </w:p>
    <w:p w14:paraId="4FDB4C41" w14:textId="5F71A1A8" w:rsidR="007B3AC5" w:rsidRPr="00674AED" w:rsidRDefault="00356ECB" w:rsidP="002900C0">
      <w:pPr>
        <w:widowControl w:val="0"/>
        <w:tabs>
          <w:tab w:val="left" w:pos="3119"/>
        </w:tabs>
        <w:spacing w:line="300" w:lineRule="atLeast"/>
        <w:jc w:val="center"/>
        <w:rPr>
          <w:color w:val="FF0000"/>
        </w:rPr>
      </w:pPr>
      <w:r w:rsidRPr="00D65802">
        <w:rPr>
          <w:b/>
        </w:rPr>
        <w:t>Department of Health</w:t>
      </w:r>
      <w:r w:rsidR="00384F0C" w:rsidRPr="00D65802">
        <w:rPr>
          <w:b/>
        </w:rPr>
        <w:t xml:space="preserve"> and Aged Care</w:t>
      </w:r>
    </w:p>
    <w:sectPr w:rsidR="007B3AC5" w:rsidRPr="00674AED" w:rsidSect="002269A6">
      <w:pgSz w:w="12240" w:h="15840"/>
      <w:pgMar w:top="993" w:right="1467"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1E0FC" w14:textId="77777777" w:rsidR="009E0298" w:rsidRDefault="009E0298" w:rsidP="00437BC0">
      <w:r>
        <w:separator/>
      </w:r>
    </w:p>
  </w:endnote>
  <w:endnote w:type="continuationSeparator" w:id="0">
    <w:p w14:paraId="437876A9" w14:textId="77777777" w:rsidR="009E0298" w:rsidRDefault="009E0298" w:rsidP="0043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F59A" w14:textId="77777777" w:rsidR="009E0298" w:rsidRDefault="009E0298" w:rsidP="00437BC0">
      <w:r>
        <w:separator/>
      </w:r>
    </w:p>
  </w:footnote>
  <w:footnote w:type="continuationSeparator" w:id="0">
    <w:p w14:paraId="42E0C209" w14:textId="77777777" w:rsidR="009E0298" w:rsidRDefault="009E0298" w:rsidP="00437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9A2790"/>
    <w:lvl w:ilvl="0">
      <w:numFmt w:val="bullet"/>
      <w:lvlText w:val="*"/>
      <w:lvlJc w:val="left"/>
    </w:lvl>
  </w:abstractNum>
  <w:abstractNum w:abstractNumId="1" w15:restartNumberingAfterBreak="0">
    <w:nsid w:val="0234246B"/>
    <w:multiLevelType w:val="hybridMultilevel"/>
    <w:tmpl w:val="C12A0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D7C2F"/>
    <w:multiLevelType w:val="multilevel"/>
    <w:tmpl w:val="C3B4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B0C5E"/>
    <w:multiLevelType w:val="hybridMultilevel"/>
    <w:tmpl w:val="8E80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D43928"/>
    <w:multiLevelType w:val="hybridMultilevel"/>
    <w:tmpl w:val="F99C9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start w:val="1"/>
      <w:numFmt w:val="bullet"/>
      <w:lvlText w:val=""/>
      <w:lvlJc w:val="left"/>
      <w:pPr>
        <w:ind w:left="4326" w:hanging="360"/>
      </w:pPr>
      <w:rPr>
        <w:rFonts w:ascii="Symbol" w:hAnsi="Symbol" w:hint="default"/>
      </w:rPr>
    </w:lvl>
    <w:lvl w:ilvl="7" w:tplc="0C090003">
      <w:start w:val="1"/>
      <w:numFmt w:val="bullet"/>
      <w:lvlText w:val="o"/>
      <w:lvlJc w:val="left"/>
      <w:pPr>
        <w:ind w:left="5046" w:hanging="360"/>
      </w:pPr>
      <w:rPr>
        <w:rFonts w:ascii="Courier New" w:hAnsi="Courier New" w:cs="Courier New" w:hint="default"/>
      </w:rPr>
    </w:lvl>
    <w:lvl w:ilvl="8" w:tplc="0C090005">
      <w:start w:val="1"/>
      <w:numFmt w:val="bullet"/>
      <w:lvlText w:val=""/>
      <w:lvlJc w:val="left"/>
      <w:pPr>
        <w:ind w:left="5766" w:hanging="360"/>
      </w:pPr>
      <w:rPr>
        <w:rFonts w:ascii="Wingdings" w:hAnsi="Wingdings" w:hint="default"/>
      </w:rPr>
    </w:lvl>
  </w:abstractNum>
  <w:abstractNum w:abstractNumId="6" w15:restartNumberingAfterBreak="0">
    <w:nsid w:val="15AA446D"/>
    <w:multiLevelType w:val="hybridMultilevel"/>
    <w:tmpl w:val="BB5AE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970D2"/>
    <w:multiLevelType w:val="hybridMultilevel"/>
    <w:tmpl w:val="B6AEE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C012B"/>
    <w:multiLevelType w:val="hybridMultilevel"/>
    <w:tmpl w:val="DB085E4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A4905FD"/>
    <w:multiLevelType w:val="hybridMultilevel"/>
    <w:tmpl w:val="FB463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563830"/>
    <w:multiLevelType w:val="hybridMultilevel"/>
    <w:tmpl w:val="4FCCA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B61965"/>
    <w:multiLevelType w:val="hybridMultilevel"/>
    <w:tmpl w:val="BA5A7D2E"/>
    <w:lvl w:ilvl="0" w:tplc="C7EAD166">
      <w:start w:val="1"/>
      <w:numFmt w:val="bullet"/>
      <w:lvlText w:val=""/>
      <w:lvlJc w:val="left"/>
      <w:pPr>
        <w:tabs>
          <w:tab w:val="num" w:pos="360"/>
        </w:tabs>
        <w:ind w:left="360" w:hanging="360"/>
      </w:pPr>
      <w:rPr>
        <w:rFonts w:ascii="Symbol" w:hAnsi="Symbol" w:cs="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DC71D24"/>
    <w:multiLevelType w:val="hybridMultilevel"/>
    <w:tmpl w:val="5AE6A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740A7B"/>
    <w:multiLevelType w:val="hybridMultilevel"/>
    <w:tmpl w:val="83F6E768"/>
    <w:lvl w:ilvl="0" w:tplc="88441A84">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5" w15:restartNumberingAfterBreak="0">
    <w:nsid w:val="236A5F79"/>
    <w:multiLevelType w:val="hybridMultilevel"/>
    <w:tmpl w:val="CB4A5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F06D51"/>
    <w:multiLevelType w:val="hybridMultilevel"/>
    <w:tmpl w:val="7B6E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D6B44"/>
    <w:multiLevelType w:val="hybridMultilevel"/>
    <w:tmpl w:val="97481122"/>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C0FC9"/>
    <w:multiLevelType w:val="hybridMultilevel"/>
    <w:tmpl w:val="96DCE8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F02A93"/>
    <w:multiLevelType w:val="hybridMultilevel"/>
    <w:tmpl w:val="10362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C3121B"/>
    <w:multiLevelType w:val="hybridMultilevel"/>
    <w:tmpl w:val="B2864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91437A"/>
    <w:multiLevelType w:val="hybridMultilevel"/>
    <w:tmpl w:val="B31835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25E5AA0"/>
    <w:multiLevelType w:val="hybridMultilevel"/>
    <w:tmpl w:val="F53CA72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43880D69"/>
    <w:multiLevelType w:val="hybridMultilevel"/>
    <w:tmpl w:val="6456B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9017DB"/>
    <w:multiLevelType w:val="multilevel"/>
    <w:tmpl w:val="D12AE0A2"/>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0F7950"/>
    <w:multiLevelType w:val="hybridMultilevel"/>
    <w:tmpl w:val="8104069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DC65A7D"/>
    <w:multiLevelType w:val="hybridMultilevel"/>
    <w:tmpl w:val="866C7C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132C0"/>
    <w:multiLevelType w:val="hybridMultilevel"/>
    <w:tmpl w:val="5EAEA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2C1C8A"/>
    <w:multiLevelType w:val="hybridMultilevel"/>
    <w:tmpl w:val="17FA13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505EBA"/>
    <w:multiLevelType w:val="multilevel"/>
    <w:tmpl w:val="9B10403C"/>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4760658"/>
    <w:multiLevelType w:val="hybridMultilevel"/>
    <w:tmpl w:val="E4AC2D4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560E2228"/>
    <w:multiLevelType w:val="hybridMultilevel"/>
    <w:tmpl w:val="74D6CA9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2" w15:restartNumberingAfterBreak="0">
    <w:nsid w:val="57C743AE"/>
    <w:multiLevelType w:val="hybridMultilevel"/>
    <w:tmpl w:val="4EAA68A4"/>
    <w:lvl w:ilvl="0" w:tplc="0C090001">
      <w:start w:val="1"/>
      <w:numFmt w:val="bullet"/>
      <w:lvlText w:val=""/>
      <w:lvlJc w:val="left"/>
      <w:pPr>
        <w:tabs>
          <w:tab w:val="num" w:pos="360"/>
        </w:tabs>
        <w:ind w:left="360" w:hanging="360"/>
      </w:pPr>
      <w:rPr>
        <w:rFonts w:ascii="Symbol" w:hAnsi="Symbol" w:cs="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cs="Wingdings" w:hint="default"/>
      </w:rPr>
    </w:lvl>
    <w:lvl w:ilvl="3" w:tplc="0C090001">
      <w:start w:val="1"/>
      <w:numFmt w:val="bullet"/>
      <w:lvlText w:val=""/>
      <w:lvlJc w:val="left"/>
      <w:pPr>
        <w:tabs>
          <w:tab w:val="num" w:pos="2520"/>
        </w:tabs>
        <w:ind w:left="2520" w:hanging="360"/>
      </w:pPr>
      <w:rPr>
        <w:rFonts w:ascii="Symbol" w:hAnsi="Symbol" w:cs="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cs="Wingdings" w:hint="default"/>
      </w:rPr>
    </w:lvl>
    <w:lvl w:ilvl="6" w:tplc="0C090001">
      <w:start w:val="1"/>
      <w:numFmt w:val="bullet"/>
      <w:lvlText w:val=""/>
      <w:lvlJc w:val="left"/>
      <w:pPr>
        <w:tabs>
          <w:tab w:val="num" w:pos="4680"/>
        </w:tabs>
        <w:ind w:left="4680" w:hanging="360"/>
      </w:pPr>
      <w:rPr>
        <w:rFonts w:ascii="Symbol" w:hAnsi="Symbol" w:cs="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9E8705F"/>
    <w:multiLevelType w:val="hybridMultilevel"/>
    <w:tmpl w:val="53542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D96363"/>
    <w:multiLevelType w:val="hybridMultilevel"/>
    <w:tmpl w:val="784C65A4"/>
    <w:lvl w:ilvl="0" w:tplc="DE62E62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C54C2C"/>
    <w:multiLevelType w:val="hybridMultilevel"/>
    <w:tmpl w:val="DDF83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BC37F8"/>
    <w:multiLevelType w:val="hybridMultilevel"/>
    <w:tmpl w:val="DD582AB6"/>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7" w15:restartNumberingAfterBreak="0">
    <w:nsid w:val="5E873106"/>
    <w:multiLevelType w:val="hybridMultilevel"/>
    <w:tmpl w:val="068681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EF47F79"/>
    <w:multiLevelType w:val="hybridMultilevel"/>
    <w:tmpl w:val="157A2AF2"/>
    <w:lvl w:ilvl="0" w:tplc="DE62E62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0C3967"/>
    <w:multiLevelType w:val="multilevel"/>
    <w:tmpl w:val="A1D0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285154"/>
    <w:multiLevelType w:val="hybridMultilevel"/>
    <w:tmpl w:val="B4360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42" w15:restartNumberingAfterBreak="0">
    <w:nsid w:val="6676042F"/>
    <w:multiLevelType w:val="hybridMultilevel"/>
    <w:tmpl w:val="43989FA6"/>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3" w15:restartNumberingAfterBreak="0">
    <w:nsid w:val="67835A89"/>
    <w:multiLevelType w:val="hybridMultilevel"/>
    <w:tmpl w:val="CD70EA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A8D7A4A"/>
    <w:multiLevelType w:val="multilevel"/>
    <w:tmpl w:val="77CE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C87EB4"/>
    <w:multiLevelType w:val="hybridMultilevel"/>
    <w:tmpl w:val="050A9F5A"/>
    <w:lvl w:ilvl="0" w:tplc="09F2DD7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6" w15:restartNumberingAfterBreak="0">
    <w:nsid w:val="777751FC"/>
    <w:multiLevelType w:val="hybridMultilevel"/>
    <w:tmpl w:val="AF1659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7AA431BB"/>
    <w:multiLevelType w:val="hybridMultilevel"/>
    <w:tmpl w:val="FEFA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374171"/>
    <w:multiLevelType w:val="hybridMultilevel"/>
    <w:tmpl w:val="99C005F0"/>
    <w:lvl w:ilvl="0" w:tplc="25B292DC">
      <w:start w:val="1"/>
      <w:numFmt w:val="lowerRoman"/>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EB253D1"/>
    <w:multiLevelType w:val="hybridMultilevel"/>
    <w:tmpl w:val="4A369284"/>
    <w:lvl w:ilvl="0" w:tplc="45C273F8">
      <w:start w:val="1"/>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num w:numId="1" w16cid:durableId="761268808">
    <w:abstractNumId w:val="12"/>
  </w:num>
  <w:num w:numId="2" w16cid:durableId="195118146">
    <w:abstractNumId w:val="49"/>
  </w:num>
  <w:num w:numId="3" w16cid:durableId="1804537858">
    <w:abstractNumId w:val="32"/>
  </w:num>
  <w:num w:numId="4" w16cid:durableId="1633094609">
    <w:abstractNumId w:val="18"/>
  </w:num>
  <w:num w:numId="5" w16cid:durableId="66811192">
    <w:abstractNumId w:val="0"/>
    <w:lvlOverride w:ilvl="0">
      <w:lvl w:ilvl="0">
        <w:numFmt w:val="bullet"/>
        <w:lvlText w:val="•"/>
        <w:legacy w:legacy="1" w:legacySpace="0" w:legacyIndent="0"/>
        <w:lvlJc w:val="left"/>
        <w:rPr>
          <w:rFonts w:ascii="Helv" w:hAnsi="Helv" w:hint="default"/>
        </w:rPr>
      </w:lvl>
    </w:lvlOverride>
  </w:num>
  <w:num w:numId="6" w16cid:durableId="1237469664">
    <w:abstractNumId w:val="8"/>
  </w:num>
  <w:num w:numId="7" w16cid:durableId="1244098836">
    <w:abstractNumId w:val="45"/>
  </w:num>
  <w:num w:numId="8" w16cid:durableId="1260680918">
    <w:abstractNumId w:val="26"/>
  </w:num>
  <w:num w:numId="9" w16cid:durableId="1389914120">
    <w:abstractNumId w:val="17"/>
  </w:num>
  <w:num w:numId="10" w16cid:durableId="1405763367">
    <w:abstractNumId w:val="47"/>
  </w:num>
  <w:num w:numId="11" w16cid:durableId="232859903">
    <w:abstractNumId w:val="20"/>
  </w:num>
  <w:num w:numId="12" w16cid:durableId="1804886763">
    <w:abstractNumId w:val="21"/>
  </w:num>
  <w:num w:numId="13" w16cid:durableId="649864668">
    <w:abstractNumId w:val="5"/>
  </w:num>
  <w:num w:numId="14" w16cid:durableId="3638719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7938837">
    <w:abstractNumId w:val="3"/>
  </w:num>
  <w:num w:numId="16" w16cid:durableId="1472749250">
    <w:abstractNumId w:val="10"/>
  </w:num>
  <w:num w:numId="17" w16cid:durableId="242836965">
    <w:abstractNumId w:val="24"/>
  </w:num>
  <w:num w:numId="18" w16cid:durableId="1210534648">
    <w:abstractNumId w:val="29"/>
  </w:num>
  <w:num w:numId="19" w16cid:durableId="1159272730">
    <w:abstractNumId w:val="34"/>
  </w:num>
  <w:num w:numId="20" w16cid:durableId="835268707">
    <w:abstractNumId w:val="46"/>
  </w:num>
  <w:num w:numId="21" w16cid:durableId="105001032">
    <w:abstractNumId w:val="30"/>
  </w:num>
  <w:num w:numId="22" w16cid:durableId="1720468401">
    <w:abstractNumId w:val="13"/>
  </w:num>
  <w:num w:numId="23" w16cid:durableId="428163522">
    <w:abstractNumId w:val="38"/>
  </w:num>
  <w:num w:numId="24" w16cid:durableId="1713263179">
    <w:abstractNumId w:val="2"/>
  </w:num>
  <w:num w:numId="25" w16cid:durableId="1140271100">
    <w:abstractNumId w:val="44"/>
  </w:num>
  <w:num w:numId="26" w16cid:durableId="563566404">
    <w:abstractNumId w:val="11"/>
  </w:num>
  <w:num w:numId="27" w16cid:durableId="579488015">
    <w:abstractNumId w:val="27"/>
  </w:num>
  <w:num w:numId="28" w16cid:durableId="2036882770">
    <w:abstractNumId w:val="16"/>
  </w:num>
  <w:num w:numId="29" w16cid:durableId="1535145742">
    <w:abstractNumId w:val="7"/>
  </w:num>
  <w:num w:numId="30" w16cid:durableId="734622814">
    <w:abstractNumId w:val="1"/>
  </w:num>
  <w:num w:numId="31" w16cid:durableId="460658397">
    <w:abstractNumId w:val="33"/>
  </w:num>
  <w:num w:numId="32" w16cid:durableId="1316104902">
    <w:abstractNumId w:val="23"/>
  </w:num>
  <w:num w:numId="33" w16cid:durableId="868835368">
    <w:abstractNumId w:val="25"/>
  </w:num>
  <w:num w:numId="34" w16cid:durableId="942885477">
    <w:abstractNumId w:val="36"/>
  </w:num>
  <w:num w:numId="35" w16cid:durableId="1334794323">
    <w:abstractNumId w:val="48"/>
  </w:num>
  <w:num w:numId="36" w16cid:durableId="571695706">
    <w:abstractNumId w:val="28"/>
  </w:num>
  <w:num w:numId="37" w16cid:durableId="1657687483">
    <w:abstractNumId w:val="37"/>
  </w:num>
  <w:num w:numId="38" w16cid:durableId="1150367272">
    <w:abstractNumId w:val="6"/>
  </w:num>
  <w:num w:numId="39" w16cid:durableId="1681539586">
    <w:abstractNumId w:val="40"/>
  </w:num>
  <w:num w:numId="40" w16cid:durableId="176888801">
    <w:abstractNumId w:val="19"/>
  </w:num>
  <w:num w:numId="41" w16cid:durableId="1072584812">
    <w:abstractNumId w:val="4"/>
  </w:num>
  <w:num w:numId="42" w16cid:durableId="2111047294">
    <w:abstractNumId w:val="31"/>
  </w:num>
  <w:num w:numId="43" w16cid:durableId="800612897">
    <w:abstractNumId w:val="39"/>
  </w:num>
  <w:num w:numId="44" w16cid:durableId="1745957898">
    <w:abstractNumId w:val="15"/>
  </w:num>
  <w:num w:numId="45" w16cid:durableId="539630911">
    <w:abstractNumId w:val="35"/>
  </w:num>
  <w:num w:numId="46" w16cid:durableId="882206492">
    <w:abstractNumId w:val="22"/>
  </w:num>
  <w:num w:numId="47" w16cid:durableId="1540508888">
    <w:abstractNumId w:val="14"/>
  </w:num>
  <w:num w:numId="48" w16cid:durableId="975723737">
    <w:abstractNumId w:val="42"/>
  </w:num>
  <w:num w:numId="49" w16cid:durableId="1027098047">
    <w:abstractNumId w:val="43"/>
  </w:num>
  <w:num w:numId="50" w16cid:durableId="914362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8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395C"/>
    <w:rsid w:val="000003F4"/>
    <w:rsid w:val="00000653"/>
    <w:rsid w:val="000011CD"/>
    <w:rsid w:val="00002490"/>
    <w:rsid w:val="00007531"/>
    <w:rsid w:val="00007E3C"/>
    <w:rsid w:val="00010C6C"/>
    <w:rsid w:val="000118BE"/>
    <w:rsid w:val="00014D23"/>
    <w:rsid w:val="0001502D"/>
    <w:rsid w:val="00016A5E"/>
    <w:rsid w:val="00020A01"/>
    <w:rsid w:val="00025197"/>
    <w:rsid w:val="00027D5F"/>
    <w:rsid w:val="00030B12"/>
    <w:rsid w:val="0003477C"/>
    <w:rsid w:val="00041CAD"/>
    <w:rsid w:val="0004313C"/>
    <w:rsid w:val="000431F6"/>
    <w:rsid w:val="00044A24"/>
    <w:rsid w:val="00046CD1"/>
    <w:rsid w:val="0004734F"/>
    <w:rsid w:val="00050B3C"/>
    <w:rsid w:val="0005704C"/>
    <w:rsid w:val="00060C1D"/>
    <w:rsid w:val="00063E47"/>
    <w:rsid w:val="00066ECA"/>
    <w:rsid w:val="00070870"/>
    <w:rsid w:val="000709D9"/>
    <w:rsid w:val="0007382B"/>
    <w:rsid w:val="00081AEB"/>
    <w:rsid w:val="000823BB"/>
    <w:rsid w:val="0008275A"/>
    <w:rsid w:val="00082AAE"/>
    <w:rsid w:val="00084944"/>
    <w:rsid w:val="000849B2"/>
    <w:rsid w:val="00085DC8"/>
    <w:rsid w:val="000914CA"/>
    <w:rsid w:val="00091D3C"/>
    <w:rsid w:val="000937A6"/>
    <w:rsid w:val="000949F2"/>
    <w:rsid w:val="000957D8"/>
    <w:rsid w:val="00096EF8"/>
    <w:rsid w:val="000A0730"/>
    <w:rsid w:val="000A0ADE"/>
    <w:rsid w:val="000A1C9B"/>
    <w:rsid w:val="000A3509"/>
    <w:rsid w:val="000A4AE1"/>
    <w:rsid w:val="000A4CEF"/>
    <w:rsid w:val="000A5C70"/>
    <w:rsid w:val="000A78CE"/>
    <w:rsid w:val="000B007A"/>
    <w:rsid w:val="000B02C5"/>
    <w:rsid w:val="000B6404"/>
    <w:rsid w:val="000B7B1B"/>
    <w:rsid w:val="000C0E46"/>
    <w:rsid w:val="000C10B6"/>
    <w:rsid w:val="000C1E01"/>
    <w:rsid w:val="000C4272"/>
    <w:rsid w:val="000C4ACA"/>
    <w:rsid w:val="000C5192"/>
    <w:rsid w:val="000C62E6"/>
    <w:rsid w:val="000D07B7"/>
    <w:rsid w:val="000D1142"/>
    <w:rsid w:val="000D15D9"/>
    <w:rsid w:val="000D4074"/>
    <w:rsid w:val="000D67BD"/>
    <w:rsid w:val="000D70C4"/>
    <w:rsid w:val="000E4F8F"/>
    <w:rsid w:val="000E6701"/>
    <w:rsid w:val="000E7505"/>
    <w:rsid w:val="000F095E"/>
    <w:rsid w:val="000F3CAE"/>
    <w:rsid w:val="000F4047"/>
    <w:rsid w:val="000F4055"/>
    <w:rsid w:val="000F45E2"/>
    <w:rsid w:val="000F570D"/>
    <w:rsid w:val="000F7FAE"/>
    <w:rsid w:val="001037C6"/>
    <w:rsid w:val="00105092"/>
    <w:rsid w:val="001050F6"/>
    <w:rsid w:val="001052ED"/>
    <w:rsid w:val="00106B9B"/>
    <w:rsid w:val="00112665"/>
    <w:rsid w:val="001126F0"/>
    <w:rsid w:val="00113A82"/>
    <w:rsid w:val="0011517A"/>
    <w:rsid w:val="00115A67"/>
    <w:rsid w:val="00116993"/>
    <w:rsid w:val="00124085"/>
    <w:rsid w:val="0012554D"/>
    <w:rsid w:val="00130A9A"/>
    <w:rsid w:val="00132F8E"/>
    <w:rsid w:val="00133E27"/>
    <w:rsid w:val="00134D83"/>
    <w:rsid w:val="00136991"/>
    <w:rsid w:val="001400AF"/>
    <w:rsid w:val="00141620"/>
    <w:rsid w:val="001433C2"/>
    <w:rsid w:val="00144886"/>
    <w:rsid w:val="0014575E"/>
    <w:rsid w:val="001468C4"/>
    <w:rsid w:val="001479E0"/>
    <w:rsid w:val="00154344"/>
    <w:rsid w:val="00154ED7"/>
    <w:rsid w:val="00155001"/>
    <w:rsid w:val="00156444"/>
    <w:rsid w:val="00156F53"/>
    <w:rsid w:val="001579FD"/>
    <w:rsid w:val="0016603B"/>
    <w:rsid w:val="00171170"/>
    <w:rsid w:val="00171833"/>
    <w:rsid w:val="001746E3"/>
    <w:rsid w:val="00176E24"/>
    <w:rsid w:val="00180650"/>
    <w:rsid w:val="00180E39"/>
    <w:rsid w:val="001815C9"/>
    <w:rsid w:val="00182222"/>
    <w:rsid w:val="0018539F"/>
    <w:rsid w:val="0018769E"/>
    <w:rsid w:val="00190AAF"/>
    <w:rsid w:val="001916B3"/>
    <w:rsid w:val="0019181C"/>
    <w:rsid w:val="001921EA"/>
    <w:rsid w:val="00193178"/>
    <w:rsid w:val="00195273"/>
    <w:rsid w:val="00196AD6"/>
    <w:rsid w:val="001A040B"/>
    <w:rsid w:val="001A1643"/>
    <w:rsid w:val="001A2585"/>
    <w:rsid w:val="001A2F15"/>
    <w:rsid w:val="001A451D"/>
    <w:rsid w:val="001A4E16"/>
    <w:rsid w:val="001A4FBD"/>
    <w:rsid w:val="001A5B32"/>
    <w:rsid w:val="001A7631"/>
    <w:rsid w:val="001B0638"/>
    <w:rsid w:val="001B4FC6"/>
    <w:rsid w:val="001C032F"/>
    <w:rsid w:val="001C06C1"/>
    <w:rsid w:val="001C1CCC"/>
    <w:rsid w:val="001C20CF"/>
    <w:rsid w:val="001C3F3E"/>
    <w:rsid w:val="001C4583"/>
    <w:rsid w:val="001C4CE2"/>
    <w:rsid w:val="001C65E9"/>
    <w:rsid w:val="001C6E7F"/>
    <w:rsid w:val="001D4C72"/>
    <w:rsid w:val="001D53CA"/>
    <w:rsid w:val="001D7943"/>
    <w:rsid w:val="001E20AD"/>
    <w:rsid w:val="001E4B22"/>
    <w:rsid w:val="001E50C6"/>
    <w:rsid w:val="001E7CB8"/>
    <w:rsid w:val="001F10B9"/>
    <w:rsid w:val="001F14B0"/>
    <w:rsid w:val="001F2683"/>
    <w:rsid w:val="001F31AA"/>
    <w:rsid w:val="001F4344"/>
    <w:rsid w:val="001F4D51"/>
    <w:rsid w:val="001F534D"/>
    <w:rsid w:val="001F7E39"/>
    <w:rsid w:val="0020180D"/>
    <w:rsid w:val="00201E52"/>
    <w:rsid w:val="002029D3"/>
    <w:rsid w:val="0020327F"/>
    <w:rsid w:val="0020565F"/>
    <w:rsid w:val="00206D35"/>
    <w:rsid w:val="00207829"/>
    <w:rsid w:val="00210D31"/>
    <w:rsid w:val="0021144F"/>
    <w:rsid w:val="00216423"/>
    <w:rsid w:val="00220C5B"/>
    <w:rsid w:val="00221B92"/>
    <w:rsid w:val="00222251"/>
    <w:rsid w:val="002238BC"/>
    <w:rsid w:val="002249E2"/>
    <w:rsid w:val="002269A6"/>
    <w:rsid w:val="002272AF"/>
    <w:rsid w:val="00230EBC"/>
    <w:rsid w:val="00231621"/>
    <w:rsid w:val="00232545"/>
    <w:rsid w:val="00232A19"/>
    <w:rsid w:val="00233EAA"/>
    <w:rsid w:val="002351EF"/>
    <w:rsid w:val="0023733E"/>
    <w:rsid w:val="0024079C"/>
    <w:rsid w:val="002409A0"/>
    <w:rsid w:val="002438BC"/>
    <w:rsid w:val="002441D0"/>
    <w:rsid w:val="00251560"/>
    <w:rsid w:val="00253CE6"/>
    <w:rsid w:val="00255D9F"/>
    <w:rsid w:val="00256140"/>
    <w:rsid w:val="002606FF"/>
    <w:rsid w:val="00261D15"/>
    <w:rsid w:val="002624B1"/>
    <w:rsid w:val="002651E2"/>
    <w:rsid w:val="00267CCA"/>
    <w:rsid w:val="00271283"/>
    <w:rsid w:val="00271554"/>
    <w:rsid w:val="00273530"/>
    <w:rsid w:val="00273F26"/>
    <w:rsid w:val="00275FED"/>
    <w:rsid w:val="00276A3B"/>
    <w:rsid w:val="00283C6A"/>
    <w:rsid w:val="002847B9"/>
    <w:rsid w:val="00287356"/>
    <w:rsid w:val="002900C0"/>
    <w:rsid w:val="00290231"/>
    <w:rsid w:val="00291614"/>
    <w:rsid w:val="00292A7F"/>
    <w:rsid w:val="002932DC"/>
    <w:rsid w:val="00294280"/>
    <w:rsid w:val="002965DC"/>
    <w:rsid w:val="00296B77"/>
    <w:rsid w:val="002A13D3"/>
    <w:rsid w:val="002A210A"/>
    <w:rsid w:val="002A506E"/>
    <w:rsid w:val="002A7773"/>
    <w:rsid w:val="002B0B4C"/>
    <w:rsid w:val="002B0F1B"/>
    <w:rsid w:val="002B605A"/>
    <w:rsid w:val="002B62F1"/>
    <w:rsid w:val="002B6D2A"/>
    <w:rsid w:val="002B74AF"/>
    <w:rsid w:val="002C11FC"/>
    <w:rsid w:val="002C432B"/>
    <w:rsid w:val="002C6690"/>
    <w:rsid w:val="002D28D9"/>
    <w:rsid w:val="002D5BEA"/>
    <w:rsid w:val="002E3154"/>
    <w:rsid w:val="002E4B1E"/>
    <w:rsid w:val="002E593D"/>
    <w:rsid w:val="002E607E"/>
    <w:rsid w:val="002E7338"/>
    <w:rsid w:val="002F0D9A"/>
    <w:rsid w:val="002F1E5E"/>
    <w:rsid w:val="002F25D4"/>
    <w:rsid w:val="002F5948"/>
    <w:rsid w:val="002F74E7"/>
    <w:rsid w:val="002F7FD6"/>
    <w:rsid w:val="00300953"/>
    <w:rsid w:val="003026F1"/>
    <w:rsid w:val="003033A7"/>
    <w:rsid w:val="00305FC5"/>
    <w:rsid w:val="00311F68"/>
    <w:rsid w:val="00313A2A"/>
    <w:rsid w:val="00313AAE"/>
    <w:rsid w:val="00315FBF"/>
    <w:rsid w:val="00316133"/>
    <w:rsid w:val="003169B5"/>
    <w:rsid w:val="00316AE9"/>
    <w:rsid w:val="003171BC"/>
    <w:rsid w:val="00321EA6"/>
    <w:rsid w:val="0032317A"/>
    <w:rsid w:val="00323882"/>
    <w:rsid w:val="00325612"/>
    <w:rsid w:val="00326150"/>
    <w:rsid w:val="0032664D"/>
    <w:rsid w:val="00330FF0"/>
    <w:rsid w:val="00332633"/>
    <w:rsid w:val="00333230"/>
    <w:rsid w:val="00335C30"/>
    <w:rsid w:val="00337BC1"/>
    <w:rsid w:val="003403EE"/>
    <w:rsid w:val="0034296D"/>
    <w:rsid w:val="003458A0"/>
    <w:rsid w:val="0034610B"/>
    <w:rsid w:val="00346142"/>
    <w:rsid w:val="00346577"/>
    <w:rsid w:val="003467D7"/>
    <w:rsid w:val="00353925"/>
    <w:rsid w:val="00354907"/>
    <w:rsid w:val="00356ECB"/>
    <w:rsid w:val="003574A7"/>
    <w:rsid w:val="00357A50"/>
    <w:rsid w:val="0036089C"/>
    <w:rsid w:val="00362D14"/>
    <w:rsid w:val="0036604D"/>
    <w:rsid w:val="00370BE7"/>
    <w:rsid w:val="00372B60"/>
    <w:rsid w:val="00373552"/>
    <w:rsid w:val="00376794"/>
    <w:rsid w:val="00383CB4"/>
    <w:rsid w:val="00384F0C"/>
    <w:rsid w:val="00385824"/>
    <w:rsid w:val="00386014"/>
    <w:rsid w:val="00387C04"/>
    <w:rsid w:val="00391711"/>
    <w:rsid w:val="003946BF"/>
    <w:rsid w:val="00394D40"/>
    <w:rsid w:val="0039647F"/>
    <w:rsid w:val="00396608"/>
    <w:rsid w:val="003967C6"/>
    <w:rsid w:val="003975E5"/>
    <w:rsid w:val="00397A54"/>
    <w:rsid w:val="003A5449"/>
    <w:rsid w:val="003A5476"/>
    <w:rsid w:val="003B6B17"/>
    <w:rsid w:val="003B7552"/>
    <w:rsid w:val="003C2244"/>
    <w:rsid w:val="003C24BB"/>
    <w:rsid w:val="003C2E68"/>
    <w:rsid w:val="003C48FE"/>
    <w:rsid w:val="003C511B"/>
    <w:rsid w:val="003C6135"/>
    <w:rsid w:val="003C61CF"/>
    <w:rsid w:val="003D2531"/>
    <w:rsid w:val="003D4404"/>
    <w:rsid w:val="003D4A0A"/>
    <w:rsid w:val="003D7206"/>
    <w:rsid w:val="003E41E2"/>
    <w:rsid w:val="003E63E8"/>
    <w:rsid w:val="003E7471"/>
    <w:rsid w:val="003F2126"/>
    <w:rsid w:val="003F4F6B"/>
    <w:rsid w:val="003F5A44"/>
    <w:rsid w:val="003F5B11"/>
    <w:rsid w:val="003F6824"/>
    <w:rsid w:val="003F7139"/>
    <w:rsid w:val="004019A8"/>
    <w:rsid w:val="00402564"/>
    <w:rsid w:val="00402E4F"/>
    <w:rsid w:val="00406736"/>
    <w:rsid w:val="00407951"/>
    <w:rsid w:val="004136ED"/>
    <w:rsid w:val="00414B7D"/>
    <w:rsid w:val="00415326"/>
    <w:rsid w:val="004154ED"/>
    <w:rsid w:val="00417A43"/>
    <w:rsid w:val="00422FA8"/>
    <w:rsid w:val="00426150"/>
    <w:rsid w:val="00426FB4"/>
    <w:rsid w:val="00427957"/>
    <w:rsid w:val="00427F84"/>
    <w:rsid w:val="00431D65"/>
    <w:rsid w:val="00432C75"/>
    <w:rsid w:val="00436437"/>
    <w:rsid w:val="00437BC0"/>
    <w:rsid w:val="00440277"/>
    <w:rsid w:val="00440C2A"/>
    <w:rsid w:val="00443151"/>
    <w:rsid w:val="0044424D"/>
    <w:rsid w:val="00445F28"/>
    <w:rsid w:val="00447628"/>
    <w:rsid w:val="00447D53"/>
    <w:rsid w:val="00450660"/>
    <w:rsid w:val="004514D6"/>
    <w:rsid w:val="00452100"/>
    <w:rsid w:val="004531EB"/>
    <w:rsid w:val="00453C17"/>
    <w:rsid w:val="00455E44"/>
    <w:rsid w:val="004565E6"/>
    <w:rsid w:val="00460859"/>
    <w:rsid w:val="00460B60"/>
    <w:rsid w:val="004615BC"/>
    <w:rsid w:val="00463244"/>
    <w:rsid w:val="004633B2"/>
    <w:rsid w:val="00464975"/>
    <w:rsid w:val="00465214"/>
    <w:rsid w:val="00466708"/>
    <w:rsid w:val="004737A7"/>
    <w:rsid w:val="00473893"/>
    <w:rsid w:val="00473FEE"/>
    <w:rsid w:val="00475951"/>
    <w:rsid w:val="00475AB8"/>
    <w:rsid w:val="004805F0"/>
    <w:rsid w:val="0048216F"/>
    <w:rsid w:val="00482366"/>
    <w:rsid w:val="004835C6"/>
    <w:rsid w:val="00483D4D"/>
    <w:rsid w:val="00484898"/>
    <w:rsid w:val="00485486"/>
    <w:rsid w:val="00485750"/>
    <w:rsid w:val="0049045B"/>
    <w:rsid w:val="00490DF9"/>
    <w:rsid w:val="00491C55"/>
    <w:rsid w:val="00494655"/>
    <w:rsid w:val="004974AF"/>
    <w:rsid w:val="004A1D69"/>
    <w:rsid w:val="004A1F78"/>
    <w:rsid w:val="004A39B4"/>
    <w:rsid w:val="004A3C96"/>
    <w:rsid w:val="004A3DEF"/>
    <w:rsid w:val="004A6A73"/>
    <w:rsid w:val="004B01DB"/>
    <w:rsid w:val="004B0C84"/>
    <w:rsid w:val="004B124E"/>
    <w:rsid w:val="004B1AB6"/>
    <w:rsid w:val="004B26FE"/>
    <w:rsid w:val="004B3314"/>
    <w:rsid w:val="004B373D"/>
    <w:rsid w:val="004B4C71"/>
    <w:rsid w:val="004B4EB8"/>
    <w:rsid w:val="004B54FF"/>
    <w:rsid w:val="004B5B00"/>
    <w:rsid w:val="004C1E5A"/>
    <w:rsid w:val="004C343C"/>
    <w:rsid w:val="004C7EE3"/>
    <w:rsid w:val="004D0C8A"/>
    <w:rsid w:val="004D105D"/>
    <w:rsid w:val="004D1292"/>
    <w:rsid w:val="004D21CD"/>
    <w:rsid w:val="004D41A7"/>
    <w:rsid w:val="004E620C"/>
    <w:rsid w:val="004F4936"/>
    <w:rsid w:val="004F4B27"/>
    <w:rsid w:val="004F78AC"/>
    <w:rsid w:val="00500EA4"/>
    <w:rsid w:val="00504865"/>
    <w:rsid w:val="005111F2"/>
    <w:rsid w:val="00517262"/>
    <w:rsid w:val="00520E1D"/>
    <w:rsid w:val="00520E40"/>
    <w:rsid w:val="005210BF"/>
    <w:rsid w:val="00521FEA"/>
    <w:rsid w:val="00522E8C"/>
    <w:rsid w:val="0052317F"/>
    <w:rsid w:val="005239A4"/>
    <w:rsid w:val="0052579F"/>
    <w:rsid w:val="005276F3"/>
    <w:rsid w:val="00532BC5"/>
    <w:rsid w:val="00535487"/>
    <w:rsid w:val="005406C1"/>
    <w:rsid w:val="00541746"/>
    <w:rsid w:val="00545A01"/>
    <w:rsid w:val="005532C8"/>
    <w:rsid w:val="005556E0"/>
    <w:rsid w:val="0056443B"/>
    <w:rsid w:val="00567128"/>
    <w:rsid w:val="005741BB"/>
    <w:rsid w:val="005772A5"/>
    <w:rsid w:val="00584259"/>
    <w:rsid w:val="005849F3"/>
    <w:rsid w:val="005871A3"/>
    <w:rsid w:val="00587CE3"/>
    <w:rsid w:val="0059078A"/>
    <w:rsid w:val="00592E84"/>
    <w:rsid w:val="0059357C"/>
    <w:rsid w:val="00594E2E"/>
    <w:rsid w:val="00597D5B"/>
    <w:rsid w:val="005A019A"/>
    <w:rsid w:val="005A0877"/>
    <w:rsid w:val="005A2295"/>
    <w:rsid w:val="005A288B"/>
    <w:rsid w:val="005A2FBA"/>
    <w:rsid w:val="005A3211"/>
    <w:rsid w:val="005A4712"/>
    <w:rsid w:val="005A60E7"/>
    <w:rsid w:val="005A6A08"/>
    <w:rsid w:val="005A7C75"/>
    <w:rsid w:val="005B08DF"/>
    <w:rsid w:val="005B1A99"/>
    <w:rsid w:val="005B334B"/>
    <w:rsid w:val="005B395C"/>
    <w:rsid w:val="005B403B"/>
    <w:rsid w:val="005B5B22"/>
    <w:rsid w:val="005B7658"/>
    <w:rsid w:val="005B7B41"/>
    <w:rsid w:val="005C01D6"/>
    <w:rsid w:val="005C2AE9"/>
    <w:rsid w:val="005C3C37"/>
    <w:rsid w:val="005C55E0"/>
    <w:rsid w:val="005C658B"/>
    <w:rsid w:val="005C7BC9"/>
    <w:rsid w:val="005D3BE2"/>
    <w:rsid w:val="005D4475"/>
    <w:rsid w:val="005D6E55"/>
    <w:rsid w:val="005E37B9"/>
    <w:rsid w:val="005E4359"/>
    <w:rsid w:val="005E7AAF"/>
    <w:rsid w:val="005F1468"/>
    <w:rsid w:val="006001E5"/>
    <w:rsid w:val="00600209"/>
    <w:rsid w:val="0060116F"/>
    <w:rsid w:val="00604181"/>
    <w:rsid w:val="00604252"/>
    <w:rsid w:val="006047B6"/>
    <w:rsid w:val="006052A8"/>
    <w:rsid w:val="006065E5"/>
    <w:rsid w:val="00612444"/>
    <w:rsid w:val="00612975"/>
    <w:rsid w:val="0061781B"/>
    <w:rsid w:val="00617F4C"/>
    <w:rsid w:val="006207E1"/>
    <w:rsid w:val="00625097"/>
    <w:rsid w:val="006256B6"/>
    <w:rsid w:val="006257E5"/>
    <w:rsid w:val="00625B48"/>
    <w:rsid w:val="00626459"/>
    <w:rsid w:val="00626A18"/>
    <w:rsid w:val="00631B73"/>
    <w:rsid w:val="00637568"/>
    <w:rsid w:val="006411FD"/>
    <w:rsid w:val="00642253"/>
    <w:rsid w:val="00642416"/>
    <w:rsid w:val="00642E2B"/>
    <w:rsid w:val="00652E9C"/>
    <w:rsid w:val="00655303"/>
    <w:rsid w:val="00657939"/>
    <w:rsid w:val="006620B4"/>
    <w:rsid w:val="00663BCC"/>
    <w:rsid w:val="00665418"/>
    <w:rsid w:val="0066758D"/>
    <w:rsid w:val="00667DC3"/>
    <w:rsid w:val="0067071E"/>
    <w:rsid w:val="006730A6"/>
    <w:rsid w:val="006737E4"/>
    <w:rsid w:val="0067467C"/>
    <w:rsid w:val="00674AED"/>
    <w:rsid w:val="00674E18"/>
    <w:rsid w:val="00682CEF"/>
    <w:rsid w:val="006835F3"/>
    <w:rsid w:val="00684810"/>
    <w:rsid w:val="006852D6"/>
    <w:rsid w:val="00685972"/>
    <w:rsid w:val="0068711D"/>
    <w:rsid w:val="00692E10"/>
    <w:rsid w:val="00693691"/>
    <w:rsid w:val="00696524"/>
    <w:rsid w:val="0069798D"/>
    <w:rsid w:val="006A10E7"/>
    <w:rsid w:val="006A66B3"/>
    <w:rsid w:val="006A7A15"/>
    <w:rsid w:val="006B2255"/>
    <w:rsid w:val="006B5117"/>
    <w:rsid w:val="006B6578"/>
    <w:rsid w:val="006B7A41"/>
    <w:rsid w:val="006C019A"/>
    <w:rsid w:val="006C2B3C"/>
    <w:rsid w:val="006C2D00"/>
    <w:rsid w:val="006D0F26"/>
    <w:rsid w:val="006D178E"/>
    <w:rsid w:val="006E0BE9"/>
    <w:rsid w:val="006E3DFE"/>
    <w:rsid w:val="006F11B3"/>
    <w:rsid w:val="006F3454"/>
    <w:rsid w:val="006F6114"/>
    <w:rsid w:val="006F7888"/>
    <w:rsid w:val="00702B11"/>
    <w:rsid w:val="00705683"/>
    <w:rsid w:val="00711081"/>
    <w:rsid w:val="00711FBB"/>
    <w:rsid w:val="007121F2"/>
    <w:rsid w:val="00723439"/>
    <w:rsid w:val="00723A6F"/>
    <w:rsid w:val="007246A6"/>
    <w:rsid w:val="007272ED"/>
    <w:rsid w:val="0072788B"/>
    <w:rsid w:val="00731180"/>
    <w:rsid w:val="0073743D"/>
    <w:rsid w:val="007408E5"/>
    <w:rsid w:val="00741A4E"/>
    <w:rsid w:val="007421C6"/>
    <w:rsid w:val="00742259"/>
    <w:rsid w:val="0074402F"/>
    <w:rsid w:val="007442D2"/>
    <w:rsid w:val="00744959"/>
    <w:rsid w:val="00746E3F"/>
    <w:rsid w:val="00747A0F"/>
    <w:rsid w:val="007539B1"/>
    <w:rsid w:val="00754D2C"/>
    <w:rsid w:val="00763E8F"/>
    <w:rsid w:val="00765D46"/>
    <w:rsid w:val="007710B7"/>
    <w:rsid w:val="00771905"/>
    <w:rsid w:val="00780C27"/>
    <w:rsid w:val="007817A5"/>
    <w:rsid w:val="007823F7"/>
    <w:rsid w:val="00783569"/>
    <w:rsid w:val="00783DEE"/>
    <w:rsid w:val="0078485E"/>
    <w:rsid w:val="00785334"/>
    <w:rsid w:val="0078632B"/>
    <w:rsid w:val="007902CF"/>
    <w:rsid w:val="00790C3F"/>
    <w:rsid w:val="007913C9"/>
    <w:rsid w:val="00795845"/>
    <w:rsid w:val="00795972"/>
    <w:rsid w:val="007961F8"/>
    <w:rsid w:val="007A2ADF"/>
    <w:rsid w:val="007A2D8B"/>
    <w:rsid w:val="007A5065"/>
    <w:rsid w:val="007A677D"/>
    <w:rsid w:val="007B0651"/>
    <w:rsid w:val="007B0F5F"/>
    <w:rsid w:val="007B206E"/>
    <w:rsid w:val="007B22A0"/>
    <w:rsid w:val="007B2FF7"/>
    <w:rsid w:val="007B3AC5"/>
    <w:rsid w:val="007B7754"/>
    <w:rsid w:val="007C0FD9"/>
    <w:rsid w:val="007C4BBB"/>
    <w:rsid w:val="007C5DE8"/>
    <w:rsid w:val="007C70DA"/>
    <w:rsid w:val="007E00A9"/>
    <w:rsid w:val="007E1108"/>
    <w:rsid w:val="007E3C44"/>
    <w:rsid w:val="007E75FE"/>
    <w:rsid w:val="007F0BC3"/>
    <w:rsid w:val="007F1138"/>
    <w:rsid w:val="007F12DE"/>
    <w:rsid w:val="007F45B5"/>
    <w:rsid w:val="007F4D57"/>
    <w:rsid w:val="007F57C5"/>
    <w:rsid w:val="007F5C75"/>
    <w:rsid w:val="007F621E"/>
    <w:rsid w:val="00804FDF"/>
    <w:rsid w:val="0080536B"/>
    <w:rsid w:val="008059A1"/>
    <w:rsid w:val="00805DE1"/>
    <w:rsid w:val="00812A72"/>
    <w:rsid w:val="00816FAB"/>
    <w:rsid w:val="0081785A"/>
    <w:rsid w:val="0082008F"/>
    <w:rsid w:val="0082027A"/>
    <w:rsid w:val="00823466"/>
    <w:rsid w:val="008238CA"/>
    <w:rsid w:val="008240AD"/>
    <w:rsid w:val="0082519F"/>
    <w:rsid w:val="0082540D"/>
    <w:rsid w:val="008262BC"/>
    <w:rsid w:val="00827A77"/>
    <w:rsid w:val="00830E80"/>
    <w:rsid w:val="00832D29"/>
    <w:rsid w:val="0083563C"/>
    <w:rsid w:val="00840A72"/>
    <w:rsid w:val="008411BE"/>
    <w:rsid w:val="0084455C"/>
    <w:rsid w:val="00846233"/>
    <w:rsid w:val="00847105"/>
    <w:rsid w:val="0085233A"/>
    <w:rsid w:val="0085292C"/>
    <w:rsid w:val="00863A34"/>
    <w:rsid w:val="0086744D"/>
    <w:rsid w:val="0087221C"/>
    <w:rsid w:val="00877AED"/>
    <w:rsid w:val="00880D41"/>
    <w:rsid w:val="00881C5D"/>
    <w:rsid w:val="008858C7"/>
    <w:rsid w:val="00885F56"/>
    <w:rsid w:val="00891315"/>
    <w:rsid w:val="00894ED5"/>
    <w:rsid w:val="008971C4"/>
    <w:rsid w:val="00897D32"/>
    <w:rsid w:val="00897D60"/>
    <w:rsid w:val="008A0519"/>
    <w:rsid w:val="008A3C15"/>
    <w:rsid w:val="008B3A2C"/>
    <w:rsid w:val="008B7985"/>
    <w:rsid w:val="008C02AA"/>
    <w:rsid w:val="008C0CAE"/>
    <w:rsid w:val="008C0EC4"/>
    <w:rsid w:val="008C3365"/>
    <w:rsid w:val="008C403C"/>
    <w:rsid w:val="008C4F56"/>
    <w:rsid w:val="008C6909"/>
    <w:rsid w:val="008C7231"/>
    <w:rsid w:val="008D0E79"/>
    <w:rsid w:val="008D28CA"/>
    <w:rsid w:val="008D2D2A"/>
    <w:rsid w:val="008D40F6"/>
    <w:rsid w:val="008D5FFD"/>
    <w:rsid w:val="008E0B2B"/>
    <w:rsid w:val="008E0D14"/>
    <w:rsid w:val="008E1C11"/>
    <w:rsid w:val="008E1FB2"/>
    <w:rsid w:val="008E6A4E"/>
    <w:rsid w:val="008E6DC5"/>
    <w:rsid w:val="008F0543"/>
    <w:rsid w:val="008F21E6"/>
    <w:rsid w:val="008F22EC"/>
    <w:rsid w:val="008F66B9"/>
    <w:rsid w:val="008F73DC"/>
    <w:rsid w:val="00904A18"/>
    <w:rsid w:val="00905B78"/>
    <w:rsid w:val="009064DB"/>
    <w:rsid w:val="00906716"/>
    <w:rsid w:val="009103D2"/>
    <w:rsid w:val="0091096A"/>
    <w:rsid w:val="00912E07"/>
    <w:rsid w:val="00913BC7"/>
    <w:rsid w:val="00914DAF"/>
    <w:rsid w:val="00915CC0"/>
    <w:rsid w:val="00915F5A"/>
    <w:rsid w:val="009233FE"/>
    <w:rsid w:val="00925437"/>
    <w:rsid w:val="0092718D"/>
    <w:rsid w:val="00931BC5"/>
    <w:rsid w:val="009320CC"/>
    <w:rsid w:val="00932503"/>
    <w:rsid w:val="00932554"/>
    <w:rsid w:val="00934530"/>
    <w:rsid w:val="00934A25"/>
    <w:rsid w:val="00937A08"/>
    <w:rsid w:val="00937DF9"/>
    <w:rsid w:val="00941A43"/>
    <w:rsid w:val="0094367B"/>
    <w:rsid w:val="00943A05"/>
    <w:rsid w:val="00943C26"/>
    <w:rsid w:val="00943FF8"/>
    <w:rsid w:val="00944B83"/>
    <w:rsid w:val="0094508F"/>
    <w:rsid w:val="009453B6"/>
    <w:rsid w:val="009457CC"/>
    <w:rsid w:val="00945B7D"/>
    <w:rsid w:val="00947338"/>
    <w:rsid w:val="00947CC9"/>
    <w:rsid w:val="00957732"/>
    <w:rsid w:val="009600BB"/>
    <w:rsid w:val="00963899"/>
    <w:rsid w:val="009653F5"/>
    <w:rsid w:val="009659F4"/>
    <w:rsid w:val="009723C0"/>
    <w:rsid w:val="00976F02"/>
    <w:rsid w:val="0098146D"/>
    <w:rsid w:val="00984754"/>
    <w:rsid w:val="00985C8A"/>
    <w:rsid w:val="00987095"/>
    <w:rsid w:val="00991EA8"/>
    <w:rsid w:val="009928FE"/>
    <w:rsid w:val="00993707"/>
    <w:rsid w:val="009940B8"/>
    <w:rsid w:val="00996F62"/>
    <w:rsid w:val="009A0C28"/>
    <w:rsid w:val="009A1B50"/>
    <w:rsid w:val="009A4C18"/>
    <w:rsid w:val="009A5571"/>
    <w:rsid w:val="009A6CCF"/>
    <w:rsid w:val="009A737E"/>
    <w:rsid w:val="009B1E2C"/>
    <w:rsid w:val="009B253B"/>
    <w:rsid w:val="009B671C"/>
    <w:rsid w:val="009C3811"/>
    <w:rsid w:val="009C5208"/>
    <w:rsid w:val="009D0B07"/>
    <w:rsid w:val="009D4339"/>
    <w:rsid w:val="009D5BB4"/>
    <w:rsid w:val="009D78D7"/>
    <w:rsid w:val="009E0298"/>
    <w:rsid w:val="009E049A"/>
    <w:rsid w:val="009E1E3E"/>
    <w:rsid w:val="009E3981"/>
    <w:rsid w:val="009F1E17"/>
    <w:rsid w:val="009F6E91"/>
    <w:rsid w:val="00A00565"/>
    <w:rsid w:val="00A005D1"/>
    <w:rsid w:val="00A00B57"/>
    <w:rsid w:val="00A00CBF"/>
    <w:rsid w:val="00A02A9F"/>
    <w:rsid w:val="00A035D0"/>
    <w:rsid w:val="00A0423D"/>
    <w:rsid w:val="00A04C68"/>
    <w:rsid w:val="00A063F5"/>
    <w:rsid w:val="00A06971"/>
    <w:rsid w:val="00A10941"/>
    <w:rsid w:val="00A14BA3"/>
    <w:rsid w:val="00A14EDC"/>
    <w:rsid w:val="00A162BE"/>
    <w:rsid w:val="00A17066"/>
    <w:rsid w:val="00A203D3"/>
    <w:rsid w:val="00A2171B"/>
    <w:rsid w:val="00A2202E"/>
    <w:rsid w:val="00A22279"/>
    <w:rsid w:val="00A3019C"/>
    <w:rsid w:val="00A31A59"/>
    <w:rsid w:val="00A34F0B"/>
    <w:rsid w:val="00A3562F"/>
    <w:rsid w:val="00A36505"/>
    <w:rsid w:val="00A4033A"/>
    <w:rsid w:val="00A41FA9"/>
    <w:rsid w:val="00A42C08"/>
    <w:rsid w:val="00A45407"/>
    <w:rsid w:val="00A45681"/>
    <w:rsid w:val="00A4755E"/>
    <w:rsid w:val="00A47D92"/>
    <w:rsid w:val="00A52325"/>
    <w:rsid w:val="00A61BA0"/>
    <w:rsid w:val="00A627C2"/>
    <w:rsid w:val="00A673B5"/>
    <w:rsid w:val="00A677EB"/>
    <w:rsid w:val="00A70320"/>
    <w:rsid w:val="00A71325"/>
    <w:rsid w:val="00A73B02"/>
    <w:rsid w:val="00A756CA"/>
    <w:rsid w:val="00A75C51"/>
    <w:rsid w:val="00A7643C"/>
    <w:rsid w:val="00A77094"/>
    <w:rsid w:val="00A815C3"/>
    <w:rsid w:val="00A81A2B"/>
    <w:rsid w:val="00A81F4A"/>
    <w:rsid w:val="00A83F4D"/>
    <w:rsid w:val="00A845D1"/>
    <w:rsid w:val="00A861AE"/>
    <w:rsid w:val="00A869BF"/>
    <w:rsid w:val="00A86FB9"/>
    <w:rsid w:val="00A87F6F"/>
    <w:rsid w:val="00A949B4"/>
    <w:rsid w:val="00A94AB4"/>
    <w:rsid w:val="00A965BD"/>
    <w:rsid w:val="00A96758"/>
    <w:rsid w:val="00AA173F"/>
    <w:rsid w:val="00AA5A3D"/>
    <w:rsid w:val="00AA5DF5"/>
    <w:rsid w:val="00AA6FD9"/>
    <w:rsid w:val="00AA780E"/>
    <w:rsid w:val="00AB2C17"/>
    <w:rsid w:val="00AB36E8"/>
    <w:rsid w:val="00AB509A"/>
    <w:rsid w:val="00AB57EC"/>
    <w:rsid w:val="00AB6A98"/>
    <w:rsid w:val="00AB6C23"/>
    <w:rsid w:val="00AB7063"/>
    <w:rsid w:val="00AC023A"/>
    <w:rsid w:val="00AC40E4"/>
    <w:rsid w:val="00AC6245"/>
    <w:rsid w:val="00AC68E9"/>
    <w:rsid w:val="00AD1B6F"/>
    <w:rsid w:val="00AD2962"/>
    <w:rsid w:val="00AD335D"/>
    <w:rsid w:val="00AD51BE"/>
    <w:rsid w:val="00AD7B13"/>
    <w:rsid w:val="00AE22E1"/>
    <w:rsid w:val="00AE2B10"/>
    <w:rsid w:val="00AF257F"/>
    <w:rsid w:val="00AF58CD"/>
    <w:rsid w:val="00B02D58"/>
    <w:rsid w:val="00B062CC"/>
    <w:rsid w:val="00B06374"/>
    <w:rsid w:val="00B06424"/>
    <w:rsid w:val="00B10459"/>
    <w:rsid w:val="00B130D4"/>
    <w:rsid w:val="00B176D9"/>
    <w:rsid w:val="00B20CAB"/>
    <w:rsid w:val="00B22030"/>
    <w:rsid w:val="00B22861"/>
    <w:rsid w:val="00B229BA"/>
    <w:rsid w:val="00B24463"/>
    <w:rsid w:val="00B24D55"/>
    <w:rsid w:val="00B25786"/>
    <w:rsid w:val="00B257BB"/>
    <w:rsid w:val="00B36120"/>
    <w:rsid w:val="00B40533"/>
    <w:rsid w:val="00B4289A"/>
    <w:rsid w:val="00B45989"/>
    <w:rsid w:val="00B472F1"/>
    <w:rsid w:val="00B529D5"/>
    <w:rsid w:val="00B53462"/>
    <w:rsid w:val="00B54494"/>
    <w:rsid w:val="00B56C62"/>
    <w:rsid w:val="00B5708D"/>
    <w:rsid w:val="00B61C83"/>
    <w:rsid w:val="00B62B4C"/>
    <w:rsid w:val="00B62CBB"/>
    <w:rsid w:val="00B648D4"/>
    <w:rsid w:val="00B65AFD"/>
    <w:rsid w:val="00B67A9B"/>
    <w:rsid w:val="00B70CB7"/>
    <w:rsid w:val="00B70CD8"/>
    <w:rsid w:val="00B72F5E"/>
    <w:rsid w:val="00B730C7"/>
    <w:rsid w:val="00B76A9A"/>
    <w:rsid w:val="00B819F4"/>
    <w:rsid w:val="00B83ADB"/>
    <w:rsid w:val="00B83C73"/>
    <w:rsid w:val="00B8473C"/>
    <w:rsid w:val="00B9172E"/>
    <w:rsid w:val="00B91DCB"/>
    <w:rsid w:val="00B93037"/>
    <w:rsid w:val="00B96436"/>
    <w:rsid w:val="00BA0171"/>
    <w:rsid w:val="00BA083E"/>
    <w:rsid w:val="00BA741E"/>
    <w:rsid w:val="00BB23BC"/>
    <w:rsid w:val="00BB2E4F"/>
    <w:rsid w:val="00BB3EFF"/>
    <w:rsid w:val="00BC12C3"/>
    <w:rsid w:val="00BC2B7D"/>
    <w:rsid w:val="00BC6E27"/>
    <w:rsid w:val="00BD2476"/>
    <w:rsid w:val="00BD4072"/>
    <w:rsid w:val="00BD53D5"/>
    <w:rsid w:val="00BE11CE"/>
    <w:rsid w:val="00BE29B0"/>
    <w:rsid w:val="00BE3D52"/>
    <w:rsid w:val="00BF1134"/>
    <w:rsid w:val="00BF17EB"/>
    <w:rsid w:val="00BF5153"/>
    <w:rsid w:val="00BF5B80"/>
    <w:rsid w:val="00BF64B3"/>
    <w:rsid w:val="00BF788F"/>
    <w:rsid w:val="00C01703"/>
    <w:rsid w:val="00C018B3"/>
    <w:rsid w:val="00C03A75"/>
    <w:rsid w:val="00C04EA7"/>
    <w:rsid w:val="00C1058D"/>
    <w:rsid w:val="00C1157A"/>
    <w:rsid w:val="00C12F63"/>
    <w:rsid w:val="00C13B62"/>
    <w:rsid w:val="00C14247"/>
    <w:rsid w:val="00C144FC"/>
    <w:rsid w:val="00C1533C"/>
    <w:rsid w:val="00C17BD9"/>
    <w:rsid w:val="00C229D5"/>
    <w:rsid w:val="00C27A7F"/>
    <w:rsid w:val="00C328D8"/>
    <w:rsid w:val="00C32BBC"/>
    <w:rsid w:val="00C344EE"/>
    <w:rsid w:val="00C34509"/>
    <w:rsid w:val="00C37513"/>
    <w:rsid w:val="00C37B9D"/>
    <w:rsid w:val="00C41A9B"/>
    <w:rsid w:val="00C4351D"/>
    <w:rsid w:val="00C4416F"/>
    <w:rsid w:val="00C50C7F"/>
    <w:rsid w:val="00C52F05"/>
    <w:rsid w:val="00C537ED"/>
    <w:rsid w:val="00C5421C"/>
    <w:rsid w:val="00C5485C"/>
    <w:rsid w:val="00C55652"/>
    <w:rsid w:val="00C62D71"/>
    <w:rsid w:val="00C633C5"/>
    <w:rsid w:val="00C64FCA"/>
    <w:rsid w:val="00C657C9"/>
    <w:rsid w:val="00C66068"/>
    <w:rsid w:val="00C725C5"/>
    <w:rsid w:val="00C73B6F"/>
    <w:rsid w:val="00C776D7"/>
    <w:rsid w:val="00C803E2"/>
    <w:rsid w:val="00C80A63"/>
    <w:rsid w:val="00C82B98"/>
    <w:rsid w:val="00C841E8"/>
    <w:rsid w:val="00C84E0C"/>
    <w:rsid w:val="00C85BB7"/>
    <w:rsid w:val="00C90A75"/>
    <w:rsid w:val="00C92069"/>
    <w:rsid w:val="00C957C8"/>
    <w:rsid w:val="00CA22B4"/>
    <w:rsid w:val="00CA3BA9"/>
    <w:rsid w:val="00CA5C88"/>
    <w:rsid w:val="00CB114B"/>
    <w:rsid w:val="00CB1C0B"/>
    <w:rsid w:val="00CB32A8"/>
    <w:rsid w:val="00CB547A"/>
    <w:rsid w:val="00CB6BAA"/>
    <w:rsid w:val="00CC01F6"/>
    <w:rsid w:val="00CC04F6"/>
    <w:rsid w:val="00CC2499"/>
    <w:rsid w:val="00CC2F15"/>
    <w:rsid w:val="00CC346A"/>
    <w:rsid w:val="00CC4876"/>
    <w:rsid w:val="00CC688B"/>
    <w:rsid w:val="00CC79D4"/>
    <w:rsid w:val="00CD000D"/>
    <w:rsid w:val="00CD2134"/>
    <w:rsid w:val="00CD2B5A"/>
    <w:rsid w:val="00CD466E"/>
    <w:rsid w:val="00CD7367"/>
    <w:rsid w:val="00CD7DD0"/>
    <w:rsid w:val="00CE012B"/>
    <w:rsid w:val="00CE05BF"/>
    <w:rsid w:val="00CE2B54"/>
    <w:rsid w:val="00CE6D99"/>
    <w:rsid w:val="00CF040B"/>
    <w:rsid w:val="00CF4C34"/>
    <w:rsid w:val="00CF5B8C"/>
    <w:rsid w:val="00CF6129"/>
    <w:rsid w:val="00CF6D91"/>
    <w:rsid w:val="00CF78CF"/>
    <w:rsid w:val="00D004B3"/>
    <w:rsid w:val="00D027C1"/>
    <w:rsid w:val="00D03E59"/>
    <w:rsid w:val="00D04EA0"/>
    <w:rsid w:val="00D0511C"/>
    <w:rsid w:val="00D056F2"/>
    <w:rsid w:val="00D1020C"/>
    <w:rsid w:val="00D109B3"/>
    <w:rsid w:val="00D11F41"/>
    <w:rsid w:val="00D12786"/>
    <w:rsid w:val="00D1292E"/>
    <w:rsid w:val="00D13B65"/>
    <w:rsid w:val="00D15AD2"/>
    <w:rsid w:val="00D16049"/>
    <w:rsid w:val="00D2285A"/>
    <w:rsid w:val="00D22CF0"/>
    <w:rsid w:val="00D24678"/>
    <w:rsid w:val="00D31D8E"/>
    <w:rsid w:val="00D3272E"/>
    <w:rsid w:val="00D32A89"/>
    <w:rsid w:val="00D361FF"/>
    <w:rsid w:val="00D41D86"/>
    <w:rsid w:val="00D5001E"/>
    <w:rsid w:val="00D526C0"/>
    <w:rsid w:val="00D53D83"/>
    <w:rsid w:val="00D53E58"/>
    <w:rsid w:val="00D54CA4"/>
    <w:rsid w:val="00D573C5"/>
    <w:rsid w:val="00D60D5F"/>
    <w:rsid w:val="00D612E2"/>
    <w:rsid w:val="00D63237"/>
    <w:rsid w:val="00D63493"/>
    <w:rsid w:val="00D65024"/>
    <w:rsid w:val="00D652B0"/>
    <w:rsid w:val="00D65462"/>
    <w:rsid w:val="00D65724"/>
    <w:rsid w:val="00D65802"/>
    <w:rsid w:val="00D65BD4"/>
    <w:rsid w:val="00D67623"/>
    <w:rsid w:val="00D766AB"/>
    <w:rsid w:val="00D7746E"/>
    <w:rsid w:val="00D77987"/>
    <w:rsid w:val="00D82817"/>
    <w:rsid w:val="00D85B0D"/>
    <w:rsid w:val="00D918C2"/>
    <w:rsid w:val="00D91914"/>
    <w:rsid w:val="00D9297F"/>
    <w:rsid w:val="00D934CD"/>
    <w:rsid w:val="00D93D33"/>
    <w:rsid w:val="00D967D1"/>
    <w:rsid w:val="00DA0DDB"/>
    <w:rsid w:val="00DA215A"/>
    <w:rsid w:val="00DA5817"/>
    <w:rsid w:val="00DA5AAF"/>
    <w:rsid w:val="00DB04A7"/>
    <w:rsid w:val="00DB0581"/>
    <w:rsid w:val="00DB1BFB"/>
    <w:rsid w:val="00DB4375"/>
    <w:rsid w:val="00DB66A9"/>
    <w:rsid w:val="00DB697A"/>
    <w:rsid w:val="00DC41C9"/>
    <w:rsid w:val="00DC5851"/>
    <w:rsid w:val="00DD06D9"/>
    <w:rsid w:val="00DD0F22"/>
    <w:rsid w:val="00DD1324"/>
    <w:rsid w:val="00DD1D50"/>
    <w:rsid w:val="00DD1EC6"/>
    <w:rsid w:val="00DD4B41"/>
    <w:rsid w:val="00DE04A3"/>
    <w:rsid w:val="00DE0571"/>
    <w:rsid w:val="00DE0758"/>
    <w:rsid w:val="00DE37FF"/>
    <w:rsid w:val="00DE3E15"/>
    <w:rsid w:val="00DE4B77"/>
    <w:rsid w:val="00DE6006"/>
    <w:rsid w:val="00DE7867"/>
    <w:rsid w:val="00DF16D5"/>
    <w:rsid w:val="00DF1C2B"/>
    <w:rsid w:val="00DF7736"/>
    <w:rsid w:val="00DF7D32"/>
    <w:rsid w:val="00E0128A"/>
    <w:rsid w:val="00E035B9"/>
    <w:rsid w:val="00E03981"/>
    <w:rsid w:val="00E0639E"/>
    <w:rsid w:val="00E06685"/>
    <w:rsid w:val="00E104D4"/>
    <w:rsid w:val="00E16517"/>
    <w:rsid w:val="00E17A3C"/>
    <w:rsid w:val="00E20748"/>
    <w:rsid w:val="00E2088C"/>
    <w:rsid w:val="00E209A6"/>
    <w:rsid w:val="00E21BD2"/>
    <w:rsid w:val="00E21F32"/>
    <w:rsid w:val="00E25F3C"/>
    <w:rsid w:val="00E272DC"/>
    <w:rsid w:val="00E30ADB"/>
    <w:rsid w:val="00E31CCD"/>
    <w:rsid w:val="00E3285D"/>
    <w:rsid w:val="00E32D21"/>
    <w:rsid w:val="00E34458"/>
    <w:rsid w:val="00E377FB"/>
    <w:rsid w:val="00E400E1"/>
    <w:rsid w:val="00E40BB1"/>
    <w:rsid w:val="00E41F07"/>
    <w:rsid w:val="00E42F84"/>
    <w:rsid w:val="00E45A6A"/>
    <w:rsid w:val="00E45C76"/>
    <w:rsid w:val="00E4637C"/>
    <w:rsid w:val="00E513A1"/>
    <w:rsid w:val="00E529E0"/>
    <w:rsid w:val="00E5303C"/>
    <w:rsid w:val="00E54C5C"/>
    <w:rsid w:val="00E5586A"/>
    <w:rsid w:val="00E572D3"/>
    <w:rsid w:val="00E60766"/>
    <w:rsid w:val="00E60BB1"/>
    <w:rsid w:val="00E61E08"/>
    <w:rsid w:val="00E64419"/>
    <w:rsid w:val="00E66B6D"/>
    <w:rsid w:val="00E70F1F"/>
    <w:rsid w:val="00E74D7B"/>
    <w:rsid w:val="00E76026"/>
    <w:rsid w:val="00E76C74"/>
    <w:rsid w:val="00E77B37"/>
    <w:rsid w:val="00E80A60"/>
    <w:rsid w:val="00E8170C"/>
    <w:rsid w:val="00E820D4"/>
    <w:rsid w:val="00E821A4"/>
    <w:rsid w:val="00E84A4D"/>
    <w:rsid w:val="00E85D1A"/>
    <w:rsid w:val="00E87187"/>
    <w:rsid w:val="00E87563"/>
    <w:rsid w:val="00E876BD"/>
    <w:rsid w:val="00E934BD"/>
    <w:rsid w:val="00E9735C"/>
    <w:rsid w:val="00EA0BE8"/>
    <w:rsid w:val="00EA18BD"/>
    <w:rsid w:val="00EA2F8A"/>
    <w:rsid w:val="00EA3AC8"/>
    <w:rsid w:val="00EA64FB"/>
    <w:rsid w:val="00EB0131"/>
    <w:rsid w:val="00EB0CC7"/>
    <w:rsid w:val="00EB3F67"/>
    <w:rsid w:val="00EB5502"/>
    <w:rsid w:val="00EC0EA2"/>
    <w:rsid w:val="00EC46ED"/>
    <w:rsid w:val="00EC4B25"/>
    <w:rsid w:val="00ED0166"/>
    <w:rsid w:val="00ED06F6"/>
    <w:rsid w:val="00ED0DFE"/>
    <w:rsid w:val="00ED5633"/>
    <w:rsid w:val="00ED5F44"/>
    <w:rsid w:val="00ED67C7"/>
    <w:rsid w:val="00ED7C70"/>
    <w:rsid w:val="00EE0EC1"/>
    <w:rsid w:val="00EE1567"/>
    <w:rsid w:val="00EE28A2"/>
    <w:rsid w:val="00EE41DA"/>
    <w:rsid w:val="00EE5336"/>
    <w:rsid w:val="00EE5915"/>
    <w:rsid w:val="00EE6B40"/>
    <w:rsid w:val="00EE787B"/>
    <w:rsid w:val="00EF3299"/>
    <w:rsid w:val="00EF7AB9"/>
    <w:rsid w:val="00EF7BB5"/>
    <w:rsid w:val="00F00AA2"/>
    <w:rsid w:val="00F06732"/>
    <w:rsid w:val="00F10A14"/>
    <w:rsid w:val="00F111F0"/>
    <w:rsid w:val="00F11BDB"/>
    <w:rsid w:val="00F1405B"/>
    <w:rsid w:val="00F158D2"/>
    <w:rsid w:val="00F168A1"/>
    <w:rsid w:val="00F16C94"/>
    <w:rsid w:val="00F202B5"/>
    <w:rsid w:val="00F21211"/>
    <w:rsid w:val="00F2151F"/>
    <w:rsid w:val="00F24A38"/>
    <w:rsid w:val="00F26514"/>
    <w:rsid w:val="00F27D27"/>
    <w:rsid w:val="00F30975"/>
    <w:rsid w:val="00F32E67"/>
    <w:rsid w:val="00F3651E"/>
    <w:rsid w:val="00F403E3"/>
    <w:rsid w:val="00F413FF"/>
    <w:rsid w:val="00F41CFE"/>
    <w:rsid w:val="00F42349"/>
    <w:rsid w:val="00F438E3"/>
    <w:rsid w:val="00F46134"/>
    <w:rsid w:val="00F47A87"/>
    <w:rsid w:val="00F5098A"/>
    <w:rsid w:val="00F5238F"/>
    <w:rsid w:val="00F53AE6"/>
    <w:rsid w:val="00F53EAE"/>
    <w:rsid w:val="00F6075D"/>
    <w:rsid w:val="00F60AFE"/>
    <w:rsid w:val="00F60ED0"/>
    <w:rsid w:val="00F6208D"/>
    <w:rsid w:val="00F639C8"/>
    <w:rsid w:val="00F64037"/>
    <w:rsid w:val="00F658C1"/>
    <w:rsid w:val="00F71322"/>
    <w:rsid w:val="00F73D26"/>
    <w:rsid w:val="00F74432"/>
    <w:rsid w:val="00F76479"/>
    <w:rsid w:val="00F76C8D"/>
    <w:rsid w:val="00F770D9"/>
    <w:rsid w:val="00F775BA"/>
    <w:rsid w:val="00F77627"/>
    <w:rsid w:val="00F808BA"/>
    <w:rsid w:val="00F80C01"/>
    <w:rsid w:val="00F813FC"/>
    <w:rsid w:val="00F8666E"/>
    <w:rsid w:val="00F86B2A"/>
    <w:rsid w:val="00F87179"/>
    <w:rsid w:val="00F873D0"/>
    <w:rsid w:val="00F87429"/>
    <w:rsid w:val="00F914A2"/>
    <w:rsid w:val="00F93150"/>
    <w:rsid w:val="00F96041"/>
    <w:rsid w:val="00FA255C"/>
    <w:rsid w:val="00FB3105"/>
    <w:rsid w:val="00FB48EB"/>
    <w:rsid w:val="00FB5EA9"/>
    <w:rsid w:val="00FB75C4"/>
    <w:rsid w:val="00FC0995"/>
    <w:rsid w:val="00FC0A75"/>
    <w:rsid w:val="00FC6F69"/>
    <w:rsid w:val="00FD1308"/>
    <w:rsid w:val="00FD1C19"/>
    <w:rsid w:val="00FD1D9C"/>
    <w:rsid w:val="00FD39F6"/>
    <w:rsid w:val="00FD5615"/>
    <w:rsid w:val="00FD5C59"/>
    <w:rsid w:val="00FD7E6D"/>
    <w:rsid w:val="00FE0F29"/>
    <w:rsid w:val="00FF0390"/>
    <w:rsid w:val="00FF1114"/>
    <w:rsid w:val="00FF2D08"/>
    <w:rsid w:val="00FF36ED"/>
    <w:rsid w:val="00FF4697"/>
    <w:rsid w:val="00FF5918"/>
    <w:rsid w:val="00FF5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D137D"/>
  <w15:chartTrackingRefBased/>
  <w15:docId w15:val="{96FC63D1-761A-4C6C-BB13-EB6E032A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111F0"/>
    <w:pPr>
      <w:keepNext/>
      <w:spacing w:before="240"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F111F0"/>
    <w:pPr>
      <w:spacing w:before="360" w:after="120"/>
      <w:jc w:val="center"/>
      <w:outlineLvl w:val="1"/>
    </w:pPr>
    <w:rPr>
      <w:rFonts w:eastAsia="Calibri"/>
      <w:b/>
      <w:sz w:val="28"/>
      <w:szCs w:val="28"/>
      <w:lang w:eastAsia="en-US"/>
    </w:rPr>
  </w:style>
  <w:style w:type="paragraph" w:styleId="Heading3">
    <w:name w:val="heading 3"/>
    <w:basedOn w:val="Normal"/>
    <w:next w:val="Normal"/>
    <w:link w:val="Heading3Char"/>
    <w:uiPriority w:val="9"/>
    <w:unhideWhenUsed/>
    <w:qFormat/>
    <w:rsid w:val="00F111F0"/>
    <w:pPr>
      <w:spacing w:before="120" w:after="120"/>
      <w:jc w:val="both"/>
      <w:outlineLvl w:val="2"/>
    </w:pPr>
    <w:rPr>
      <w:rFonts w:eastAsia="Calibr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B395C"/>
    <w:rPr>
      <w:rFonts w:ascii="Arial" w:hAnsi="Arial" w:cs="Arial"/>
      <w:sz w:val="22"/>
      <w:szCs w:val="22"/>
      <w:lang w:eastAsia="en-US"/>
    </w:rPr>
  </w:style>
  <w:style w:type="paragraph" w:styleId="BalloonText">
    <w:name w:val="Balloon Text"/>
    <w:basedOn w:val="Normal"/>
    <w:semiHidden/>
    <w:rsid w:val="00612975"/>
    <w:rPr>
      <w:rFonts w:ascii="Tahoma" w:hAnsi="Tahoma" w:cs="Tahoma"/>
      <w:sz w:val="16"/>
      <w:szCs w:val="16"/>
    </w:rPr>
  </w:style>
  <w:style w:type="character" w:styleId="CommentReference">
    <w:name w:val="annotation reference"/>
    <w:rsid w:val="00DB0581"/>
    <w:rPr>
      <w:sz w:val="16"/>
      <w:szCs w:val="16"/>
    </w:rPr>
  </w:style>
  <w:style w:type="paragraph" w:styleId="CommentText">
    <w:name w:val="annotation text"/>
    <w:basedOn w:val="Normal"/>
    <w:link w:val="CommentTextChar"/>
    <w:uiPriority w:val="99"/>
    <w:rsid w:val="00DB0581"/>
    <w:rPr>
      <w:sz w:val="20"/>
      <w:szCs w:val="20"/>
    </w:rPr>
  </w:style>
  <w:style w:type="paragraph" w:styleId="CommentSubject">
    <w:name w:val="annotation subject"/>
    <w:basedOn w:val="CommentText"/>
    <w:next w:val="CommentText"/>
    <w:semiHidden/>
    <w:rsid w:val="00DB0581"/>
    <w:rPr>
      <w:b/>
      <w:bCs/>
    </w:rPr>
  </w:style>
  <w:style w:type="character" w:customStyle="1" w:styleId="normalchar">
    <w:name w:val="normal_char"/>
    <w:rsid w:val="00372B60"/>
    <w:rPr>
      <w:color w:val="auto"/>
    </w:rPr>
  </w:style>
  <w:style w:type="paragraph" w:styleId="Header">
    <w:name w:val="header"/>
    <w:basedOn w:val="Normal"/>
    <w:link w:val="HeaderChar"/>
    <w:uiPriority w:val="99"/>
    <w:rsid w:val="007B3AC5"/>
    <w:pPr>
      <w:tabs>
        <w:tab w:val="center" w:pos="3969"/>
        <w:tab w:val="right" w:pos="8505"/>
      </w:tabs>
      <w:jc w:val="both"/>
    </w:pPr>
    <w:rPr>
      <w:rFonts w:ascii="Arial" w:hAnsi="Arial"/>
      <w:sz w:val="16"/>
    </w:rPr>
  </w:style>
  <w:style w:type="character" w:customStyle="1" w:styleId="HeaderChar">
    <w:name w:val="Header Char"/>
    <w:link w:val="Header"/>
    <w:uiPriority w:val="99"/>
    <w:rsid w:val="007B3AC5"/>
    <w:rPr>
      <w:rFonts w:ascii="Arial" w:hAnsi="Arial"/>
      <w:sz w:val="16"/>
      <w:szCs w:val="24"/>
    </w:rPr>
  </w:style>
  <w:style w:type="character" w:customStyle="1" w:styleId="CharSchPTNo">
    <w:name w:val="CharSchPTNo"/>
    <w:rsid w:val="007B3AC5"/>
  </w:style>
  <w:style w:type="character" w:customStyle="1" w:styleId="CharSchPTText">
    <w:name w:val="CharSchPTText"/>
    <w:rsid w:val="007B3AC5"/>
  </w:style>
  <w:style w:type="character" w:customStyle="1" w:styleId="CharSectno">
    <w:name w:val="CharSectno"/>
    <w:qFormat/>
    <w:rsid w:val="007B3AC5"/>
  </w:style>
  <w:style w:type="paragraph" w:customStyle="1" w:styleId="Schedulereference">
    <w:name w:val="Schedule reference"/>
    <w:basedOn w:val="Normal"/>
    <w:next w:val="Normal"/>
    <w:rsid w:val="007B3AC5"/>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7B3AC5"/>
    <w:pPr>
      <w:keepNext/>
      <w:keepLines/>
      <w:spacing w:before="480"/>
      <w:ind w:left="2410" w:hanging="2410"/>
    </w:pPr>
    <w:rPr>
      <w:rFonts w:ascii="Arial" w:hAnsi="Arial"/>
      <w:b/>
      <w:sz w:val="32"/>
    </w:rPr>
  </w:style>
  <w:style w:type="paragraph" w:customStyle="1" w:styleId="TableColHead">
    <w:name w:val="TableColHead"/>
    <w:basedOn w:val="Normal"/>
    <w:rsid w:val="007B3AC5"/>
    <w:pPr>
      <w:keepNext/>
      <w:spacing w:before="120" w:after="60" w:line="200" w:lineRule="exact"/>
    </w:pPr>
    <w:rPr>
      <w:rFonts w:ascii="Arial" w:hAnsi="Arial"/>
      <w:b/>
      <w:sz w:val="18"/>
    </w:rPr>
  </w:style>
  <w:style w:type="paragraph" w:customStyle="1" w:styleId="TableText">
    <w:name w:val="TableText"/>
    <w:basedOn w:val="Normal"/>
    <w:rsid w:val="007B3AC5"/>
    <w:pPr>
      <w:spacing w:before="60" w:after="60" w:line="240" w:lineRule="exact"/>
    </w:pPr>
    <w:rPr>
      <w:sz w:val="22"/>
    </w:rPr>
  </w:style>
  <w:style w:type="paragraph" w:customStyle="1" w:styleId="ColHead2">
    <w:name w:val="ColHead (2)"/>
    <w:basedOn w:val="TableColHead"/>
    <w:rsid w:val="007B3AC5"/>
  </w:style>
  <w:style w:type="character" w:customStyle="1" w:styleId="CharAmSchNo">
    <w:name w:val="CharAmSchNo"/>
    <w:qFormat/>
    <w:rsid w:val="007B3AC5"/>
  </w:style>
  <w:style w:type="paragraph" w:customStyle="1" w:styleId="NoteEnd">
    <w:name w:val="Note End"/>
    <w:basedOn w:val="Normal"/>
    <w:rsid w:val="007B3AC5"/>
    <w:pPr>
      <w:keepLines/>
      <w:spacing w:before="120" w:line="240" w:lineRule="exact"/>
      <w:ind w:left="567" w:hanging="567"/>
      <w:jc w:val="both"/>
    </w:pPr>
    <w:rPr>
      <w:sz w:val="22"/>
    </w:rPr>
  </w:style>
  <w:style w:type="paragraph" w:styleId="Footer">
    <w:name w:val="footer"/>
    <w:basedOn w:val="Normal"/>
    <w:link w:val="FooterChar"/>
    <w:uiPriority w:val="99"/>
    <w:rsid w:val="00437BC0"/>
    <w:pPr>
      <w:tabs>
        <w:tab w:val="center" w:pos="4513"/>
        <w:tab w:val="right" w:pos="9026"/>
      </w:tabs>
    </w:pPr>
  </w:style>
  <w:style w:type="character" w:customStyle="1" w:styleId="FooterChar">
    <w:name w:val="Footer Char"/>
    <w:link w:val="Footer"/>
    <w:uiPriority w:val="99"/>
    <w:rsid w:val="00437BC0"/>
    <w:rPr>
      <w:sz w:val="24"/>
      <w:szCs w:val="24"/>
    </w:rPr>
  </w:style>
  <w:style w:type="character" w:styleId="Emphasis">
    <w:name w:val="Emphasis"/>
    <w:uiPriority w:val="20"/>
    <w:qFormat/>
    <w:rsid w:val="00B62B4C"/>
    <w:rPr>
      <w:i/>
      <w:iCs/>
    </w:rPr>
  </w:style>
  <w:style w:type="paragraph" w:customStyle="1" w:styleId="summary">
    <w:name w:val="summary"/>
    <w:basedOn w:val="Normal"/>
    <w:rsid w:val="00B62B4C"/>
    <w:pPr>
      <w:spacing w:before="100" w:beforeAutospacing="1" w:after="100" w:afterAutospacing="1"/>
    </w:pPr>
  </w:style>
  <w:style w:type="paragraph" w:styleId="ListParagraph">
    <w:name w:val="List Paragraph"/>
    <w:aliases w:val="BulletPoints,Footnote,List Paragraph1,Recommendation,Paragraph,Bullet point,Bullets,CV text,Dot pt,F5 List Paragraph,FooterText,L,List Paragraph11,List Paragraph111,List Paragraph2,Medium Grid 1 - Accent 21,NAST Quote,NFP GP Bulleted List"/>
    <w:basedOn w:val="Normal"/>
    <w:link w:val="ListParagraphChar"/>
    <w:uiPriority w:val="34"/>
    <w:qFormat/>
    <w:rsid w:val="00C73B6F"/>
    <w:pPr>
      <w:ind w:left="720"/>
      <w:contextualSpacing/>
    </w:pPr>
    <w:rPr>
      <w:lang w:eastAsia="en-US"/>
    </w:rPr>
  </w:style>
  <w:style w:type="character" w:styleId="Hyperlink">
    <w:name w:val="Hyperlink"/>
    <w:uiPriority w:val="99"/>
    <w:rsid w:val="00655303"/>
    <w:rPr>
      <w:color w:val="0563C1"/>
      <w:u w:val="single"/>
    </w:rPr>
  </w:style>
  <w:style w:type="character" w:styleId="FollowedHyperlink">
    <w:name w:val="FollowedHyperlink"/>
    <w:rsid w:val="00785334"/>
    <w:rPr>
      <w:color w:val="954F72"/>
      <w:u w:val="single"/>
    </w:rPr>
  </w:style>
  <w:style w:type="paragraph" w:customStyle="1" w:styleId="BodyNum">
    <w:name w:val="BodyNum"/>
    <w:aliases w:val="b1"/>
    <w:basedOn w:val="Normal"/>
    <w:rsid w:val="000B7B1B"/>
    <w:pPr>
      <w:numPr>
        <w:numId w:val="16"/>
      </w:numPr>
      <w:spacing w:before="240"/>
    </w:pPr>
    <w:rPr>
      <w:szCs w:val="20"/>
    </w:rPr>
  </w:style>
  <w:style w:type="paragraph" w:customStyle="1" w:styleId="BodyPara">
    <w:name w:val="BodyPara"/>
    <w:aliases w:val="ba"/>
    <w:basedOn w:val="Normal"/>
    <w:rsid w:val="000B7B1B"/>
    <w:pPr>
      <w:numPr>
        <w:ilvl w:val="1"/>
        <w:numId w:val="16"/>
      </w:numPr>
      <w:spacing w:before="240"/>
    </w:pPr>
    <w:rPr>
      <w:szCs w:val="20"/>
    </w:rPr>
  </w:style>
  <w:style w:type="numbering" w:customStyle="1" w:styleId="OPCBodyList">
    <w:name w:val="OPCBodyList"/>
    <w:uiPriority w:val="99"/>
    <w:rsid w:val="000B7B1B"/>
    <w:pPr>
      <w:numPr>
        <w:numId w:val="16"/>
      </w:numPr>
    </w:pPr>
  </w:style>
  <w:style w:type="paragraph" w:customStyle="1" w:styleId="Head2">
    <w:name w:val="Head 2"/>
    <w:aliases w:val="2"/>
    <w:basedOn w:val="Normal"/>
    <w:next w:val="BodyNum"/>
    <w:rsid w:val="000B7B1B"/>
    <w:pPr>
      <w:keepNext/>
      <w:spacing w:before="240" w:after="60"/>
      <w:outlineLvl w:val="1"/>
    </w:pPr>
    <w:rPr>
      <w:rFonts w:ascii="Arial" w:hAnsi="Arial"/>
      <w:b/>
      <w:kern w:val="28"/>
      <w:sz w:val="28"/>
      <w:szCs w:val="20"/>
    </w:rPr>
  </w:style>
  <w:style w:type="character" w:customStyle="1" w:styleId="Heading1Char">
    <w:name w:val="Heading 1 Char"/>
    <w:link w:val="Heading1"/>
    <w:uiPriority w:val="9"/>
    <w:rsid w:val="00F111F0"/>
    <w:rPr>
      <w:rFonts w:ascii="Cambria" w:hAnsi="Cambria"/>
      <w:b/>
      <w:bCs/>
      <w:kern w:val="32"/>
      <w:sz w:val="32"/>
      <w:szCs w:val="32"/>
      <w:lang w:eastAsia="en-US"/>
    </w:rPr>
  </w:style>
  <w:style w:type="character" w:customStyle="1" w:styleId="Heading2Char">
    <w:name w:val="Heading 2 Char"/>
    <w:link w:val="Heading2"/>
    <w:uiPriority w:val="9"/>
    <w:rsid w:val="00F111F0"/>
    <w:rPr>
      <w:rFonts w:eastAsia="Calibri"/>
      <w:b/>
      <w:sz w:val="28"/>
      <w:szCs w:val="28"/>
      <w:lang w:eastAsia="en-US"/>
    </w:rPr>
  </w:style>
  <w:style w:type="character" w:customStyle="1" w:styleId="Heading3Char">
    <w:name w:val="Heading 3 Char"/>
    <w:link w:val="Heading3"/>
    <w:uiPriority w:val="9"/>
    <w:rsid w:val="00F111F0"/>
    <w:rPr>
      <w:rFonts w:eastAsia="Calibri"/>
      <w:b/>
      <w:sz w:val="24"/>
      <w:szCs w:val="24"/>
      <w:lang w:eastAsia="en-US"/>
    </w:rPr>
  </w:style>
  <w:style w:type="paragraph" w:customStyle="1" w:styleId="subsection">
    <w:name w:val="subsection"/>
    <w:aliases w:val="ss,Subsection"/>
    <w:basedOn w:val="Normal"/>
    <w:link w:val="subsectionChar"/>
    <w:rsid w:val="00E06685"/>
    <w:pPr>
      <w:tabs>
        <w:tab w:val="right" w:pos="1021"/>
      </w:tabs>
      <w:spacing w:before="180"/>
      <w:ind w:left="1134" w:hanging="1134"/>
    </w:pPr>
    <w:rPr>
      <w:sz w:val="22"/>
      <w:szCs w:val="20"/>
    </w:rPr>
  </w:style>
  <w:style w:type="paragraph" w:customStyle="1" w:styleId="paragraphsub">
    <w:name w:val="paragraph(sub)"/>
    <w:aliases w:val="aa"/>
    <w:basedOn w:val="Normal"/>
    <w:rsid w:val="00E06685"/>
    <w:pPr>
      <w:tabs>
        <w:tab w:val="right" w:pos="1985"/>
      </w:tabs>
      <w:spacing w:before="40"/>
      <w:ind w:left="2098" w:hanging="2098"/>
    </w:pPr>
    <w:rPr>
      <w:sz w:val="22"/>
      <w:szCs w:val="20"/>
    </w:rPr>
  </w:style>
  <w:style w:type="paragraph" w:customStyle="1" w:styleId="paragraph">
    <w:name w:val="paragraph"/>
    <w:aliases w:val="a"/>
    <w:basedOn w:val="Normal"/>
    <w:rsid w:val="00E06685"/>
    <w:pPr>
      <w:tabs>
        <w:tab w:val="right" w:pos="1531"/>
      </w:tabs>
      <w:spacing w:before="40"/>
      <w:ind w:left="1644" w:hanging="1644"/>
    </w:pPr>
    <w:rPr>
      <w:sz w:val="22"/>
      <w:szCs w:val="20"/>
    </w:rPr>
  </w:style>
  <w:style w:type="character" w:customStyle="1" w:styleId="subsectionChar">
    <w:name w:val="subsection Char"/>
    <w:aliases w:val="ss Char"/>
    <w:link w:val="subsection"/>
    <w:locked/>
    <w:rsid w:val="00E06685"/>
    <w:rPr>
      <w:sz w:val="22"/>
    </w:rPr>
  </w:style>
  <w:style w:type="paragraph" w:styleId="NormalWeb">
    <w:name w:val="Normal (Web)"/>
    <w:basedOn w:val="Normal"/>
    <w:uiPriority w:val="99"/>
    <w:unhideWhenUsed/>
    <w:rsid w:val="0091096A"/>
    <w:pPr>
      <w:spacing w:before="100" w:beforeAutospacing="1" w:after="100" w:afterAutospacing="1"/>
    </w:pPr>
    <w:rPr>
      <w:rFonts w:eastAsia="Calibri"/>
    </w:rPr>
  </w:style>
  <w:style w:type="paragraph" w:customStyle="1" w:styleId="item">
    <w:name w:val="item"/>
    <w:basedOn w:val="Normal"/>
    <w:rsid w:val="00475951"/>
    <w:pPr>
      <w:spacing w:before="100" w:beforeAutospacing="1" w:after="100" w:afterAutospacing="1"/>
    </w:pPr>
  </w:style>
  <w:style w:type="character" w:customStyle="1" w:styleId="ListParagraphChar">
    <w:name w:val="List Paragraph Char"/>
    <w:aliases w:val="BulletPoints Char,Footnote Char,List Paragraph1 Char,Recommendation Char,Paragraph Char,Bullet point Char,Bullets Char,CV text Char,Dot pt Char,F5 List Paragraph Char,FooterText Char,L Char,List Paragraph11 Char,List Paragraph2 Char"/>
    <w:link w:val="ListParagraph"/>
    <w:uiPriority w:val="34"/>
    <w:qFormat/>
    <w:locked/>
    <w:rsid w:val="006F3454"/>
    <w:rPr>
      <w:sz w:val="24"/>
      <w:szCs w:val="24"/>
      <w:lang w:eastAsia="en-US"/>
    </w:rPr>
  </w:style>
  <w:style w:type="character" w:customStyle="1" w:styleId="CommentTextChar">
    <w:name w:val="Comment Text Char"/>
    <w:link w:val="CommentText"/>
    <w:uiPriority w:val="99"/>
    <w:rsid w:val="008B3A2C"/>
  </w:style>
  <w:style w:type="paragraph" w:customStyle="1" w:styleId="Definition">
    <w:name w:val="Definition"/>
    <w:aliases w:val="dd"/>
    <w:basedOn w:val="Normal"/>
    <w:rsid w:val="00B02D58"/>
    <w:pPr>
      <w:spacing w:before="180"/>
      <w:ind w:left="1134"/>
    </w:pPr>
    <w:rPr>
      <w:sz w:val="22"/>
      <w:szCs w:val="20"/>
    </w:rPr>
  </w:style>
  <w:style w:type="character" w:customStyle="1" w:styleId="normaltextrun">
    <w:name w:val="normaltextrun"/>
    <w:rsid w:val="00B65AFD"/>
  </w:style>
  <w:style w:type="paragraph" w:styleId="Revision">
    <w:name w:val="Revision"/>
    <w:hidden/>
    <w:uiPriority w:val="99"/>
    <w:semiHidden/>
    <w:rsid w:val="0049045B"/>
    <w:rPr>
      <w:sz w:val="24"/>
      <w:szCs w:val="24"/>
    </w:rPr>
  </w:style>
  <w:style w:type="paragraph" w:customStyle="1" w:styleId="ActHead1">
    <w:name w:val="ActHead 1"/>
    <w:aliases w:val="c"/>
    <w:basedOn w:val="Normal"/>
    <w:next w:val="Normal"/>
    <w:qFormat/>
    <w:rsid w:val="00A162BE"/>
    <w:pPr>
      <w:keepNext/>
      <w:keepLines/>
      <w:ind w:left="1134" w:hanging="1134"/>
      <w:outlineLvl w:val="0"/>
    </w:pPr>
    <w:rPr>
      <w:b/>
      <w:kern w:val="28"/>
      <w:sz w:val="36"/>
      <w:szCs w:val="20"/>
    </w:rPr>
  </w:style>
  <w:style w:type="character" w:customStyle="1" w:styleId="charpartno">
    <w:name w:val="charpartno"/>
    <w:basedOn w:val="DefaultParagraphFont"/>
    <w:rsid w:val="00231621"/>
  </w:style>
  <w:style w:type="character" w:customStyle="1" w:styleId="charparttext">
    <w:name w:val="charparttext"/>
    <w:basedOn w:val="DefaultParagraphFont"/>
    <w:rsid w:val="00231621"/>
  </w:style>
  <w:style w:type="character" w:styleId="UnresolvedMention">
    <w:name w:val="Unresolved Mention"/>
    <w:uiPriority w:val="99"/>
    <w:semiHidden/>
    <w:unhideWhenUsed/>
    <w:rsid w:val="000F570D"/>
    <w:rPr>
      <w:color w:val="605E5C"/>
      <w:shd w:val="clear" w:color="auto" w:fill="E1DFDD"/>
    </w:rPr>
  </w:style>
  <w:style w:type="paragraph" w:customStyle="1" w:styleId="pf0">
    <w:name w:val="pf0"/>
    <w:basedOn w:val="Normal"/>
    <w:rsid w:val="002F1E5E"/>
    <w:pPr>
      <w:spacing w:before="100" w:beforeAutospacing="1" w:after="100" w:afterAutospacing="1"/>
    </w:pPr>
  </w:style>
  <w:style w:type="character" w:customStyle="1" w:styleId="cf01">
    <w:name w:val="cf01"/>
    <w:rsid w:val="002F1E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723">
      <w:bodyDiv w:val="1"/>
      <w:marLeft w:val="0"/>
      <w:marRight w:val="0"/>
      <w:marTop w:val="0"/>
      <w:marBottom w:val="0"/>
      <w:divBdr>
        <w:top w:val="none" w:sz="0" w:space="0" w:color="auto"/>
        <w:left w:val="none" w:sz="0" w:space="0" w:color="auto"/>
        <w:bottom w:val="none" w:sz="0" w:space="0" w:color="auto"/>
        <w:right w:val="none" w:sz="0" w:space="0" w:color="auto"/>
      </w:divBdr>
    </w:div>
    <w:div w:id="121772872">
      <w:bodyDiv w:val="1"/>
      <w:marLeft w:val="0"/>
      <w:marRight w:val="0"/>
      <w:marTop w:val="0"/>
      <w:marBottom w:val="0"/>
      <w:divBdr>
        <w:top w:val="none" w:sz="0" w:space="0" w:color="auto"/>
        <w:left w:val="none" w:sz="0" w:space="0" w:color="auto"/>
        <w:bottom w:val="none" w:sz="0" w:space="0" w:color="auto"/>
        <w:right w:val="none" w:sz="0" w:space="0" w:color="auto"/>
      </w:divBdr>
    </w:div>
    <w:div w:id="171460310">
      <w:bodyDiv w:val="1"/>
      <w:marLeft w:val="0"/>
      <w:marRight w:val="0"/>
      <w:marTop w:val="0"/>
      <w:marBottom w:val="0"/>
      <w:divBdr>
        <w:top w:val="none" w:sz="0" w:space="0" w:color="auto"/>
        <w:left w:val="none" w:sz="0" w:space="0" w:color="auto"/>
        <w:bottom w:val="none" w:sz="0" w:space="0" w:color="auto"/>
        <w:right w:val="none" w:sz="0" w:space="0" w:color="auto"/>
      </w:divBdr>
    </w:div>
    <w:div w:id="201333030">
      <w:bodyDiv w:val="1"/>
      <w:marLeft w:val="0"/>
      <w:marRight w:val="0"/>
      <w:marTop w:val="0"/>
      <w:marBottom w:val="0"/>
      <w:divBdr>
        <w:top w:val="none" w:sz="0" w:space="0" w:color="auto"/>
        <w:left w:val="none" w:sz="0" w:space="0" w:color="auto"/>
        <w:bottom w:val="none" w:sz="0" w:space="0" w:color="auto"/>
        <w:right w:val="none" w:sz="0" w:space="0" w:color="auto"/>
      </w:divBdr>
    </w:div>
    <w:div w:id="202060450">
      <w:bodyDiv w:val="1"/>
      <w:marLeft w:val="0"/>
      <w:marRight w:val="0"/>
      <w:marTop w:val="0"/>
      <w:marBottom w:val="0"/>
      <w:divBdr>
        <w:top w:val="none" w:sz="0" w:space="0" w:color="auto"/>
        <w:left w:val="none" w:sz="0" w:space="0" w:color="auto"/>
        <w:bottom w:val="none" w:sz="0" w:space="0" w:color="auto"/>
        <w:right w:val="none" w:sz="0" w:space="0" w:color="auto"/>
      </w:divBdr>
    </w:div>
    <w:div w:id="249966504">
      <w:bodyDiv w:val="1"/>
      <w:marLeft w:val="0"/>
      <w:marRight w:val="0"/>
      <w:marTop w:val="0"/>
      <w:marBottom w:val="0"/>
      <w:divBdr>
        <w:top w:val="none" w:sz="0" w:space="0" w:color="auto"/>
        <w:left w:val="none" w:sz="0" w:space="0" w:color="auto"/>
        <w:bottom w:val="none" w:sz="0" w:space="0" w:color="auto"/>
        <w:right w:val="none" w:sz="0" w:space="0" w:color="auto"/>
      </w:divBdr>
      <w:divsChild>
        <w:div w:id="1835098029">
          <w:marLeft w:val="0"/>
          <w:marRight w:val="0"/>
          <w:marTop w:val="0"/>
          <w:marBottom w:val="0"/>
          <w:divBdr>
            <w:top w:val="none" w:sz="0" w:space="0" w:color="auto"/>
            <w:left w:val="none" w:sz="0" w:space="0" w:color="auto"/>
            <w:bottom w:val="none" w:sz="0" w:space="0" w:color="auto"/>
            <w:right w:val="none" w:sz="0" w:space="0" w:color="auto"/>
          </w:divBdr>
          <w:divsChild>
            <w:div w:id="11611382">
              <w:marLeft w:val="0"/>
              <w:marRight w:val="0"/>
              <w:marTop w:val="0"/>
              <w:marBottom w:val="0"/>
              <w:divBdr>
                <w:top w:val="none" w:sz="0" w:space="0" w:color="auto"/>
                <w:left w:val="none" w:sz="0" w:space="0" w:color="auto"/>
                <w:bottom w:val="none" w:sz="0" w:space="0" w:color="auto"/>
                <w:right w:val="none" w:sz="0" w:space="0" w:color="auto"/>
              </w:divBdr>
              <w:divsChild>
                <w:div w:id="1913346381">
                  <w:marLeft w:val="0"/>
                  <w:marRight w:val="0"/>
                  <w:marTop w:val="0"/>
                  <w:marBottom w:val="0"/>
                  <w:divBdr>
                    <w:top w:val="none" w:sz="0" w:space="0" w:color="auto"/>
                    <w:left w:val="none" w:sz="0" w:space="0" w:color="auto"/>
                    <w:bottom w:val="none" w:sz="0" w:space="0" w:color="auto"/>
                    <w:right w:val="none" w:sz="0" w:space="0" w:color="auto"/>
                  </w:divBdr>
                  <w:divsChild>
                    <w:div w:id="1205170607">
                      <w:marLeft w:val="0"/>
                      <w:marRight w:val="0"/>
                      <w:marTop w:val="0"/>
                      <w:marBottom w:val="0"/>
                      <w:divBdr>
                        <w:top w:val="none" w:sz="0" w:space="0" w:color="auto"/>
                        <w:left w:val="none" w:sz="0" w:space="0" w:color="auto"/>
                        <w:bottom w:val="none" w:sz="0" w:space="0" w:color="auto"/>
                        <w:right w:val="none" w:sz="0" w:space="0" w:color="auto"/>
                      </w:divBdr>
                      <w:divsChild>
                        <w:div w:id="1055667349">
                          <w:marLeft w:val="0"/>
                          <w:marRight w:val="0"/>
                          <w:marTop w:val="0"/>
                          <w:marBottom w:val="0"/>
                          <w:divBdr>
                            <w:top w:val="none" w:sz="0" w:space="0" w:color="auto"/>
                            <w:left w:val="none" w:sz="0" w:space="0" w:color="auto"/>
                            <w:bottom w:val="none" w:sz="0" w:space="0" w:color="auto"/>
                            <w:right w:val="none" w:sz="0" w:space="0" w:color="auto"/>
                          </w:divBdr>
                          <w:divsChild>
                            <w:div w:id="456527264">
                              <w:marLeft w:val="0"/>
                              <w:marRight w:val="0"/>
                              <w:marTop w:val="0"/>
                              <w:marBottom w:val="0"/>
                              <w:divBdr>
                                <w:top w:val="none" w:sz="0" w:space="0" w:color="auto"/>
                                <w:left w:val="none" w:sz="0" w:space="0" w:color="auto"/>
                                <w:bottom w:val="none" w:sz="0" w:space="0" w:color="auto"/>
                                <w:right w:val="none" w:sz="0" w:space="0" w:color="auto"/>
                              </w:divBdr>
                              <w:divsChild>
                                <w:div w:id="913392525">
                                  <w:marLeft w:val="0"/>
                                  <w:marRight w:val="0"/>
                                  <w:marTop w:val="0"/>
                                  <w:marBottom w:val="0"/>
                                  <w:divBdr>
                                    <w:top w:val="none" w:sz="0" w:space="0" w:color="auto"/>
                                    <w:left w:val="none" w:sz="0" w:space="0" w:color="auto"/>
                                    <w:bottom w:val="none" w:sz="0" w:space="0" w:color="auto"/>
                                    <w:right w:val="none" w:sz="0" w:space="0" w:color="auto"/>
                                  </w:divBdr>
                                  <w:divsChild>
                                    <w:div w:id="1874927856">
                                      <w:marLeft w:val="0"/>
                                      <w:marRight w:val="0"/>
                                      <w:marTop w:val="0"/>
                                      <w:marBottom w:val="0"/>
                                      <w:divBdr>
                                        <w:top w:val="none" w:sz="0" w:space="0" w:color="auto"/>
                                        <w:left w:val="none" w:sz="0" w:space="0" w:color="auto"/>
                                        <w:bottom w:val="none" w:sz="0" w:space="0" w:color="auto"/>
                                        <w:right w:val="none" w:sz="0" w:space="0" w:color="auto"/>
                                      </w:divBdr>
                                      <w:divsChild>
                                        <w:div w:id="1281298219">
                                          <w:marLeft w:val="0"/>
                                          <w:marRight w:val="0"/>
                                          <w:marTop w:val="0"/>
                                          <w:marBottom w:val="0"/>
                                          <w:divBdr>
                                            <w:top w:val="none" w:sz="0" w:space="0" w:color="auto"/>
                                            <w:left w:val="none" w:sz="0" w:space="0" w:color="auto"/>
                                            <w:bottom w:val="none" w:sz="0" w:space="0" w:color="auto"/>
                                            <w:right w:val="none" w:sz="0" w:space="0" w:color="auto"/>
                                          </w:divBdr>
                                          <w:divsChild>
                                            <w:div w:id="1853379008">
                                              <w:marLeft w:val="0"/>
                                              <w:marRight w:val="0"/>
                                              <w:marTop w:val="0"/>
                                              <w:marBottom w:val="0"/>
                                              <w:divBdr>
                                                <w:top w:val="none" w:sz="0" w:space="0" w:color="auto"/>
                                                <w:left w:val="none" w:sz="0" w:space="0" w:color="auto"/>
                                                <w:bottom w:val="none" w:sz="0" w:space="0" w:color="auto"/>
                                                <w:right w:val="none" w:sz="0" w:space="0" w:color="auto"/>
                                              </w:divBdr>
                                              <w:divsChild>
                                                <w:div w:id="826170788">
                                                  <w:marLeft w:val="0"/>
                                                  <w:marRight w:val="0"/>
                                                  <w:marTop w:val="0"/>
                                                  <w:marBottom w:val="0"/>
                                                  <w:divBdr>
                                                    <w:top w:val="none" w:sz="0" w:space="0" w:color="auto"/>
                                                    <w:left w:val="none" w:sz="0" w:space="0" w:color="auto"/>
                                                    <w:bottom w:val="none" w:sz="0" w:space="0" w:color="auto"/>
                                                    <w:right w:val="none" w:sz="0" w:space="0" w:color="auto"/>
                                                  </w:divBdr>
                                                  <w:divsChild>
                                                    <w:div w:id="1801149277">
                                                      <w:marLeft w:val="0"/>
                                                      <w:marRight w:val="0"/>
                                                      <w:marTop w:val="0"/>
                                                      <w:marBottom w:val="0"/>
                                                      <w:divBdr>
                                                        <w:top w:val="none" w:sz="0" w:space="0" w:color="auto"/>
                                                        <w:left w:val="none" w:sz="0" w:space="0" w:color="auto"/>
                                                        <w:bottom w:val="none" w:sz="0" w:space="0" w:color="auto"/>
                                                        <w:right w:val="none" w:sz="0" w:space="0" w:color="auto"/>
                                                      </w:divBdr>
                                                      <w:divsChild>
                                                        <w:div w:id="305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6104898">
      <w:bodyDiv w:val="1"/>
      <w:marLeft w:val="0"/>
      <w:marRight w:val="0"/>
      <w:marTop w:val="0"/>
      <w:marBottom w:val="0"/>
      <w:divBdr>
        <w:top w:val="none" w:sz="0" w:space="0" w:color="auto"/>
        <w:left w:val="none" w:sz="0" w:space="0" w:color="auto"/>
        <w:bottom w:val="none" w:sz="0" w:space="0" w:color="auto"/>
        <w:right w:val="none" w:sz="0" w:space="0" w:color="auto"/>
      </w:divBdr>
    </w:div>
    <w:div w:id="336537019">
      <w:bodyDiv w:val="1"/>
      <w:marLeft w:val="0"/>
      <w:marRight w:val="0"/>
      <w:marTop w:val="0"/>
      <w:marBottom w:val="0"/>
      <w:divBdr>
        <w:top w:val="none" w:sz="0" w:space="0" w:color="auto"/>
        <w:left w:val="none" w:sz="0" w:space="0" w:color="auto"/>
        <w:bottom w:val="none" w:sz="0" w:space="0" w:color="auto"/>
        <w:right w:val="none" w:sz="0" w:space="0" w:color="auto"/>
      </w:divBdr>
    </w:div>
    <w:div w:id="411394007">
      <w:bodyDiv w:val="1"/>
      <w:marLeft w:val="0"/>
      <w:marRight w:val="0"/>
      <w:marTop w:val="0"/>
      <w:marBottom w:val="0"/>
      <w:divBdr>
        <w:top w:val="none" w:sz="0" w:space="0" w:color="auto"/>
        <w:left w:val="none" w:sz="0" w:space="0" w:color="auto"/>
        <w:bottom w:val="none" w:sz="0" w:space="0" w:color="auto"/>
        <w:right w:val="none" w:sz="0" w:space="0" w:color="auto"/>
      </w:divBdr>
    </w:div>
    <w:div w:id="546259520">
      <w:bodyDiv w:val="1"/>
      <w:marLeft w:val="0"/>
      <w:marRight w:val="0"/>
      <w:marTop w:val="0"/>
      <w:marBottom w:val="0"/>
      <w:divBdr>
        <w:top w:val="none" w:sz="0" w:space="0" w:color="auto"/>
        <w:left w:val="none" w:sz="0" w:space="0" w:color="auto"/>
        <w:bottom w:val="none" w:sz="0" w:space="0" w:color="auto"/>
        <w:right w:val="none" w:sz="0" w:space="0" w:color="auto"/>
      </w:divBdr>
    </w:div>
    <w:div w:id="558442156">
      <w:bodyDiv w:val="1"/>
      <w:marLeft w:val="0"/>
      <w:marRight w:val="0"/>
      <w:marTop w:val="0"/>
      <w:marBottom w:val="0"/>
      <w:divBdr>
        <w:top w:val="none" w:sz="0" w:space="0" w:color="auto"/>
        <w:left w:val="none" w:sz="0" w:space="0" w:color="auto"/>
        <w:bottom w:val="none" w:sz="0" w:space="0" w:color="auto"/>
        <w:right w:val="none" w:sz="0" w:space="0" w:color="auto"/>
      </w:divBdr>
    </w:div>
    <w:div w:id="727845905">
      <w:bodyDiv w:val="1"/>
      <w:marLeft w:val="0"/>
      <w:marRight w:val="0"/>
      <w:marTop w:val="0"/>
      <w:marBottom w:val="0"/>
      <w:divBdr>
        <w:top w:val="none" w:sz="0" w:space="0" w:color="auto"/>
        <w:left w:val="none" w:sz="0" w:space="0" w:color="auto"/>
        <w:bottom w:val="none" w:sz="0" w:space="0" w:color="auto"/>
        <w:right w:val="none" w:sz="0" w:space="0" w:color="auto"/>
      </w:divBdr>
    </w:div>
    <w:div w:id="739864460">
      <w:bodyDiv w:val="1"/>
      <w:marLeft w:val="0"/>
      <w:marRight w:val="0"/>
      <w:marTop w:val="0"/>
      <w:marBottom w:val="0"/>
      <w:divBdr>
        <w:top w:val="none" w:sz="0" w:space="0" w:color="auto"/>
        <w:left w:val="none" w:sz="0" w:space="0" w:color="auto"/>
        <w:bottom w:val="none" w:sz="0" w:space="0" w:color="auto"/>
        <w:right w:val="none" w:sz="0" w:space="0" w:color="auto"/>
      </w:divBdr>
    </w:div>
    <w:div w:id="840581312">
      <w:bodyDiv w:val="1"/>
      <w:marLeft w:val="0"/>
      <w:marRight w:val="0"/>
      <w:marTop w:val="0"/>
      <w:marBottom w:val="0"/>
      <w:divBdr>
        <w:top w:val="none" w:sz="0" w:space="0" w:color="auto"/>
        <w:left w:val="none" w:sz="0" w:space="0" w:color="auto"/>
        <w:bottom w:val="none" w:sz="0" w:space="0" w:color="auto"/>
        <w:right w:val="none" w:sz="0" w:space="0" w:color="auto"/>
      </w:divBdr>
    </w:div>
    <w:div w:id="877470116">
      <w:bodyDiv w:val="1"/>
      <w:marLeft w:val="0"/>
      <w:marRight w:val="0"/>
      <w:marTop w:val="0"/>
      <w:marBottom w:val="0"/>
      <w:divBdr>
        <w:top w:val="none" w:sz="0" w:space="0" w:color="auto"/>
        <w:left w:val="none" w:sz="0" w:space="0" w:color="auto"/>
        <w:bottom w:val="none" w:sz="0" w:space="0" w:color="auto"/>
        <w:right w:val="none" w:sz="0" w:space="0" w:color="auto"/>
      </w:divBdr>
    </w:div>
    <w:div w:id="971863596">
      <w:bodyDiv w:val="1"/>
      <w:marLeft w:val="0"/>
      <w:marRight w:val="0"/>
      <w:marTop w:val="0"/>
      <w:marBottom w:val="0"/>
      <w:divBdr>
        <w:top w:val="none" w:sz="0" w:space="0" w:color="auto"/>
        <w:left w:val="none" w:sz="0" w:space="0" w:color="auto"/>
        <w:bottom w:val="none" w:sz="0" w:space="0" w:color="auto"/>
        <w:right w:val="none" w:sz="0" w:space="0" w:color="auto"/>
      </w:divBdr>
    </w:div>
    <w:div w:id="979924051">
      <w:bodyDiv w:val="1"/>
      <w:marLeft w:val="0"/>
      <w:marRight w:val="0"/>
      <w:marTop w:val="0"/>
      <w:marBottom w:val="0"/>
      <w:divBdr>
        <w:top w:val="none" w:sz="0" w:space="0" w:color="auto"/>
        <w:left w:val="none" w:sz="0" w:space="0" w:color="auto"/>
        <w:bottom w:val="none" w:sz="0" w:space="0" w:color="auto"/>
        <w:right w:val="none" w:sz="0" w:space="0" w:color="auto"/>
      </w:divBdr>
    </w:div>
    <w:div w:id="988367411">
      <w:bodyDiv w:val="1"/>
      <w:marLeft w:val="0"/>
      <w:marRight w:val="0"/>
      <w:marTop w:val="0"/>
      <w:marBottom w:val="0"/>
      <w:divBdr>
        <w:top w:val="none" w:sz="0" w:space="0" w:color="auto"/>
        <w:left w:val="none" w:sz="0" w:space="0" w:color="auto"/>
        <w:bottom w:val="none" w:sz="0" w:space="0" w:color="auto"/>
        <w:right w:val="none" w:sz="0" w:space="0" w:color="auto"/>
      </w:divBdr>
    </w:div>
    <w:div w:id="1047922862">
      <w:bodyDiv w:val="1"/>
      <w:marLeft w:val="0"/>
      <w:marRight w:val="0"/>
      <w:marTop w:val="0"/>
      <w:marBottom w:val="0"/>
      <w:divBdr>
        <w:top w:val="none" w:sz="0" w:space="0" w:color="auto"/>
        <w:left w:val="none" w:sz="0" w:space="0" w:color="auto"/>
        <w:bottom w:val="none" w:sz="0" w:space="0" w:color="auto"/>
        <w:right w:val="none" w:sz="0" w:space="0" w:color="auto"/>
      </w:divBdr>
    </w:div>
    <w:div w:id="1438254364">
      <w:bodyDiv w:val="1"/>
      <w:marLeft w:val="0"/>
      <w:marRight w:val="0"/>
      <w:marTop w:val="0"/>
      <w:marBottom w:val="0"/>
      <w:divBdr>
        <w:top w:val="none" w:sz="0" w:space="0" w:color="auto"/>
        <w:left w:val="none" w:sz="0" w:space="0" w:color="auto"/>
        <w:bottom w:val="none" w:sz="0" w:space="0" w:color="auto"/>
        <w:right w:val="none" w:sz="0" w:space="0" w:color="auto"/>
      </w:divBdr>
    </w:div>
    <w:div w:id="1573928540">
      <w:bodyDiv w:val="1"/>
      <w:marLeft w:val="0"/>
      <w:marRight w:val="0"/>
      <w:marTop w:val="0"/>
      <w:marBottom w:val="0"/>
      <w:divBdr>
        <w:top w:val="none" w:sz="0" w:space="0" w:color="auto"/>
        <w:left w:val="none" w:sz="0" w:space="0" w:color="auto"/>
        <w:bottom w:val="none" w:sz="0" w:space="0" w:color="auto"/>
        <w:right w:val="none" w:sz="0" w:space="0" w:color="auto"/>
      </w:divBdr>
    </w:div>
    <w:div w:id="1616868112">
      <w:bodyDiv w:val="1"/>
      <w:marLeft w:val="0"/>
      <w:marRight w:val="0"/>
      <w:marTop w:val="0"/>
      <w:marBottom w:val="0"/>
      <w:divBdr>
        <w:top w:val="none" w:sz="0" w:space="0" w:color="auto"/>
        <w:left w:val="none" w:sz="0" w:space="0" w:color="auto"/>
        <w:bottom w:val="none" w:sz="0" w:space="0" w:color="auto"/>
        <w:right w:val="none" w:sz="0" w:space="0" w:color="auto"/>
      </w:divBdr>
    </w:div>
    <w:div w:id="1700929508">
      <w:bodyDiv w:val="1"/>
      <w:marLeft w:val="0"/>
      <w:marRight w:val="0"/>
      <w:marTop w:val="0"/>
      <w:marBottom w:val="0"/>
      <w:divBdr>
        <w:top w:val="none" w:sz="0" w:space="0" w:color="auto"/>
        <w:left w:val="none" w:sz="0" w:space="0" w:color="auto"/>
        <w:bottom w:val="none" w:sz="0" w:space="0" w:color="auto"/>
        <w:right w:val="none" w:sz="0" w:space="0" w:color="auto"/>
      </w:divBdr>
    </w:div>
    <w:div w:id="1749960722">
      <w:bodyDiv w:val="1"/>
      <w:marLeft w:val="0"/>
      <w:marRight w:val="0"/>
      <w:marTop w:val="0"/>
      <w:marBottom w:val="0"/>
      <w:divBdr>
        <w:top w:val="none" w:sz="0" w:space="0" w:color="auto"/>
        <w:left w:val="none" w:sz="0" w:space="0" w:color="auto"/>
        <w:bottom w:val="none" w:sz="0" w:space="0" w:color="auto"/>
        <w:right w:val="none" w:sz="0" w:space="0" w:color="auto"/>
      </w:divBdr>
    </w:div>
    <w:div w:id="1856191882">
      <w:bodyDiv w:val="1"/>
      <w:marLeft w:val="0"/>
      <w:marRight w:val="0"/>
      <w:marTop w:val="0"/>
      <w:marBottom w:val="0"/>
      <w:divBdr>
        <w:top w:val="none" w:sz="0" w:space="0" w:color="auto"/>
        <w:left w:val="none" w:sz="0" w:space="0" w:color="auto"/>
        <w:bottom w:val="none" w:sz="0" w:space="0" w:color="auto"/>
        <w:right w:val="none" w:sz="0" w:space="0" w:color="auto"/>
      </w:divBdr>
    </w:div>
    <w:div w:id="1989481790">
      <w:bodyDiv w:val="1"/>
      <w:marLeft w:val="0"/>
      <w:marRight w:val="0"/>
      <w:marTop w:val="0"/>
      <w:marBottom w:val="0"/>
      <w:divBdr>
        <w:top w:val="none" w:sz="0" w:space="0" w:color="auto"/>
        <w:left w:val="none" w:sz="0" w:space="0" w:color="auto"/>
        <w:bottom w:val="none" w:sz="0" w:space="0" w:color="auto"/>
        <w:right w:val="none" w:sz="0" w:space="0" w:color="auto"/>
      </w:divBdr>
    </w:div>
    <w:div w:id="2081753176">
      <w:bodyDiv w:val="1"/>
      <w:marLeft w:val="0"/>
      <w:marRight w:val="0"/>
      <w:marTop w:val="0"/>
      <w:marBottom w:val="0"/>
      <w:divBdr>
        <w:top w:val="none" w:sz="0" w:space="0" w:color="auto"/>
        <w:left w:val="none" w:sz="0" w:space="0" w:color="auto"/>
        <w:bottom w:val="none" w:sz="0" w:space="0" w:color="auto"/>
        <w:right w:val="none" w:sz="0" w:space="0" w:color="auto"/>
      </w:divBdr>
    </w:div>
    <w:div w:id="209146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46C40BEEC524E82D1FAE1460223AD" ma:contentTypeVersion="1" ma:contentTypeDescription="Create a new document." ma:contentTypeScope="" ma:versionID="96b19b6645634d9d346f3020ad1661c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436B8-E227-4979-9B0E-46D4856FC31B}">
  <ds:schemaRefs>
    <ds:schemaRef ds:uri="http://schemas.openxmlformats.org/officeDocument/2006/bibliography"/>
  </ds:schemaRefs>
</ds:datastoreItem>
</file>

<file path=customXml/itemProps2.xml><?xml version="1.0" encoding="utf-8"?>
<ds:datastoreItem xmlns:ds="http://schemas.openxmlformats.org/officeDocument/2006/customXml" ds:itemID="{3E09D85A-3932-4972-A6C6-6C89368D5B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B8E46E-4B70-4C01-A195-45CDF5A00C38}">
  <ds:schemaRefs>
    <ds:schemaRef ds:uri="http://schemas.microsoft.com/sharepoint/v3/contenttype/forms"/>
  </ds:schemaRefs>
</ds:datastoreItem>
</file>

<file path=customXml/itemProps4.xml><?xml version="1.0" encoding="utf-8"?>
<ds:datastoreItem xmlns:ds="http://schemas.openxmlformats.org/officeDocument/2006/customXml" ds:itemID="{CD8E7693-896C-4635-BE3A-361EA3B6D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2671</Words>
  <Characters>15227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Medication Program for Homeless People - Explanatory Statement</vt:lpstr>
    </vt:vector>
  </TitlesOfParts>
  <Manager/>
  <Company/>
  <LinksUpToDate>false</LinksUpToDate>
  <CharactersWithSpaces>17863</CharactersWithSpaces>
  <SharedDoc>false</SharedDoc>
  <HLinks>
    <vt:vector size="24" baseType="variant">
      <vt:variant>
        <vt:i4>7602284</vt:i4>
      </vt:variant>
      <vt:variant>
        <vt:i4>9</vt:i4>
      </vt:variant>
      <vt:variant>
        <vt:i4>0</vt:i4>
      </vt:variant>
      <vt:variant>
        <vt:i4>5</vt:i4>
      </vt:variant>
      <vt:variant>
        <vt:lpwstr>https://www.ag.gov.au/rights-and-protections/human-rights-and-anti-discrimination/human-rights-scrutiny/public-sector-guidance-sheets/right-social-security</vt:lpwstr>
      </vt:variant>
      <vt:variant>
        <vt:lpwstr/>
      </vt:variant>
      <vt:variant>
        <vt:i4>6881332</vt:i4>
      </vt:variant>
      <vt:variant>
        <vt:i4>6</vt:i4>
      </vt:variant>
      <vt:variant>
        <vt:i4>0</vt:i4>
      </vt:variant>
      <vt:variant>
        <vt:i4>5</vt:i4>
      </vt:variant>
      <vt:variant>
        <vt:lpwstr>https://www.ag.gov.au/rights-and-protections/human-rights-and-anti-discrimination/human-rights-scrutiny/public-sector-guidance-sheets/right-health</vt:lpwstr>
      </vt:variant>
      <vt:variant>
        <vt:lpwstr/>
      </vt:variant>
      <vt:variant>
        <vt:i4>7602284</vt:i4>
      </vt:variant>
      <vt:variant>
        <vt:i4>3</vt:i4>
      </vt:variant>
      <vt:variant>
        <vt:i4>0</vt:i4>
      </vt:variant>
      <vt:variant>
        <vt:i4>5</vt:i4>
      </vt:variant>
      <vt:variant>
        <vt:lpwstr>https://www.ag.gov.au/rights-and-protections/human-rights-and-anti-discrimination/human-rights-scrutiny/public-sector-guidance-sheets/right-social-security</vt:lpwstr>
      </vt:variant>
      <vt:variant>
        <vt:lpwstr/>
      </vt:variant>
      <vt:variant>
        <vt:i4>6881332</vt:i4>
      </vt:variant>
      <vt:variant>
        <vt:i4>0</vt:i4>
      </vt:variant>
      <vt:variant>
        <vt:i4>0</vt:i4>
      </vt:variant>
      <vt:variant>
        <vt:i4>5</vt:i4>
      </vt:variant>
      <vt:variant>
        <vt:lpwstr>https://www.ag.gov.au/rights-and-protections/human-rights-and-anti-discrimination/human-rights-scrutiny/public-sector-guidance-sheets/right-health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Program for Homeless People - Explanatory Statement</dc:title>
  <dc:subject/>
  <dc:creator>WOO, Celeste</dc:creator>
  <cp:keywords/>
  <dc:description/>
  <cp:lastModifiedBy>WOO, Celeste</cp:lastModifiedBy>
  <cp:revision>2</cp:revision>
  <cp:lastPrinted>2011-11-04T01:54:00Z</cp:lastPrinted>
  <dcterms:created xsi:type="dcterms:W3CDTF">2024-06-27T02:39:00Z</dcterms:created>
  <dcterms:modified xsi:type="dcterms:W3CDTF">2024-06-27T02:39:00Z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