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1BB2" w14:textId="77777777" w:rsidR="007A1965" w:rsidRPr="002E5238" w:rsidRDefault="007A1965" w:rsidP="001372BC">
      <w:pPr>
        <w:spacing w:after="0" w:line="240" w:lineRule="auto"/>
        <w:jc w:val="center"/>
        <w:rPr>
          <w:rFonts w:eastAsia="Times New Roman"/>
          <w:b/>
          <w:sz w:val="22"/>
          <w:szCs w:val="22"/>
          <w:u w:val="single"/>
          <w:lang w:eastAsia="en-AU"/>
        </w:rPr>
      </w:pPr>
      <w:r w:rsidRPr="002E5238">
        <w:rPr>
          <w:rFonts w:eastAsia="Times New Roman"/>
          <w:b/>
          <w:sz w:val="22"/>
          <w:szCs w:val="22"/>
          <w:u w:val="single"/>
          <w:lang w:eastAsia="en-AU"/>
        </w:rPr>
        <w:t>EXPLANATORY STATEMENT</w:t>
      </w:r>
    </w:p>
    <w:p w14:paraId="4EEE434C" w14:textId="77777777" w:rsidR="007A1965" w:rsidRPr="002E5238" w:rsidRDefault="007A1965" w:rsidP="001372BC">
      <w:pPr>
        <w:spacing w:after="0" w:line="240" w:lineRule="auto"/>
        <w:jc w:val="center"/>
        <w:rPr>
          <w:rFonts w:eastAsia="Times New Roman"/>
          <w:iCs/>
          <w:sz w:val="22"/>
          <w:szCs w:val="22"/>
          <w:lang w:eastAsia="en-AU"/>
        </w:rPr>
      </w:pPr>
    </w:p>
    <w:p w14:paraId="259886F7" w14:textId="77777777" w:rsidR="007A1965" w:rsidRPr="002E5238" w:rsidRDefault="007A1965" w:rsidP="001372BC">
      <w:pPr>
        <w:spacing w:after="0" w:line="240" w:lineRule="auto"/>
        <w:jc w:val="center"/>
        <w:rPr>
          <w:rFonts w:eastAsia="Times New Roman"/>
          <w:sz w:val="22"/>
          <w:szCs w:val="22"/>
          <w:u w:val="single"/>
          <w:lang w:eastAsia="en-AU"/>
        </w:rPr>
      </w:pPr>
      <w:r w:rsidRPr="002E5238">
        <w:rPr>
          <w:rFonts w:eastAsia="Times New Roman"/>
          <w:i/>
          <w:sz w:val="22"/>
          <w:szCs w:val="22"/>
          <w:lang w:eastAsia="en-AU"/>
        </w:rPr>
        <w:t>Therapeutic Goods Act 1989</w:t>
      </w:r>
    </w:p>
    <w:p w14:paraId="677E68BA" w14:textId="77777777" w:rsidR="007A1965" w:rsidRPr="002E5238" w:rsidRDefault="007A1965" w:rsidP="001372BC">
      <w:pPr>
        <w:spacing w:after="0" w:line="240" w:lineRule="auto"/>
        <w:jc w:val="center"/>
        <w:rPr>
          <w:rFonts w:eastAsia="Times New Roman"/>
          <w:iCs/>
          <w:sz w:val="22"/>
          <w:szCs w:val="22"/>
          <w:lang w:eastAsia="en-AU"/>
        </w:rPr>
      </w:pPr>
    </w:p>
    <w:p w14:paraId="77848DD8" w14:textId="27E41407" w:rsidR="007A1965" w:rsidRPr="002E5238" w:rsidRDefault="007A1965" w:rsidP="001372BC">
      <w:pPr>
        <w:spacing w:after="0" w:line="240" w:lineRule="auto"/>
        <w:jc w:val="center"/>
        <w:rPr>
          <w:rFonts w:eastAsia="Times New Roman"/>
          <w:i/>
          <w:sz w:val="22"/>
          <w:szCs w:val="22"/>
          <w:lang w:eastAsia="en-AU"/>
        </w:rPr>
      </w:pPr>
      <w:r w:rsidRPr="002E5238">
        <w:rPr>
          <w:rFonts w:eastAsia="Times New Roman"/>
          <w:i/>
          <w:sz w:val="22"/>
          <w:szCs w:val="22"/>
          <w:lang w:eastAsia="en-AU"/>
        </w:rPr>
        <w:t>Therapeutic Goods (</w:t>
      </w:r>
      <w:r w:rsidR="00BF7BB9" w:rsidRPr="002E5238">
        <w:rPr>
          <w:rFonts w:eastAsia="Times New Roman"/>
          <w:i/>
          <w:sz w:val="22"/>
          <w:szCs w:val="22"/>
          <w:lang w:eastAsia="en-AU"/>
        </w:rPr>
        <w:t>Vaping Goods</w:t>
      </w:r>
      <w:r w:rsidR="002A2765" w:rsidRPr="002E5238">
        <w:rPr>
          <w:rFonts w:eastAsia="Times New Roman"/>
          <w:i/>
          <w:sz w:val="22"/>
          <w:szCs w:val="22"/>
          <w:lang w:eastAsia="en-AU"/>
        </w:rPr>
        <w:t>—Other Indications</w:t>
      </w:r>
      <w:r w:rsidRPr="002E5238">
        <w:rPr>
          <w:rFonts w:eastAsia="Times New Roman"/>
          <w:i/>
          <w:sz w:val="22"/>
          <w:szCs w:val="22"/>
          <w:lang w:eastAsia="en-AU"/>
        </w:rPr>
        <w:t xml:space="preserve">) </w:t>
      </w:r>
      <w:r w:rsidR="009A3B9C" w:rsidRPr="002E5238">
        <w:rPr>
          <w:rFonts w:eastAsia="Times New Roman"/>
          <w:i/>
          <w:sz w:val="22"/>
          <w:szCs w:val="22"/>
          <w:lang w:eastAsia="en-AU"/>
        </w:rPr>
        <w:t>Determination</w:t>
      </w:r>
      <w:r w:rsidRPr="002E5238">
        <w:rPr>
          <w:rFonts w:eastAsia="Times New Roman"/>
          <w:i/>
          <w:sz w:val="22"/>
          <w:szCs w:val="22"/>
          <w:lang w:eastAsia="en-AU"/>
        </w:rPr>
        <w:t xml:space="preserve"> 2024</w:t>
      </w:r>
    </w:p>
    <w:p w14:paraId="33429559" w14:textId="77777777" w:rsidR="007A1965" w:rsidRPr="002E5238" w:rsidRDefault="007A1965" w:rsidP="001372BC">
      <w:pPr>
        <w:autoSpaceDE w:val="0"/>
        <w:autoSpaceDN w:val="0"/>
        <w:adjustRightInd w:val="0"/>
        <w:spacing w:after="0" w:line="240" w:lineRule="auto"/>
        <w:rPr>
          <w:rFonts w:eastAsia="Times New Roman"/>
          <w:sz w:val="22"/>
          <w:szCs w:val="22"/>
          <w:lang w:eastAsia="en-AU"/>
        </w:rPr>
      </w:pPr>
    </w:p>
    <w:p w14:paraId="1C68572B" w14:textId="7DF3E479" w:rsidR="007A1965" w:rsidRPr="002E5238" w:rsidRDefault="007A1965" w:rsidP="001372BC">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 xml:space="preserve">The </w:t>
      </w:r>
      <w:r w:rsidRPr="002E5238">
        <w:rPr>
          <w:rFonts w:eastAsia="Times New Roman"/>
          <w:i/>
          <w:sz w:val="22"/>
          <w:szCs w:val="22"/>
          <w:lang w:eastAsia="en-AU"/>
        </w:rPr>
        <w:t>Therapeutic Goods Act 1989</w:t>
      </w:r>
      <w:r w:rsidRPr="002E5238">
        <w:rPr>
          <w:rFonts w:eastAsia="Times New Roman"/>
          <w:sz w:val="22"/>
          <w:szCs w:val="22"/>
          <w:lang w:eastAsia="en-AU"/>
        </w:rPr>
        <w:t xml:space="preserve"> (the Act) provides for the establishment and maintenance of a national system of controls for the quality, safety, efficacy or performance, and timely availability of therapeutic goods that are used in, or exported from, Australia. It also provides for the establishment and maintenance of a national system of controls for the importation, manufacture, supply, and export of vaping goods. The Act is administered by the Therapeutic Goods Administration (the TGA) within the Australian Government Department of Health and Aged Care (the Department).</w:t>
      </w:r>
    </w:p>
    <w:p w14:paraId="69E4CC4F" w14:textId="77777777" w:rsidR="007A1965" w:rsidRPr="002E5238" w:rsidRDefault="007A1965" w:rsidP="001372BC">
      <w:pPr>
        <w:autoSpaceDE w:val="0"/>
        <w:autoSpaceDN w:val="0"/>
        <w:adjustRightInd w:val="0"/>
        <w:spacing w:after="0" w:line="240" w:lineRule="auto"/>
        <w:rPr>
          <w:rFonts w:eastAsia="Times New Roman"/>
          <w:sz w:val="22"/>
          <w:szCs w:val="22"/>
          <w:lang w:eastAsia="en-AU"/>
        </w:rPr>
      </w:pPr>
    </w:p>
    <w:p w14:paraId="33CF7304" w14:textId="7B3AA028" w:rsidR="00EF666C" w:rsidRPr="002E5238" w:rsidRDefault="00DA251E" w:rsidP="001372BC">
      <w:pPr>
        <w:autoSpaceDE w:val="0"/>
        <w:autoSpaceDN w:val="0"/>
        <w:adjustRightInd w:val="0"/>
        <w:spacing w:after="0" w:line="240" w:lineRule="auto"/>
        <w:rPr>
          <w:rFonts w:eastAsia="Times New Roman"/>
          <w:sz w:val="22"/>
          <w:szCs w:val="22"/>
          <w:lang w:eastAsia="en-AU"/>
        </w:rPr>
      </w:pPr>
      <w:bookmarkStart w:id="0" w:name="_Hlk153349896"/>
      <w:r w:rsidRPr="002E5238">
        <w:rPr>
          <w:rFonts w:eastAsia="Times New Roman"/>
          <w:sz w:val="22"/>
          <w:szCs w:val="22"/>
          <w:lang w:eastAsia="en-AU"/>
        </w:rPr>
        <w:t>S</w:t>
      </w:r>
      <w:r w:rsidR="00EF666C" w:rsidRPr="002E5238">
        <w:rPr>
          <w:rFonts w:eastAsia="Times New Roman"/>
          <w:sz w:val="22"/>
          <w:szCs w:val="22"/>
          <w:lang w:eastAsia="en-AU"/>
        </w:rPr>
        <w:t>ubs</w:t>
      </w:r>
      <w:r w:rsidR="005C2A50" w:rsidRPr="002E5238">
        <w:rPr>
          <w:rFonts w:eastAsia="Times New Roman"/>
          <w:sz w:val="22"/>
          <w:szCs w:val="22"/>
          <w:lang w:eastAsia="en-AU"/>
        </w:rPr>
        <w:t>ection</w:t>
      </w:r>
      <w:r w:rsidR="00EF666C" w:rsidRPr="002E5238">
        <w:rPr>
          <w:rFonts w:eastAsia="Times New Roman"/>
          <w:sz w:val="22"/>
          <w:szCs w:val="22"/>
          <w:lang w:eastAsia="en-AU"/>
        </w:rPr>
        <w:t>s</w:t>
      </w:r>
      <w:r w:rsidR="005C2A50" w:rsidRPr="002E5238">
        <w:rPr>
          <w:rFonts w:eastAsia="Times New Roman"/>
          <w:sz w:val="22"/>
          <w:szCs w:val="22"/>
          <w:lang w:eastAsia="en-AU"/>
        </w:rPr>
        <w:t xml:space="preserve"> 41QB</w:t>
      </w:r>
      <w:r w:rsidR="00EF666C" w:rsidRPr="002E5238">
        <w:rPr>
          <w:rFonts w:eastAsia="Times New Roman"/>
          <w:sz w:val="22"/>
          <w:szCs w:val="22"/>
          <w:lang w:eastAsia="en-AU"/>
        </w:rPr>
        <w:t>(1) to (3)</w:t>
      </w:r>
      <w:r w:rsidR="005C2A50" w:rsidRPr="002E5238">
        <w:rPr>
          <w:rFonts w:eastAsia="Times New Roman"/>
          <w:sz w:val="22"/>
          <w:szCs w:val="22"/>
          <w:lang w:eastAsia="en-AU"/>
        </w:rPr>
        <w:t xml:space="preserve"> of the Act establish offences and a civil penalty provision </w:t>
      </w:r>
      <w:r w:rsidR="001B3EE7" w:rsidRPr="002E5238">
        <w:rPr>
          <w:rFonts w:eastAsia="Times New Roman"/>
          <w:sz w:val="22"/>
          <w:szCs w:val="22"/>
          <w:lang w:eastAsia="en-AU"/>
        </w:rPr>
        <w:t>that</w:t>
      </w:r>
      <w:r w:rsidR="005C2A50" w:rsidRPr="002E5238">
        <w:rPr>
          <w:rFonts w:eastAsia="Times New Roman"/>
          <w:sz w:val="22"/>
          <w:szCs w:val="22"/>
          <w:lang w:eastAsia="en-AU"/>
        </w:rPr>
        <w:t xml:space="preserve"> prohibit the supply of vaping goods</w:t>
      </w:r>
      <w:r w:rsidR="00741BDC" w:rsidRPr="002E5238">
        <w:rPr>
          <w:rFonts w:eastAsia="Times New Roman"/>
          <w:sz w:val="22"/>
          <w:szCs w:val="22"/>
          <w:lang w:eastAsia="en-AU"/>
        </w:rPr>
        <w:t xml:space="preserve"> in Australia</w:t>
      </w:r>
      <w:r w:rsidR="00F65288">
        <w:rPr>
          <w:rFonts w:eastAsia="Times New Roman"/>
          <w:sz w:val="22"/>
          <w:szCs w:val="22"/>
          <w:lang w:eastAsia="en-AU"/>
        </w:rPr>
        <w:t xml:space="preserve"> </w:t>
      </w:r>
      <w:r w:rsidR="001B3EE7" w:rsidRPr="002E5238">
        <w:rPr>
          <w:rFonts w:eastAsia="Times New Roman"/>
          <w:sz w:val="22"/>
          <w:szCs w:val="22"/>
          <w:lang w:eastAsia="en-AU"/>
        </w:rPr>
        <w:t xml:space="preserve">other than where the exceptions specified in </w:t>
      </w:r>
      <w:r w:rsidR="00EF666C" w:rsidRPr="002E5238">
        <w:rPr>
          <w:rFonts w:eastAsia="Times New Roman"/>
          <w:sz w:val="22"/>
          <w:szCs w:val="22"/>
          <w:lang w:eastAsia="en-AU"/>
        </w:rPr>
        <w:t>section 41QB</w:t>
      </w:r>
      <w:r w:rsidR="001B3EE7" w:rsidRPr="002E5238">
        <w:rPr>
          <w:rFonts w:eastAsia="Times New Roman"/>
          <w:sz w:val="22"/>
          <w:szCs w:val="22"/>
          <w:lang w:eastAsia="en-AU"/>
        </w:rPr>
        <w:t xml:space="preserve"> apply</w:t>
      </w:r>
      <w:r w:rsidR="00EF666C" w:rsidRPr="002E5238">
        <w:rPr>
          <w:rFonts w:eastAsia="Times New Roman"/>
          <w:sz w:val="22"/>
          <w:szCs w:val="22"/>
          <w:lang w:eastAsia="en-AU"/>
        </w:rPr>
        <w:t xml:space="preserve">. </w:t>
      </w:r>
      <w:r w:rsidR="001B3EE7" w:rsidRPr="002E5238">
        <w:rPr>
          <w:rFonts w:eastAsia="Times New Roman"/>
          <w:sz w:val="22"/>
          <w:szCs w:val="22"/>
          <w:lang w:eastAsia="en-AU"/>
        </w:rPr>
        <w:t xml:space="preserve">These exceptions </w:t>
      </w:r>
      <w:r w:rsidR="00EF666C" w:rsidRPr="002E5238">
        <w:rPr>
          <w:rFonts w:eastAsia="Times New Roman"/>
          <w:sz w:val="22"/>
          <w:szCs w:val="22"/>
          <w:lang w:eastAsia="en-AU"/>
        </w:rPr>
        <w:t>include the ‘retail supply chain exception’</w:t>
      </w:r>
      <w:r w:rsidR="003366C8" w:rsidRPr="002E5238">
        <w:rPr>
          <w:rFonts w:eastAsia="Times New Roman"/>
          <w:sz w:val="22"/>
          <w:szCs w:val="22"/>
          <w:lang w:eastAsia="en-AU"/>
        </w:rPr>
        <w:t xml:space="preserve"> </w:t>
      </w:r>
      <w:r w:rsidR="00705CD9" w:rsidRPr="002E5238">
        <w:rPr>
          <w:rFonts w:eastAsia="Times New Roman"/>
          <w:sz w:val="22"/>
          <w:szCs w:val="22"/>
          <w:lang w:eastAsia="en-AU"/>
        </w:rPr>
        <w:t xml:space="preserve">in </w:t>
      </w:r>
      <w:r w:rsidR="003366C8" w:rsidRPr="002E5238">
        <w:rPr>
          <w:rFonts w:eastAsia="Times New Roman"/>
          <w:sz w:val="22"/>
          <w:szCs w:val="22"/>
          <w:lang w:eastAsia="en-AU"/>
        </w:rPr>
        <w:t>subsections 41QB(9), (10) and (11)</w:t>
      </w:r>
      <w:r w:rsidR="004702B6" w:rsidRPr="002E5238">
        <w:rPr>
          <w:rFonts w:eastAsia="Times New Roman"/>
          <w:sz w:val="22"/>
          <w:szCs w:val="22"/>
          <w:lang w:eastAsia="en-AU"/>
        </w:rPr>
        <w:t>.</w:t>
      </w:r>
      <w:r w:rsidR="004503B2" w:rsidRPr="002E5238">
        <w:rPr>
          <w:rFonts w:eastAsia="Times New Roman"/>
          <w:sz w:val="22"/>
          <w:szCs w:val="22"/>
          <w:lang w:eastAsia="en-AU"/>
        </w:rPr>
        <w:t xml:space="preserve"> </w:t>
      </w:r>
      <w:r w:rsidR="004702B6" w:rsidRPr="002E5238">
        <w:rPr>
          <w:rFonts w:eastAsia="Times New Roman"/>
          <w:sz w:val="22"/>
          <w:szCs w:val="22"/>
          <w:lang w:eastAsia="en-AU"/>
        </w:rPr>
        <w:t>This exception</w:t>
      </w:r>
      <w:r w:rsidR="00EF666C" w:rsidRPr="002E5238">
        <w:rPr>
          <w:rFonts w:eastAsia="Times New Roman"/>
          <w:sz w:val="22"/>
          <w:szCs w:val="22"/>
          <w:lang w:eastAsia="en-AU"/>
        </w:rPr>
        <w:t xml:space="preserve"> is </w:t>
      </w:r>
      <w:r w:rsidR="004702B6" w:rsidRPr="002E5238">
        <w:rPr>
          <w:rFonts w:eastAsia="Times New Roman"/>
          <w:sz w:val="22"/>
          <w:szCs w:val="22"/>
          <w:lang w:eastAsia="en-AU"/>
        </w:rPr>
        <w:t>designed to cover</w:t>
      </w:r>
      <w:r w:rsidR="00741BDC" w:rsidRPr="002E5238">
        <w:rPr>
          <w:rFonts w:eastAsia="Times New Roman"/>
          <w:sz w:val="22"/>
          <w:szCs w:val="22"/>
          <w:lang w:eastAsia="en-AU"/>
        </w:rPr>
        <w:t xml:space="preserve"> </w:t>
      </w:r>
      <w:r w:rsidR="004702B6" w:rsidRPr="002E5238">
        <w:rPr>
          <w:rFonts w:eastAsia="Times New Roman"/>
          <w:sz w:val="22"/>
          <w:szCs w:val="22"/>
          <w:lang w:eastAsia="en-AU"/>
        </w:rPr>
        <w:t xml:space="preserve">specified kinds of </w:t>
      </w:r>
      <w:r w:rsidR="00741BDC" w:rsidRPr="002E5238">
        <w:rPr>
          <w:rFonts w:eastAsia="Times New Roman"/>
          <w:sz w:val="22"/>
          <w:szCs w:val="22"/>
          <w:lang w:eastAsia="en-AU"/>
        </w:rPr>
        <w:t>persons engaged in the legitimate supply of vaping goods to persons who are the ultimate consumer</w:t>
      </w:r>
      <w:r w:rsidR="00F65288">
        <w:rPr>
          <w:rFonts w:eastAsia="Times New Roman"/>
          <w:sz w:val="22"/>
          <w:szCs w:val="22"/>
          <w:lang w:eastAsia="en-AU"/>
        </w:rPr>
        <w:t>s</w:t>
      </w:r>
      <w:r w:rsidR="00741BDC" w:rsidRPr="002E5238">
        <w:rPr>
          <w:rFonts w:eastAsia="Times New Roman"/>
          <w:sz w:val="22"/>
          <w:szCs w:val="22"/>
          <w:lang w:eastAsia="en-AU"/>
        </w:rPr>
        <w:t xml:space="preserve"> of the goods</w:t>
      </w:r>
      <w:r w:rsidR="004702B6" w:rsidRPr="002E5238">
        <w:rPr>
          <w:rFonts w:eastAsia="Times New Roman"/>
          <w:sz w:val="22"/>
          <w:szCs w:val="22"/>
          <w:lang w:eastAsia="en-AU"/>
        </w:rPr>
        <w:t>,</w:t>
      </w:r>
      <w:r w:rsidR="003366C8" w:rsidRPr="002E5238">
        <w:rPr>
          <w:rFonts w:eastAsia="Times New Roman"/>
          <w:sz w:val="22"/>
          <w:szCs w:val="22"/>
          <w:lang w:eastAsia="en-AU"/>
        </w:rPr>
        <w:t xml:space="preserve"> for legitimate therapeutic purposes</w:t>
      </w:r>
      <w:r w:rsidR="00EF666C" w:rsidRPr="002E5238">
        <w:rPr>
          <w:rFonts w:eastAsia="Times New Roman"/>
          <w:sz w:val="22"/>
          <w:szCs w:val="22"/>
          <w:lang w:eastAsia="en-AU"/>
        </w:rPr>
        <w:t>.</w:t>
      </w:r>
    </w:p>
    <w:p w14:paraId="4FDCC8BA" w14:textId="77777777" w:rsidR="00EF666C" w:rsidRPr="002E5238" w:rsidRDefault="00EF666C" w:rsidP="001372BC">
      <w:pPr>
        <w:autoSpaceDE w:val="0"/>
        <w:autoSpaceDN w:val="0"/>
        <w:adjustRightInd w:val="0"/>
        <w:spacing w:after="0" w:line="240" w:lineRule="auto"/>
        <w:rPr>
          <w:rFonts w:eastAsia="Times New Roman"/>
          <w:sz w:val="22"/>
          <w:szCs w:val="22"/>
          <w:lang w:eastAsia="en-AU"/>
        </w:rPr>
      </w:pPr>
    </w:p>
    <w:p w14:paraId="606C51A9" w14:textId="25E11274" w:rsidR="00FB08CF" w:rsidRPr="002E5238" w:rsidRDefault="0019613D" w:rsidP="001372BC">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Relevantly</w:t>
      </w:r>
      <w:r w:rsidR="00741BDC" w:rsidRPr="002E5238">
        <w:rPr>
          <w:rFonts w:eastAsia="Times New Roman"/>
          <w:sz w:val="22"/>
          <w:szCs w:val="22"/>
          <w:lang w:eastAsia="en-AU"/>
        </w:rPr>
        <w:t xml:space="preserve">, </w:t>
      </w:r>
      <w:r w:rsidR="001B3EE7" w:rsidRPr="002E5238">
        <w:rPr>
          <w:rFonts w:eastAsia="Times New Roman"/>
          <w:sz w:val="22"/>
          <w:szCs w:val="22"/>
          <w:lang w:eastAsia="en-AU"/>
        </w:rPr>
        <w:t>one of the elements of</w:t>
      </w:r>
      <w:r w:rsidR="00741BDC" w:rsidRPr="002E5238">
        <w:rPr>
          <w:rFonts w:eastAsia="Times New Roman"/>
          <w:sz w:val="22"/>
          <w:szCs w:val="22"/>
          <w:lang w:eastAsia="en-AU"/>
        </w:rPr>
        <w:t xml:space="preserve"> the retail supply chain exception </w:t>
      </w:r>
      <w:r w:rsidR="001B3EE7" w:rsidRPr="002E5238">
        <w:rPr>
          <w:rFonts w:eastAsia="Times New Roman"/>
          <w:sz w:val="22"/>
          <w:szCs w:val="22"/>
          <w:lang w:eastAsia="en-AU"/>
        </w:rPr>
        <w:t xml:space="preserve">is </w:t>
      </w:r>
      <w:r w:rsidR="0092343E" w:rsidRPr="002E5238">
        <w:rPr>
          <w:rFonts w:eastAsia="Times New Roman"/>
          <w:sz w:val="22"/>
          <w:szCs w:val="22"/>
          <w:lang w:eastAsia="en-AU"/>
        </w:rPr>
        <w:t>that the vaping goods are supplied to a person for smoking cessation, the management of nicotine dependence or another indication determined by the Minister under section 41RA of the Act</w:t>
      </w:r>
      <w:r w:rsidR="00FB08CF" w:rsidRPr="002E5238">
        <w:rPr>
          <w:rFonts w:eastAsia="Times New Roman"/>
          <w:sz w:val="22"/>
          <w:szCs w:val="22"/>
          <w:lang w:eastAsia="en-AU"/>
        </w:rPr>
        <w:t>.</w:t>
      </w:r>
    </w:p>
    <w:p w14:paraId="13CF15D6" w14:textId="77777777" w:rsidR="00FB08CF" w:rsidRPr="002E5238" w:rsidRDefault="00FB08CF" w:rsidP="001372BC">
      <w:pPr>
        <w:autoSpaceDE w:val="0"/>
        <w:autoSpaceDN w:val="0"/>
        <w:adjustRightInd w:val="0"/>
        <w:spacing w:after="0" w:line="240" w:lineRule="auto"/>
        <w:rPr>
          <w:rFonts w:eastAsia="Times New Roman"/>
          <w:sz w:val="22"/>
          <w:szCs w:val="22"/>
          <w:lang w:eastAsia="en-AU"/>
        </w:rPr>
      </w:pPr>
    </w:p>
    <w:p w14:paraId="70586AD5" w14:textId="710296CF" w:rsidR="00203676" w:rsidRPr="002E5238" w:rsidRDefault="00B10141" w:rsidP="001372BC">
      <w:pPr>
        <w:autoSpaceDE w:val="0"/>
        <w:autoSpaceDN w:val="0"/>
        <w:adjustRightInd w:val="0"/>
        <w:spacing w:after="0" w:line="240" w:lineRule="auto"/>
        <w:rPr>
          <w:rFonts w:eastAsia="Times New Roman"/>
          <w:iCs/>
          <w:sz w:val="22"/>
          <w:szCs w:val="22"/>
          <w:lang w:eastAsia="en-AU"/>
        </w:rPr>
      </w:pPr>
      <w:r w:rsidRPr="002E5238">
        <w:rPr>
          <w:rFonts w:eastAsia="Times New Roman"/>
          <w:sz w:val="22"/>
          <w:szCs w:val="22"/>
          <w:lang w:eastAsia="en-AU"/>
        </w:rPr>
        <w:t xml:space="preserve">The </w:t>
      </w:r>
      <w:r w:rsidRPr="002E5238">
        <w:rPr>
          <w:rFonts w:eastAsia="Times New Roman"/>
          <w:i/>
          <w:sz w:val="22"/>
          <w:szCs w:val="22"/>
          <w:lang w:eastAsia="en-AU"/>
        </w:rPr>
        <w:t>Therapeutic Goods (Vaping Goods</w:t>
      </w:r>
      <w:r w:rsidR="002A2765" w:rsidRPr="002E5238">
        <w:rPr>
          <w:rFonts w:eastAsia="Times New Roman"/>
          <w:i/>
          <w:sz w:val="22"/>
          <w:szCs w:val="22"/>
          <w:lang w:eastAsia="en-AU"/>
        </w:rPr>
        <w:t>—Other Indications</w:t>
      </w:r>
      <w:r w:rsidRPr="002E5238">
        <w:rPr>
          <w:rFonts w:eastAsia="Times New Roman"/>
          <w:i/>
          <w:sz w:val="22"/>
          <w:szCs w:val="22"/>
          <w:lang w:eastAsia="en-AU"/>
        </w:rPr>
        <w:t xml:space="preserve">) Determination 2024 </w:t>
      </w:r>
      <w:r w:rsidRPr="002E5238">
        <w:rPr>
          <w:rFonts w:eastAsia="Times New Roman"/>
          <w:iCs/>
          <w:sz w:val="22"/>
          <w:szCs w:val="22"/>
          <w:lang w:eastAsia="en-AU"/>
        </w:rPr>
        <w:t xml:space="preserve">(the Determination) is a legislative instrument made under section 41RA of the Act. It </w:t>
      </w:r>
      <w:r w:rsidR="004F4A93" w:rsidRPr="002E5238">
        <w:rPr>
          <w:rFonts w:eastAsia="Times New Roman"/>
          <w:iCs/>
          <w:sz w:val="22"/>
          <w:szCs w:val="22"/>
          <w:lang w:eastAsia="en-AU"/>
        </w:rPr>
        <w:t>determines</w:t>
      </w:r>
      <w:r w:rsidR="0019613D" w:rsidRPr="002E5238">
        <w:rPr>
          <w:rFonts w:eastAsia="Times New Roman"/>
          <w:iCs/>
          <w:sz w:val="22"/>
          <w:szCs w:val="22"/>
          <w:lang w:eastAsia="en-AU"/>
        </w:rPr>
        <w:t>, for the purposes of paragraph 41QB(11)(a),</w:t>
      </w:r>
      <w:r w:rsidR="004F4A93" w:rsidRPr="002E5238">
        <w:rPr>
          <w:rFonts w:eastAsia="Times New Roman"/>
          <w:iCs/>
          <w:sz w:val="22"/>
          <w:szCs w:val="22"/>
          <w:lang w:eastAsia="en-AU"/>
        </w:rPr>
        <w:t xml:space="preserve"> indications</w:t>
      </w:r>
      <w:r w:rsidR="0019613D" w:rsidRPr="002E5238">
        <w:rPr>
          <w:rFonts w:eastAsia="Times New Roman"/>
          <w:iCs/>
          <w:sz w:val="22"/>
          <w:szCs w:val="22"/>
          <w:lang w:eastAsia="en-AU"/>
        </w:rPr>
        <w:t xml:space="preserve">, other than smoking cessation or management of nicotine dependence, for which </w:t>
      </w:r>
      <w:r w:rsidR="0092343E" w:rsidRPr="002E5238">
        <w:rPr>
          <w:rFonts w:eastAsia="Times New Roman"/>
          <w:iCs/>
          <w:sz w:val="22"/>
          <w:szCs w:val="22"/>
          <w:lang w:eastAsia="en-AU"/>
        </w:rPr>
        <w:t xml:space="preserve">a </w:t>
      </w:r>
      <w:r w:rsidR="0019613D" w:rsidRPr="002E5238">
        <w:rPr>
          <w:rFonts w:eastAsia="Times New Roman"/>
          <w:iCs/>
          <w:sz w:val="22"/>
          <w:szCs w:val="22"/>
          <w:lang w:eastAsia="en-AU"/>
        </w:rPr>
        <w:t xml:space="preserve">person may </w:t>
      </w:r>
      <w:r w:rsidR="0092343E" w:rsidRPr="002E5238">
        <w:rPr>
          <w:rFonts w:eastAsia="Times New Roman"/>
          <w:iCs/>
          <w:sz w:val="22"/>
          <w:szCs w:val="22"/>
          <w:lang w:eastAsia="en-AU"/>
        </w:rPr>
        <w:t>be supplied</w:t>
      </w:r>
      <w:r w:rsidR="004F4A93" w:rsidRPr="002E5238">
        <w:rPr>
          <w:rFonts w:eastAsia="Times New Roman"/>
          <w:iCs/>
          <w:sz w:val="22"/>
          <w:szCs w:val="22"/>
          <w:lang w:eastAsia="en-AU"/>
        </w:rPr>
        <w:t xml:space="preserve"> </w:t>
      </w:r>
      <w:r w:rsidR="0092343E" w:rsidRPr="002E5238">
        <w:rPr>
          <w:rFonts w:eastAsia="Times New Roman"/>
          <w:iCs/>
          <w:sz w:val="22"/>
          <w:szCs w:val="22"/>
          <w:lang w:eastAsia="en-AU"/>
        </w:rPr>
        <w:t xml:space="preserve">a </w:t>
      </w:r>
      <w:r w:rsidR="004F4A93" w:rsidRPr="002E5238">
        <w:rPr>
          <w:rFonts w:eastAsia="Times New Roman"/>
          <w:iCs/>
          <w:sz w:val="22"/>
          <w:szCs w:val="22"/>
          <w:lang w:eastAsia="en-AU"/>
        </w:rPr>
        <w:t>vaping good</w:t>
      </w:r>
      <w:r w:rsidR="008205C9" w:rsidRPr="002E5238">
        <w:rPr>
          <w:rFonts w:eastAsia="Times New Roman"/>
          <w:iCs/>
          <w:sz w:val="22"/>
          <w:szCs w:val="22"/>
          <w:lang w:eastAsia="en-AU"/>
        </w:rPr>
        <w:t xml:space="preserve">. </w:t>
      </w:r>
      <w:r w:rsidR="001B3EE7" w:rsidRPr="002E5238">
        <w:rPr>
          <w:rFonts w:eastAsia="Times New Roman"/>
          <w:iCs/>
          <w:sz w:val="22"/>
          <w:szCs w:val="22"/>
          <w:lang w:eastAsia="en-AU"/>
        </w:rPr>
        <w:t xml:space="preserve">The effect of determining these indications is that the supply of </w:t>
      </w:r>
      <w:r w:rsidR="0092343E" w:rsidRPr="002E5238">
        <w:rPr>
          <w:rFonts w:eastAsia="Times New Roman"/>
          <w:iCs/>
          <w:sz w:val="22"/>
          <w:szCs w:val="22"/>
          <w:lang w:eastAsia="en-AU"/>
        </w:rPr>
        <w:t xml:space="preserve">a vaping </w:t>
      </w:r>
      <w:r w:rsidR="001B3EE7" w:rsidRPr="002E5238">
        <w:rPr>
          <w:rFonts w:eastAsia="Times New Roman"/>
          <w:iCs/>
          <w:sz w:val="22"/>
          <w:szCs w:val="22"/>
          <w:lang w:eastAsia="en-AU"/>
        </w:rPr>
        <w:t xml:space="preserve">good for </w:t>
      </w:r>
      <w:r w:rsidR="00B52B8C" w:rsidRPr="002E5238">
        <w:rPr>
          <w:rFonts w:eastAsia="Times New Roman"/>
          <w:iCs/>
          <w:sz w:val="22"/>
          <w:szCs w:val="22"/>
          <w:lang w:eastAsia="en-AU"/>
        </w:rPr>
        <w:t>a</w:t>
      </w:r>
      <w:r w:rsidR="001B3EE7" w:rsidRPr="002E5238">
        <w:rPr>
          <w:rFonts w:eastAsia="Times New Roman"/>
          <w:iCs/>
          <w:sz w:val="22"/>
          <w:szCs w:val="22"/>
          <w:lang w:eastAsia="en-AU"/>
        </w:rPr>
        <w:t xml:space="preserve"> determined indication will</w:t>
      </w:r>
      <w:r w:rsidR="00B52B8C" w:rsidRPr="002E5238">
        <w:rPr>
          <w:rFonts w:eastAsia="Times New Roman"/>
          <w:iCs/>
          <w:sz w:val="22"/>
          <w:szCs w:val="22"/>
          <w:lang w:eastAsia="en-AU"/>
        </w:rPr>
        <w:t>, provided all other elements of the retail supply chain exception in subsections 41QB(9)</w:t>
      </w:r>
      <w:r w:rsidR="004503B2" w:rsidRPr="002E5238">
        <w:rPr>
          <w:rFonts w:eastAsia="Times New Roman"/>
          <w:iCs/>
          <w:sz w:val="22"/>
          <w:szCs w:val="22"/>
          <w:lang w:eastAsia="en-AU"/>
        </w:rPr>
        <w:t xml:space="preserve"> to </w:t>
      </w:r>
      <w:r w:rsidR="00B52B8C" w:rsidRPr="002E5238">
        <w:rPr>
          <w:rFonts w:eastAsia="Times New Roman"/>
          <w:iCs/>
          <w:sz w:val="22"/>
          <w:szCs w:val="22"/>
          <w:lang w:eastAsia="en-AU"/>
        </w:rPr>
        <w:t xml:space="preserve">(11) apply, ensure that </w:t>
      </w:r>
      <w:r w:rsidR="005B0BD2" w:rsidRPr="002E5238">
        <w:rPr>
          <w:rFonts w:eastAsia="Times New Roman"/>
          <w:iCs/>
          <w:sz w:val="22"/>
          <w:szCs w:val="22"/>
          <w:lang w:eastAsia="en-AU"/>
        </w:rPr>
        <w:t>there will be no commission of an offence or contravention of a civil penalty in connection with that supply</w:t>
      </w:r>
      <w:r w:rsidR="001B3EE7" w:rsidRPr="002E5238">
        <w:rPr>
          <w:rFonts w:eastAsia="Times New Roman"/>
          <w:iCs/>
          <w:sz w:val="22"/>
          <w:szCs w:val="22"/>
          <w:lang w:eastAsia="en-AU"/>
        </w:rPr>
        <w:t>.</w:t>
      </w:r>
    </w:p>
    <w:p w14:paraId="0461998E" w14:textId="77777777" w:rsidR="005C2A50" w:rsidRPr="002E5238" w:rsidRDefault="005C2A50" w:rsidP="001372BC">
      <w:pPr>
        <w:autoSpaceDE w:val="0"/>
        <w:autoSpaceDN w:val="0"/>
        <w:adjustRightInd w:val="0"/>
        <w:spacing w:after="0" w:line="240" w:lineRule="auto"/>
        <w:rPr>
          <w:rFonts w:eastAsia="Times New Roman"/>
          <w:iCs/>
          <w:sz w:val="22"/>
          <w:szCs w:val="22"/>
          <w:lang w:eastAsia="en-AU"/>
        </w:rPr>
      </w:pPr>
    </w:p>
    <w:p w14:paraId="664EC1E6" w14:textId="77777777" w:rsidR="007A1965" w:rsidRPr="002E5238" w:rsidRDefault="007A1965" w:rsidP="001372BC">
      <w:pPr>
        <w:keepNext/>
        <w:autoSpaceDE w:val="0"/>
        <w:autoSpaceDN w:val="0"/>
        <w:adjustRightInd w:val="0"/>
        <w:spacing w:after="0" w:line="240" w:lineRule="auto"/>
        <w:rPr>
          <w:rFonts w:eastAsia="Times New Roman"/>
          <w:b/>
          <w:sz w:val="22"/>
          <w:szCs w:val="22"/>
          <w:lang w:eastAsia="en-AU"/>
        </w:rPr>
      </w:pPr>
      <w:bookmarkStart w:id="1" w:name="_Hlk169695797"/>
      <w:r w:rsidRPr="002E5238">
        <w:rPr>
          <w:rFonts w:eastAsia="Times New Roman"/>
          <w:b/>
          <w:sz w:val="22"/>
          <w:szCs w:val="22"/>
          <w:lang w:eastAsia="en-AU"/>
        </w:rPr>
        <w:t>Background</w:t>
      </w:r>
    </w:p>
    <w:p w14:paraId="767173DC" w14:textId="77777777" w:rsidR="007A1965" w:rsidRPr="002E5238" w:rsidRDefault="007A1965" w:rsidP="001372BC">
      <w:pPr>
        <w:keepNext/>
        <w:autoSpaceDE w:val="0"/>
        <w:autoSpaceDN w:val="0"/>
        <w:adjustRightInd w:val="0"/>
        <w:spacing w:after="0" w:line="240" w:lineRule="auto"/>
        <w:rPr>
          <w:rFonts w:eastAsia="Times New Roman"/>
          <w:sz w:val="22"/>
          <w:szCs w:val="22"/>
          <w:lang w:eastAsia="en-AU"/>
        </w:rPr>
      </w:pPr>
    </w:p>
    <w:bookmarkEnd w:id="1"/>
    <w:p w14:paraId="449DACEE"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Vaping is rapidly increasing in Australia, particularly among youth and young adults. The latest available trend data shows that among young people aged 14 years and over, current use of an e</w:t>
      </w:r>
      <w:r w:rsidRPr="006B78E6">
        <w:rPr>
          <w:rFonts w:eastAsia="Times New Roman"/>
          <w:sz w:val="22"/>
          <w:szCs w:val="22"/>
          <w:lang w:eastAsia="en-AU"/>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6FFFF595"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497D4E23"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672B7C0A"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0A4277FC"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lastRenderedPageBreak/>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3301A4B0"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6117B8DF"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 xml:space="preserve">The Government’s vaping reforms are being implemented in stages over 2024. The </w:t>
      </w:r>
      <w:r w:rsidRPr="006B78E6">
        <w:rPr>
          <w:rFonts w:eastAsia="Times New Roman"/>
          <w:i/>
          <w:iCs/>
          <w:sz w:val="22"/>
          <w:szCs w:val="22"/>
          <w:lang w:eastAsia="en-AU"/>
        </w:rPr>
        <w:t>Therapeutic Goods and Other Legislation Amendment (Vaping Reforms) Act 2024</w:t>
      </w:r>
      <w:r w:rsidRPr="006B78E6">
        <w:rPr>
          <w:rFonts w:eastAsia="Times New Roman"/>
          <w:sz w:val="22"/>
          <w:szCs w:val="22"/>
          <w:lang w:eastAsia="en-AU"/>
        </w:rPr>
        <w:t xml:space="preserve"> (the Amendment Act) is the centrepiece of these reforms to reduce rates of vaping and prevent long term adverse effects on population health. It represents the second stage of regulatory measures taken this year.</w:t>
      </w:r>
    </w:p>
    <w:p w14:paraId="661C210B"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602CA1A0"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 xml:space="preserve">The first stage of the Government’s vaping reforms comprised amendments to </w:t>
      </w:r>
      <w:r w:rsidRPr="006B78E6">
        <w:rPr>
          <w:rFonts w:eastAsia="Times New Roman"/>
          <w:i/>
          <w:iCs/>
          <w:sz w:val="22"/>
          <w:szCs w:val="22"/>
          <w:lang w:eastAsia="en-AU"/>
        </w:rPr>
        <w:t>the Customs (Prohibited Imports) Regulations 1956</w:t>
      </w:r>
      <w:r w:rsidRPr="006B78E6">
        <w:rPr>
          <w:rFonts w:eastAsia="Times New Roman"/>
          <w:sz w:val="22"/>
          <w:szCs w:val="22"/>
          <w:lang w:eastAsia="en-AU"/>
        </w:rPr>
        <w:t xml:space="preserve">, </w:t>
      </w:r>
      <w:r w:rsidRPr="006B78E6">
        <w:rPr>
          <w:rFonts w:eastAsia="Times New Roman"/>
          <w:i/>
          <w:iCs/>
          <w:sz w:val="22"/>
          <w:szCs w:val="22"/>
          <w:lang w:eastAsia="en-AU"/>
        </w:rPr>
        <w:t>Therapeutic Goods Regulations 1990</w:t>
      </w:r>
      <w:r w:rsidRPr="006B78E6">
        <w:rPr>
          <w:rFonts w:eastAsia="Times New Roman"/>
          <w:sz w:val="22"/>
          <w:szCs w:val="22"/>
          <w:lang w:eastAsia="en-AU"/>
        </w:rPr>
        <w:t xml:space="preserve"> and </w:t>
      </w:r>
      <w:r w:rsidRPr="006B78E6">
        <w:rPr>
          <w:rFonts w:eastAsia="Times New Roman"/>
          <w:i/>
          <w:iCs/>
          <w:sz w:val="22"/>
          <w:szCs w:val="22"/>
          <w:lang w:eastAsia="en-AU"/>
        </w:rPr>
        <w:t>Therapeutic Goods (Medical Devices) Regulations 2002</w:t>
      </w:r>
      <w:r w:rsidRPr="006B78E6">
        <w:rPr>
          <w:rFonts w:eastAsia="Times New Roman"/>
          <w:sz w:val="22"/>
          <w:szCs w:val="22"/>
          <w:lang w:eastAsia="en-AU"/>
        </w:rPr>
        <w:t>. These amendments commenced on 1 January 2024 and introduced the following changes:</w:t>
      </w:r>
    </w:p>
    <w:p w14:paraId="2B414FEB"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03A3A738" w14:textId="77777777" w:rsidR="00FD40FE" w:rsidRPr="006B78E6" w:rsidRDefault="00FD40FE" w:rsidP="00FD40FE">
      <w:pPr>
        <w:pStyle w:val="ListParagraph"/>
        <w:numPr>
          <w:ilvl w:val="0"/>
          <w:numId w:val="6"/>
        </w:num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3852AF57" w14:textId="77777777" w:rsidR="00FD40FE" w:rsidRPr="006B78E6" w:rsidRDefault="00FD40FE" w:rsidP="00FD40FE">
      <w:pPr>
        <w:pStyle w:val="ListParagraph"/>
        <w:autoSpaceDE w:val="0"/>
        <w:autoSpaceDN w:val="0"/>
        <w:adjustRightInd w:val="0"/>
        <w:spacing w:after="0" w:line="240" w:lineRule="auto"/>
        <w:rPr>
          <w:rFonts w:eastAsia="Times New Roman"/>
          <w:sz w:val="22"/>
          <w:szCs w:val="22"/>
          <w:lang w:eastAsia="en-AU"/>
        </w:rPr>
      </w:pPr>
    </w:p>
    <w:p w14:paraId="571D6596" w14:textId="77777777" w:rsidR="00FD40FE" w:rsidRPr="006B78E6" w:rsidRDefault="00FD40FE" w:rsidP="00FD40FE">
      <w:pPr>
        <w:pStyle w:val="ListParagraph"/>
        <w:numPr>
          <w:ilvl w:val="0"/>
          <w:numId w:val="6"/>
        </w:num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1DCF0230" w14:textId="77777777" w:rsidR="00FD40FE" w:rsidRPr="006B78E6" w:rsidRDefault="00FD40FE" w:rsidP="00FD40FE">
      <w:pPr>
        <w:pStyle w:val="ListParagraph"/>
        <w:autoSpaceDE w:val="0"/>
        <w:autoSpaceDN w:val="0"/>
        <w:adjustRightInd w:val="0"/>
        <w:spacing w:after="0" w:line="240" w:lineRule="auto"/>
        <w:rPr>
          <w:rFonts w:eastAsia="Times New Roman"/>
          <w:sz w:val="22"/>
          <w:szCs w:val="22"/>
          <w:lang w:eastAsia="en-AU"/>
        </w:rPr>
      </w:pPr>
    </w:p>
    <w:p w14:paraId="2993A4FC" w14:textId="77777777" w:rsidR="00FD40FE" w:rsidRPr="006B78E6" w:rsidRDefault="00FD40FE" w:rsidP="00FD40FE">
      <w:pPr>
        <w:pStyle w:val="ListParagraph"/>
        <w:numPr>
          <w:ilvl w:val="0"/>
          <w:numId w:val="6"/>
        </w:num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202D1E35"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7DEC95BE" w14:textId="0BE9A740"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The Amendment Act, commencing on 1 July 2024, implement</w:t>
      </w:r>
      <w:r w:rsidR="00341AB5">
        <w:rPr>
          <w:rFonts w:eastAsia="Times New Roman"/>
          <w:sz w:val="22"/>
          <w:szCs w:val="22"/>
          <w:lang w:eastAsia="en-AU"/>
        </w:rPr>
        <w:t>s</w:t>
      </w:r>
      <w:r w:rsidRPr="006B78E6">
        <w:rPr>
          <w:rFonts w:eastAsia="Times New Roman"/>
          <w:sz w:val="22"/>
          <w:szCs w:val="22"/>
          <w:lang w:eastAsia="en-AU"/>
        </w:rPr>
        <w:t xml:space="preserve"> the second stage of reforms to the regulation of vaping goods, principally to prohibit the importation, manufacture</w:t>
      </w:r>
      <w:r w:rsidR="00341AB5">
        <w:rPr>
          <w:rFonts w:eastAsia="Times New Roman"/>
          <w:sz w:val="22"/>
          <w:szCs w:val="22"/>
          <w:lang w:eastAsia="en-AU"/>
        </w:rPr>
        <w:t>,</w:t>
      </w:r>
      <w:r w:rsidR="00404931">
        <w:rPr>
          <w:rFonts w:eastAsia="Times New Roman"/>
          <w:sz w:val="22"/>
          <w:szCs w:val="22"/>
          <w:lang w:eastAsia="en-AU"/>
        </w:rPr>
        <w:t xml:space="preserve"> supply,</w:t>
      </w:r>
      <w:r w:rsidR="00341AB5">
        <w:rPr>
          <w:rFonts w:eastAsia="Times New Roman"/>
          <w:sz w:val="22"/>
          <w:szCs w:val="22"/>
          <w:lang w:eastAsia="en-AU"/>
        </w:rPr>
        <w:t xml:space="preserve"> commercial possession</w:t>
      </w:r>
      <w:r w:rsidR="00404931">
        <w:rPr>
          <w:rFonts w:eastAsia="Times New Roman"/>
          <w:sz w:val="22"/>
          <w:szCs w:val="22"/>
          <w:lang w:eastAsia="en-AU"/>
        </w:rPr>
        <w:t xml:space="preserve"> and</w:t>
      </w:r>
      <w:r w:rsidR="00341AB5">
        <w:rPr>
          <w:rFonts w:eastAsia="Times New Roman"/>
          <w:sz w:val="22"/>
          <w:szCs w:val="22"/>
          <w:lang w:eastAsia="en-AU"/>
        </w:rPr>
        <w:t xml:space="preserve"> advertisement</w:t>
      </w:r>
      <w:r w:rsidRPr="006B78E6">
        <w:rPr>
          <w:rFonts w:eastAsia="Times New Roman"/>
          <w:sz w:val="22"/>
          <w:szCs w:val="22"/>
          <w:lang w:eastAsia="en-AU"/>
        </w:rPr>
        <w:t xml:space="preserve"> of vaping goods in Australia unless certain requirements under the Act are met. </w:t>
      </w:r>
      <w:r w:rsidR="00341AB5">
        <w:rPr>
          <w:rFonts w:eastAsia="Times New Roman"/>
          <w:sz w:val="22"/>
          <w:szCs w:val="22"/>
          <w:lang w:eastAsia="en-AU"/>
        </w:rPr>
        <w:t xml:space="preserve">Therapeutic vaping goods that meet regulatory requirements for therapeutic goods under the Act will continue to be available where clinically appropriate. </w:t>
      </w:r>
      <w:r w:rsidRPr="006B78E6">
        <w:rPr>
          <w:rFonts w:eastAsia="Times New Roman"/>
          <w:sz w:val="22"/>
          <w:szCs w:val="22"/>
          <w:lang w:eastAsia="en-AU"/>
        </w:rPr>
        <w:t>The reforms align with the Government’s broader objective to significantly reduce the use of tobacco and nicotine products in Australia by 2030, as outlined in the National Tobacco Strategy 2023-2030.</w:t>
      </w:r>
    </w:p>
    <w:p w14:paraId="47ADA99D" w14:textId="77777777" w:rsidR="00E96022" w:rsidRPr="002E5238" w:rsidRDefault="00E96022" w:rsidP="001372BC">
      <w:pPr>
        <w:keepNext/>
        <w:autoSpaceDE w:val="0"/>
        <w:autoSpaceDN w:val="0"/>
        <w:adjustRightInd w:val="0"/>
        <w:spacing w:after="0" w:line="240" w:lineRule="auto"/>
        <w:rPr>
          <w:rFonts w:eastAsia="Times New Roman"/>
          <w:bCs/>
          <w:sz w:val="22"/>
          <w:szCs w:val="22"/>
          <w:lang w:eastAsia="en-AU"/>
        </w:rPr>
      </w:pPr>
    </w:p>
    <w:p w14:paraId="0009B8F1" w14:textId="4FB40196" w:rsidR="007A1965" w:rsidRPr="002E5238" w:rsidRDefault="007A1965" w:rsidP="001372BC">
      <w:pPr>
        <w:keepNext/>
        <w:autoSpaceDE w:val="0"/>
        <w:autoSpaceDN w:val="0"/>
        <w:adjustRightInd w:val="0"/>
        <w:spacing w:after="0" w:line="240" w:lineRule="auto"/>
        <w:rPr>
          <w:rFonts w:eastAsia="Times New Roman"/>
          <w:b/>
          <w:sz w:val="22"/>
          <w:szCs w:val="22"/>
          <w:lang w:eastAsia="en-AU"/>
        </w:rPr>
      </w:pPr>
      <w:r w:rsidRPr="002E5238">
        <w:rPr>
          <w:rFonts w:eastAsia="Times New Roman"/>
          <w:b/>
          <w:sz w:val="22"/>
          <w:szCs w:val="22"/>
          <w:lang w:eastAsia="en-AU"/>
        </w:rPr>
        <w:t>Purpose</w:t>
      </w:r>
    </w:p>
    <w:p w14:paraId="1008A1E9" w14:textId="77777777" w:rsidR="007A1965" w:rsidRPr="002E5238" w:rsidRDefault="007A1965" w:rsidP="001372BC">
      <w:pPr>
        <w:keepNext/>
        <w:autoSpaceDE w:val="0"/>
        <w:autoSpaceDN w:val="0"/>
        <w:adjustRightInd w:val="0"/>
        <w:spacing w:after="0" w:line="240" w:lineRule="auto"/>
        <w:rPr>
          <w:rFonts w:eastAsia="Times New Roman"/>
          <w:sz w:val="22"/>
          <w:szCs w:val="22"/>
          <w:lang w:eastAsia="en-AU"/>
        </w:rPr>
      </w:pPr>
    </w:p>
    <w:p w14:paraId="7092C431" w14:textId="0BEC4E3A" w:rsidR="003366C8" w:rsidRPr="002E5238" w:rsidRDefault="007A1965" w:rsidP="001372BC">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 xml:space="preserve">The Determination is made under section </w:t>
      </w:r>
      <w:r w:rsidR="00E12E98" w:rsidRPr="002E5238">
        <w:rPr>
          <w:rFonts w:eastAsia="Times New Roman"/>
          <w:sz w:val="22"/>
          <w:szCs w:val="22"/>
          <w:lang w:eastAsia="en-AU"/>
        </w:rPr>
        <w:t>41R</w:t>
      </w:r>
      <w:r w:rsidR="004F4A93" w:rsidRPr="002E5238">
        <w:rPr>
          <w:rFonts w:eastAsia="Times New Roman"/>
          <w:sz w:val="22"/>
          <w:szCs w:val="22"/>
          <w:lang w:eastAsia="en-AU"/>
        </w:rPr>
        <w:t>A</w:t>
      </w:r>
      <w:r w:rsidRPr="002E5238">
        <w:rPr>
          <w:rFonts w:eastAsia="Times New Roman"/>
          <w:sz w:val="22"/>
          <w:szCs w:val="22"/>
          <w:lang w:eastAsia="en-AU"/>
        </w:rPr>
        <w:t xml:space="preserve"> of the Act. </w:t>
      </w:r>
      <w:r w:rsidR="001B1C9C" w:rsidRPr="002E5238">
        <w:rPr>
          <w:rFonts w:eastAsia="Times New Roman"/>
          <w:sz w:val="22"/>
          <w:szCs w:val="22"/>
          <w:lang w:eastAsia="en-AU"/>
        </w:rPr>
        <w:t xml:space="preserve">It determines, for the purposes of </w:t>
      </w:r>
      <w:bookmarkStart w:id="2" w:name="_Hlk170310253"/>
      <w:r w:rsidR="001B1C9C" w:rsidRPr="002E5238">
        <w:rPr>
          <w:rFonts w:eastAsia="Times New Roman"/>
          <w:sz w:val="22"/>
          <w:szCs w:val="22"/>
          <w:lang w:eastAsia="en-AU"/>
        </w:rPr>
        <w:t>paragraph 41QB(11)(a</w:t>
      </w:r>
      <w:bookmarkEnd w:id="2"/>
      <w:r w:rsidR="001B1C9C" w:rsidRPr="002E5238">
        <w:rPr>
          <w:rFonts w:eastAsia="Times New Roman"/>
          <w:sz w:val="22"/>
          <w:szCs w:val="22"/>
          <w:lang w:eastAsia="en-AU"/>
        </w:rPr>
        <w:t>), indications</w:t>
      </w:r>
      <w:r w:rsidR="00FA27F9" w:rsidRPr="002E5238">
        <w:rPr>
          <w:rFonts w:eastAsia="Times New Roman"/>
          <w:sz w:val="22"/>
          <w:szCs w:val="22"/>
          <w:lang w:eastAsia="en-AU"/>
        </w:rPr>
        <w:t>,</w:t>
      </w:r>
      <w:r w:rsidR="001B1C9C" w:rsidRPr="002E5238">
        <w:rPr>
          <w:rFonts w:eastAsia="Times New Roman"/>
          <w:sz w:val="22"/>
          <w:szCs w:val="22"/>
          <w:lang w:eastAsia="en-AU"/>
        </w:rPr>
        <w:t xml:space="preserve"> other than smoking cessation or </w:t>
      </w:r>
      <w:r w:rsidR="00FA27F9" w:rsidRPr="002E5238">
        <w:rPr>
          <w:rFonts w:eastAsia="Times New Roman"/>
          <w:sz w:val="22"/>
          <w:szCs w:val="22"/>
          <w:lang w:eastAsia="en-AU"/>
        </w:rPr>
        <w:t xml:space="preserve">the </w:t>
      </w:r>
      <w:r w:rsidR="001B1C9C" w:rsidRPr="002E5238">
        <w:rPr>
          <w:rFonts w:eastAsia="Times New Roman"/>
          <w:sz w:val="22"/>
          <w:szCs w:val="22"/>
          <w:lang w:eastAsia="en-AU"/>
        </w:rPr>
        <w:t>management of nicotine dependence, for which persons may use vaping goods</w:t>
      </w:r>
      <w:r w:rsidR="00735E7D" w:rsidRPr="002E5238">
        <w:rPr>
          <w:rFonts w:eastAsia="Times New Roman"/>
          <w:sz w:val="22"/>
          <w:szCs w:val="22"/>
          <w:lang w:eastAsia="en-AU"/>
        </w:rPr>
        <w:t xml:space="preserve"> </w:t>
      </w:r>
      <w:r w:rsidR="007B0F33" w:rsidRPr="002E5238">
        <w:rPr>
          <w:rFonts w:eastAsia="Times New Roman"/>
          <w:sz w:val="22"/>
          <w:szCs w:val="22"/>
          <w:lang w:eastAsia="en-AU"/>
        </w:rPr>
        <w:t xml:space="preserve">that are </w:t>
      </w:r>
      <w:r w:rsidR="00F32F69" w:rsidRPr="002E5238">
        <w:rPr>
          <w:rFonts w:eastAsia="Times New Roman"/>
          <w:sz w:val="22"/>
          <w:szCs w:val="22"/>
          <w:lang w:eastAsia="en-AU"/>
        </w:rPr>
        <w:t xml:space="preserve">supplied under established pathways for </w:t>
      </w:r>
      <w:r w:rsidR="000B4F92" w:rsidRPr="002E5238">
        <w:rPr>
          <w:rFonts w:eastAsia="Times New Roman"/>
          <w:sz w:val="22"/>
          <w:szCs w:val="22"/>
          <w:lang w:eastAsia="en-AU"/>
        </w:rPr>
        <w:t xml:space="preserve">lawfully accessing </w:t>
      </w:r>
      <w:r w:rsidR="00F32F69" w:rsidRPr="002E5238">
        <w:rPr>
          <w:rFonts w:eastAsia="Times New Roman"/>
          <w:sz w:val="22"/>
          <w:szCs w:val="22"/>
          <w:lang w:eastAsia="en-AU"/>
        </w:rPr>
        <w:t xml:space="preserve">unapproved </w:t>
      </w:r>
      <w:r w:rsidR="000B4F92" w:rsidRPr="002E5238">
        <w:rPr>
          <w:rFonts w:eastAsia="Times New Roman"/>
          <w:sz w:val="22"/>
          <w:szCs w:val="22"/>
          <w:lang w:eastAsia="en-AU"/>
        </w:rPr>
        <w:t xml:space="preserve">therapeutic </w:t>
      </w:r>
      <w:r w:rsidR="00F32F69" w:rsidRPr="002E5238">
        <w:rPr>
          <w:rFonts w:eastAsia="Times New Roman"/>
          <w:sz w:val="22"/>
          <w:szCs w:val="22"/>
          <w:lang w:eastAsia="en-AU"/>
        </w:rPr>
        <w:t>goods</w:t>
      </w:r>
      <w:r w:rsidR="004503B2" w:rsidRPr="002E5238">
        <w:rPr>
          <w:rFonts w:eastAsia="Times New Roman"/>
          <w:sz w:val="22"/>
          <w:szCs w:val="22"/>
          <w:lang w:eastAsia="en-AU"/>
        </w:rPr>
        <w:t xml:space="preserve"> under the Act</w:t>
      </w:r>
      <w:r w:rsidR="001B1C9C" w:rsidRPr="002E5238">
        <w:rPr>
          <w:rFonts w:eastAsia="Times New Roman"/>
          <w:sz w:val="22"/>
          <w:szCs w:val="22"/>
          <w:lang w:eastAsia="en-AU"/>
        </w:rPr>
        <w:t>.</w:t>
      </w:r>
    </w:p>
    <w:p w14:paraId="61D4F693" w14:textId="77777777" w:rsidR="008205C9" w:rsidRPr="002E5238" w:rsidRDefault="008205C9" w:rsidP="001372BC">
      <w:pPr>
        <w:autoSpaceDE w:val="0"/>
        <w:autoSpaceDN w:val="0"/>
        <w:adjustRightInd w:val="0"/>
        <w:spacing w:after="0" w:line="240" w:lineRule="auto"/>
        <w:rPr>
          <w:rFonts w:eastAsia="Times New Roman"/>
          <w:sz w:val="22"/>
          <w:szCs w:val="22"/>
          <w:lang w:eastAsia="en-AU"/>
        </w:rPr>
      </w:pPr>
    </w:p>
    <w:p w14:paraId="64617A0D" w14:textId="0CDED7D7" w:rsidR="001372BC" w:rsidRPr="002E5238" w:rsidRDefault="004503B2" w:rsidP="001372BC">
      <w:pPr>
        <w:spacing w:after="0" w:line="240" w:lineRule="auto"/>
        <w:rPr>
          <w:rFonts w:eastAsia="Times New Roman"/>
          <w:iCs/>
          <w:sz w:val="22"/>
          <w:szCs w:val="22"/>
          <w:lang w:eastAsia="en-AU"/>
        </w:rPr>
      </w:pPr>
      <w:r w:rsidRPr="002E5238">
        <w:rPr>
          <w:rFonts w:eastAsia="Times New Roman"/>
          <w:iCs/>
          <w:sz w:val="22"/>
          <w:szCs w:val="22"/>
          <w:lang w:eastAsia="en-AU"/>
        </w:rPr>
        <w:t xml:space="preserve">In relation to </w:t>
      </w:r>
      <w:r w:rsidR="001372BC" w:rsidRPr="002E5238">
        <w:rPr>
          <w:rFonts w:eastAsia="Times New Roman"/>
          <w:iCs/>
          <w:sz w:val="22"/>
          <w:szCs w:val="22"/>
          <w:lang w:eastAsia="en-AU"/>
        </w:rPr>
        <w:t>vaping good</w:t>
      </w:r>
      <w:r w:rsidRPr="002E5238">
        <w:rPr>
          <w:rFonts w:eastAsia="Times New Roman"/>
          <w:iCs/>
          <w:sz w:val="22"/>
          <w:szCs w:val="22"/>
          <w:lang w:eastAsia="en-AU"/>
        </w:rPr>
        <w:t>s</w:t>
      </w:r>
      <w:r w:rsidR="001372BC" w:rsidRPr="002E5238">
        <w:rPr>
          <w:rFonts w:eastAsia="Times New Roman"/>
          <w:iCs/>
          <w:sz w:val="22"/>
          <w:szCs w:val="22"/>
          <w:lang w:eastAsia="en-AU"/>
        </w:rPr>
        <w:t xml:space="preserve"> </w:t>
      </w:r>
      <w:r w:rsidRPr="002E5238">
        <w:rPr>
          <w:rFonts w:eastAsia="Times New Roman"/>
          <w:iCs/>
          <w:sz w:val="22"/>
          <w:szCs w:val="22"/>
          <w:lang w:eastAsia="en-AU"/>
        </w:rPr>
        <w:t xml:space="preserve">that are intended to be </w:t>
      </w:r>
      <w:r w:rsidR="001372BC" w:rsidRPr="002E5238">
        <w:rPr>
          <w:rFonts w:eastAsia="Times New Roman"/>
          <w:iCs/>
          <w:sz w:val="22"/>
          <w:szCs w:val="22"/>
          <w:lang w:eastAsia="en-AU"/>
        </w:rPr>
        <w:t>use</w:t>
      </w:r>
      <w:r w:rsidRPr="002E5238">
        <w:rPr>
          <w:rFonts w:eastAsia="Times New Roman"/>
          <w:iCs/>
          <w:sz w:val="22"/>
          <w:szCs w:val="22"/>
          <w:lang w:eastAsia="en-AU"/>
        </w:rPr>
        <w:t>d</w:t>
      </w:r>
      <w:r w:rsidR="001372BC" w:rsidRPr="002E5238">
        <w:rPr>
          <w:rFonts w:eastAsia="Times New Roman"/>
          <w:iCs/>
          <w:sz w:val="22"/>
          <w:szCs w:val="22"/>
          <w:lang w:eastAsia="en-AU"/>
        </w:rPr>
        <w:t xml:space="preserve"> in a clinical trial</w:t>
      </w:r>
      <w:r w:rsidR="001372BC" w:rsidRPr="002E5238">
        <w:rPr>
          <w:rFonts w:eastAsia="Times New Roman"/>
          <w:bCs/>
          <w:sz w:val="22"/>
          <w:szCs w:val="22"/>
          <w:lang w:eastAsia="en-AU"/>
        </w:rPr>
        <w:t xml:space="preserve">, </w:t>
      </w:r>
      <w:r w:rsidR="001372BC" w:rsidRPr="002E5238">
        <w:rPr>
          <w:rFonts w:eastAsia="Times New Roman"/>
          <w:iCs/>
          <w:sz w:val="22"/>
          <w:szCs w:val="22"/>
          <w:lang w:eastAsia="en-AU"/>
        </w:rPr>
        <w:t>the indications that are determined are as follows:</w:t>
      </w:r>
    </w:p>
    <w:p w14:paraId="0A942BC1" w14:textId="77777777" w:rsidR="001372BC" w:rsidRPr="002E5238" w:rsidRDefault="001372BC" w:rsidP="001372BC">
      <w:pPr>
        <w:pStyle w:val="ListParagraph"/>
        <w:numPr>
          <w:ilvl w:val="0"/>
          <w:numId w:val="10"/>
        </w:numPr>
        <w:spacing w:after="0" w:line="240" w:lineRule="auto"/>
        <w:rPr>
          <w:rFonts w:eastAsia="Times New Roman"/>
          <w:bCs/>
          <w:sz w:val="22"/>
          <w:szCs w:val="22"/>
          <w:lang w:eastAsia="en-AU"/>
        </w:rPr>
      </w:pPr>
      <w:r w:rsidRPr="002E5238">
        <w:rPr>
          <w:rFonts w:eastAsia="Times New Roman"/>
          <w:bCs/>
          <w:sz w:val="22"/>
          <w:szCs w:val="22"/>
          <w:lang w:eastAsia="en-AU"/>
        </w:rPr>
        <w:t>for goods approved under paragraph 19(1)(b) or paragraph 41HB(1)(e) of the Act—the indications specified in the approval;</w:t>
      </w:r>
    </w:p>
    <w:p w14:paraId="715F3538" w14:textId="77777777" w:rsidR="001372BC" w:rsidRPr="002E5238" w:rsidRDefault="001372BC" w:rsidP="001372BC">
      <w:pPr>
        <w:pStyle w:val="ListParagraph"/>
        <w:numPr>
          <w:ilvl w:val="0"/>
          <w:numId w:val="10"/>
        </w:numPr>
        <w:spacing w:after="0" w:line="240" w:lineRule="auto"/>
        <w:rPr>
          <w:rFonts w:eastAsia="Times New Roman"/>
          <w:bCs/>
          <w:sz w:val="22"/>
          <w:szCs w:val="22"/>
          <w:lang w:eastAsia="en-AU"/>
        </w:rPr>
      </w:pPr>
      <w:r w:rsidRPr="002E5238">
        <w:rPr>
          <w:rFonts w:eastAsia="Times New Roman"/>
          <w:bCs/>
          <w:sz w:val="22"/>
          <w:szCs w:val="22"/>
          <w:lang w:eastAsia="en-AU"/>
        </w:rPr>
        <w:t>for goods exempt under item 3 of Schedule 5A to the Regulations or item 2.3 in Part 2 of Schedule 4 to the MD Regulations—the indications set out in the notice, about the trial and the therapeutic goods covered by the trial, referred to in that item.</w:t>
      </w:r>
    </w:p>
    <w:p w14:paraId="6C89A8B1" w14:textId="77777777" w:rsidR="001372BC" w:rsidRPr="002E5238" w:rsidRDefault="001372BC" w:rsidP="001372BC">
      <w:pPr>
        <w:spacing w:after="0" w:line="240" w:lineRule="auto"/>
        <w:rPr>
          <w:rFonts w:eastAsia="Times New Roman"/>
          <w:bCs/>
          <w:sz w:val="22"/>
          <w:szCs w:val="22"/>
          <w:lang w:eastAsia="en-AU"/>
        </w:rPr>
      </w:pPr>
    </w:p>
    <w:p w14:paraId="7819782C" w14:textId="2F642427" w:rsidR="001372BC" w:rsidRPr="002E5238" w:rsidRDefault="001372BC" w:rsidP="001372BC">
      <w:pPr>
        <w:spacing w:after="0" w:line="240" w:lineRule="auto"/>
        <w:rPr>
          <w:rFonts w:eastAsia="Times New Roman"/>
          <w:bCs/>
          <w:sz w:val="22"/>
          <w:szCs w:val="22"/>
          <w:lang w:eastAsia="en-AU"/>
        </w:rPr>
      </w:pPr>
      <w:r w:rsidRPr="002E5238">
        <w:rPr>
          <w:rFonts w:eastAsia="Times New Roman"/>
          <w:iCs/>
          <w:sz w:val="22"/>
          <w:szCs w:val="22"/>
          <w:lang w:eastAsia="en-AU"/>
        </w:rPr>
        <w:t>This has the effect that a vaping good of any kind can be supplied for use in clinical trials, for indications other than smoking cessation or the management of nicotine addiction, and remain eligible for the supply chain exception</w:t>
      </w:r>
      <w:r w:rsidR="004503B2" w:rsidRPr="002E5238">
        <w:rPr>
          <w:rFonts w:eastAsia="Times New Roman"/>
          <w:iCs/>
          <w:sz w:val="22"/>
          <w:szCs w:val="22"/>
          <w:lang w:eastAsia="en-AU"/>
        </w:rPr>
        <w:t>s</w:t>
      </w:r>
      <w:r w:rsidRPr="002E5238">
        <w:rPr>
          <w:rFonts w:eastAsia="Times New Roman"/>
          <w:iCs/>
          <w:sz w:val="22"/>
          <w:szCs w:val="22"/>
          <w:lang w:eastAsia="en-AU"/>
        </w:rPr>
        <w:t xml:space="preserve"> in subsections 41QB(9)</w:t>
      </w:r>
      <w:r w:rsidR="004503B2" w:rsidRPr="002E5238">
        <w:rPr>
          <w:rFonts w:eastAsia="Times New Roman"/>
          <w:iCs/>
          <w:sz w:val="22"/>
          <w:szCs w:val="22"/>
          <w:lang w:eastAsia="en-AU"/>
        </w:rPr>
        <w:t xml:space="preserve"> to </w:t>
      </w:r>
      <w:r w:rsidRPr="002E5238">
        <w:rPr>
          <w:rFonts w:eastAsia="Times New Roman"/>
          <w:iCs/>
          <w:sz w:val="22"/>
          <w:szCs w:val="22"/>
          <w:lang w:eastAsia="en-AU"/>
        </w:rPr>
        <w:t>(11) of the Act.</w:t>
      </w:r>
    </w:p>
    <w:p w14:paraId="2538741B" w14:textId="77777777" w:rsidR="001372BC" w:rsidRPr="002E5238" w:rsidRDefault="001372BC" w:rsidP="001372BC">
      <w:pPr>
        <w:autoSpaceDE w:val="0"/>
        <w:autoSpaceDN w:val="0"/>
        <w:adjustRightInd w:val="0"/>
        <w:spacing w:after="0" w:line="240" w:lineRule="auto"/>
        <w:rPr>
          <w:rFonts w:eastAsia="Times New Roman"/>
          <w:sz w:val="22"/>
          <w:szCs w:val="22"/>
          <w:lang w:eastAsia="en-AU"/>
        </w:rPr>
      </w:pPr>
    </w:p>
    <w:p w14:paraId="5597B2A0" w14:textId="06C5B8FA" w:rsidR="008205C9" w:rsidRPr="002E5238" w:rsidRDefault="004503B2" w:rsidP="001372BC">
      <w:pPr>
        <w:autoSpaceDE w:val="0"/>
        <w:autoSpaceDN w:val="0"/>
        <w:adjustRightInd w:val="0"/>
        <w:spacing w:after="0" w:line="240" w:lineRule="auto"/>
        <w:rPr>
          <w:sz w:val="22"/>
          <w:szCs w:val="22"/>
          <w:lang w:eastAsia="en-AU"/>
        </w:rPr>
      </w:pPr>
      <w:r w:rsidRPr="002E5238">
        <w:rPr>
          <w:rFonts w:eastAsia="Times New Roman"/>
          <w:sz w:val="22"/>
          <w:szCs w:val="22"/>
          <w:lang w:eastAsia="en-AU"/>
        </w:rPr>
        <w:t>In relation to</w:t>
      </w:r>
      <w:r w:rsidR="008205C9" w:rsidRPr="002E5238">
        <w:rPr>
          <w:rFonts w:eastAsia="Times New Roman"/>
          <w:sz w:val="22"/>
          <w:szCs w:val="22"/>
          <w:lang w:eastAsia="en-AU"/>
        </w:rPr>
        <w:t xml:space="preserve"> </w:t>
      </w:r>
      <w:r w:rsidRPr="002E5238">
        <w:rPr>
          <w:rFonts w:eastAsia="Times New Roman"/>
          <w:sz w:val="22"/>
          <w:szCs w:val="22"/>
          <w:lang w:eastAsia="en-AU"/>
        </w:rPr>
        <w:t xml:space="preserve">medicinal cannabis vaping goods and in relation to </w:t>
      </w:r>
      <w:r w:rsidR="008205C9" w:rsidRPr="002E5238">
        <w:rPr>
          <w:rFonts w:eastAsia="Times New Roman"/>
          <w:sz w:val="22"/>
          <w:szCs w:val="22"/>
          <w:lang w:eastAsia="en-AU"/>
        </w:rPr>
        <w:t>vaping substance</w:t>
      </w:r>
      <w:r w:rsidRPr="002E5238">
        <w:rPr>
          <w:rFonts w:eastAsia="Times New Roman"/>
          <w:sz w:val="22"/>
          <w:szCs w:val="22"/>
          <w:lang w:eastAsia="en-AU"/>
        </w:rPr>
        <w:t>s</w:t>
      </w:r>
      <w:r w:rsidR="008205C9" w:rsidRPr="002E5238">
        <w:rPr>
          <w:rFonts w:eastAsia="Times New Roman"/>
          <w:sz w:val="22"/>
          <w:szCs w:val="22"/>
          <w:lang w:eastAsia="en-AU"/>
        </w:rPr>
        <w:t xml:space="preserve"> that </w:t>
      </w:r>
      <w:r w:rsidRPr="002E5238">
        <w:rPr>
          <w:rFonts w:eastAsia="Times New Roman"/>
          <w:sz w:val="22"/>
          <w:szCs w:val="22"/>
          <w:lang w:eastAsia="en-AU"/>
        </w:rPr>
        <w:t>are</w:t>
      </w:r>
      <w:r w:rsidR="008205C9" w:rsidRPr="002E5238">
        <w:rPr>
          <w:rFonts w:eastAsia="Times New Roman"/>
          <w:sz w:val="22"/>
          <w:szCs w:val="22"/>
          <w:lang w:eastAsia="en-AU"/>
        </w:rPr>
        <w:t xml:space="preserve"> </w:t>
      </w:r>
      <w:r w:rsidRPr="002E5238">
        <w:rPr>
          <w:rFonts w:eastAsia="Times New Roman"/>
          <w:sz w:val="22"/>
          <w:szCs w:val="22"/>
          <w:lang w:eastAsia="en-AU"/>
        </w:rPr>
        <w:t xml:space="preserve">a </w:t>
      </w:r>
      <w:r w:rsidR="008205C9" w:rsidRPr="002E5238">
        <w:rPr>
          <w:rFonts w:eastAsia="Times New Roman"/>
          <w:sz w:val="22"/>
          <w:szCs w:val="22"/>
          <w:lang w:eastAsia="en-AU"/>
        </w:rPr>
        <w:t>medicinal cannabis product or a medicine that contains synthetic cannabis</w:t>
      </w:r>
      <w:r w:rsidR="009A2682" w:rsidRPr="002E5238">
        <w:rPr>
          <w:rFonts w:eastAsia="Times New Roman"/>
          <w:sz w:val="22"/>
          <w:szCs w:val="22"/>
          <w:lang w:eastAsia="en-AU"/>
        </w:rPr>
        <w:t xml:space="preserve">, </w:t>
      </w:r>
      <w:r w:rsidR="00663FE6" w:rsidRPr="002E5238">
        <w:rPr>
          <w:rFonts w:eastAsia="Times New Roman"/>
          <w:sz w:val="22"/>
          <w:szCs w:val="22"/>
          <w:lang w:eastAsia="en-AU"/>
        </w:rPr>
        <w:t>the indications that are determined are as follows:</w:t>
      </w:r>
    </w:p>
    <w:p w14:paraId="37AC7BCB" w14:textId="59C54CB0" w:rsidR="008205C9" w:rsidRPr="002E5238" w:rsidRDefault="008205C9" w:rsidP="001372BC">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w:t>
      </w:r>
      <w:r w:rsidR="00663FE6" w:rsidRPr="002E5238">
        <w:rPr>
          <w:rFonts w:eastAsia="Times New Roman"/>
          <w:bCs/>
          <w:sz w:val="22"/>
          <w:szCs w:val="22"/>
          <w:lang w:eastAsia="en-AU"/>
        </w:rPr>
        <w:t xml:space="preserve"> </w:t>
      </w:r>
      <w:r w:rsidR="009A2682" w:rsidRPr="002E5238">
        <w:rPr>
          <w:rFonts w:eastAsia="Times New Roman"/>
          <w:bCs/>
          <w:sz w:val="22"/>
          <w:szCs w:val="22"/>
          <w:lang w:eastAsia="en-AU"/>
        </w:rPr>
        <w:t>that are</w:t>
      </w:r>
      <w:r w:rsidR="00663FE6" w:rsidRPr="002E5238">
        <w:rPr>
          <w:rFonts w:eastAsia="Times New Roman"/>
          <w:bCs/>
          <w:sz w:val="22"/>
          <w:szCs w:val="22"/>
          <w:lang w:eastAsia="en-AU"/>
        </w:rPr>
        <w:t xml:space="preserve"> included in the </w:t>
      </w:r>
      <w:r w:rsidR="003366C8" w:rsidRPr="002E5238">
        <w:rPr>
          <w:rFonts w:eastAsia="Times New Roman"/>
          <w:bCs/>
          <w:sz w:val="22"/>
          <w:szCs w:val="22"/>
          <w:lang w:eastAsia="en-AU"/>
        </w:rPr>
        <w:t>Australian Register of Therapeutic Goods (the Register)</w:t>
      </w:r>
      <w:r w:rsidRPr="002E5238">
        <w:rPr>
          <w:rFonts w:eastAsia="Times New Roman"/>
          <w:bCs/>
          <w:sz w:val="22"/>
          <w:szCs w:val="22"/>
          <w:lang w:eastAsia="en-AU"/>
        </w:rPr>
        <w:t xml:space="preserve">—the indications that are accepted in relation to the inclusion of the goods in the </w:t>
      </w:r>
      <w:r w:rsidR="003366C8" w:rsidRPr="002E5238">
        <w:rPr>
          <w:rFonts w:eastAsia="Times New Roman"/>
          <w:bCs/>
          <w:sz w:val="22"/>
          <w:szCs w:val="22"/>
          <w:lang w:eastAsia="en-AU"/>
        </w:rPr>
        <w:t>Register;</w:t>
      </w:r>
    </w:p>
    <w:p w14:paraId="6F15E226" w14:textId="66A7E1A7" w:rsidR="008205C9" w:rsidRPr="002E5238" w:rsidRDefault="008205C9" w:rsidP="001372BC">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 xml:space="preserve">for goods </w:t>
      </w:r>
      <w:r w:rsidR="009A2682" w:rsidRPr="002E5238">
        <w:rPr>
          <w:rFonts w:eastAsia="Times New Roman"/>
          <w:bCs/>
          <w:sz w:val="22"/>
          <w:szCs w:val="22"/>
          <w:lang w:eastAsia="en-AU"/>
        </w:rPr>
        <w:t xml:space="preserve">that are </w:t>
      </w:r>
      <w:r w:rsidRPr="002E5238">
        <w:rPr>
          <w:rFonts w:eastAsia="Times New Roman"/>
          <w:bCs/>
          <w:sz w:val="22"/>
          <w:szCs w:val="22"/>
          <w:lang w:eastAsia="en-AU"/>
        </w:rPr>
        <w:t>approved under subsection 19(1)</w:t>
      </w:r>
      <w:r w:rsidR="00FC3010" w:rsidRPr="002E5238">
        <w:rPr>
          <w:rFonts w:eastAsia="Times New Roman"/>
          <w:bCs/>
          <w:sz w:val="22"/>
          <w:szCs w:val="22"/>
          <w:lang w:eastAsia="en-AU"/>
        </w:rPr>
        <w:t>(a)</w:t>
      </w:r>
      <w:r w:rsidRPr="002E5238">
        <w:rPr>
          <w:rFonts w:eastAsia="Times New Roman"/>
          <w:bCs/>
          <w:sz w:val="22"/>
          <w:szCs w:val="22"/>
          <w:lang w:eastAsia="en-AU"/>
        </w:rPr>
        <w:t xml:space="preserve"> </w:t>
      </w:r>
      <w:r w:rsidR="00663FE6" w:rsidRPr="002E5238">
        <w:rPr>
          <w:rFonts w:eastAsia="Times New Roman"/>
          <w:bCs/>
          <w:sz w:val="22"/>
          <w:szCs w:val="22"/>
          <w:lang w:eastAsia="en-AU"/>
        </w:rPr>
        <w:t>or subsection 41HB(1)</w:t>
      </w:r>
      <w:r w:rsidR="003043CE" w:rsidRPr="002E5238">
        <w:rPr>
          <w:rFonts w:eastAsia="Times New Roman"/>
          <w:bCs/>
          <w:sz w:val="22"/>
          <w:szCs w:val="22"/>
          <w:lang w:eastAsia="en-AU"/>
        </w:rPr>
        <w:t>(d)</w:t>
      </w:r>
      <w:r w:rsidR="00663FE6" w:rsidRPr="002E5238">
        <w:rPr>
          <w:rFonts w:eastAsia="Times New Roman"/>
          <w:bCs/>
          <w:sz w:val="22"/>
          <w:szCs w:val="22"/>
          <w:lang w:eastAsia="en-AU"/>
        </w:rPr>
        <w:t xml:space="preserve"> </w:t>
      </w:r>
      <w:r w:rsidRPr="002E5238">
        <w:rPr>
          <w:rFonts w:eastAsia="Times New Roman"/>
          <w:bCs/>
          <w:sz w:val="22"/>
          <w:szCs w:val="22"/>
          <w:lang w:eastAsia="en-AU"/>
        </w:rPr>
        <w:t>of the Act—the indication</w:t>
      </w:r>
      <w:r w:rsidR="00663FE6" w:rsidRPr="002E5238">
        <w:rPr>
          <w:rFonts w:eastAsia="Times New Roman"/>
          <w:bCs/>
          <w:sz w:val="22"/>
          <w:szCs w:val="22"/>
          <w:lang w:eastAsia="en-AU"/>
        </w:rPr>
        <w:t>s</w:t>
      </w:r>
      <w:r w:rsidRPr="002E5238">
        <w:rPr>
          <w:rFonts w:eastAsia="Times New Roman"/>
          <w:bCs/>
          <w:sz w:val="22"/>
          <w:szCs w:val="22"/>
          <w:lang w:eastAsia="en-AU"/>
        </w:rPr>
        <w:t xml:space="preserve"> specified in the approval;</w:t>
      </w:r>
    </w:p>
    <w:p w14:paraId="3591CFFB" w14:textId="6A6C3D3D" w:rsidR="008205C9" w:rsidRPr="002E5238" w:rsidRDefault="008205C9" w:rsidP="001372BC">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 xml:space="preserve">for goods </w:t>
      </w:r>
      <w:r w:rsidR="009A2682" w:rsidRPr="002E5238">
        <w:rPr>
          <w:rFonts w:eastAsia="Times New Roman"/>
          <w:bCs/>
          <w:sz w:val="22"/>
          <w:szCs w:val="22"/>
          <w:lang w:eastAsia="en-AU"/>
        </w:rPr>
        <w:t xml:space="preserve">that are </w:t>
      </w:r>
      <w:r w:rsidRPr="002E5238">
        <w:rPr>
          <w:rFonts w:eastAsia="Times New Roman"/>
          <w:bCs/>
          <w:sz w:val="22"/>
          <w:szCs w:val="22"/>
          <w:lang w:eastAsia="en-AU"/>
        </w:rPr>
        <w:t>authorised for supply under subsection 19(5)</w:t>
      </w:r>
      <w:r w:rsidR="00663FE6" w:rsidRPr="002E5238">
        <w:rPr>
          <w:rFonts w:eastAsia="Times New Roman"/>
          <w:bCs/>
          <w:sz w:val="22"/>
          <w:szCs w:val="22"/>
          <w:lang w:eastAsia="en-AU"/>
        </w:rPr>
        <w:t xml:space="preserve"> or subsection 41H</w:t>
      </w:r>
      <w:r w:rsidR="00DF23BA" w:rsidRPr="002E5238">
        <w:rPr>
          <w:rFonts w:eastAsia="Times New Roman"/>
          <w:bCs/>
          <w:sz w:val="22"/>
          <w:szCs w:val="22"/>
          <w:lang w:eastAsia="en-AU"/>
        </w:rPr>
        <w:t>C</w:t>
      </w:r>
      <w:r w:rsidR="00663FE6" w:rsidRPr="002E5238">
        <w:rPr>
          <w:rFonts w:eastAsia="Times New Roman"/>
          <w:bCs/>
          <w:sz w:val="22"/>
          <w:szCs w:val="22"/>
          <w:lang w:eastAsia="en-AU"/>
        </w:rPr>
        <w:t>(1)</w:t>
      </w:r>
      <w:r w:rsidRPr="002E5238">
        <w:rPr>
          <w:rFonts w:eastAsia="Times New Roman"/>
          <w:bCs/>
          <w:sz w:val="22"/>
          <w:szCs w:val="22"/>
          <w:lang w:eastAsia="en-AU"/>
        </w:rPr>
        <w:t xml:space="preserve"> of the Act—the indications</w:t>
      </w:r>
      <w:r w:rsidR="00663FE6" w:rsidRPr="002E5238">
        <w:rPr>
          <w:rFonts w:eastAsia="Times New Roman"/>
          <w:bCs/>
          <w:sz w:val="22"/>
          <w:szCs w:val="22"/>
          <w:lang w:eastAsia="en-AU"/>
        </w:rPr>
        <w:t xml:space="preserve"> or intended purpose</w:t>
      </w:r>
      <w:r w:rsidR="000B4F92" w:rsidRPr="002E5238">
        <w:rPr>
          <w:rFonts w:eastAsia="Times New Roman"/>
          <w:bCs/>
          <w:sz w:val="22"/>
          <w:szCs w:val="22"/>
          <w:lang w:eastAsia="en-AU"/>
        </w:rPr>
        <w:t>s</w:t>
      </w:r>
      <w:r w:rsidRPr="002E5238">
        <w:rPr>
          <w:rFonts w:eastAsia="Times New Roman"/>
          <w:bCs/>
          <w:sz w:val="22"/>
          <w:szCs w:val="22"/>
          <w:lang w:eastAsia="en-AU"/>
        </w:rPr>
        <w:t xml:space="preserve"> specified in the authorisation;</w:t>
      </w:r>
    </w:p>
    <w:p w14:paraId="35E4938C" w14:textId="3E988058" w:rsidR="008205C9" w:rsidRPr="002E5238" w:rsidRDefault="008205C9" w:rsidP="001372BC">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 authorised for supply under rules made under subsection 19(7A)</w:t>
      </w:r>
      <w:r w:rsidR="009A2682" w:rsidRPr="002E5238">
        <w:rPr>
          <w:rFonts w:eastAsia="Times New Roman"/>
          <w:bCs/>
          <w:sz w:val="22"/>
          <w:szCs w:val="22"/>
          <w:lang w:eastAsia="en-AU"/>
        </w:rPr>
        <w:t xml:space="preserve"> or subsection 41HC(6)</w:t>
      </w:r>
      <w:r w:rsidRPr="002E5238">
        <w:rPr>
          <w:rFonts w:eastAsia="Times New Roman"/>
          <w:bCs/>
          <w:sz w:val="22"/>
          <w:szCs w:val="22"/>
          <w:lang w:eastAsia="en-AU"/>
        </w:rPr>
        <w:t xml:space="preserve"> of the Act—the indications specified in the rules;</w:t>
      </w:r>
    </w:p>
    <w:p w14:paraId="35DA6263" w14:textId="460CF141" w:rsidR="008205C9" w:rsidRPr="002E5238" w:rsidRDefault="008205C9" w:rsidP="001372BC">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w:t>
      </w:r>
      <w:r w:rsidR="009A2682" w:rsidRPr="002E5238">
        <w:rPr>
          <w:rFonts w:eastAsia="Times New Roman"/>
          <w:bCs/>
          <w:sz w:val="22"/>
          <w:szCs w:val="22"/>
          <w:lang w:eastAsia="en-AU"/>
        </w:rPr>
        <w:t xml:space="preserve"> that are</w:t>
      </w:r>
      <w:r w:rsidRPr="002E5238">
        <w:rPr>
          <w:rFonts w:eastAsia="Times New Roman"/>
          <w:bCs/>
          <w:sz w:val="22"/>
          <w:szCs w:val="22"/>
          <w:lang w:eastAsia="en-AU"/>
        </w:rPr>
        <w:t xml:space="preserve"> exempt under regulation 12A of the Regulations</w:t>
      </w:r>
      <w:r w:rsidR="009A2682" w:rsidRPr="002E5238">
        <w:rPr>
          <w:rFonts w:eastAsia="Times New Roman"/>
          <w:bCs/>
          <w:sz w:val="22"/>
          <w:szCs w:val="22"/>
          <w:lang w:eastAsia="en-AU"/>
        </w:rPr>
        <w:t xml:space="preserve"> or under regulation 7.2 of the MD Regulations</w:t>
      </w:r>
      <w:r w:rsidR="000B4F92" w:rsidRPr="002E5238">
        <w:rPr>
          <w:rFonts w:eastAsia="Times New Roman"/>
          <w:bCs/>
          <w:sz w:val="22"/>
          <w:szCs w:val="22"/>
          <w:lang w:eastAsia="en-AU"/>
        </w:rPr>
        <w:t xml:space="preserve"> (these provisions exempt therapeutic goods supplied on prescription to a person who is a Category A patient, being a person who is seriously ill, in specified circumstances)</w:t>
      </w:r>
      <w:r w:rsidRPr="002E5238">
        <w:rPr>
          <w:rFonts w:eastAsia="Times New Roman"/>
          <w:bCs/>
          <w:sz w:val="22"/>
          <w:szCs w:val="22"/>
          <w:lang w:eastAsia="en-AU"/>
        </w:rPr>
        <w:t>—use in the treatment of the person’s condition as set out in the statement referred to in subparagraph 12A(2)(a)(iii) of the Regulations</w:t>
      </w:r>
      <w:r w:rsidR="009A2682" w:rsidRPr="002E5238">
        <w:rPr>
          <w:rFonts w:eastAsia="Times New Roman"/>
          <w:bCs/>
          <w:sz w:val="22"/>
          <w:szCs w:val="22"/>
          <w:lang w:eastAsia="en-AU"/>
        </w:rPr>
        <w:t xml:space="preserve"> or subparagraph 7.2(1)(b)(ii) of the MD Regulations (as applicable)</w:t>
      </w:r>
      <w:r w:rsidRPr="002E5238">
        <w:rPr>
          <w:rFonts w:eastAsia="Times New Roman"/>
          <w:bCs/>
          <w:sz w:val="22"/>
          <w:szCs w:val="22"/>
          <w:lang w:eastAsia="en-AU"/>
        </w:rPr>
        <w:t>.</w:t>
      </w:r>
    </w:p>
    <w:p w14:paraId="15FD40E4" w14:textId="77777777" w:rsidR="008205C9" w:rsidRPr="002E5238" w:rsidRDefault="008205C9" w:rsidP="001372BC">
      <w:pPr>
        <w:spacing w:after="0" w:line="240" w:lineRule="auto"/>
        <w:rPr>
          <w:rFonts w:eastAsia="Times New Roman"/>
          <w:bCs/>
          <w:sz w:val="22"/>
          <w:szCs w:val="22"/>
          <w:lang w:eastAsia="en-AU"/>
        </w:rPr>
      </w:pPr>
    </w:p>
    <w:p w14:paraId="4A343FA8" w14:textId="01BF827B" w:rsidR="00EC5FB9" w:rsidRPr="002E5238" w:rsidRDefault="00EC5FB9" w:rsidP="001372BC">
      <w:pPr>
        <w:spacing w:after="0" w:line="240" w:lineRule="auto"/>
        <w:rPr>
          <w:rFonts w:eastAsia="Times New Roman"/>
          <w:bCs/>
          <w:sz w:val="22"/>
          <w:szCs w:val="22"/>
          <w:lang w:eastAsia="en-AU"/>
        </w:rPr>
      </w:pPr>
      <w:r w:rsidRPr="002E5238">
        <w:rPr>
          <w:rFonts w:eastAsia="Times New Roman"/>
          <w:iCs/>
          <w:sz w:val="22"/>
          <w:szCs w:val="22"/>
          <w:lang w:eastAsia="en-AU"/>
        </w:rPr>
        <w:t xml:space="preserve">The effect of </w:t>
      </w:r>
      <w:r w:rsidR="00BA7370" w:rsidRPr="002E5238">
        <w:rPr>
          <w:rFonts w:eastAsia="Times New Roman"/>
          <w:iCs/>
          <w:sz w:val="22"/>
          <w:szCs w:val="22"/>
          <w:lang w:eastAsia="en-AU"/>
        </w:rPr>
        <w:t>determining the above indications</w:t>
      </w:r>
      <w:r w:rsidRPr="002E5238">
        <w:rPr>
          <w:rFonts w:eastAsia="Times New Roman"/>
          <w:iCs/>
          <w:sz w:val="22"/>
          <w:szCs w:val="22"/>
          <w:lang w:eastAsia="en-AU"/>
        </w:rPr>
        <w:t xml:space="preserve"> is that the supply of the </w:t>
      </w:r>
      <w:r w:rsidR="00BA7370" w:rsidRPr="002E5238">
        <w:rPr>
          <w:rFonts w:eastAsia="Times New Roman"/>
          <w:iCs/>
          <w:sz w:val="22"/>
          <w:szCs w:val="22"/>
          <w:lang w:eastAsia="en-AU"/>
        </w:rPr>
        <w:t>vaping goods in connection with vaping medicinal cannabis</w:t>
      </w:r>
      <w:r w:rsidRPr="002E5238">
        <w:rPr>
          <w:rFonts w:eastAsia="Times New Roman"/>
          <w:iCs/>
          <w:sz w:val="22"/>
          <w:szCs w:val="22"/>
          <w:lang w:eastAsia="en-AU"/>
        </w:rPr>
        <w:t xml:space="preserve"> will satisfy the requirements of paragraph 41QB(11)(a) of the Act, and consequently the supply will be eligible to meet the requirements of the supply chain exception in section 41QB</w:t>
      </w:r>
      <w:r w:rsidR="00BA7370" w:rsidRPr="002E5238">
        <w:rPr>
          <w:rFonts w:eastAsia="Times New Roman"/>
          <w:iCs/>
          <w:sz w:val="22"/>
          <w:szCs w:val="22"/>
          <w:lang w:eastAsia="en-AU"/>
        </w:rPr>
        <w:t>, where the supply is for the determined indications</w:t>
      </w:r>
      <w:r w:rsidRPr="002E5238">
        <w:rPr>
          <w:rFonts w:eastAsia="Times New Roman"/>
          <w:iCs/>
          <w:sz w:val="22"/>
          <w:szCs w:val="22"/>
          <w:lang w:eastAsia="en-AU"/>
        </w:rPr>
        <w:t xml:space="preserve">. This </w:t>
      </w:r>
      <w:r w:rsidR="00D83444" w:rsidRPr="002E5238">
        <w:rPr>
          <w:rFonts w:eastAsia="Times New Roman"/>
          <w:iCs/>
          <w:sz w:val="22"/>
          <w:szCs w:val="22"/>
          <w:lang w:eastAsia="en-AU"/>
        </w:rPr>
        <w:t>has the effect</w:t>
      </w:r>
      <w:r w:rsidRPr="002E5238">
        <w:rPr>
          <w:rFonts w:eastAsia="Times New Roman"/>
          <w:iCs/>
          <w:sz w:val="22"/>
          <w:szCs w:val="22"/>
          <w:lang w:eastAsia="en-AU"/>
        </w:rPr>
        <w:t xml:space="preserve"> that medicinal cannabis goods that are vaping goods can continue to be supplied under </w:t>
      </w:r>
      <w:r w:rsidR="00B64359" w:rsidRPr="002E5238">
        <w:rPr>
          <w:rFonts w:eastAsia="Times New Roman"/>
          <w:iCs/>
          <w:sz w:val="22"/>
          <w:szCs w:val="22"/>
          <w:lang w:eastAsia="en-AU"/>
        </w:rPr>
        <w:t xml:space="preserve">the established </w:t>
      </w:r>
      <w:r w:rsidR="004503B2" w:rsidRPr="002E5238">
        <w:rPr>
          <w:rFonts w:eastAsia="Times New Roman"/>
          <w:iCs/>
          <w:sz w:val="22"/>
          <w:szCs w:val="22"/>
          <w:lang w:eastAsia="en-AU"/>
        </w:rPr>
        <w:t xml:space="preserve">statutory </w:t>
      </w:r>
      <w:r w:rsidR="00B64359" w:rsidRPr="002E5238">
        <w:rPr>
          <w:rFonts w:eastAsia="Times New Roman"/>
          <w:iCs/>
          <w:sz w:val="22"/>
          <w:szCs w:val="22"/>
          <w:lang w:eastAsia="en-AU"/>
        </w:rPr>
        <w:t>pathways for unapproved goods</w:t>
      </w:r>
      <w:r w:rsidR="00FC3010" w:rsidRPr="002E5238">
        <w:rPr>
          <w:rFonts w:eastAsia="Times New Roman"/>
          <w:iCs/>
          <w:sz w:val="22"/>
          <w:szCs w:val="22"/>
          <w:lang w:eastAsia="en-AU"/>
        </w:rPr>
        <w:t xml:space="preserve"> </w:t>
      </w:r>
      <w:r w:rsidR="00BA7370" w:rsidRPr="002E5238">
        <w:rPr>
          <w:rFonts w:eastAsia="Times New Roman"/>
          <w:iCs/>
          <w:sz w:val="22"/>
          <w:szCs w:val="22"/>
          <w:lang w:eastAsia="en-AU"/>
        </w:rPr>
        <w:t xml:space="preserve">for indications other than smoking cessation or the management of nicotine </w:t>
      </w:r>
      <w:r w:rsidR="00D83444" w:rsidRPr="002E5238">
        <w:rPr>
          <w:rFonts w:eastAsia="Times New Roman"/>
          <w:iCs/>
          <w:sz w:val="22"/>
          <w:szCs w:val="22"/>
          <w:lang w:eastAsia="en-AU"/>
        </w:rPr>
        <w:t>addiction</w:t>
      </w:r>
      <w:r w:rsidRPr="002E5238">
        <w:rPr>
          <w:rFonts w:eastAsia="Times New Roman"/>
          <w:iCs/>
          <w:sz w:val="22"/>
          <w:szCs w:val="22"/>
          <w:lang w:eastAsia="en-AU"/>
        </w:rPr>
        <w:t>.</w:t>
      </w:r>
    </w:p>
    <w:p w14:paraId="55562823" w14:textId="77777777" w:rsidR="00E12E98" w:rsidRPr="002E5238" w:rsidRDefault="00E12E98" w:rsidP="001372BC">
      <w:pPr>
        <w:autoSpaceDE w:val="0"/>
        <w:autoSpaceDN w:val="0"/>
        <w:adjustRightInd w:val="0"/>
        <w:spacing w:after="0" w:line="240" w:lineRule="auto"/>
        <w:rPr>
          <w:rFonts w:eastAsia="Times New Roman"/>
          <w:sz w:val="22"/>
          <w:szCs w:val="22"/>
          <w:lang w:eastAsia="en-AU"/>
        </w:rPr>
      </w:pPr>
    </w:p>
    <w:bookmarkEnd w:id="0"/>
    <w:p w14:paraId="63DFCB2C" w14:textId="77777777" w:rsidR="007A1965" w:rsidRPr="002E5238" w:rsidRDefault="007A1965" w:rsidP="001372BC">
      <w:pPr>
        <w:keepNext/>
        <w:autoSpaceDE w:val="0"/>
        <w:autoSpaceDN w:val="0"/>
        <w:adjustRightInd w:val="0"/>
        <w:spacing w:after="0" w:line="240" w:lineRule="auto"/>
        <w:rPr>
          <w:rFonts w:eastAsia="Times New Roman"/>
          <w:b/>
          <w:sz w:val="22"/>
          <w:szCs w:val="22"/>
          <w:lang w:eastAsia="en-AU"/>
        </w:rPr>
      </w:pPr>
      <w:r w:rsidRPr="002E5238">
        <w:rPr>
          <w:rFonts w:eastAsia="Times New Roman"/>
          <w:b/>
          <w:sz w:val="22"/>
          <w:szCs w:val="22"/>
          <w:lang w:eastAsia="en-AU"/>
        </w:rPr>
        <w:t>Consultation</w:t>
      </w:r>
    </w:p>
    <w:p w14:paraId="1B824E0D" w14:textId="77777777" w:rsidR="007A1965" w:rsidRPr="002E5238" w:rsidRDefault="007A1965" w:rsidP="001372BC">
      <w:pPr>
        <w:keepNext/>
        <w:autoSpaceDE w:val="0"/>
        <w:autoSpaceDN w:val="0"/>
        <w:adjustRightInd w:val="0"/>
        <w:spacing w:after="0" w:line="240" w:lineRule="auto"/>
        <w:rPr>
          <w:rFonts w:eastAsia="Times New Roman"/>
          <w:bCs/>
          <w:sz w:val="22"/>
          <w:szCs w:val="22"/>
          <w:lang w:eastAsia="en-AU"/>
        </w:rPr>
      </w:pPr>
      <w:bookmarkStart w:id="3" w:name="_Hlk135994503"/>
    </w:p>
    <w:p w14:paraId="4135DC58" w14:textId="5893917D" w:rsidR="00E311E2" w:rsidRPr="002E5238" w:rsidRDefault="00E311E2" w:rsidP="001372BC">
      <w:pPr>
        <w:autoSpaceDE w:val="0"/>
        <w:autoSpaceDN w:val="0"/>
        <w:adjustRightInd w:val="0"/>
        <w:spacing w:after="0" w:line="240" w:lineRule="auto"/>
        <w:rPr>
          <w:rFonts w:eastAsia="Times New Roman"/>
          <w:sz w:val="22"/>
          <w:szCs w:val="22"/>
          <w:lang w:eastAsia="en-AU"/>
        </w:rPr>
      </w:pPr>
      <w:bookmarkStart w:id="4" w:name="_Hlk135995230"/>
      <w:bookmarkEnd w:id="3"/>
      <w:r w:rsidRPr="002E5238">
        <w:rPr>
          <w:rFonts w:eastAsia="Times New Roman"/>
          <w:sz w:val="22"/>
          <w:szCs w:val="22"/>
          <w:lang w:eastAsia="en-AU"/>
        </w:rPr>
        <w:t>The TGA conducted two significant consultations in relation to the vaping reform measures. Between 30 November 2022 and 16 January 2023, the TGA undertook a public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4A52E240" w14:textId="77777777" w:rsidR="00E311E2" w:rsidRPr="002E5238" w:rsidRDefault="00E311E2" w:rsidP="001372BC">
      <w:pPr>
        <w:autoSpaceDE w:val="0"/>
        <w:autoSpaceDN w:val="0"/>
        <w:adjustRightInd w:val="0"/>
        <w:spacing w:after="0" w:line="240" w:lineRule="auto"/>
        <w:rPr>
          <w:rFonts w:eastAsia="Times New Roman"/>
          <w:sz w:val="22"/>
          <w:szCs w:val="22"/>
          <w:lang w:eastAsia="en-AU"/>
        </w:rPr>
      </w:pPr>
    </w:p>
    <w:p w14:paraId="68BE999F" w14:textId="7041E677" w:rsidR="00E311E2" w:rsidRPr="002E5238" w:rsidRDefault="00E311E2" w:rsidP="001372BC">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 xml:space="preserve">Following feedback from this consultation and advice received from public health experts at Tobacco Control Roundtables on 30 September 2022 and 17 April 2023, the TGA engaged in extensive consultation with the states and territories to assess the regulatory options and develop </w:t>
      </w:r>
      <w:r w:rsidR="000B4F92" w:rsidRPr="002E5238">
        <w:rPr>
          <w:rFonts w:eastAsia="Times New Roman"/>
          <w:sz w:val="22"/>
          <w:szCs w:val="22"/>
          <w:lang w:eastAsia="en-AU"/>
        </w:rPr>
        <w:t xml:space="preserve">further </w:t>
      </w:r>
      <w:r w:rsidRPr="002E5238">
        <w:rPr>
          <w:rFonts w:eastAsia="Times New Roman"/>
          <w:sz w:val="22"/>
          <w:szCs w:val="22"/>
          <w:lang w:eastAsia="en-AU"/>
        </w:rPr>
        <w:t>policy proposals. Consultations with the states and territories took place principally through Health Ministers’ Meeting and its subordinate National E-Cigarette Working Group, culminating in the Health Ministers’ Meeting Communique of 1 September 2023, which conveyed Ministers’ collective commitment to enhancing</w:t>
      </w:r>
      <w:r w:rsidR="00F17131" w:rsidRPr="002E5238">
        <w:rPr>
          <w:rFonts w:eastAsia="Times New Roman"/>
          <w:sz w:val="22"/>
          <w:szCs w:val="22"/>
          <w:lang w:eastAsia="en-AU"/>
        </w:rPr>
        <w:t xml:space="preserve"> the</w:t>
      </w:r>
      <w:r w:rsidRPr="002E5238">
        <w:rPr>
          <w:rFonts w:eastAsia="Times New Roman"/>
          <w:sz w:val="22"/>
          <w:szCs w:val="22"/>
          <w:lang w:eastAsia="en-AU"/>
        </w:rPr>
        <w:t xml:space="preserve"> regulation of vapes.</w:t>
      </w:r>
    </w:p>
    <w:p w14:paraId="731869EF" w14:textId="77777777" w:rsidR="00E311E2" w:rsidRPr="002E5238" w:rsidRDefault="00E311E2" w:rsidP="001372BC">
      <w:pPr>
        <w:autoSpaceDE w:val="0"/>
        <w:autoSpaceDN w:val="0"/>
        <w:adjustRightInd w:val="0"/>
        <w:spacing w:after="0" w:line="240" w:lineRule="auto"/>
        <w:rPr>
          <w:rFonts w:eastAsia="Times New Roman"/>
          <w:sz w:val="22"/>
          <w:szCs w:val="22"/>
          <w:lang w:eastAsia="en-AU"/>
        </w:rPr>
      </w:pPr>
    </w:p>
    <w:p w14:paraId="0AA4FBBA" w14:textId="77215ACE" w:rsidR="00E311E2" w:rsidRPr="002E5238" w:rsidRDefault="00E311E2" w:rsidP="001372BC">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 xml:space="preserve">A second, targeted consultation was undertaken with stakeholders between 7 September and 21 September 2023 on the regulatory proposals developed in consultation with the states and territories, in addition to holding several webinars and stakeholder meetings. Submissions and survey responses to this consultation closed on 21 September 2023. The feedback </w:t>
      </w:r>
      <w:r w:rsidR="000B4F92" w:rsidRPr="002E5238">
        <w:rPr>
          <w:rFonts w:eastAsia="Times New Roman"/>
          <w:sz w:val="22"/>
          <w:szCs w:val="22"/>
          <w:lang w:eastAsia="en-AU"/>
        </w:rPr>
        <w:t>received in connection with this consultation informed the development of the Amendment Act and related regulations and other legislative instruments, including the Determination</w:t>
      </w:r>
      <w:r w:rsidRPr="002E5238">
        <w:rPr>
          <w:rFonts w:eastAsia="Times New Roman"/>
          <w:sz w:val="22"/>
          <w:szCs w:val="22"/>
          <w:lang w:eastAsia="en-AU"/>
        </w:rPr>
        <w:t>.</w:t>
      </w:r>
      <w:r w:rsidR="000B4F92" w:rsidRPr="002E5238">
        <w:rPr>
          <w:rFonts w:eastAsia="Times New Roman"/>
          <w:sz w:val="22"/>
          <w:szCs w:val="22"/>
          <w:lang w:eastAsia="en-AU"/>
        </w:rPr>
        <w:t xml:space="preserve"> Further informal consultation, including </w:t>
      </w:r>
      <w:r w:rsidR="000B4F92" w:rsidRPr="002E5238">
        <w:rPr>
          <w:rFonts w:eastAsia="Times New Roman"/>
          <w:sz w:val="22"/>
          <w:szCs w:val="22"/>
          <w:lang w:eastAsia="en-AU"/>
        </w:rPr>
        <w:lastRenderedPageBreak/>
        <w:t>for instance with health practitioners, was also undertaken in late 2023 and in 2024, and has further informed the development of the reforms.</w:t>
      </w:r>
    </w:p>
    <w:p w14:paraId="7FB19583" w14:textId="77777777" w:rsidR="007A1965" w:rsidRPr="002E5238" w:rsidRDefault="007A1965" w:rsidP="001372BC">
      <w:pPr>
        <w:autoSpaceDE w:val="0"/>
        <w:autoSpaceDN w:val="0"/>
        <w:adjustRightInd w:val="0"/>
        <w:spacing w:after="0" w:line="240" w:lineRule="auto"/>
        <w:rPr>
          <w:rFonts w:eastAsia="Times New Roman"/>
          <w:bCs/>
          <w:sz w:val="22"/>
          <w:szCs w:val="22"/>
          <w:lang w:eastAsia="en-AU"/>
        </w:rPr>
      </w:pPr>
    </w:p>
    <w:p w14:paraId="5AC1ADA9" w14:textId="77777777" w:rsidR="007A1965" w:rsidRPr="002E5238" w:rsidRDefault="007A1965" w:rsidP="001372BC">
      <w:pPr>
        <w:keepNext/>
        <w:autoSpaceDE w:val="0"/>
        <w:autoSpaceDN w:val="0"/>
        <w:adjustRightInd w:val="0"/>
        <w:spacing w:after="0" w:line="240" w:lineRule="auto"/>
        <w:rPr>
          <w:rFonts w:eastAsia="Times New Roman"/>
          <w:b/>
          <w:sz w:val="22"/>
          <w:szCs w:val="22"/>
          <w:lang w:eastAsia="en-AU"/>
        </w:rPr>
      </w:pPr>
      <w:r w:rsidRPr="002E5238">
        <w:rPr>
          <w:rFonts w:eastAsia="Times New Roman"/>
          <w:b/>
          <w:sz w:val="22"/>
          <w:szCs w:val="22"/>
          <w:lang w:eastAsia="en-AU"/>
        </w:rPr>
        <w:t>Other details</w:t>
      </w:r>
      <w:bookmarkEnd w:id="4"/>
    </w:p>
    <w:p w14:paraId="53301BF6" w14:textId="77777777" w:rsidR="007A1965" w:rsidRPr="002E5238" w:rsidRDefault="007A1965" w:rsidP="001372BC">
      <w:pPr>
        <w:keepNext/>
        <w:autoSpaceDE w:val="0"/>
        <w:autoSpaceDN w:val="0"/>
        <w:adjustRightInd w:val="0"/>
        <w:spacing w:after="0" w:line="240" w:lineRule="auto"/>
        <w:rPr>
          <w:rFonts w:eastAsia="Times New Roman"/>
          <w:sz w:val="22"/>
          <w:szCs w:val="22"/>
          <w:lang w:eastAsia="en-AU"/>
        </w:rPr>
      </w:pPr>
    </w:p>
    <w:p w14:paraId="08F8CD1B" w14:textId="77777777" w:rsidR="00E311E2" w:rsidRPr="002E5238" w:rsidRDefault="00E311E2" w:rsidP="001372BC">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 xml:space="preserve">Details of the Determination are set out in </w:t>
      </w:r>
      <w:r w:rsidRPr="002E5238">
        <w:rPr>
          <w:rFonts w:eastAsia="Times New Roman"/>
          <w:b/>
          <w:bCs/>
          <w:sz w:val="22"/>
          <w:szCs w:val="22"/>
          <w:lang w:eastAsia="en-AU"/>
        </w:rPr>
        <w:t>Attachment A</w:t>
      </w:r>
      <w:r w:rsidRPr="002E5238">
        <w:rPr>
          <w:rFonts w:eastAsia="Times New Roman"/>
          <w:sz w:val="22"/>
          <w:szCs w:val="22"/>
          <w:lang w:eastAsia="en-AU"/>
        </w:rPr>
        <w:t>.</w:t>
      </w:r>
    </w:p>
    <w:p w14:paraId="4BE146AC" w14:textId="77777777" w:rsidR="00E311E2" w:rsidRPr="002E5238" w:rsidRDefault="00E311E2" w:rsidP="001372BC">
      <w:pPr>
        <w:autoSpaceDE w:val="0"/>
        <w:autoSpaceDN w:val="0"/>
        <w:adjustRightInd w:val="0"/>
        <w:spacing w:after="0" w:line="240" w:lineRule="auto"/>
        <w:rPr>
          <w:rFonts w:eastAsia="Times New Roman"/>
          <w:sz w:val="22"/>
          <w:szCs w:val="22"/>
          <w:lang w:eastAsia="en-AU"/>
        </w:rPr>
      </w:pPr>
    </w:p>
    <w:p w14:paraId="1C61015D" w14:textId="77777777" w:rsidR="00E311E2" w:rsidRPr="002E5238" w:rsidRDefault="00E311E2" w:rsidP="001372BC">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 xml:space="preserve">The Determination is compatible with human rights and freedoms recognised or declared under section 3 of the </w:t>
      </w:r>
      <w:r w:rsidRPr="002E5238">
        <w:rPr>
          <w:rFonts w:eastAsia="Times New Roman"/>
          <w:i/>
          <w:iCs/>
          <w:sz w:val="22"/>
          <w:szCs w:val="22"/>
          <w:lang w:eastAsia="en-AU"/>
        </w:rPr>
        <w:t>Human Rights (Parliamentary Scrutiny) Act 2011</w:t>
      </w:r>
      <w:r w:rsidRPr="002E5238">
        <w:rPr>
          <w:rFonts w:eastAsia="Times New Roman"/>
          <w:sz w:val="22"/>
          <w:szCs w:val="22"/>
          <w:lang w:eastAsia="en-AU"/>
        </w:rPr>
        <w:t xml:space="preserve">. A full statement of compatibility is set out in </w:t>
      </w:r>
      <w:r w:rsidRPr="002E5238">
        <w:rPr>
          <w:rFonts w:eastAsia="Times New Roman"/>
          <w:b/>
          <w:bCs/>
          <w:sz w:val="22"/>
          <w:szCs w:val="22"/>
          <w:lang w:eastAsia="en-AU"/>
        </w:rPr>
        <w:t>Attachment B</w:t>
      </w:r>
      <w:r w:rsidRPr="002E5238">
        <w:rPr>
          <w:rFonts w:eastAsia="Times New Roman"/>
          <w:sz w:val="22"/>
          <w:szCs w:val="22"/>
          <w:lang w:eastAsia="en-AU"/>
        </w:rPr>
        <w:t>.</w:t>
      </w:r>
    </w:p>
    <w:p w14:paraId="507E0E32" w14:textId="77777777" w:rsidR="00E311E2" w:rsidRPr="002E5238" w:rsidRDefault="00E311E2" w:rsidP="001372BC">
      <w:pPr>
        <w:autoSpaceDE w:val="0"/>
        <w:autoSpaceDN w:val="0"/>
        <w:adjustRightInd w:val="0"/>
        <w:spacing w:after="0" w:line="240" w:lineRule="auto"/>
        <w:rPr>
          <w:rFonts w:eastAsia="Times New Roman"/>
          <w:sz w:val="22"/>
          <w:szCs w:val="22"/>
          <w:lang w:eastAsia="en-AU"/>
        </w:rPr>
      </w:pPr>
    </w:p>
    <w:p w14:paraId="0EF383F6" w14:textId="77777777" w:rsidR="00E311E2" w:rsidRPr="002E5238" w:rsidRDefault="00E311E2" w:rsidP="001372BC">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An impact analysis (IA) was prepared on the proposed reforms relating to the regulation of vapes, taking into account the feedback received from stakeholders throughout the consultations. The Office of Impact Analysis (OIA) determined that the IA was consistent with good practice and met Australian Government best practice regulation requirements (OBPR23-03933). The IA has been published on the OIA website at: oia.pmc.gov.au/.</w:t>
      </w:r>
    </w:p>
    <w:p w14:paraId="2F1A2825" w14:textId="77777777" w:rsidR="00E311E2" w:rsidRPr="002E5238" w:rsidRDefault="00E311E2" w:rsidP="001372BC">
      <w:pPr>
        <w:autoSpaceDE w:val="0"/>
        <w:autoSpaceDN w:val="0"/>
        <w:adjustRightInd w:val="0"/>
        <w:spacing w:after="0" w:line="240" w:lineRule="auto"/>
        <w:rPr>
          <w:rFonts w:eastAsia="Times New Roman"/>
          <w:sz w:val="22"/>
          <w:szCs w:val="22"/>
          <w:lang w:eastAsia="en-AU"/>
        </w:rPr>
      </w:pPr>
    </w:p>
    <w:p w14:paraId="1982DAA0" w14:textId="3AB3F1BC" w:rsidR="00E311E2" w:rsidRPr="002E5238" w:rsidRDefault="00E311E2" w:rsidP="001372BC">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 xml:space="preserve">The Determination is a disallowable legislative instrument for the purposes of the </w:t>
      </w:r>
      <w:r w:rsidRPr="002E5238">
        <w:rPr>
          <w:rFonts w:eastAsia="Times New Roman"/>
          <w:i/>
          <w:iCs/>
          <w:sz w:val="22"/>
          <w:szCs w:val="22"/>
          <w:lang w:eastAsia="en-AU"/>
        </w:rPr>
        <w:t>Legislation Act 2003</w:t>
      </w:r>
      <w:r w:rsidRPr="002E5238">
        <w:rPr>
          <w:rFonts w:eastAsia="Times New Roman"/>
          <w:sz w:val="22"/>
          <w:szCs w:val="22"/>
          <w:lang w:eastAsia="en-AU"/>
        </w:rPr>
        <w:t xml:space="preserve"> and commences </w:t>
      </w:r>
      <w:r w:rsidR="00502EE2" w:rsidRPr="002E5238">
        <w:rPr>
          <w:rFonts w:eastAsia="Times New Roman"/>
          <w:sz w:val="22"/>
          <w:szCs w:val="22"/>
          <w:lang w:eastAsia="en-AU"/>
        </w:rPr>
        <w:t xml:space="preserve">at the same time as Parts 1 to 3 of Schedule 1 to the Amendment Act. </w:t>
      </w:r>
      <w:r w:rsidRPr="002E5238">
        <w:rPr>
          <w:rFonts w:eastAsia="Times New Roman"/>
          <w:sz w:val="22"/>
          <w:szCs w:val="22"/>
          <w:lang w:eastAsia="en-AU"/>
        </w:rPr>
        <w:t>However, the Determination does not commence at all if the Amendment Act does not commence.</w:t>
      </w:r>
    </w:p>
    <w:p w14:paraId="14FFE470" w14:textId="77777777" w:rsidR="007A1965" w:rsidRPr="002E5238" w:rsidRDefault="007A1965" w:rsidP="001372BC">
      <w:pPr>
        <w:spacing w:after="0" w:line="240" w:lineRule="auto"/>
        <w:rPr>
          <w:rFonts w:eastAsia="Times New Roman"/>
          <w:sz w:val="22"/>
          <w:szCs w:val="22"/>
          <w:lang w:eastAsia="en-AU"/>
        </w:rPr>
      </w:pPr>
      <w:r w:rsidRPr="002E5238">
        <w:rPr>
          <w:rFonts w:eastAsia="Times New Roman"/>
          <w:b/>
          <w:bCs/>
          <w:sz w:val="22"/>
          <w:szCs w:val="22"/>
          <w:lang w:eastAsia="en-AU"/>
        </w:rPr>
        <w:br w:type="page"/>
      </w:r>
    </w:p>
    <w:p w14:paraId="37EB61FF" w14:textId="77777777" w:rsidR="007A1965" w:rsidRPr="002E5238" w:rsidRDefault="007A1965" w:rsidP="001372BC">
      <w:pPr>
        <w:spacing w:after="0" w:line="240" w:lineRule="auto"/>
        <w:jc w:val="right"/>
        <w:rPr>
          <w:rFonts w:eastAsia="Times New Roman"/>
          <w:b/>
          <w:bCs/>
          <w:sz w:val="22"/>
          <w:szCs w:val="22"/>
          <w:lang w:eastAsia="en-AU"/>
        </w:rPr>
      </w:pPr>
      <w:r w:rsidRPr="002E5238">
        <w:rPr>
          <w:rFonts w:eastAsia="Times New Roman"/>
          <w:b/>
          <w:bCs/>
          <w:sz w:val="22"/>
          <w:szCs w:val="22"/>
          <w:lang w:eastAsia="en-AU"/>
        </w:rPr>
        <w:lastRenderedPageBreak/>
        <w:t>Attachment A</w:t>
      </w:r>
    </w:p>
    <w:p w14:paraId="5C1B4E26" w14:textId="77777777" w:rsidR="007A1965" w:rsidRPr="002E5238" w:rsidRDefault="007A1965" w:rsidP="001372BC">
      <w:pPr>
        <w:spacing w:after="0" w:line="240" w:lineRule="auto"/>
        <w:rPr>
          <w:rFonts w:eastAsia="Times New Roman"/>
          <w:sz w:val="22"/>
          <w:szCs w:val="22"/>
          <w:lang w:eastAsia="en-AU"/>
        </w:rPr>
      </w:pPr>
    </w:p>
    <w:p w14:paraId="1E91F1D5" w14:textId="7DE585AD" w:rsidR="007A1965" w:rsidRPr="002E5238" w:rsidRDefault="007A1965" w:rsidP="001372BC">
      <w:pPr>
        <w:spacing w:after="0" w:line="240" w:lineRule="auto"/>
        <w:rPr>
          <w:rFonts w:eastAsia="Times New Roman"/>
          <w:b/>
          <w:bCs/>
          <w:i/>
          <w:sz w:val="22"/>
          <w:szCs w:val="22"/>
          <w:lang w:eastAsia="en-AU"/>
        </w:rPr>
      </w:pPr>
      <w:r w:rsidRPr="002E5238">
        <w:rPr>
          <w:rFonts w:eastAsia="Times New Roman"/>
          <w:b/>
          <w:bCs/>
          <w:sz w:val="22"/>
          <w:szCs w:val="22"/>
          <w:lang w:eastAsia="en-AU"/>
        </w:rPr>
        <w:t xml:space="preserve">Details of the </w:t>
      </w:r>
      <w:r w:rsidRPr="002E5238">
        <w:rPr>
          <w:rFonts w:eastAsia="Times New Roman"/>
          <w:b/>
          <w:bCs/>
          <w:i/>
          <w:sz w:val="22"/>
          <w:szCs w:val="22"/>
          <w:lang w:eastAsia="en-AU"/>
        </w:rPr>
        <w:t>Therapeutic Goods (</w:t>
      </w:r>
      <w:r w:rsidR="00E311E2" w:rsidRPr="002E5238">
        <w:rPr>
          <w:rFonts w:eastAsia="Times New Roman"/>
          <w:b/>
          <w:bCs/>
          <w:i/>
          <w:sz w:val="22"/>
          <w:szCs w:val="22"/>
          <w:lang w:eastAsia="en-AU"/>
        </w:rPr>
        <w:t>Vaping Goods</w:t>
      </w:r>
      <w:r w:rsidR="002A2765" w:rsidRPr="002E5238">
        <w:rPr>
          <w:rFonts w:eastAsia="Times New Roman"/>
          <w:b/>
          <w:bCs/>
          <w:i/>
          <w:sz w:val="22"/>
          <w:szCs w:val="22"/>
          <w:lang w:eastAsia="en-AU"/>
        </w:rPr>
        <w:t>—Other Indications</w:t>
      </w:r>
      <w:r w:rsidRPr="002E5238">
        <w:rPr>
          <w:rFonts w:eastAsia="Times New Roman"/>
          <w:b/>
          <w:bCs/>
          <w:i/>
          <w:sz w:val="22"/>
          <w:szCs w:val="22"/>
          <w:lang w:eastAsia="en-AU"/>
        </w:rPr>
        <w:t>) Determination 2024</w:t>
      </w:r>
    </w:p>
    <w:p w14:paraId="5FF72CAD" w14:textId="77777777" w:rsidR="007A1965" w:rsidRPr="002E5238" w:rsidRDefault="007A1965" w:rsidP="001372BC">
      <w:pPr>
        <w:spacing w:after="0" w:line="240" w:lineRule="auto"/>
        <w:rPr>
          <w:rFonts w:eastAsia="Times New Roman"/>
          <w:sz w:val="22"/>
          <w:szCs w:val="22"/>
          <w:lang w:eastAsia="en-AU"/>
        </w:rPr>
      </w:pPr>
    </w:p>
    <w:p w14:paraId="2879E0CF" w14:textId="77777777" w:rsidR="007A1965" w:rsidRPr="002E5238" w:rsidRDefault="007A1965" w:rsidP="001372BC">
      <w:pPr>
        <w:keepNext/>
        <w:spacing w:after="0" w:line="240" w:lineRule="auto"/>
        <w:rPr>
          <w:rFonts w:eastAsia="Times New Roman"/>
          <w:b/>
          <w:bCs/>
          <w:sz w:val="22"/>
          <w:szCs w:val="22"/>
          <w:lang w:eastAsia="en-AU"/>
        </w:rPr>
      </w:pPr>
      <w:r w:rsidRPr="002E5238">
        <w:rPr>
          <w:rFonts w:eastAsia="Times New Roman"/>
          <w:b/>
          <w:bCs/>
          <w:sz w:val="22"/>
          <w:szCs w:val="22"/>
          <w:lang w:eastAsia="en-AU"/>
        </w:rPr>
        <w:t>Section 1 – Name</w:t>
      </w:r>
    </w:p>
    <w:p w14:paraId="66B2379E" w14:textId="77777777" w:rsidR="007A1965" w:rsidRPr="002E5238" w:rsidRDefault="007A1965" w:rsidP="001372BC">
      <w:pPr>
        <w:keepNext/>
        <w:spacing w:after="0" w:line="240" w:lineRule="auto"/>
        <w:rPr>
          <w:rFonts w:eastAsia="Times New Roman"/>
          <w:sz w:val="22"/>
          <w:szCs w:val="22"/>
          <w:lang w:eastAsia="en-AU"/>
        </w:rPr>
      </w:pPr>
    </w:p>
    <w:p w14:paraId="5E0CA11B" w14:textId="69464B63" w:rsidR="007A1965" w:rsidRPr="002E5238" w:rsidRDefault="007A1965" w:rsidP="001372BC">
      <w:pPr>
        <w:spacing w:after="0" w:line="240" w:lineRule="auto"/>
        <w:rPr>
          <w:rFonts w:eastAsia="Times New Roman"/>
          <w:sz w:val="22"/>
          <w:szCs w:val="22"/>
          <w:lang w:eastAsia="en-AU"/>
        </w:rPr>
      </w:pPr>
      <w:r w:rsidRPr="002E5238">
        <w:rPr>
          <w:rFonts w:eastAsia="Times New Roman"/>
          <w:sz w:val="22"/>
          <w:szCs w:val="22"/>
          <w:lang w:eastAsia="en-AU"/>
        </w:rPr>
        <w:t xml:space="preserve">This section provides that the name of the instrument is the </w:t>
      </w:r>
      <w:r w:rsidRPr="002E5238">
        <w:rPr>
          <w:rFonts w:eastAsia="Times New Roman"/>
          <w:i/>
          <w:sz w:val="22"/>
          <w:szCs w:val="22"/>
          <w:lang w:eastAsia="en-AU"/>
        </w:rPr>
        <w:t>Therapeutic Goods (</w:t>
      </w:r>
      <w:r w:rsidR="00E311E2" w:rsidRPr="002E5238">
        <w:rPr>
          <w:rFonts w:eastAsia="Times New Roman"/>
          <w:i/>
          <w:sz w:val="22"/>
          <w:szCs w:val="22"/>
          <w:lang w:eastAsia="en-AU"/>
        </w:rPr>
        <w:t>Vaping Goods</w:t>
      </w:r>
      <w:r w:rsidR="002A2765" w:rsidRPr="002E5238">
        <w:rPr>
          <w:rFonts w:eastAsia="Times New Roman"/>
          <w:i/>
          <w:sz w:val="22"/>
          <w:szCs w:val="22"/>
          <w:lang w:eastAsia="en-AU"/>
        </w:rPr>
        <w:t>—Other Indications</w:t>
      </w:r>
      <w:r w:rsidRPr="002E5238">
        <w:rPr>
          <w:rFonts w:eastAsia="Times New Roman"/>
          <w:i/>
          <w:sz w:val="22"/>
          <w:szCs w:val="22"/>
          <w:lang w:eastAsia="en-AU"/>
        </w:rPr>
        <w:t xml:space="preserve">) Determination 2024 </w:t>
      </w:r>
      <w:r w:rsidRPr="002E5238">
        <w:rPr>
          <w:rFonts w:eastAsia="Times New Roman"/>
          <w:sz w:val="22"/>
          <w:szCs w:val="22"/>
          <w:lang w:eastAsia="en-AU"/>
        </w:rPr>
        <w:t>(the Determination).</w:t>
      </w:r>
    </w:p>
    <w:p w14:paraId="258D7A8D" w14:textId="77777777" w:rsidR="007A1965" w:rsidRPr="002E5238" w:rsidRDefault="007A1965" w:rsidP="001372BC">
      <w:pPr>
        <w:spacing w:after="0" w:line="240" w:lineRule="auto"/>
        <w:rPr>
          <w:rFonts w:eastAsia="Times New Roman"/>
          <w:sz w:val="22"/>
          <w:szCs w:val="22"/>
          <w:lang w:eastAsia="en-AU"/>
        </w:rPr>
      </w:pPr>
    </w:p>
    <w:p w14:paraId="3FA342B9" w14:textId="77777777" w:rsidR="007A1965" w:rsidRPr="002E5238" w:rsidRDefault="007A1965" w:rsidP="001372BC">
      <w:pPr>
        <w:keepNext/>
        <w:spacing w:after="0" w:line="240" w:lineRule="auto"/>
        <w:rPr>
          <w:rFonts w:eastAsia="Times New Roman"/>
          <w:b/>
          <w:bCs/>
          <w:sz w:val="22"/>
          <w:szCs w:val="22"/>
          <w:lang w:eastAsia="en-AU"/>
        </w:rPr>
      </w:pPr>
      <w:r w:rsidRPr="002E5238">
        <w:rPr>
          <w:rFonts w:eastAsia="Times New Roman"/>
          <w:b/>
          <w:bCs/>
          <w:sz w:val="22"/>
          <w:szCs w:val="22"/>
          <w:lang w:eastAsia="en-AU"/>
        </w:rPr>
        <w:t>Section 2 – Commencement</w:t>
      </w:r>
    </w:p>
    <w:p w14:paraId="75438254" w14:textId="77777777" w:rsidR="007A1965" w:rsidRPr="002E5238" w:rsidRDefault="007A1965" w:rsidP="001372BC">
      <w:pPr>
        <w:keepNext/>
        <w:spacing w:after="0" w:line="240" w:lineRule="auto"/>
        <w:rPr>
          <w:rFonts w:eastAsia="Times New Roman"/>
          <w:bCs/>
          <w:sz w:val="22"/>
          <w:szCs w:val="22"/>
          <w:lang w:eastAsia="en-AU"/>
        </w:rPr>
      </w:pPr>
    </w:p>
    <w:p w14:paraId="39EBC987" w14:textId="28E99A0A" w:rsidR="007A1965" w:rsidRPr="002E5238" w:rsidRDefault="007A1965" w:rsidP="001372BC">
      <w:pPr>
        <w:spacing w:after="0" w:line="240" w:lineRule="auto"/>
        <w:rPr>
          <w:rFonts w:eastAsia="Times New Roman"/>
          <w:bCs/>
          <w:sz w:val="22"/>
          <w:szCs w:val="22"/>
          <w:lang w:eastAsia="en-AU"/>
        </w:rPr>
      </w:pPr>
      <w:r w:rsidRPr="002E5238">
        <w:rPr>
          <w:rFonts w:eastAsia="Times New Roman"/>
          <w:bCs/>
          <w:sz w:val="22"/>
          <w:szCs w:val="22"/>
          <w:lang w:eastAsia="en-AU"/>
        </w:rPr>
        <w:t xml:space="preserve">This section provides that the Determination commences </w:t>
      </w:r>
      <w:r w:rsidR="00843D1A" w:rsidRPr="002E5238">
        <w:rPr>
          <w:rFonts w:eastAsia="Times New Roman"/>
          <w:bCs/>
          <w:sz w:val="22"/>
          <w:szCs w:val="22"/>
          <w:lang w:eastAsia="en-AU"/>
        </w:rPr>
        <w:t xml:space="preserve">at the same time as the substantive provisions (Parts 1 to 3 of Schedule 1) of </w:t>
      </w:r>
      <w:r w:rsidRPr="002E5238">
        <w:rPr>
          <w:rFonts w:eastAsia="Times New Roman"/>
          <w:bCs/>
          <w:sz w:val="22"/>
          <w:szCs w:val="22"/>
          <w:lang w:eastAsia="en-AU"/>
        </w:rPr>
        <w:t xml:space="preserve">the </w:t>
      </w:r>
      <w:r w:rsidRPr="002E5238">
        <w:rPr>
          <w:rFonts w:eastAsia="Times New Roman"/>
          <w:bCs/>
          <w:i/>
          <w:iCs/>
          <w:sz w:val="22"/>
          <w:szCs w:val="22"/>
          <w:lang w:eastAsia="en-AU"/>
        </w:rPr>
        <w:t xml:space="preserve">Therapeutic Goods and Other Legislation Amendment (Vaping Reforms) Act 2024 </w:t>
      </w:r>
      <w:r w:rsidRPr="002E5238">
        <w:rPr>
          <w:rFonts w:eastAsia="Times New Roman"/>
          <w:bCs/>
          <w:sz w:val="22"/>
          <w:szCs w:val="22"/>
          <w:lang w:eastAsia="en-AU"/>
        </w:rPr>
        <w:t>(the Amendment Act) commence</w:t>
      </w:r>
      <w:r w:rsidRPr="002E5238">
        <w:rPr>
          <w:rFonts w:eastAsia="Times New Roman"/>
          <w:sz w:val="22"/>
          <w:szCs w:val="22"/>
          <w:lang w:eastAsia="en-AU"/>
        </w:rPr>
        <w:t xml:space="preserve">. However, the Determination does not commence at all if the Amendment Act does not </w:t>
      </w:r>
      <w:r w:rsidRPr="00006949">
        <w:rPr>
          <w:rFonts w:eastAsia="Times New Roman"/>
          <w:sz w:val="22"/>
          <w:szCs w:val="22"/>
          <w:lang w:eastAsia="en-AU"/>
        </w:rPr>
        <w:t>commence.</w:t>
      </w:r>
      <w:r w:rsidR="00006949" w:rsidRPr="00006949">
        <w:rPr>
          <w:rFonts w:eastAsia="Times New Roman"/>
          <w:sz w:val="22"/>
          <w:szCs w:val="22"/>
          <w:lang w:eastAsia="en-AU"/>
        </w:rPr>
        <w:t xml:space="preserve"> The Amendment Act received Royal Assent on 27 June 2024 and commences on 1 July 2024.</w:t>
      </w:r>
    </w:p>
    <w:p w14:paraId="259F0102" w14:textId="77777777" w:rsidR="007A1965" w:rsidRPr="002E5238" w:rsidRDefault="007A1965" w:rsidP="001372BC">
      <w:pPr>
        <w:spacing w:after="0" w:line="240" w:lineRule="auto"/>
        <w:rPr>
          <w:rFonts w:eastAsia="Times New Roman"/>
          <w:sz w:val="22"/>
          <w:szCs w:val="22"/>
          <w:lang w:eastAsia="en-AU"/>
        </w:rPr>
      </w:pPr>
    </w:p>
    <w:p w14:paraId="5FF66FB5" w14:textId="77777777" w:rsidR="007A1965" w:rsidRPr="002E5238" w:rsidRDefault="007A1965" w:rsidP="001372BC">
      <w:pPr>
        <w:keepNext/>
        <w:spacing w:after="0" w:line="240" w:lineRule="auto"/>
        <w:rPr>
          <w:rFonts w:eastAsia="Times New Roman"/>
          <w:b/>
          <w:bCs/>
          <w:sz w:val="22"/>
          <w:szCs w:val="22"/>
          <w:lang w:eastAsia="en-AU"/>
        </w:rPr>
      </w:pPr>
      <w:r w:rsidRPr="002E5238">
        <w:rPr>
          <w:rFonts w:eastAsia="Times New Roman"/>
          <w:b/>
          <w:bCs/>
          <w:sz w:val="22"/>
          <w:szCs w:val="22"/>
          <w:lang w:eastAsia="en-AU"/>
        </w:rPr>
        <w:t>Section 3 – Authority</w:t>
      </w:r>
    </w:p>
    <w:p w14:paraId="0C28659F" w14:textId="77777777" w:rsidR="007A1965" w:rsidRPr="002E5238" w:rsidRDefault="007A1965" w:rsidP="001372BC">
      <w:pPr>
        <w:keepNext/>
        <w:spacing w:after="0" w:line="240" w:lineRule="auto"/>
        <w:rPr>
          <w:rFonts w:eastAsia="Times New Roman"/>
          <w:bCs/>
          <w:sz w:val="22"/>
          <w:szCs w:val="22"/>
          <w:lang w:eastAsia="en-AU"/>
        </w:rPr>
      </w:pPr>
    </w:p>
    <w:p w14:paraId="04CF49B3" w14:textId="49732503" w:rsidR="007A1965" w:rsidRPr="002E5238" w:rsidRDefault="007A1965" w:rsidP="001372BC">
      <w:pPr>
        <w:spacing w:after="0" w:line="240" w:lineRule="auto"/>
        <w:rPr>
          <w:rFonts w:eastAsia="Times New Roman"/>
          <w:bCs/>
          <w:i/>
          <w:sz w:val="22"/>
          <w:szCs w:val="22"/>
          <w:lang w:eastAsia="en-AU"/>
        </w:rPr>
      </w:pPr>
      <w:r w:rsidRPr="002E5238">
        <w:rPr>
          <w:rFonts w:eastAsia="Times New Roman"/>
          <w:bCs/>
          <w:sz w:val="22"/>
          <w:szCs w:val="22"/>
          <w:lang w:eastAsia="en-AU"/>
        </w:rPr>
        <w:t xml:space="preserve">This section provides that the legislative authority for making the Determination is section </w:t>
      </w:r>
      <w:r w:rsidR="00E311E2" w:rsidRPr="002E5238">
        <w:rPr>
          <w:rFonts w:eastAsia="Times New Roman"/>
          <w:bCs/>
          <w:sz w:val="22"/>
          <w:szCs w:val="22"/>
          <w:lang w:eastAsia="en-AU"/>
        </w:rPr>
        <w:t>41RA</w:t>
      </w:r>
      <w:r w:rsidRPr="002E5238">
        <w:rPr>
          <w:rFonts w:eastAsia="Times New Roman"/>
          <w:bCs/>
          <w:sz w:val="22"/>
          <w:szCs w:val="22"/>
          <w:lang w:eastAsia="en-AU"/>
        </w:rPr>
        <w:t xml:space="preserve"> of the </w:t>
      </w:r>
      <w:r w:rsidRPr="002E5238">
        <w:rPr>
          <w:rFonts w:eastAsia="Times New Roman"/>
          <w:bCs/>
          <w:i/>
          <w:sz w:val="22"/>
          <w:szCs w:val="22"/>
          <w:lang w:eastAsia="en-AU"/>
        </w:rPr>
        <w:t xml:space="preserve">Therapeutic Goods Act 1989 </w:t>
      </w:r>
      <w:r w:rsidRPr="002E5238">
        <w:rPr>
          <w:rFonts w:eastAsia="Times New Roman"/>
          <w:bCs/>
          <w:sz w:val="22"/>
          <w:szCs w:val="22"/>
          <w:lang w:eastAsia="en-AU"/>
        </w:rPr>
        <w:t>(the Act)</w:t>
      </w:r>
      <w:r w:rsidRPr="002E5238">
        <w:rPr>
          <w:rFonts w:eastAsia="Times New Roman"/>
          <w:bCs/>
          <w:i/>
          <w:sz w:val="22"/>
          <w:szCs w:val="22"/>
          <w:lang w:eastAsia="en-AU"/>
        </w:rPr>
        <w:t>.</w:t>
      </w:r>
    </w:p>
    <w:p w14:paraId="1F4B0FB4" w14:textId="77777777" w:rsidR="007A1965" w:rsidRPr="002E5238" w:rsidRDefault="007A1965" w:rsidP="001372BC">
      <w:pPr>
        <w:spacing w:after="0" w:line="240" w:lineRule="auto"/>
        <w:rPr>
          <w:rFonts w:eastAsia="Times New Roman"/>
          <w:bCs/>
          <w:sz w:val="22"/>
          <w:szCs w:val="22"/>
          <w:lang w:eastAsia="en-AU"/>
        </w:rPr>
      </w:pPr>
    </w:p>
    <w:p w14:paraId="1DA61E4C" w14:textId="77777777" w:rsidR="007A1965" w:rsidRPr="002E5238" w:rsidRDefault="007A1965" w:rsidP="001372BC">
      <w:pPr>
        <w:keepNext/>
        <w:spacing w:after="0" w:line="240" w:lineRule="auto"/>
        <w:rPr>
          <w:rFonts w:eastAsia="Times New Roman"/>
          <w:b/>
          <w:bCs/>
          <w:sz w:val="22"/>
          <w:szCs w:val="22"/>
          <w:lang w:eastAsia="en-AU"/>
        </w:rPr>
      </w:pPr>
      <w:r w:rsidRPr="002E5238">
        <w:rPr>
          <w:rFonts w:eastAsia="Times New Roman"/>
          <w:b/>
          <w:bCs/>
          <w:sz w:val="22"/>
          <w:szCs w:val="22"/>
          <w:lang w:eastAsia="en-AU"/>
        </w:rPr>
        <w:t>Section 4 – Definitions</w:t>
      </w:r>
    </w:p>
    <w:p w14:paraId="08E4FC0A" w14:textId="77777777" w:rsidR="007A1965" w:rsidRPr="002E5238" w:rsidRDefault="007A1965" w:rsidP="001372BC">
      <w:pPr>
        <w:keepNext/>
        <w:spacing w:after="0" w:line="240" w:lineRule="auto"/>
        <w:rPr>
          <w:rFonts w:eastAsia="Times New Roman"/>
          <w:bCs/>
          <w:sz w:val="22"/>
          <w:szCs w:val="22"/>
          <w:lang w:eastAsia="en-AU"/>
        </w:rPr>
      </w:pPr>
    </w:p>
    <w:p w14:paraId="53A5C879" w14:textId="615FC2DF" w:rsidR="007A1965" w:rsidRPr="002E5238" w:rsidRDefault="007A1965" w:rsidP="001372BC">
      <w:pPr>
        <w:spacing w:after="0" w:line="240" w:lineRule="auto"/>
        <w:rPr>
          <w:rFonts w:eastAsia="Times New Roman"/>
          <w:bCs/>
          <w:sz w:val="22"/>
          <w:szCs w:val="22"/>
          <w:lang w:eastAsia="en-AU"/>
        </w:rPr>
      </w:pPr>
      <w:r w:rsidRPr="002E5238">
        <w:rPr>
          <w:rFonts w:eastAsia="Times New Roman"/>
          <w:bCs/>
          <w:sz w:val="22"/>
          <w:szCs w:val="22"/>
          <w:lang w:eastAsia="en-AU"/>
        </w:rPr>
        <w:t xml:space="preserve">This section provides definitions for a number of terms used in the Determination. </w:t>
      </w:r>
      <w:r w:rsidR="00E311E2" w:rsidRPr="002E5238">
        <w:rPr>
          <w:rFonts w:eastAsia="Times New Roman"/>
          <w:bCs/>
          <w:sz w:val="22"/>
          <w:szCs w:val="22"/>
          <w:lang w:eastAsia="en-AU"/>
        </w:rPr>
        <w:t>These include</w:t>
      </w:r>
      <w:r w:rsidR="002B2AB3" w:rsidRPr="002E5238">
        <w:rPr>
          <w:rFonts w:eastAsia="Times New Roman"/>
          <w:bCs/>
          <w:sz w:val="22"/>
          <w:szCs w:val="22"/>
          <w:lang w:eastAsia="en-AU"/>
        </w:rPr>
        <w:t xml:space="preserve"> ‘Act’, ‘intended purpose’, ‘medicinal cannabis products’, ‘MD Regulations’ and ‘Regulations’.</w:t>
      </w:r>
    </w:p>
    <w:p w14:paraId="4AC1F13C" w14:textId="77777777" w:rsidR="00E311E2" w:rsidRPr="002E5238" w:rsidRDefault="00E311E2" w:rsidP="001372BC">
      <w:pPr>
        <w:spacing w:after="0" w:line="240" w:lineRule="auto"/>
        <w:rPr>
          <w:sz w:val="22"/>
          <w:szCs w:val="22"/>
        </w:rPr>
      </w:pPr>
    </w:p>
    <w:p w14:paraId="5F70FB8D" w14:textId="5819310C" w:rsidR="00E311E2" w:rsidRPr="002E5238" w:rsidRDefault="00E311E2" w:rsidP="001372BC">
      <w:pPr>
        <w:spacing w:after="0" w:line="240" w:lineRule="auto"/>
        <w:rPr>
          <w:sz w:val="22"/>
          <w:szCs w:val="22"/>
        </w:rPr>
      </w:pPr>
      <w:r w:rsidRPr="002E5238">
        <w:rPr>
          <w:sz w:val="22"/>
          <w:szCs w:val="22"/>
        </w:rPr>
        <w:t>The note in this section also makes it clear that a number of expressions used in the Determination have the same meaning as in the Act. These include</w:t>
      </w:r>
      <w:r w:rsidR="00237937" w:rsidRPr="002E5238">
        <w:rPr>
          <w:sz w:val="22"/>
          <w:szCs w:val="22"/>
        </w:rPr>
        <w:t xml:space="preserve"> ‘included in the Register’, ‘indications’, ‘medical device’, ‘medical practitioner’, ‘medicine’, ‘Register’, ‘registered goods’, ‘therapeutic goods’, ‘vaping device’, ‘vaping goods’, and ‘vaping substance’.</w:t>
      </w:r>
    </w:p>
    <w:p w14:paraId="1A08B6AE" w14:textId="77777777" w:rsidR="007A1965" w:rsidRPr="002E5238" w:rsidRDefault="007A1965" w:rsidP="001372BC">
      <w:pPr>
        <w:spacing w:after="0" w:line="240" w:lineRule="auto"/>
        <w:rPr>
          <w:rFonts w:eastAsia="Times New Roman"/>
          <w:sz w:val="22"/>
          <w:szCs w:val="22"/>
          <w:lang w:eastAsia="en-AU"/>
        </w:rPr>
      </w:pPr>
    </w:p>
    <w:p w14:paraId="5B54FA31" w14:textId="41F2AF86" w:rsidR="007A1965" w:rsidRPr="002E5238" w:rsidRDefault="007A1965" w:rsidP="001372BC">
      <w:pPr>
        <w:keepNext/>
        <w:spacing w:after="0" w:line="240" w:lineRule="auto"/>
        <w:rPr>
          <w:rFonts w:eastAsia="Times New Roman"/>
          <w:b/>
          <w:bCs/>
          <w:sz w:val="22"/>
          <w:szCs w:val="22"/>
          <w:lang w:eastAsia="en-AU"/>
        </w:rPr>
      </w:pPr>
      <w:r w:rsidRPr="002E5238">
        <w:rPr>
          <w:rFonts w:eastAsia="Times New Roman"/>
          <w:b/>
          <w:bCs/>
          <w:sz w:val="22"/>
          <w:szCs w:val="22"/>
          <w:lang w:eastAsia="en-AU"/>
        </w:rPr>
        <w:t xml:space="preserve">Section 5 – </w:t>
      </w:r>
      <w:r w:rsidR="0044023D" w:rsidRPr="002E5238">
        <w:rPr>
          <w:rFonts w:eastAsia="Times New Roman"/>
          <w:b/>
          <w:bCs/>
          <w:sz w:val="22"/>
          <w:szCs w:val="22"/>
          <w:lang w:eastAsia="en-AU"/>
        </w:rPr>
        <w:t>Other i</w:t>
      </w:r>
      <w:r w:rsidR="00E311E2" w:rsidRPr="002E5238">
        <w:rPr>
          <w:rFonts w:eastAsia="Times New Roman"/>
          <w:b/>
          <w:bCs/>
          <w:sz w:val="22"/>
          <w:szCs w:val="22"/>
          <w:lang w:eastAsia="en-AU"/>
        </w:rPr>
        <w:t>ndications for which vaping goods may be used</w:t>
      </w:r>
    </w:p>
    <w:p w14:paraId="660F007E" w14:textId="77777777" w:rsidR="007A1965" w:rsidRPr="002E5238" w:rsidRDefault="007A1965" w:rsidP="001372BC">
      <w:pPr>
        <w:keepNext/>
        <w:spacing w:after="0" w:line="240" w:lineRule="auto"/>
        <w:rPr>
          <w:rFonts w:eastAsia="Times New Roman"/>
          <w:bCs/>
          <w:sz w:val="22"/>
          <w:szCs w:val="22"/>
          <w:lang w:eastAsia="en-AU"/>
        </w:rPr>
      </w:pPr>
    </w:p>
    <w:p w14:paraId="6F1F0749" w14:textId="406F5464" w:rsidR="00237937" w:rsidRPr="002E5238" w:rsidRDefault="007A1965" w:rsidP="001372BC">
      <w:pPr>
        <w:spacing w:after="0" w:line="240" w:lineRule="auto"/>
        <w:rPr>
          <w:rFonts w:eastAsia="Times New Roman"/>
          <w:bCs/>
          <w:sz w:val="22"/>
          <w:szCs w:val="22"/>
          <w:lang w:eastAsia="en-AU"/>
        </w:rPr>
      </w:pPr>
      <w:r w:rsidRPr="002E5238">
        <w:rPr>
          <w:rFonts w:eastAsia="Times New Roman"/>
          <w:bCs/>
          <w:sz w:val="22"/>
          <w:szCs w:val="22"/>
          <w:lang w:eastAsia="en-AU"/>
        </w:rPr>
        <w:t>This section provides that</w:t>
      </w:r>
      <w:r w:rsidR="00237937" w:rsidRPr="002E5238">
        <w:rPr>
          <w:rFonts w:eastAsia="Times New Roman"/>
          <w:bCs/>
          <w:sz w:val="22"/>
          <w:szCs w:val="22"/>
          <w:lang w:eastAsia="en-AU"/>
        </w:rPr>
        <w:t xml:space="preserve"> for the purposes of paragraph 41QB(11)(a) of the Act, in relation to each item of the table in Schedule 1, the indications in column 3 are determined to be indications</w:t>
      </w:r>
      <w:r w:rsidR="0044023D" w:rsidRPr="002E5238">
        <w:rPr>
          <w:rFonts w:eastAsia="Times New Roman"/>
          <w:bCs/>
          <w:sz w:val="22"/>
          <w:szCs w:val="22"/>
          <w:lang w:eastAsia="en-AU"/>
        </w:rPr>
        <w:t xml:space="preserve">, </w:t>
      </w:r>
      <w:r w:rsidR="00237937" w:rsidRPr="002E5238">
        <w:rPr>
          <w:rFonts w:eastAsia="Times New Roman"/>
          <w:bCs/>
          <w:sz w:val="22"/>
          <w:szCs w:val="22"/>
          <w:lang w:eastAsia="en-AU"/>
        </w:rPr>
        <w:t>other than smoking cessation or management of nicotine dependence</w:t>
      </w:r>
      <w:r w:rsidR="0044023D" w:rsidRPr="002E5238">
        <w:rPr>
          <w:rFonts w:eastAsia="Times New Roman"/>
          <w:bCs/>
          <w:sz w:val="22"/>
          <w:szCs w:val="22"/>
          <w:lang w:eastAsia="en-AU"/>
        </w:rPr>
        <w:t>,</w:t>
      </w:r>
      <w:r w:rsidR="00237937" w:rsidRPr="002E5238">
        <w:rPr>
          <w:rFonts w:eastAsia="Times New Roman"/>
          <w:bCs/>
          <w:sz w:val="22"/>
          <w:szCs w:val="22"/>
          <w:lang w:eastAsia="en-AU"/>
        </w:rPr>
        <w:t xml:space="preserve"> for which the vaping goods in column</w:t>
      </w:r>
      <w:r w:rsidR="001372BC" w:rsidRPr="002E5238">
        <w:rPr>
          <w:rFonts w:eastAsia="Times New Roman"/>
          <w:bCs/>
          <w:sz w:val="22"/>
          <w:szCs w:val="22"/>
          <w:lang w:eastAsia="en-AU"/>
        </w:rPr>
        <w:t> </w:t>
      </w:r>
      <w:r w:rsidR="00237937" w:rsidRPr="002E5238">
        <w:rPr>
          <w:rFonts w:eastAsia="Times New Roman"/>
          <w:bCs/>
          <w:sz w:val="22"/>
          <w:szCs w:val="22"/>
          <w:lang w:eastAsia="en-AU"/>
        </w:rPr>
        <w:t>2 may be used.</w:t>
      </w:r>
    </w:p>
    <w:p w14:paraId="611D1D3B" w14:textId="77777777" w:rsidR="007A1965" w:rsidRPr="002E5238" w:rsidRDefault="007A1965" w:rsidP="001372BC">
      <w:pPr>
        <w:spacing w:after="0" w:line="240" w:lineRule="auto"/>
        <w:rPr>
          <w:rFonts w:eastAsia="Times New Roman"/>
          <w:bCs/>
          <w:sz w:val="22"/>
          <w:szCs w:val="22"/>
          <w:lang w:eastAsia="en-AU"/>
        </w:rPr>
      </w:pPr>
    </w:p>
    <w:p w14:paraId="02319814" w14:textId="44D69FB8" w:rsidR="00237937" w:rsidRPr="002E5238" w:rsidRDefault="00237937" w:rsidP="001372BC">
      <w:pPr>
        <w:spacing w:after="0" w:line="240" w:lineRule="auto"/>
        <w:rPr>
          <w:rFonts w:eastAsia="Times New Roman"/>
          <w:b/>
          <w:sz w:val="22"/>
          <w:szCs w:val="22"/>
          <w:lang w:eastAsia="en-AU"/>
        </w:rPr>
      </w:pPr>
      <w:r w:rsidRPr="002E5238">
        <w:rPr>
          <w:rFonts w:eastAsia="Times New Roman"/>
          <w:b/>
          <w:sz w:val="22"/>
          <w:szCs w:val="22"/>
          <w:lang w:eastAsia="en-AU"/>
        </w:rPr>
        <w:t>Schedule 1 – Other indications for which vaping goods may be used</w:t>
      </w:r>
    </w:p>
    <w:p w14:paraId="1ABE32FF" w14:textId="77777777" w:rsidR="00237937" w:rsidRPr="002E5238" w:rsidRDefault="00237937" w:rsidP="001372BC">
      <w:pPr>
        <w:spacing w:after="0" w:line="240" w:lineRule="auto"/>
        <w:rPr>
          <w:rFonts w:eastAsia="Times New Roman"/>
          <w:bCs/>
          <w:sz w:val="22"/>
          <w:szCs w:val="22"/>
          <w:lang w:eastAsia="en-AU"/>
        </w:rPr>
      </w:pPr>
    </w:p>
    <w:p w14:paraId="47400388" w14:textId="62FD11B7" w:rsidR="00237937" w:rsidRPr="002E5238" w:rsidRDefault="00237937" w:rsidP="001372BC">
      <w:pPr>
        <w:spacing w:after="0" w:line="240" w:lineRule="auto"/>
        <w:rPr>
          <w:rFonts w:eastAsia="Times New Roman"/>
          <w:bCs/>
          <w:sz w:val="22"/>
          <w:szCs w:val="22"/>
          <w:lang w:eastAsia="en-AU"/>
        </w:rPr>
      </w:pPr>
      <w:r w:rsidRPr="002E5238">
        <w:rPr>
          <w:rFonts w:eastAsia="Times New Roman"/>
          <w:bCs/>
          <w:sz w:val="22"/>
          <w:szCs w:val="22"/>
          <w:lang w:eastAsia="en-AU"/>
        </w:rPr>
        <w:t xml:space="preserve">This Schedule determines other indications for which specified </w:t>
      </w:r>
      <w:r w:rsidR="0044023D" w:rsidRPr="002E5238">
        <w:rPr>
          <w:rFonts w:eastAsia="Times New Roman"/>
          <w:bCs/>
          <w:sz w:val="22"/>
          <w:szCs w:val="22"/>
          <w:lang w:eastAsia="en-AU"/>
        </w:rPr>
        <w:t xml:space="preserve">kinds of </w:t>
      </w:r>
      <w:r w:rsidRPr="002E5238">
        <w:rPr>
          <w:rFonts w:eastAsia="Times New Roman"/>
          <w:bCs/>
          <w:sz w:val="22"/>
          <w:szCs w:val="22"/>
          <w:lang w:eastAsia="en-AU"/>
        </w:rPr>
        <w:t>vaping goods may be used.</w:t>
      </w:r>
    </w:p>
    <w:p w14:paraId="1DB019C3" w14:textId="77777777" w:rsidR="00237937" w:rsidRPr="002E5238" w:rsidRDefault="00237937" w:rsidP="001372BC">
      <w:pPr>
        <w:spacing w:after="0" w:line="240" w:lineRule="auto"/>
        <w:rPr>
          <w:rFonts w:eastAsia="Times New Roman"/>
          <w:bCs/>
          <w:sz w:val="22"/>
          <w:szCs w:val="22"/>
          <w:lang w:eastAsia="en-AU"/>
        </w:rPr>
      </w:pPr>
    </w:p>
    <w:p w14:paraId="7927DD03" w14:textId="77777777" w:rsidR="001372BC" w:rsidRPr="002E5238" w:rsidRDefault="00237937" w:rsidP="001372BC">
      <w:pPr>
        <w:spacing w:after="0" w:line="240" w:lineRule="auto"/>
        <w:rPr>
          <w:rFonts w:eastAsia="Times New Roman"/>
          <w:bCs/>
          <w:sz w:val="22"/>
          <w:szCs w:val="22"/>
          <w:lang w:eastAsia="en-AU"/>
        </w:rPr>
      </w:pPr>
      <w:r w:rsidRPr="002E5238">
        <w:rPr>
          <w:rFonts w:eastAsia="Times New Roman"/>
          <w:bCs/>
          <w:sz w:val="22"/>
          <w:szCs w:val="22"/>
          <w:lang w:eastAsia="en-AU"/>
        </w:rPr>
        <w:t xml:space="preserve">Item 1 </w:t>
      </w:r>
      <w:r w:rsidR="001372BC" w:rsidRPr="002E5238">
        <w:rPr>
          <w:rFonts w:eastAsia="Times New Roman"/>
          <w:bCs/>
          <w:sz w:val="22"/>
          <w:szCs w:val="22"/>
          <w:lang w:eastAsia="en-AU"/>
        </w:rPr>
        <w:t>of the table in Schedule 1 provides that a vaping good may be used for the following:</w:t>
      </w:r>
    </w:p>
    <w:p w14:paraId="0956C4B0" w14:textId="77777777" w:rsidR="001372BC" w:rsidRPr="002E5238" w:rsidRDefault="001372BC" w:rsidP="001372BC">
      <w:pPr>
        <w:pStyle w:val="ListParagraph"/>
        <w:numPr>
          <w:ilvl w:val="0"/>
          <w:numId w:val="10"/>
        </w:numPr>
        <w:spacing w:after="0" w:line="240" w:lineRule="auto"/>
        <w:rPr>
          <w:rFonts w:eastAsia="Times New Roman"/>
          <w:bCs/>
          <w:sz w:val="22"/>
          <w:szCs w:val="22"/>
          <w:lang w:eastAsia="en-AU"/>
        </w:rPr>
      </w:pPr>
      <w:r w:rsidRPr="002E5238">
        <w:rPr>
          <w:rFonts w:eastAsia="Times New Roman"/>
          <w:bCs/>
          <w:sz w:val="22"/>
          <w:szCs w:val="22"/>
          <w:lang w:eastAsia="en-AU"/>
        </w:rPr>
        <w:t>for goods approved under paragraph 19(1)(b) of the Act—the indications specified in the approval;</w:t>
      </w:r>
    </w:p>
    <w:p w14:paraId="60C44C82" w14:textId="77777777" w:rsidR="001372BC" w:rsidRPr="002E5238" w:rsidRDefault="001372BC" w:rsidP="001372BC">
      <w:pPr>
        <w:pStyle w:val="ListParagraph"/>
        <w:numPr>
          <w:ilvl w:val="0"/>
          <w:numId w:val="10"/>
        </w:numPr>
        <w:spacing w:after="0" w:line="240" w:lineRule="auto"/>
        <w:rPr>
          <w:rFonts w:eastAsia="Times New Roman"/>
          <w:bCs/>
          <w:sz w:val="22"/>
          <w:szCs w:val="22"/>
          <w:lang w:eastAsia="en-AU"/>
        </w:rPr>
      </w:pPr>
      <w:r w:rsidRPr="002E5238">
        <w:rPr>
          <w:rFonts w:eastAsia="Times New Roman"/>
          <w:bCs/>
          <w:sz w:val="22"/>
          <w:szCs w:val="22"/>
          <w:lang w:eastAsia="en-AU"/>
        </w:rPr>
        <w:t>for a medical device approved under paragraph 41HB(1)(e) of the Act—the intended purposes specified in the approval;</w:t>
      </w:r>
    </w:p>
    <w:p w14:paraId="65B7F662" w14:textId="77777777" w:rsidR="001372BC" w:rsidRPr="002E5238" w:rsidRDefault="001372BC" w:rsidP="001372BC">
      <w:pPr>
        <w:pStyle w:val="ListParagraph"/>
        <w:numPr>
          <w:ilvl w:val="0"/>
          <w:numId w:val="10"/>
        </w:numPr>
        <w:spacing w:after="0" w:line="240" w:lineRule="auto"/>
        <w:rPr>
          <w:rFonts w:eastAsia="Times New Roman"/>
          <w:bCs/>
          <w:sz w:val="22"/>
          <w:szCs w:val="22"/>
          <w:lang w:eastAsia="en-AU"/>
        </w:rPr>
      </w:pPr>
      <w:r w:rsidRPr="002E5238">
        <w:rPr>
          <w:rFonts w:eastAsia="Times New Roman"/>
          <w:bCs/>
          <w:sz w:val="22"/>
          <w:szCs w:val="22"/>
          <w:lang w:eastAsia="en-AU"/>
        </w:rPr>
        <w:t>for goods exempt under item 3 of Schedule 5A to the Regulations—the indications set out in the notice</w:t>
      </w:r>
      <w:r w:rsidRPr="002E5238">
        <w:rPr>
          <w:sz w:val="22"/>
          <w:szCs w:val="22"/>
        </w:rPr>
        <w:t xml:space="preserve"> </w:t>
      </w:r>
      <w:r w:rsidRPr="002E5238">
        <w:rPr>
          <w:rFonts w:eastAsia="Times New Roman"/>
          <w:bCs/>
          <w:sz w:val="22"/>
          <w:szCs w:val="22"/>
          <w:lang w:eastAsia="en-AU"/>
        </w:rPr>
        <w:t>that is given in accordance with that item;</w:t>
      </w:r>
    </w:p>
    <w:p w14:paraId="5D7401AA" w14:textId="77777777" w:rsidR="001372BC" w:rsidRPr="002E5238" w:rsidRDefault="001372BC" w:rsidP="001372BC">
      <w:pPr>
        <w:pStyle w:val="ListParagraph"/>
        <w:numPr>
          <w:ilvl w:val="0"/>
          <w:numId w:val="10"/>
        </w:numPr>
        <w:spacing w:after="0" w:line="240" w:lineRule="auto"/>
        <w:rPr>
          <w:rFonts w:eastAsia="Times New Roman"/>
          <w:bCs/>
          <w:sz w:val="22"/>
          <w:szCs w:val="22"/>
          <w:lang w:eastAsia="en-AU"/>
        </w:rPr>
      </w:pPr>
      <w:r w:rsidRPr="002E5238">
        <w:rPr>
          <w:rFonts w:eastAsia="Times New Roman"/>
          <w:bCs/>
          <w:sz w:val="22"/>
          <w:szCs w:val="22"/>
          <w:lang w:eastAsia="en-AU"/>
        </w:rPr>
        <w:t>for medical devices exempt under item 2.3 in Part 2 of Schedule 4 to the MD Regulations—the intended purpose set out in the notice that is given in accordance with that item.</w:t>
      </w:r>
    </w:p>
    <w:p w14:paraId="3D98114F" w14:textId="77777777" w:rsidR="00D62443" w:rsidRPr="002E5238" w:rsidRDefault="00D62443" w:rsidP="001372BC">
      <w:pPr>
        <w:spacing w:after="0" w:line="240" w:lineRule="auto"/>
        <w:rPr>
          <w:rFonts w:eastAsia="Times New Roman"/>
          <w:bCs/>
          <w:sz w:val="22"/>
          <w:szCs w:val="22"/>
          <w:lang w:eastAsia="en-AU"/>
        </w:rPr>
      </w:pPr>
    </w:p>
    <w:p w14:paraId="78E023F1" w14:textId="4E37480B" w:rsidR="00D62443" w:rsidRPr="002E5238" w:rsidRDefault="00D62443" w:rsidP="001372BC">
      <w:pPr>
        <w:keepNext/>
        <w:spacing w:after="0" w:line="240" w:lineRule="auto"/>
        <w:rPr>
          <w:rFonts w:eastAsia="Times New Roman"/>
          <w:bCs/>
          <w:sz w:val="22"/>
          <w:szCs w:val="22"/>
          <w:lang w:eastAsia="en-AU"/>
        </w:rPr>
      </w:pPr>
      <w:r w:rsidRPr="002E5238">
        <w:rPr>
          <w:rFonts w:eastAsia="Times New Roman"/>
          <w:bCs/>
          <w:sz w:val="22"/>
          <w:szCs w:val="22"/>
          <w:lang w:eastAsia="en-AU"/>
        </w:rPr>
        <w:lastRenderedPageBreak/>
        <w:t>Item 2 of the table in Schedule 1 provides that a medicinal cannabis vaping good may be used for the following:</w:t>
      </w:r>
    </w:p>
    <w:p w14:paraId="0DE0CC34" w14:textId="23E9712E" w:rsidR="00D62443" w:rsidRPr="002E5238" w:rsidRDefault="00D62443" w:rsidP="001372BC">
      <w:pPr>
        <w:pStyle w:val="ListParagraph"/>
        <w:keepNext/>
        <w:numPr>
          <w:ilvl w:val="0"/>
          <w:numId w:val="9"/>
        </w:numPr>
        <w:spacing w:after="0" w:line="240" w:lineRule="auto"/>
        <w:rPr>
          <w:rFonts w:eastAsia="Times New Roman"/>
          <w:bCs/>
          <w:sz w:val="22"/>
          <w:szCs w:val="22"/>
          <w:lang w:eastAsia="en-AU"/>
        </w:rPr>
      </w:pPr>
      <w:r w:rsidRPr="002E5238">
        <w:rPr>
          <w:rFonts w:eastAsia="Times New Roman"/>
          <w:bCs/>
          <w:sz w:val="22"/>
          <w:szCs w:val="22"/>
          <w:lang w:eastAsia="en-AU"/>
        </w:rPr>
        <w:t>for a medical device included in the Register—the intended purpose accepted in relation to the inclusion of the medical device in the Register;</w:t>
      </w:r>
    </w:p>
    <w:p w14:paraId="36953049" w14:textId="3B8998AE" w:rsidR="00D62443" w:rsidRPr="002E5238" w:rsidRDefault="00D62443" w:rsidP="001372BC">
      <w:pPr>
        <w:pStyle w:val="ListParagraph"/>
        <w:numPr>
          <w:ilvl w:val="0"/>
          <w:numId w:val="9"/>
        </w:numPr>
        <w:spacing w:after="0" w:line="240" w:lineRule="auto"/>
        <w:rPr>
          <w:rFonts w:eastAsia="Times New Roman"/>
          <w:bCs/>
          <w:sz w:val="22"/>
          <w:szCs w:val="22"/>
          <w:lang w:eastAsia="en-AU"/>
        </w:rPr>
      </w:pPr>
      <w:r w:rsidRPr="002E5238">
        <w:rPr>
          <w:rFonts w:eastAsia="Times New Roman"/>
          <w:bCs/>
          <w:sz w:val="22"/>
          <w:szCs w:val="22"/>
          <w:lang w:eastAsia="en-AU"/>
        </w:rPr>
        <w:t>for a medical device approved under subsection 41HB(1)</w:t>
      </w:r>
      <w:r w:rsidR="003043CE" w:rsidRPr="002E5238">
        <w:rPr>
          <w:rFonts w:eastAsia="Times New Roman"/>
          <w:bCs/>
          <w:sz w:val="22"/>
          <w:szCs w:val="22"/>
          <w:lang w:eastAsia="en-AU"/>
        </w:rPr>
        <w:t>(d)</w:t>
      </w:r>
      <w:r w:rsidRPr="002E5238">
        <w:rPr>
          <w:rFonts w:eastAsia="Times New Roman"/>
          <w:bCs/>
          <w:sz w:val="22"/>
          <w:szCs w:val="22"/>
          <w:lang w:eastAsia="en-AU"/>
        </w:rPr>
        <w:t xml:space="preserve"> of the Act—the intended purpose specified in the approval;</w:t>
      </w:r>
    </w:p>
    <w:p w14:paraId="05A78151" w14:textId="2BBFC107" w:rsidR="00D62443" w:rsidRPr="002E5238" w:rsidRDefault="00D62443" w:rsidP="001372BC">
      <w:pPr>
        <w:pStyle w:val="ListParagraph"/>
        <w:numPr>
          <w:ilvl w:val="0"/>
          <w:numId w:val="9"/>
        </w:numPr>
        <w:spacing w:after="0" w:line="240" w:lineRule="auto"/>
        <w:rPr>
          <w:rFonts w:eastAsia="Times New Roman"/>
          <w:bCs/>
          <w:sz w:val="22"/>
          <w:szCs w:val="22"/>
          <w:lang w:eastAsia="en-AU"/>
        </w:rPr>
      </w:pPr>
      <w:r w:rsidRPr="002E5238">
        <w:rPr>
          <w:rFonts w:eastAsia="Times New Roman"/>
          <w:bCs/>
          <w:sz w:val="22"/>
          <w:szCs w:val="22"/>
          <w:lang w:eastAsia="en-AU"/>
        </w:rPr>
        <w:t>for a medical device authorised for supply under subsection 41HC(1) of the Act—the intended purpose specified in the authorisation;</w:t>
      </w:r>
    </w:p>
    <w:p w14:paraId="7280887E" w14:textId="5B28C1FA" w:rsidR="00D62443" w:rsidRPr="002E5238" w:rsidRDefault="00D62443" w:rsidP="001372BC">
      <w:pPr>
        <w:pStyle w:val="ListParagraph"/>
        <w:numPr>
          <w:ilvl w:val="0"/>
          <w:numId w:val="9"/>
        </w:numPr>
        <w:spacing w:after="0" w:line="240" w:lineRule="auto"/>
        <w:rPr>
          <w:rFonts w:eastAsia="Times New Roman"/>
          <w:bCs/>
          <w:sz w:val="22"/>
          <w:szCs w:val="22"/>
          <w:lang w:eastAsia="en-AU"/>
        </w:rPr>
      </w:pPr>
      <w:r w:rsidRPr="002E5238">
        <w:rPr>
          <w:rFonts w:eastAsia="Times New Roman"/>
          <w:bCs/>
          <w:sz w:val="22"/>
          <w:szCs w:val="22"/>
          <w:lang w:eastAsia="en-AU"/>
        </w:rPr>
        <w:t>for a medical device authorised for supply under rules made under subsection 41HC(</w:t>
      </w:r>
      <w:r w:rsidR="008205C9" w:rsidRPr="002E5238">
        <w:rPr>
          <w:rFonts w:eastAsia="Times New Roman"/>
          <w:bCs/>
          <w:sz w:val="22"/>
          <w:szCs w:val="22"/>
          <w:lang w:eastAsia="en-AU"/>
        </w:rPr>
        <w:t>6</w:t>
      </w:r>
      <w:r w:rsidRPr="002E5238">
        <w:rPr>
          <w:rFonts w:eastAsia="Times New Roman"/>
          <w:bCs/>
          <w:sz w:val="22"/>
          <w:szCs w:val="22"/>
          <w:lang w:eastAsia="en-AU"/>
        </w:rPr>
        <w:t>) of the Act—the purpose specified in the rules;</w:t>
      </w:r>
    </w:p>
    <w:p w14:paraId="2A8ABB82" w14:textId="5F20A65B" w:rsidR="00D62443" w:rsidRPr="002E5238" w:rsidRDefault="00D62443" w:rsidP="001372BC">
      <w:pPr>
        <w:pStyle w:val="ListParagraph"/>
        <w:numPr>
          <w:ilvl w:val="0"/>
          <w:numId w:val="9"/>
        </w:numPr>
        <w:spacing w:after="0" w:line="240" w:lineRule="auto"/>
        <w:rPr>
          <w:rFonts w:eastAsia="Times New Roman"/>
          <w:bCs/>
          <w:sz w:val="22"/>
          <w:szCs w:val="22"/>
          <w:lang w:eastAsia="en-AU"/>
        </w:rPr>
      </w:pPr>
      <w:r w:rsidRPr="002E5238">
        <w:rPr>
          <w:rFonts w:eastAsia="Times New Roman"/>
          <w:bCs/>
          <w:sz w:val="22"/>
          <w:szCs w:val="22"/>
          <w:lang w:eastAsia="en-AU"/>
        </w:rPr>
        <w:t>for medical devices exempt under regulation 7.2 of the MD Regulations</w:t>
      </w:r>
      <w:r w:rsidR="0044023D" w:rsidRPr="002E5238">
        <w:rPr>
          <w:rFonts w:eastAsia="Times New Roman"/>
          <w:bCs/>
          <w:sz w:val="22"/>
          <w:szCs w:val="22"/>
          <w:lang w:eastAsia="en-AU"/>
        </w:rPr>
        <w:t>, in relation to a person who is a Category A patient as defined in regulation 7.2</w:t>
      </w:r>
      <w:r w:rsidRPr="002E5238">
        <w:rPr>
          <w:rFonts w:eastAsia="Times New Roman"/>
          <w:bCs/>
          <w:sz w:val="22"/>
          <w:szCs w:val="22"/>
          <w:lang w:eastAsia="en-AU"/>
        </w:rPr>
        <w:t>—</w:t>
      </w:r>
      <w:r w:rsidR="002A6C44" w:rsidRPr="002E5238">
        <w:rPr>
          <w:rFonts w:eastAsia="Times New Roman"/>
          <w:bCs/>
          <w:sz w:val="22"/>
          <w:szCs w:val="22"/>
          <w:lang w:eastAsia="en-AU"/>
        </w:rPr>
        <w:t>the</w:t>
      </w:r>
      <w:r w:rsidR="008205C9" w:rsidRPr="002E5238">
        <w:rPr>
          <w:sz w:val="22"/>
          <w:szCs w:val="22"/>
        </w:rPr>
        <w:t xml:space="preserve"> </w:t>
      </w:r>
      <w:r w:rsidR="008205C9" w:rsidRPr="002E5238">
        <w:rPr>
          <w:rFonts w:eastAsia="Times New Roman"/>
          <w:bCs/>
          <w:sz w:val="22"/>
          <w:szCs w:val="22"/>
          <w:lang w:eastAsia="en-AU"/>
        </w:rPr>
        <w:t xml:space="preserve">use </w:t>
      </w:r>
      <w:r w:rsidR="002A6C44" w:rsidRPr="002E5238">
        <w:rPr>
          <w:rFonts w:eastAsia="Times New Roman"/>
          <w:bCs/>
          <w:sz w:val="22"/>
          <w:szCs w:val="22"/>
          <w:lang w:eastAsia="en-AU"/>
        </w:rPr>
        <w:t xml:space="preserve">of the </w:t>
      </w:r>
      <w:r w:rsidR="003D30E7" w:rsidRPr="002E5238">
        <w:rPr>
          <w:rFonts w:eastAsia="Times New Roman"/>
          <w:bCs/>
          <w:sz w:val="22"/>
          <w:szCs w:val="22"/>
          <w:lang w:eastAsia="en-AU"/>
        </w:rPr>
        <w:t xml:space="preserve">device </w:t>
      </w:r>
      <w:r w:rsidR="008205C9" w:rsidRPr="002E5238">
        <w:rPr>
          <w:rFonts w:eastAsia="Times New Roman"/>
          <w:bCs/>
          <w:sz w:val="22"/>
          <w:szCs w:val="22"/>
          <w:lang w:eastAsia="en-AU"/>
        </w:rPr>
        <w:t>in</w:t>
      </w:r>
      <w:r w:rsidR="002A6C44" w:rsidRPr="002E5238">
        <w:rPr>
          <w:rFonts w:eastAsia="Times New Roman"/>
          <w:bCs/>
          <w:sz w:val="22"/>
          <w:szCs w:val="22"/>
          <w:lang w:eastAsia="en-AU"/>
        </w:rPr>
        <w:t xml:space="preserve"> relation to</w:t>
      </w:r>
      <w:r w:rsidR="008205C9" w:rsidRPr="002E5238">
        <w:rPr>
          <w:rFonts w:eastAsia="Times New Roman"/>
          <w:bCs/>
          <w:sz w:val="22"/>
          <w:szCs w:val="22"/>
          <w:lang w:eastAsia="en-AU"/>
        </w:rPr>
        <w:t xml:space="preserve"> the treatment of the person’s condition</w:t>
      </w:r>
      <w:r w:rsidR="002A6C44" w:rsidRPr="002E5238">
        <w:rPr>
          <w:rFonts w:eastAsia="Times New Roman"/>
          <w:bCs/>
          <w:sz w:val="22"/>
          <w:szCs w:val="22"/>
          <w:lang w:eastAsia="en-AU"/>
        </w:rPr>
        <w:t>,</w:t>
      </w:r>
      <w:r w:rsidR="008205C9" w:rsidRPr="002E5238">
        <w:rPr>
          <w:rFonts w:eastAsia="Times New Roman"/>
          <w:bCs/>
          <w:sz w:val="22"/>
          <w:szCs w:val="22"/>
          <w:lang w:eastAsia="en-AU"/>
        </w:rPr>
        <w:t xml:space="preserve"> as </w:t>
      </w:r>
      <w:r w:rsidRPr="002E5238">
        <w:rPr>
          <w:rFonts w:eastAsia="Times New Roman"/>
          <w:bCs/>
          <w:sz w:val="22"/>
          <w:szCs w:val="22"/>
          <w:lang w:eastAsia="en-AU"/>
        </w:rPr>
        <w:t>set out in the statement referred to in subparagraph 7.2(1)(b)(ii) of the MD Regulations.</w:t>
      </w:r>
    </w:p>
    <w:p w14:paraId="442C44D3" w14:textId="77777777" w:rsidR="00314B53" w:rsidRPr="002E5238" w:rsidRDefault="00314B53" w:rsidP="001372BC">
      <w:pPr>
        <w:spacing w:after="0" w:line="240" w:lineRule="auto"/>
        <w:rPr>
          <w:rFonts w:eastAsia="Times New Roman"/>
          <w:bCs/>
          <w:sz w:val="22"/>
          <w:szCs w:val="22"/>
          <w:lang w:eastAsia="en-AU"/>
        </w:rPr>
      </w:pPr>
    </w:p>
    <w:p w14:paraId="34DC23F6" w14:textId="77777777" w:rsidR="001372BC" w:rsidRPr="002E5238" w:rsidRDefault="00314B53" w:rsidP="001372BC">
      <w:pPr>
        <w:spacing w:after="0" w:line="240" w:lineRule="auto"/>
        <w:rPr>
          <w:rFonts w:eastAsia="Times New Roman"/>
          <w:bCs/>
          <w:sz w:val="22"/>
          <w:szCs w:val="22"/>
          <w:lang w:eastAsia="en-AU"/>
        </w:rPr>
      </w:pPr>
      <w:r w:rsidRPr="002E5238">
        <w:rPr>
          <w:rFonts w:eastAsia="Times New Roman"/>
          <w:bCs/>
          <w:sz w:val="22"/>
          <w:szCs w:val="22"/>
          <w:lang w:eastAsia="en-AU"/>
        </w:rPr>
        <w:t xml:space="preserve">Item 3 </w:t>
      </w:r>
      <w:r w:rsidR="001372BC" w:rsidRPr="002E5238">
        <w:rPr>
          <w:rFonts w:eastAsia="Times New Roman"/>
          <w:bCs/>
          <w:sz w:val="22"/>
          <w:szCs w:val="22"/>
          <w:lang w:eastAsia="en-AU"/>
        </w:rPr>
        <w:t>of the table in Schedule 1 provides that a vaping substance that is a medicinal cannabis product or a medicine that contains synthetic cannabis may be used for the following:</w:t>
      </w:r>
    </w:p>
    <w:p w14:paraId="7C5C6FDA" w14:textId="77777777" w:rsidR="001372BC" w:rsidRPr="002E5238" w:rsidRDefault="001372BC" w:rsidP="001372BC">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registered goods—the indications that are accepted in relation to the inclusion of the goods in the Australian Register of Therapeutic Goods (the Register);</w:t>
      </w:r>
    </w:p>
    <w:p w14:paraId="013BF616" w14:textId="77777777" w:rsidR="001372BC" w:rsidRPr="002E5238" w:rsidRDefault="001372BC" w:rsidP="001372BC">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 approved under subsection 19(1)(a) of the Act—the indication specified in the approval;</w:t>
      </w:r>
    </w:p>
    <w:p w14:paraId="745C4F14" w14:textId="77777777" w:rsidR="001372BC" w:rsidRPr="002E5238" w:rsidRDefault="001372BC" w:rsidP="001372BC">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 authorised for supply under subsection 19(5) of the Act—the indications specified in the authorisation;</w:t>
      </w:r>
    </w:p>
    <w:p w14:paraId="1452AF1A" w14:textId="77777777" w:rsidR="001372BC" w:rsidRPr="002E5238" w:rsidRDefault="001372BC" w:rsidP="001372BC">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 authorised for supply under rules made under subsection 19(7A) of the Act—the indications specified in the rules;</w:t>
      </w:r>
    </w:p>
    <w:p w14:paraId="24F75B71" w14:textId="6D49C698" w:rsidR="001372BC" w:rsidRPr="002E5238" w:rsidRDefault="001372BC" w:rsidP="001372BC">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 exempt under regulation 12A of the Regulations, in relation to a person who is a Category A patient as defined in regulation 12A—the</w:t>
      </w:r>
      <w:r w:rsidRPr="002E5238">
        <w:rPr>
          <w:sz w:val="22"/>
          <w:szCs w:val="22"/>
        </w:rPr>
        <w:t xml:space="preserve"> </w:t>
      </w:r>
      <w:r w:rsidRPr="002E5238">
        <w:rPr>
          <w:rFonts w:eastAsia="Times New Roman"/>
          <w:bCs/>
          <w:sz w:val="22"/>
          <w:szCs w:val="22"/>
          <w:lang w:eastAsia="en-AU"/>
        </w:rPr>
        <w:t>use of the good in relation to the treatment of the person’s condition, as set out in the statement referred to in subparagraph 12A(2)(a)(iii) of the Regulations.</w:t>
      </w:r>
    </w:p>
    <w:p w14:paraId="382AA2B0" w14:textId="77777777" w:rsidR="007A1965" w:rsidRPr="002E5238" w:rsidRDefault="007A1965" w:rsidP="001372BC">
      <w:pPr>
        <w:spacing w:after="0" w:line="240" w:lineRule="auto"/>
        <w:rPr>
          <w:rFonts w:eastAsia="Times New Roman"/>
          <w:bCs/>
          <w:sz w:val="22"/>
          <w:szCs w:val="22"/>
          <w:lang w:eastAsia="en-AU"/>
        </w:rPr>
      </w:pPr>
      <w:r w:rsidRPr="002E5238">
        <w:rPr>
          <w:rFonts w:eastAsia="Times New Roman"/>
          <w:bCs/>
          <w:sz w:val="22"/>
          <w:szCs w:val="22"/>
          <w:lang w:eastAsia="en-AU"/>
        </w:rPr>
        <w:br w:type="page"/>
      </w:r>
    </w:p>
    <w:p w14:paraId="56B00936" w14:textId="77777777" w:rsidR="007A1965" w:rsidRPr="002E5238" w:rsidRDefault="007A1965" w:rsidP="001372BC">
      <w:pPr>
        <w:spacing w:after="0" w:line="240" w:lineRule="auto"/>
        <w:jc w:val="right"/>
        <w:rPr>
          <w:b/>
          <w:sz w:val="22"/>
          <w:szCs w:val="22"/>
        </w:rPr>
      </w:pPr>
      <w:r w:rsidRPr="002E5238">
        <w:rPr>
          <w:b/>
          <w:sz w:val="22"/>
          <w:szCs w:val="22"/>
        </w:rPr>
        <w:lastRenderedPageBreak/>
        <w:t>Attachment B</w:t>
      </w:r>
    </w:p>
    <w:p w14:paraId="3A5E3D33" w14:textId="77777777" w:rsidR="007A1965" w:rsidRPr="002E5238" w:rsidRDefault="007A1965" w:rsidP="001372BC">
      <w:pPr>
        <w:spacing w:after="0" w:line="240" w:lineRule="auto"/>
        <w:jc w:val="center"/>
        <w:rPr>
          <w:bCs/>
          <w:sz w:val="22"/>
          <w:szCs w:val="22"/>
        </w:rPr>
      </w:pPr>
    </w:p>
    <w:p w14:paraId="4C5EAC89" w14:textId="77777777" w:rsidR="007A1965" w:rsidRPr="002E5238" w:rsidRDefault="007A1965" w:rsidP="001372BC">
      <w:pPr>
        <w:spacing w:after="0" w:line="240" w:lineRule="auto"/>
        <w:jc w:val="center"/>
        <w:rPr>
          <w:b/>
          <w:sz w:val="22"/>
          <w:szCs w:val="22"/>
        </w:rPr>
      </w:pPr>
      <w:r w:rsidRPr="002E5238">
        <w:rPr>
          <w:b/>
          <w:sz w:val="22"/>
          <w:szCs w:val="22"/>
        </w:rPr>
        <w:t>Statement of Compatibility with Human Rights</w:t>
      </w:r>
    </w:p>
    <w:p w14:paraId="670DE9E5" w14:textId="77777777" w:rsidR="007A1965" w:rsidRPr="002E5238" w:rsidRDefault="007A1965" w:rsidP="001372BC">
      <w:pPr>
        <w:spacing w:after="0" w:line="240" w:lineRule="auto"/>
        <w:rPr>
          <w:sz w:val="22"/>
          <w:szCs w:val="22"/>
        </w:rPr>
      </w:pPr>
    </w:p>
    <w:p w14:paraId="1BD2E623" w14:textId="77777777" w:rsidR="007A1965" w:rsidRPr="002E5238" w:rsidRDefault="007A1965" w:rsidP="001372BC">
      <w:pPr>
        <w:spacing w:after="0" w:line="240" w:lineRule="auto"/>
        <w:jc w:val="center"/>
        <w:rPr>
          <w:sz w:val="22"/>
          <w:szCs w:val="22"/>
        </w:rPr>
      </w:pPr>
      <w:r w:rsidRPr="002E5238">
        <w:rPr>
          <w:sz w:val="22"/>
          <w:szCs w:val="22"/>
        </w:rPr>
        <w:t xml:space="preserve">Prepared in accordance with Part 3 of the </w:t>
      </w:r>
      <w:r w:rsidRPr="002E5238">
        <w:rPr>
          <w:i/>
          <w:sz w:val="22"/>
          <w:szCs w:val="22"/>
        </w:rPr>
        <w:t>Human Rights (Parliamentary Scrutiny) Act 2011</w:t>
      </w:r>
    </w:p>
    <w:p w14:paraId="04D38E6E" w14:textId="77777777" w:rsidR="007A1965" w:rsidRPr="002E5238" w:rsidRDefault="007A1965" w:rsidP="001372BC">
      <w:pPr>
        <w:spacing w:after="0" w:line="240" w:lineRule="auto"/>
        <w:jc w:val="center"/>
        <w:rPr>
          <w:bCs/>
          <w:sz w:val="22"/>
          <w:szCs w:val="22"/>
        </w:rPr>
      </w:pPr>
    </w:p>
    <w:p w14:paraId="3759F793" w14:textId="5F302FF2" w:rsidR="007A1965" w:rsidRPr="002E5238" w:rsidRDefault="00F81A7D" w:rsidP="001372BC">
      <w:pPr>
        <w:spacing w:after="0" w:line="240" w:lineRule="auto"/>
        <w:jc w:val="center"/>
        <w:rPr>
          <w:rFonts w:eastAsia="Times New Roman"/>
          <w:sz w:val="22"/>
          <w:szCs w:val="22"/>
          <w:lang w:eastAsia="en-AU"/>
        </w:rPr>
      </w:pPr>
      <w:r w:rsidRPr="002E5238">
        <w:rPr>
          <w:rFonts w:eastAsia="Times New Roman"/>
          <w:b/>
          <w:bCs/>
          <w:i/>
          <w:sz w:val="22"/>
          <w:szCs w:val="22"/>
          <w:lang w:eastAsia="en-AU"/>
        </w:rPr>
        <w:t>Therapeutic Goods (Vaping Goods</w:t>
      </w:r>
      <w:r w:rsidR="001372BC" w:rsidRPr="002E5238">
        <w:rPr>
          <w:rFonts w:eastAsia="Times New Roman"/>
          <w:b/>
          <w:bCs/>
          <w:i/>
          <w:sz w:val="22"/>
          <w:szCs w:val="22"/>
          <w:lang w:eastAsia="en-AU"/>
        </w:rPr>
        <w:t>—Other Indications</w:t>
      </w:r>
      <w:r w:rsidRPr="002E5238">
        <w:rPr>
          <w:rFonts w:eastAsia="Times New Roman"/>
          <w:b/>
          <w:bCs/>
          <w:i/>
          <w:sz w:val="22"/>
          <w:szCs w:val="22"/>
          <w:lang w:eastAsia="en-AU"/>
        </w:rPr>
        <w:t>) Determination 2024</w:t>
      </w:r>
    </w:p>
    <w:p w14:paraId="512B2F99" w14:textId="77777777" w:rsidR="00F81A7D" w:rsidRPr="002E5238" w:rsidRDefault="00F81A7D" w:rsidP="001372BC">
      <w:pPr>
        <w:spacing w:after="0" w:line="240" w:lineRule="auto"/>
        <w:rPr>
          <w:rFonts w:eastAsia="Times New Roman"/>
          <w:sz w:val="22"/>
          <w:szCs w:val="22"/>
          <w:lang w:eastAsia="en-AU"/>
        </w:rPr>
      </w:pPr>
    </w:p>
    <w:p w14:paraId="117B8B16" w14:textId="3A8310E0" w:rsidR="007A1965" w:rsidRPr="002E5238" w:rsidRDefault="007A1965" w:rsidP="001372BC">
      <w:pPr>
        <w:spacing w:after="0" w:line="240" w:lineRule="auto"/>
        <w:rPr>
          <w:rFonts w:eastAsia="Times New Roman"/>
          <w:sz w:val="22"/>
          <w:szCs w:val="22"/>
          <w:lang w:eastAsia="en-AU"/>
        </w:rPr>
      </w:pPr>
      <w:r w:rsidRPr="002E5238">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2E5238">
        <w:rPr>
          <w:rFonts w:eastAsia="Times New Roman"/>
          <w:i/>
          <w:sz w:val="22"/>
          <w:szCs w:val="22"/>
          <w:lang w:eastAsia="en-AU"/>
        </w:rPr>
        <w:t>Human Rights (Parliamentary Scrutiny) Act 2011</w:t>
      </w:r>
      <w:r w:rsidRPr="002E5238">
        <w:rPr>
          <w:rFonts w:eastAsia="Times New Roman"/>
          <w:sz w:val="22"/>
          <w:szCs w:val="22"/>
          <w:lang w:eastAsia="en-AU"/>
        </w:rPr>
        <w:t>.</w:t>
      </w:r>
    </w:p>
    <w:p w14:paraId="4B9385CF" w14:textId="77777777" w:rsidR="007A1965" w:rsidRPr="002E5238" w:rsidRDefault="007A1965" w:rsidP="001372BC">
      <w:pPr>
        <w:spacing w:after="0" w:line="240" w:lineRule="auto"/>
        <w:rPr>
          <w:rFonts w:eastAsia="Times New Roman"/>
          <w:bCs/>
          <w:sz w:val="22"/>
          <w:szCs w:val="22"/>
          <w:lang w:eastAsia="en-AU"/>
        </w:rPr>
      </w:pPr>
    </w:p>
    <w:p w14:paraId="75814697" w14:textId="77777777" w:rsidR="007A1965" w:rsidRPr="002E5238" w:rsidRDefault="007A1965" w:rsidP="001372BC">
      <w:pPr>
        <w:keepNext/>
        <w:spacing w:after="0" w:line="240" w:lineRule="auto"/>
        <w:rPr>
          <w:rFonts w:eastAsia="Times New Roman"/>
          <w:b/>
          <w:sz w:val="22"/>
          <w:szCs w:val="22"/>
          <w:lang w:eastAsia="en-AU"/>
        </w:rPr>
      </w:pPr>
      <w:r w:rsidRPr="002E5238">
        <w:rPr>
          <w:rFonts w:eastAsia="Times New Roman"/>
          <w:b/>
          <w:sz w:val="22"/>
          <w:szCs w:val="22"/>
          <w:lang w:eastAsia="en-AU"/>
        </w:rPr>
        <w:t>Overview of legislative instrument</w:t>
      </w:r>
    </w:p>
    <w:p w14:paraId="7187B4D6" w14:textId="77777777" w:rsidR="003D30E7" w:rsidRPr="002E5238" w:rsidRDefault="003D30E7" w:rsidP="001372BC">
      <w:pPr>
        <w:autoSpaceDE w:val="0"/>
        <w:autoSpaceDN w:val="0"/>
        <w:adjustRightInd w:val="0"/>
        <w:spacing w:after="0" w:line="240" w:lineRule="auto"/>
        <w:rPr>
          <w:rFonts w:eastAsia="Times New Roman"/>
          <w:sz w:val="22"/>
          <w:szCs w:val="22"/>
          <w:lang w:eastAsia="en-AU"/>
        </w:rPr>
      </w:pPr>
    </w:p>
    <w:p w14:paraId="6D2A22E9" w14:textId="174C0281" w:rsidR="002E5238" w:rsidRPr="002E5238" w:rsidRDefault="002E5238" w:rsidP="002E5238">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Subsections 41QB(1) to (3) of the Act establish offences and a civil penalty provision that prohibit the supply of vaping goods in Australia</w:t>
      </w:r>
      <w:r w:rsidR="00872BA7">
        <w:rPr>
          <w:rFonts w:eastAsia="Times New Roman"/>
          <w:sz w:val="22"/>
          <w:szCs w:val="22"/>
          <w:lang w:eastAsia="en-AU"/>
        </w:rPr>
        <w:t xml:space="preserve"> </w:t>
      </w:r>
      <w:r w:rsidRPr="002E5238">
        <w:rPr>
          <w:rFonts w:eastAsia="Times New Roman"/>
          <w:sz w:val="22"/>
          <w:szCs w:val="22"/>
          <w:lang w:eastAsia="en-AU"/>
        </w:rPr>
        <w:t>other than where the exceptions specified in section 41QB apply. These exceptions include the ‘retail supply chain exception’ in subsections 41QB(9), (10) and (11). This exception is designed to cover specified kinds of persons engaged in the legitimate supply of vaping goods to persons who are the ultimate consumer</w:t>
      </w:r>
      <w:r w:rsidR="00872BA7">
        <w:rPr>
          <w:rFonts w:eastAsia="Times New Roman"/>
          <w:sz w:val="22"/>
          <w:szCs w:val="22"/>
          <w:lang w:eastAsia="en-AU"/>
        </w:rPr>
        <w:t>s</w:t>
      </w:r>
      <w:r w:rsidRPr="002E5238">
        <w:rPr>
          <w:rFonts w:eastAsia="Times New Roman"/>
          <w:sz w:val="22"/>
          <w:szCs w:val="22"/>
          <w:lang w:eastAsia="en-AU"/>
        </w:rPr>
        <w:t xml:space="preserve"> of the goods, for legitimate therapeutic purposes.</w:t>
      </w:r>
    </w:p>
    <w:p w14:paraId="048A2EF9" w14:textId="77777777" w:rsidR="002E5238" w:rsidRPr="002E5238" w:rsidRDefault="002E5238" w:rsidP="002E5238">
      <w:pPr>
        <w:autoSpaceDE w:val="0"/>
        <w:autoSpaceDN w:val="0"/>
        <w:adjustRightInd w:val="0"/>
        <w:spacing w:after="0" w:line="240" w:lineRule="auto"/>
        <w:rPr>
          <w:rFonts w:eastAsia="Times New Roman"/>
          <w:sz w:val="22"/>
          <w:szCs w:val="22"/>
          <w:lang w:eastAsia="en-AU"/>
        </w:rPr>
      </w:pPr>
    </w:p>
    <w:p w14:paraId="4438B058" w14:textId="77777777" w:rsidR="002E5238" w:rsidRPr="002E5238" w:rsidRDefault="002E5238" w:rsidP="002E5238">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Relevantly, one of the elements of the retail supply chain exception is that the vaping goods are supplied to a person for smoking cessation, the management of nicotine dependence or another indication determined by the Minister under section 41RA of the Act.</w:t>
      </w:r>
    </w:p>
    <w:p w14:paraId="4DD1E80D" w14:textId="77777777" w:rsidR="002E5238" w:rsidRPr="002E5238" w:rsidRDefault="002E5238" w:rsidP="002E5238">
      <w:pPr>
        <w:autoSpaceDE w:val="0"/>
        <w:autoSpaceDN w:val="0"/>
        <w:adjustRightInd w:val="0"/>
        <w:spacing w:after="0" w:line="240" w:lineRule="auto"/>
        <w:rPr>
          <w:rFonts w:eastAsia="Times New Roman"/>
          <w:sz w:val="22"/>
          <w:szCs w:val="22"/>
          <w:lang w:eastAsia="en-AU"/>
        </w:rPr>
      </w:pPr>
    </w:p>
    <w:p w14:paraId="08C00A86" w14:textId="57523D66" w:rsidR="002E5238" w:rsidRPr="002E5238" w:rsidRDefault="002E5238" w:rsidP="002E5238">
      <w:pPr>
        <w:autoSpaceDE w:val="0"/>
        <w:autoSpaceDN w:val="0"/>
        <w:adjustRightInd w:val="0"/>
        <w:spacing w:after="0" w:line="240" w:lineRule="auto"/>
        <w:rPr>
          <w:rFonts w:eastAsia="Times New Roman"/>
          <w:iCs/>
          <w:sz w:val="22"/>
          <w:szCs w:val="22"/>
          <w:lang w:eastAsia="en-AU"/>
        </w:rPr>
      </w:pPr>
      <w:r w:rsidRPr="002E5238">
        <w:rPr>
          <w:rFonts w:eastAsia="Times New Roman"/>
          <w:sz w:val="22"/>
          <w:szCs w:val="22"/>
          <w:lang w:eastAsia="en-AU"/>
        </w:rPr>
        <w:t xml:space="preserve">The </w:t>
      </w:r>
      <w:r w:rsidRPr="002E5238">
        <w:rPr>
          <w:rFonts w:eastAsia="Times New Roman"/>
          <w:i/>
          <w:sz w:val="22"/>
          <w:szCs w:val="22"/>
          <w:lang w:eastAsia="en-AU"/>
        </w:rPr>
        <w:t xml:space="preserve">Therapeutic Goods (Vaping Goods—Other Indications) Determination 2024 </w:t>
      </w:r>
      <w:r w:rsidRPr="002E5238">
        <w:rPr>
          <w:rFonts w:eastAsia="Times New Roman"/>
          <w:iCs/>
          <w:sz w:val="22"/>
          <w:szCs w:val="22"/>
          <w:lang w:eastAsia="en-AU"/>
        </w:rPr>
        <w:t>(the Determination) is a legislative instrument made under section 41RA of the Act. It determines, for the purposes of paragraph 41QB(11)(a), indications, other than smoking cessation or management of nicotine dependence, for which a person may be supplied a vaping good. The effect of determining these indications is that the supply of a vaping good for a determined indication will, provided all other elements of the retail supply chain exception in subsections 41QB(9) to (11) apply, ensure that there will be no commission of an offence or contravention of a civil penalty in connection with that supply.</w:t>
      </w:r>
    </w:p>
    <w:p w14:paraId="4A607B50" w14:textId="77777777" w:rsidR="002E5238" w:rsidRPr="002E5238" w:rsidRDefault="002E5238" w:rsidP="002E5238">
      <w:pPr>
        <w:autoSpaceDE w:val="0"/>
        <w:autoSpaceDN w:val="0"/>
        <w:adjustRightInd w:val="0"/>
        <w:spacing w:after="0" w:line="240" w:lineRule="auto"/>
        <w:rPr>
          <w:rFonts w:eastAsia="Times New Roman"/>
          <w:iCs/>
          <w:sz w:val="22"/>
          <w:szCs w:val="22"/>
          <w:lang w:eastAsia="en-AU"/>
        </w:rPr>
      </w:pPr>
    </w:p>
    <w:p w14:paraId="72679496" w14:textId="77777777" w:rsidR="002E5238" w:rsidRPr="002E5238" w:rsidRDefault="002E5238" w:rsidP="002E5238">
      <w:pPr>
        <w:keepNext/>
        <w:autoSpaceDE w:val="0"/>
        <w:autoSpaceDN w:val="0"/>
        <w:adjustRightInd w:val="0"/>
        <w:spacing w:after="0" w:line="240" w:lineRule="auto"/>
        <w:rPr>
          <w:rFonts w:eastAsia="Times New Roman"/>
          <w:b/>
          <w:sz w:val="22"/>
          <w:szCs w:val="22"/>
          <w:lang w:eastAsia="en-AU"/>
        </w:rPr>
      </w:pPr>
      <w:r w:rsidRPr="002E5238">
        <w:rPr>
          <w:rFonts w:eastAsia="Times New Roman"/>
          <w:b/>
          <w:sz w:val="22"/>
          <w:szCs w:val="22"/>
          <w:lang w:eastAsia="en-AU"/>
        </w:rPr>
        <w:t>Background</w:t>
      </w:r>
    </w:p>
    <w:p w14:paraId="0ABC273F" w14:textId="77777777" w:rsidR="002E5238" w:rsidRPr="002E5238" w:rsidRDefault="002E5238" w:rsidP="002E5238">
      <w:pPr>
        <w:keepNext/>
        <w:autoSpaceDE w:val="0"/>
        <w:autoSpaceDN w:val="0"/>
        <w:adjustRightInd w:val="0"/>
        <w:spacing w:after="0" w:line="240" w:lineRule="auto"/>
        <w:rPr>
          <w:rFonts w:eastAsia="Times New Roman"/>
          <w:sz w:val="22"/>
          <w:szCs w:val="22"/>
          <w:lang w:eastAsia="en-AU"/>
        </w:rPr>
      </w:pPr>
    </w:p>
    <w:p w14:paraId="42200372"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Vaping is rapidly increasing in Australia, particularly among youth and young adults. The latest available trend data shows that among young people aged 14 years and over, current use of an e</w:t>
      </w:r>
      <w:r w:rsidRPr="006B78E6">
        <w:rPr>
          <w:rFonts w:eastAsia="Times New Roman"/>
          <w:sz w:val="22"/>
          <w:szCs w:val="22"/>
          <w:lang w:eastAsia="en-AU"/>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6130FDB6"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2F820C08"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2B144B60"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449C6BC1"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3FDEA8B3"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5BFAAFD8"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 xml:space="preserve">The Government’s vaping reforms are being implemented in stages over 2024. The </w:t>
      </w:r>
      <w:r w:rsidRPr="006B78E6">
        <w:rPr>
          <w:rFonts w:eastAsia="Times New Roman"/>
          <w:i/>
          <w:iCs/>
          <w:sz w:val="22"/>
          <w:szCs w:val="22"/>
          <w:lang w:eastAsia="en-AU"/>
        </w:rPr>
        <w:t>Therapeutic Goods and Other Legislation Amendment (Vaping Reforms) Act 2024</w:t>
      </w:r>
      <w:r w:rsidRPr="006B78E6">
        <w:rPr>
          <w:rFonts w:eastAsia="Times New Roman"/>
          <w:sz w:val="22"/>
          <w:szCs w:val="22"/>
          <w:lang w:eastAsia="en-AU"/>
        </w:rPr>
        <w:t xml:space="preserve"> (the Amendment Act) is the centrepiece of these reforms to reduce rates of vaping and prevent long term adverse effects on population health. It represents the second stage of regulatory measures taken this year.</w:t>
      </w:r>
    </w:p>
    <w:p w14:paraId="3B38E2FC"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1068BE82"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 xml:space="preserve">The first stage of the Government’s vaping reforms comprised amendments to </w:t>
      </w:r>
      <w:r w:rsidRPr="006B78E6">
        <w:rPr>
          <w:rFonts w:eastAsia="Times New Roman"/>
          <w:i/>
          <w:iCs/>
          <w:sz w:val="22"/>
          <w:szCs w:val="22"/>
          <w:lang w:eastAsia="en-AU"/>
        </w:rPr>
        <w:t>the Customs (Prohibited Imports) Regulations 1956</w:t>
      </w:r>
      <w:r w:rsidRPr="006B78E6">
        <w:rPr>
          <w:rFonts w:eastAsia="Times New Roman"/>
          <w:sz w:val="22"/>
          <w:szCs w:val="22"/>
          <w:lang w:eastAsia="en-AU"/>
        </w:rPr>
        <w:t xml:space="preserve">, </w:t>
      </w:r>
      <w:r w:rsidRPr="006B78E6">
        <w:rPr>
          <w:rFonts w:eastAsia="Times New Roman"/>
          <w:i/>
          <w:iCs/>
          <w:sz w:val="22"/>
          <w:szCs w:val="22"/>
          <w:lang w:eastAsia="en-AU"/>
        </w:rPr>
        <w:t>Therapeutic Goods Regulations 1990</w:t>
      </w:r>
      <w:r w:rsidRPr="006B78E6">
        <w:rPr>
          <w:rFonts w:eastAsia="Times New Roman"/>
          <w:sz w:val="22"/>
          <w:szCs w:val="22"/>
          <w:lang w:eastAsia="en-AU"/>
        </w:rPr>
        <w:t xml:space="preserve"> and </w:t>
      </w:r>
      <w:r w:rsidRPr="006B78E6">
        <w:rPr>
          <w:rFonts w:eastAsia="Times New Roman"/>
          <w:i/>
          <w:iCs/>
          <w:sz w:val="22"/>
          <w:szCs w:val="22"/>
          <w:lang w:eastAsia="en-AU"/>
        </w:rPr>
        <w:t>Therapeutic Goods (Medical Devices) Regulations 2002</w:t>
      </w:r>
      <w:r w:rsidRPr="006B78E6">
        <w:rPr>
          <w:rFonts w:eastAsia="Times New Roman"/>
          <w:sz w:val="22"/>
          <w:szCs w:val="22"/>
          <w:lang w:eastAsia="en-AU"/>
        </w:rPr>
        <w:t>. These amendments commenced on 1 January 2024 and introduced the following changes:</w:t>
      </w:r>
    </w:p>
    <w:p w14:paraId="1D61365A"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356EEC38" w14:textId="77777777" w:rsidR="00FD40FE" w:rsidRPr="006B78E6" w:rsidRDefault="00FD40FE" w:rsidP="00FD40FE">
      <w:pPr>
        <w:pStyle w:val="ListParagraph"/>
        <w:numPr>
          <w:ilvl w:val="0"/>
          <w:numId w:val="6"/>
        </w:num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7B68EBCB" w14:textId="77777777" w:rsidR="00FD40FE" w:rsidRPr="006B78E6" w:rsidRDefault="00FD40FE" w:rsidP="00FD40FE">
      <w:pPr>
        <w:pStyle w:val="ListParagraph"/>
        <w:autoSpaceDE w:val="0"/>
        <w:autoSpaceDN w:val="0"/>
        <w:adjustRightInd w:val="0"/>
        <w:spacing w:after="0" w:line="240" w:lineRule="auto"/>
        <w:rPr>
          <w:rFonts w:eastAsia="Times New Roman"/>
          <w:sz w:val="22"/>
          <w:szCs w:val="22"/>
          <w:lang w:eastAsia="en-AU"/>
        </w:rPr>
      </w:pPr>
    </w:p>
    <w:p w14:paraId="032AC795" w14:textId="77777777" w:rsidR="00FD40FE" w:rsidRPr="006B78E6" w:rsidRDefault="00FD40FE" w:rsidP="00FD40FE">
      <w:pPr>
        <w:pStyle w:val="ListParagraph"/>
        <w:numPr>
          <w:ilvl w:val="0"/>
          <w:numId w:val="6"/>
        </w:num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1B3743EC" w14:textId="77777777" w:rsidR="00FD40FE" w:rsidRPr="006B78E6" w:rsidRDefault="00FD40FE" w:rsidP="00FD40FE">
      <w:pPr>
        <w:pStyle w:val="ListParagraph"/>
        <w:autoSpaceDE w:val="0"/>
        <w:autoSpaceDN w:val="0"/>
        <w:adjustRightInd w:val="0"/>
        <w:spacing w:after="0" w:line="240" w:lineRule="auto"/>
        <w:rPr>
          <w:rFonts w:eastAsia="Times New Roman"/>
          <w:sz w:val="22"/>
          <w:szCs w:val="22"/>
          <w:lang w:eastAsia="en-AU"/>
        </w:rPr>
      </w:pPr>
    </w:p>
    <w:p w14:paraId="32356F55" w14:textId="77777777" w:rsidR="00FD40FE" w:rsidRPr="006B78E6" w:rsidRDefault="00FD40FE" w:rsidP="00FD40FE">
      <w:pPr>
        <w:pStyle w:val="ListParagraph"/>
        <w:numPr>
          <w:ilvl w:val="0"/>
          <w:numId w:val="6"/>
        </w:num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46FCDC02" w14:textId="77777777" w:rsidR="00FD40FE" w:rsidRPr="006B78E6" w:rsidRDefault="00FD40FE" w:rsidP="00FD40FE">
      <w:pPr>
        <w:autoSpaceDE w:val="0"/>
        <w:autoSpaceDN w:val="0"/>
        <w:adjustRightInd w:val="0"/>
        <w:spacing w:after="0" w:line="240" w:lineRule="auto"/>
        <w:rPr>
          <w:rFonts w:eastAsia="Times New Roman"/>
          <w:sz w:val="22"/>
          <w:szCs w:val="22"/>
          <w:lang w:eastAsia="en-AU"/>
        </w:rPr>
      </w:pPr>
    </w:p>
    <w:p w14:paraId="6D91012E" w14:textId="020BD183" w:rsidR="00FD40FE" w:rsidRPr="006B78E6" w:rsidRDefault="00FD40FE" w:rsidP="00FD40FE">
      <w:pPr>
        <w:autoSpaceDE w:val="0"/>
        <w:autoSpaceDN w:val="0"/>
        <w:adjustRightInd w:val="0"/>
        <w:spacing w:after="0" w:line="240" w:lineRule="auto"/>
        <w:rPr>
          <w:rFonts w:eastAsia="Times New Roman"/>
          <w:sz w:val="22"/>
          <w:szCs w:val="22"/>
          <w:lang w:eastAsia="en-AU"/>
        </w:rPr>
      </w:pPr>
      <w:r w:rsidRPr="006B78E6">
        <w:rPr>
          <w:rFonts w:eastAsia="Times New Roman"/>
          <w:sz w:val="22"/>
          <w:szCs w:val="22"/>
          <w:lang w:eastAsia="en-AU"/>
        </w:rPr>
        <w:t>The Amendment Act, commencing on 1 July 2024, implement</w:t>
      </w:r>
      <w:r w:rsidR="00341AB5">
        <w:rPr>
          <w:rFonts w:eastAsia="Times New Roman"/>
          <w:sz w:val="22"/>
          <w:szCs w:val="22"/>
          <w:lang w:eastAsia="en-AU"/>
        </w:rPr>
        <w:t>s</w:t>
      </w:r>
      <w:r w:rsidRPr="006B78E6">
        <w:rPr>
          <w:rFonts w:eastAsia="Times New Roman"/>
          <w:sz w:val="22"/>
          <w:szCs w:val="22"/>
          <w:lang w:eastAsia="en-AU"/>
        </w:rPr>
        <w:t xml:space="preserve"> the second stage of reforms to the regulation of vaping goods, principally to prohibit the importation, manufacture</w:t>
      </w:r>
      <w:r w:rsidR="00341AB5">
        <w:rPr>
          <w:rFonts w:eastAsia="Times New Roman"/>
          <w:sz w:val="22"/>
          <w:szCs w:val="22"/>
          <w:lang w:eastAsia="en-AU"/>
        </w:rPr>
        <w:t>,</w:t>
      </w:r>
      <w:r w:rsidR="00404931">
        <w:rPr>
          <w:rFonts w:eastAsia="Times New Roman"/>
          <w:sz w:val="22"/>
          <w:szCs w:val="22"/>
          <w:lang w:eastAsia="en-AU"/>
        </w:rPr>
        <w:t xml:space="preserve"> supply,</w:t>
      </w:r>
      <w:r w:rsidR="00341AB5">
        <w:rPr>
          <w:rFonts w:eastAsia="Times New Roman"/>
          <w:sz w:val="22"/>
          <w:szCs w:val="22"/>
          <w:lang w:eastAsia="en-AU"/>
        </w:rPr>
        <w:t xml:space="preserve"> commercial possession</w:t>
      </w:r>
      <w:r w:rsidR="00404931">
        <w:rPr>
          <w:rFonts w:eastAsia="Times New Roman"/>
          <w:sz w:val="22"/>
          <w:szCs w:val="22"/>
          <w:lang w:eastAsia="en-AU"/>
        </w:rPr>
        <w:t xml:space="preserve"> and</w:t>
      </w:r>
      <w:r w:rsidR="00341AB5">
        <w:rPr>
          <w:rFonts w:eastAsia="Times New Roman"/>
          <w:sz w:val="22"/>
          <w:szCs w:val="22"/>
          <w:lang w:eastAsia="en-AU"/>
        </w:rPr>
        <w:t xml:space="preserve"> advertisement</w:t>
      </w:r>
      <w:r w:rsidRPr="006B78E6">
        <w:rPr>
          <w:rFonts w:eastAsia="Times New Roman"/>
          <w:sz w:val="22"/>
          <w:szCs w:val="22"/>
          <w:lang w:eastAsia="en-AU"/>
        </w:rPr>
        <w:t xml:space="preserve"> of vaping goods in Australia unless certain requirements under the Act are met. </w:t>
      </w:r>
      <w:r w:rsidR="00341AB5">
        <w:rPr>
          <w:rFonts w:eastAsia="Times New Roman"/>
          <w:sz w:val="22"/>
          <w:szCs w:val="22"/>
          <w:lang w:eastAsia="en-AU"/>
        </w:rPr>
        <w:t xml:space="preserve">Therapeutic vaping goods that meet regulatory requirements for therapeutic goods under the Act will continue to be available where clinically appropriate. </w:t>
      </w:r>
      <w:r w:rsidRPr="006B78E6">
        <w:rPr>
          <w:rFonts w:eastAsia="Times New Roman"/>
          <w:sz w:val="22"/>
          <w:szCs w:val="22"/>
          <w:lang w:eastAsia="en-AU"/>
        </w:rPr>
        <w:t>The reforms align with the Government’s broader objective to significantly reduce the use of tobacco and nicotine products in Australia by 2030, as outlined in the National Tobacco Strategy 2023-2030.</w:t>
      </w:r>
    </w:p>
    <w:p w14:paraId="7F77EB24" w14:textId="77777777" w:rsidR="002E5238" w:rsidRPr="002E5238" w:rsidRDefault="002E5238" w:rsidP="002E5238">
      <w:pPr>
        <w:keepNext/>
        <w:autoSpaceDE w:val="0"/>
        <w:autoSpaceDN w:val="0"/>
        <w:adjustRightInd w:val="0"/>
        <w:spacing w:after="0" w:line="240" w:lineRule="auto"/>
        <w:rPr>
          <w:rFonts w:eastAsia="Times New Roman"/>
          <w:bCs/>
          <w:sz w:val="22"/>
          <w:szCs w:val="22"/>
          <w:lang w:eastAsia="en-AU"/>
        </w:rPr>
      </w:pPr>
    </w:p>
    <w:p w14:paraId="3684BB97" w14:textId="77777777" w:rsidR="002E5238" w:rsidRPr="002E5238" w:rsidRDefault="002E5238" w:rsidP="002E5238">
      <w:pPr>
        <w:keepNext/>
        <w:autoSpaceDE w:val="0"/>
        <w:autoSpaceDN w:val="0"/>
        <w:adjustRightInd w:val="0"/>
        <w:spacing w:after="0" w:line="240" w:lineRule="auto"/>
        <w:rPr>
          <w:rFonts w:eastAsia="Times New Roman"/>
          <w:b/>
          <w:sz w:val="22"/>
          <w:szCs w:val="22"/>
          <w:lang w:eastAsia="en-AU"/>
        </w:rPr>
      </w:pPr>
      <w:r w:rsidRPr="002E5238">
        <w:rPr>
          <w:rFonts w:eastAsia="Times New Roman"/>
          <w:b/>
          <w:sz w:val="22"/>
          <w:szCs w:val="22"/>
          <w:lang w:eastAsia="en-AU"/>
        </w:rPr>
        <w:t>Purpose</w:t>
      </w:r>
    </w:p>
    <w:p w14:paraId="1D1D5EE8" w14:textId="77777777" w:rsidR="002E5238" w:rsidRPr="002E5238" w:rsidRDefault="002E5238" w:rsidP="002E5238">
      <w:pPr>
        <w:keepNext/>
        <w:autoSpaceDE w:val="0"/>
        <w:autoSpaceDN w:val="0"/>
        <w:adjustRightInd w:val="0"/>
        <w:spacing w:after="0" w:line="240" w:lineRule="auto"/>
        <w:rPr>
          <w:rFonts w:eastAsia="Times New Roman"/>
          <w:sz w:val="22"/>
          <w:szCs w:val="22"/>
          <w:lang w:eastAsia="en-AU"/>
        </w:rPr>
      </w:pPr>
    </w:p>
    <w:p w14:paraId="0ACEB5F6" w14:textId="6B47DF46" w:rsidR="002E5238" w:rsidRPr="002E5238" w:rsidRDefault="002E5238" w:rsidP="002E5238">
      <w:pPr>
        <w:autoSpaceDE w:val="0"/>
        <w:autoSpaceDN w:val="0"/>
        <w:adjustRightInd w:val="0"/>
        <w:spacing w:after="0" w:line="240" w:lineRule="auto"/>
        <w:rPr>
          <w:rFonts w:eastAsia="Times New Roman"/>
          <w:sz w:val="22"/>
          <w:szCs w:val="22"/>
          <w:lang w:eastAsia="en-AU"/>
        </w:rPr>
      </w:pPr>
      <w:r w:rsidRPr="002E5238">
        <w:rPr>
          <w:rFonts w:eastAsia="Times New Roman"/>
          <w:sz w:val="22"/>
          <w:szCs w:val="22"/>
          <w:lang w:eastAsia="en-AU"/>
        </w:rPr>
        <w:t>The Determination is made under section 41RA of the Act. It determines, for the purposes of paragraph 41QB(11)(a), indications, other than smoking cessation or the management of nicotine dependence, for which persons may use vaping goods that are supplied under established pathways for lawfully accessing unapproved therapeutic goods under the Act.</w:t>
      </w:r>
    </w:p>
    <w:p w14:paraId="37276361" w14:textId="77777777" w:rsidR="002E5238" w:rsidRPr="002E5238" w:rsidRDefault="002E5238" w:rsidP="002E5238">
      <w:pPr>
        <w:autoSpaceDE w:val="0"/>
        <w:autoSpaceDN w:val="0"/>
        <w:adjustRightInd w:val="0"/>
        <w:spacing w:after="0" w:line="240" w:lineRule="auto"/>
        <w:rPr>
          <w:rFonts w:eastAsia="Times New Roman"/>
          <w:sz w:val="22"/>
          <w:szCs w:val="22"/>
          <w:lang w:eastAsia="en-AU"/>
        </w:rPr>
      </w:pPr>
    </w:p>
    <w:p w14:paraId="7D1C3EE0" w14:textId="1C8A0808" w:rsidR="002E5238" w:rsidRPr="002E5238" w:rsidRDefault="002E5238" w:rsidP="002E5238">
      <w:pPr>
        <w:spacing w:after="0" w:line="240" w:lineRule="auto"/>
        <w:rPr>
          <w:rFonts w:eastAsia="Times New Roman"/>
          <w:iCs/>
          <w:sz w:val="22"/>
          <w:szCs w:val="22"/>
          <w:lang w:eastAsia="en-AU"/>
        </w:rPr>
      </w:pPr>
      <w:r w:rsidRPr="002E5238">
        <w:rPr>
          <w:rFonts w:eastAsia="Times New Roman"/>
          <w:iCs/>
          <w:sz w:val="22"/>
          <w:szCs w:val="22"/>
          <w:lang w:eastAsia="en-AU"/>
        </w:rPr>
        <w:t>In relation to vaping goods that are intended to be used in a clinical trial</w:t>
      </w:r>
      <w:r w:rsidRPr="002E5238">
        <w:rPr>
          <w:rFonts w:eastAsia="Times New Roman"/>
          <w:bCs/>
          <w:sz w:val="22"/>
          <w:szCs w:val="22"/>
          <w:lang w:eastAsia="en-AU"/>
        </w:rPr>
        <w:t xml:space="preserve">, </w:t>
      </w:r>
      <w:r w:rsidRPr="002E5238">
        <w:rPr>
          <w:rFonts w:eastAsia="Times New Roman"/>
          <w:iCs/>
          <w:sz w:val="22"/>
          <w:szCs w:val="22"/>
          <w:lang w:eastAsia="en-AU"/>
        </w:rPr>
        <w:t>the indications that are determined are as follows:</w:t>
      </w:r>
    </w:p>
    <w:p w14:paraId="3FA511E2" w14:textId="77777777" w:rsidR="002E5238" w:rsidRPr="002E5238" w:rsidRDefault="002E5238" w:rsidP="002E5238">
      <w:pPr>
        <w:pStyle w:val="ListParagraph"/>
        <w:numPr>
          <w:ilvl w:val="0"/>
          <w:numId w:val="10"/>
        </w:numPr>
        <w:spacing w:after="0" w:line="240" w:lineRule="auto"/>
        <w:rPr>
          <w:rFonts w:eastAsia="Times New Roman"/>
          <w:bCs/>
          <w:sz w:val="22"/>
          <w:szCs w:val="22"/>
          <w:lang w:eastAsia="en-AU"/>
        </w:rPr>
      </w:pPr>
      <w:r w:rsidRPr="002E5238">
        <w:rPr>
          <w:rFonts w:eastAsia="Times New Roman"/>
          <w:bCs/>
          <w:sz w:val="22"/>
          <w:szCs w:val="22"/>
          <w:lang w:eastAsia="en-AU"/>
        </w:rPr>
        <w:t>for goods approved under paragraph 19(1)(b) or paragraph 41HB(1)(e) of the Act—the indications specified in the approval;</w:t>
      </w:r>
    </w:p>
    <w:p w14:paraId="3AABE458" w14:textId="77777777" w:rsidR="002E5238" w:rsidRPr="002E5238" w:rsidRDefault="002E5238" w:rsidP="002E5238">
      <w:pPr>
        <w:pStyle w:val="ListParagraph"/>
        <w:numPr>
          <w:ilvl w:val="0"/>
          <w:numId w:val="10"/>
        </w:numPr>
        <w:spacing w:after="0" w:line="240" w:lineRule="auto"/>
        <w:rPr>
          <w:rFonts w:eastAsia="Times New Roman"/>
          <w:bCs/>
          <w:sz w:val="22"/>
          <w:szCs w:val="22"/>
          <w:lang w:eastAsia="en-AU"/>
        </w:rPr>
      </w:pPr>
      <w:r w:rsidRPr="002E5238">
        <w:rPr>
          <w:rFonts w:eastAsia="Times New Roman"/>
          <w:bCs/>
          <w:sz w:val="22"/>
          <w:szCs w:val="22"/>
          <w:lang w:eastAsia="en-AU"/>
        </w:rPr>
        <w:lastRenderedPageBreak/>
        <w:t>for goods exempt under item 3 of Schedule 5A to the Regulations or item 2.3 in Part 2 of Schedule 4 to the MD Regulations—the indications set out in the notice, about the trial and the therapeutic goods covered by the trial, referred to in that item.</w:t>
      </w:r>
    </w:p>
    <w:p w14:paraId="6F63C441" w14:textId="77777777" w:rsidR="002E5238" w:rsidRPr="002E5238" w:rsidRDefault="002E5238" w:rsidP="002E5238">
      <w:pPr>
        <w:spacing w:after="0" w:line="240" w:lineRule="auto"/>
        <w:rPr>
          <w:rFonts w:eastAsia="Times New Roman"/>
          <w:bCs/>
          <w:sz w:val="22"/>
          <w:szCs w:val="22"/>
          <w:lang w:eastAsia="en-AU"/>
        </w:rPr>
      </w:pPr>
    </w:p>
    <w:p w14:paraId="616CEBF8" w14:textId="488E6C06" w:rsidR="002E5238" w:rsidRPr="002E5238" w:rsidRDefault="002E5238" w:rsidP="002E5238">
      <w:pPr>
        <w:spacing w:after="0" w:line="240" w:lineRule="auto"/>
        <w:rPr>
          <w:rFonts w:eastAsia="Times New Roman"/>
          <w:bCs/>
          <w:sz w:val="22"/>
          <w:szCs w:val="22"/>
          <w:lang w:eastAsia="en-AU"/>
        </w:rPr>
      </w:pPr>
      <w:r w:rsidRPr="002E5238">
        <w:rPr>
          <w:rFonts w:eastAsia="Times New Roman"/>
          <w:iCs/>
          <w:sz w:val="22"/>
          <w:szCs w:val="22"/>
          <w:lang w:eastAsia="en-AU"/>
        </w:rPr>
        <w:t>This has the effect that a vaping good of any kind can be supplied for use in clinical trials, for indications other than smoking cessation or the management of nicotine addiction, and remain eligible for the supply chain exceptions in subsections 41QB(9) to (11) of the Act.</w:t>
      </w:r>
    </w:p>
    <w:p w14:paraId="2AA57AC3" w14:textId="77777777" w:rsidR="002E5238" w:rsidRPr="002E5238" w:rsidRDefault="002E5238" w:rsidP="002E5238">
      <w:pPr>
        <w:autoSpaceDE w:val="0"/>
        <w:autoSpaceDN w:val="0"/>
        <w:adjustRightInd w:val="0"/>
        <w:spacing w:after="0" w:line="240" w:lineRule="auto"/>
        <w:rPr>
          <w:rFonts w:eastAsia="Times New Roman"/>
          <w:sz w:val="22"/>
          <w:szCs w:val="22"/>
          <w:lang w:eastAsia="en-AU"/>
        </w:rPr>
      </w:pPr>
    </w:p>
    <w:p w14:paraId="2963535F" w14:textId="1B5F74D0" w:rsidR="002E5238" w:rsidRPr="002E5238" w:rsidRDefault="002E5238" w:rsidP="002E5238">
      <w:pPr>
        <w:autoSpaceDE w:val="0"/>
        <w:autoSpaceDN w:val="0"/>
        <w:adjustRightInd w:val="0"/>
        <w:spacing w:after="0" w:line="240" w:lineRule="auto"/>
        <w:rPr>
          <w:sz w:val="22"/>
          <w:szCs w:val="22"/>
          <w:lang w:eastAsia="en-AU"/>
        </w:rPr>
      </w:pPr>
      <w:r w:rsidRPr="002E5238">
        <w:rPr>
          <w:rFonts w:eastAsia="Times New Roman"/>
          <w:sz w:val="22"/>
          <w:szCs w:val="22"/>
          <w:lang w:eastAsia="en-AU"/>
        </w:rPr>
        <w:t>In relation to medicinal cannabis vaping goods and in relation to vaping substances that are a medicinal cannabis product or a medicine that contains synthetic cannabis, the indications that are determined are as follows:</w:t>
      </w:r>
    </w:p>
    <w:p w14:paraId="628236C1" w14:textId="77777777" w:rsidR="002E5238" w:rsidRPr="002E5238" w:rsidRDefault="002E5238" w:rsidP="002E5238">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 that are included in the Australian Register of Therapeutic Goods (the Register)—the indications that are accepted in relation to the inclusion of the goods in the Register;</w:t>
      </w:r>
    </w:p>
    <w:p w14:paraId="387B82C0" w14:textId="77777777" w:rsidR="002E5238" w:rsidRPr="002E5238" w:rsidRDefault="002E5238" w:rsidP="002E5238">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 that are approved under subsection 19(1)(a) or subsection 41HB(1)(d) of the Act—the indications specified in the approval;</w:t>
      </w:r>
    </w:p>
    <w:p w14:paraId="7553C428" w14:textId="77777777" w:rsidR="002E5238" w:rsidRPr="002E5238" w:rsidRDefault="002E5238" w:rsidP="002E5238">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 that are authorised for supply under subsection 19(5) or subsection 41HC(1) of the Act—the indications or intended purposes specified in the authorisation;</w:t>
      </w:r>
    </w:p>
    <w:p w14:paraId="29992C84" w14:textId="77777777" w:rsidR="002E5238" w:rsidRPr="002E5238" w:rsidRDefault="002E5238" w:rsidP="002E5238">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 authorised for supply under rules made under subsection 19(7A) or subsection 41HC(6) of the Act—the indications specified in the rules;</w:t>
      </w:r>
    </w:p>
    <w:p w14:paraId="744D92B3" w14:textId="77777777" w:rsidR="002E5238" w:rsidRPr="002E5238" w:rsidRDefault="002E5238" w:rsidP="002E5238">
      <w:pPr>
        <w:pStyle w:val="ListParagraph"/>
        <w:numPr>
          <w:ilvl w:val="0"/>
          <w:numId w:val="6"/>
        </w:numPr>
        <w:spacing w:after="0" w:line="240" w:lineRule="auto"/>
        <w:rPr>
          <w:rFonts w:eastAsia="Times New Roman"/>
          <w:bCs/>
          <w:sz w:val="22"/>
          <w:szCs w:val="22"/>
          <w:lang w:eastAsia="en-AU"/>
        </w:rPr>
      </w:pPr>
      <w:r w:rsidRPr="002E5238">
        <w:rPr>
          <w:rFonts w:eastAsia="Times New Roman"/>
          <w:bCs/>
          <w:sz w:val="22"/>
          <w:szCs w:val="22"/>
          <w:lang w:eastAsia="en-AU"/>
        </w:rPr>
        <w:t>for goods that are exempt under regulation 12A of the Regulations or under regulation 7.2 of the MD Regulations (these provisions exempt therapeutic goods supplied on prescription to a person who is a Category A patient, being a person who is seriously ill, in specified circumstances)—use in the treatment of the person’s condition as set out in the statement referred to in subparagraph 12A(2)(a)(iii) of the Regulations or subparagraph 7.2(1)(b)(ii) of the MD Regulations (as applicable).</w:t>
      </w:r>
    </w:p>
    <w:p w14:paraId="5F01D98E" w14:textId="77777777" w:rsidR="002E5238" w:rsidRPr="002E5238" w:rsidRDefault="002E5238" w:rsidP="002E5238">
      <w:pPr>
        <w:spacing w:after="0" w:line="240" w:lineRule="auto"/>
        <w:rPr>
          <w:rFonts w:eastAsia="Times New Roman"/>
          <w:bCs/>
          <w:sz w:val="22"/>
          <w:szCs w:val="22"/>
          <w:lang w:eastAsia="en-AU"/>
        </w:rPr>
      </w:pPr>
    </w:p>
    <w:p w14:paraId="65041897" w14:textId="0379FC99" w:rsidR="002E5238" w:rsidRPr="002E5238" w:rsidRDefault="002E5238" w:rsidP="002E5238">
      <w:pPr>
        <w:spacing w:after="0" w:line="240" w:lineRule="auto"/>
        <w:rPr>
          <w:rFonts w:eastAsia="Times New Roman"/>
          <w:bCs/>
          <w:sz w:val="22"/>
          <w:szCs w:val="22"/>
          <w:lang w:eastAsia="en-AU"/>
        </w:rPr>
      </w:pPr>
      <w:r w:rsidRPr="002E5238">
        <w:rPr>
          <w:rFonts w:eastAsia="Times New Roman"/>
          <w:iCs/>
          <w:sz w:val="22"/>
          <w:szCs w:val="22"/>
          <w:lang w:eastAsia="en-AU"/>
        </w:rPr>
        <w:t>The effect of determining the above indications is that the supply of the vaping goods in connection with vaping medicinal cannabis will satisfy the requirements of paragraph 41QB(11)(a) of the Act, and consequently the supply will be eligible to meet the requirements of the supply chain exception in section 41QB, where the supply is for the determined indications. This has the effect that medicinal cannabis goods that are vaping goods can continue to be supplied under the established statutory pathways for unapproved goods for indications other than smoking cessation or the management of nicotine addiction.</w:t>
      </w:r>
    </w:p>
    <w:p w14:paraId="76CAAB1A" w14:textId="77777777" w:rsidR="007A1965" w:rsidRPr="002E5238" w:rsidRDefault="007A1965" w:rsidP="001372BC">
      <w:pPr>
        <w:spacing w:after="0" w:line="240" w:lineRule="auto"/>
        <w:rPr>
          <w:rFonts w:eastAsia="Times New Roman"/>
          <w:bCs/>
          <w:sz w:val="22"/>
          <w:szCs w:val="22"/>
          <w:lang w:eastAsia="en-AU"/>
        </w:rPr>
      </w:pPr>
    </w:p>
    <w:p w14:paraId="5812FBA8" w14:textId="77777777" w:rsidR="007A1965" w:rsidRPr="002E5238" w:rsidRDefault="007A1965" w:rsidP="001372BC">
      <w:pPr>
        <w:keepNext/>
        <w:spacing w:after="0" w:line="240" w:lineRule="auto"/>
        <w:rPr>
          <w:rFonts w:eastAsia="Times New Roman"/>
          <w:b/>
          <w:sz w:val="22"/>
          <w:szCs w:val="22"/>
          <w:lang w:eastAsia="en-AU"/>
        </w:rPr>
      </w:pPr>
      <w:r w:rsidRPr="002E5238">
        <w:rPr>
          <w:rFonts w:eastAsia="Times New Roman"/>
          <w:b/>
          <w:sz w:val="22"/>
          <w:szCs w:val="22"/>
          <w:lang w:eastAsia="en-AU"/>
        </w:rPr>
        <w:t>Human rights implications</w:t>
      </w:r>
    </w:p>
    <w:p w14:paraId="6B4D3591" w14:textId="77777777" w:rsidR="007A1965" w:rsidRPr="002E5238" w:rsidRDefault="007A1965" w:rsidP="001372BC">
      <w:pPr>
        <w:keepNext/>
        <w:spacing w:after="0" w:line="240" w:lineRule="auto"/>
        <w:rPr>
          <w:rFonts w:eastAsia="Times New Roman"/>
          <w:sz w:val="22"/>
          <w:szCs w:val="22"/>
          <w:lang w:eastAsia="en-AU"/>
        </w:rPr>
      </w:pPr>
      <w:bookmarkStart w:id="5" w:name="_Hlk169702464"/>
    </w:p>
    <w:bookmarkEnd w:id="5"/>
    <w:p w14:paraId="5219FA13" w14:textId="77777777" w:rsidR="005C3000" w:rsidRPr="002E5238" w:rsidRDefault="005C3000" w:rsidP="001372BC">
      <w:pPr>
        <w:spacing w:after="0" w:line="240" w:lineRule="auto"/>
        <w:rPr>
          <w:rFonts w:eastAsia="Times New Roman"/>
          <w:sz w:val="22"/>
          <w:szCs w:val="22"/>
          <w:lang w:eastAsia="en-AU"/>
        </w:rPr>
      </w:pPr>
      <w:r w:rsidRPr="002E5238">
        <w:rPr>
          <w:rFonts w:eastAsia="Times New Roman"/>
          <w:sz w:val="22"/>
          <w:szCs w:val="22"/>
          <w:lang w:eastAsia="en-AU"/>
        </w:rPr>
        <w:t>The Determination engages the right to health in Article 12 of the International Covenant on Economic, Social and Cultural rights (the ICESCR). Article 12 of the ICESCR promotes the right of all individuals to enjoy the highest attainable standards of physical and mental health, and includes an obligation to take reasonable measures within available resources to progressively secure broader enjoyment of the right.</w:t>
      </w:r>
    </w:p>
    <w:p w14:paraId="499B98AC" w14:textId="77777777" w:rsidR="005C3000" w:rsidRPr="002E5238" w:rsidRDefault="005C3000" w:rsidP="001372BC">
      <w:pPr>
        <w:spacing w:after="0" w:line="240" w:lineRule="auto"/>
        <w:rPr>
          <w:rFonts w:eastAsia="Times New Roman"/>
          <w:sz w:val="22"/>
          <w:szCs w:val="22"/>
          <w:lang w:eastAsia="en-AU"/>
        </w:rPr>
      </w:pPr>
    </w:p>
    <w:p w14:paraId="713CDC4B" w14:textId="77777777" w:rsidR="005C3000" w:rsidRPr="002E5238" w:rsidRDefault="005C3000" w:rsidP="001372BC">
      <w:pPr>
        <w:spacing w:after="0" w:line="240" w:lineRule="auto"/>
        <w:rPr>
          <w:rFonts w:eastAsia="Times New Roman"/>
          <w:sz w:val="22"/>
          <w:szCs w:val="22"/>
          <w:lang w:eastAsia="en-AU"/>
        </w:rPr>
      </w:pPr>
      <w:r w:rsidRPr="002E5238">
        <w:rPr>
          <w:rFonts w:eastAsia="Times New Roman"/>
          <w:sz w:val="22"/>
          <w:szCs w:val="22"/>
          <w:lang w:eastAsia="en-AU"/>
        </w:rPr>
        <w:t>In General Comment No. 14: The Right to the Highest Attainable Standard of Health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46DC12F8" w14:textId="77777777" w:rsidR="005C3000" w:rsidRPr="002E5238" w:rsidRDefault="005C3000" w:rsidP="001372BC">
      <w:pPr>
        <w:spacing w:after="0" w:line="240" w:lineRule="auto"/>
        <w:rPr>
          <w:rFonts w:eastAsia="Times New Roman"/>
          <w:sz w:val="22"/>
          <w:szCs w:val="22"/>
          <w:lang w:eastAsia="en-AU"/>
        </w:rPr>
      </w:pPr>
    </w:p>
    <w:p w14:paraId="03D09953" w14:textId="63C9CA16" w:rsidR="005C3000" w:rsidRPr="002E5238" w:rsidRDefault="005C3000" w:rsidP="001372BC">
      <w:pPr>
        <w:spacing w:after="0" w:line="240" w:lineRule="auto"/>
        <w:rPr>
          <w:rFonts w:eastAsia="Times New Roman"/>
          <w:sz w:val="22"/>
          <w:szCs w:val="22"/>
          <w:lang w:eastAsia="en-AU"/>
        </w:rPr>
      </w:pPr>
      <w:r w:rsidRPr="002E5238">
        <w:rPr>
          <w:rFonts w:eastAsia="Times New Roman"/>
          <w:sz w:val="22"/>
          <w:szCs w:val="22"/>
          <w:lang w:eastAsia="en-AU"/>
        </w:rPr>
        <w:t xml:space="preserve">Vaping has been associated with a range of short-term health risks and its long-term health effects are still unknown. Vape marketing and use in the community has increased rapidly in recent years, particularly among </w:t>
      </w:r>
      <w:r w:rsidR="00F17131" w:rsidRPr="002E5238">
        <w:rPr>
          <w:rFonts w:eastAsia="Times New Roman"/>
          <w:sz w:val="22"/>
          <w:szCs w:val="22"/>
          <w:lang w:eastAsia="en-AU"/>
        </w:rPr>
        <w:t>youth and young adults</w:t>
      </w:r>
      <w:r w:rsidRPr="002E5238">
        <w:rPr>
          <w:rFonts w:eastAsia="Times New Roman"/>
          <w:sz w:val="22"/>
          <w:szCs w:val="22"/>
          <w:lang w:eastAsia="en-AU"/>
        </w:rPr>
        <w:t xml:space="preserve"> and poses a major risk to population health and Australia’s success in tobacco control.</w:t>
      </w:r>
    </w:p>
    <w:p w14:paraId="7496C7D6" w14:textId="77777777" w:rsidR="005C3000" w:rsidRPr="002E5238" w:rsidRDefault="005C3000" w:rsidP="001372BC">
      <w:pPr>
        <w:spacing w:after="0" w:line="240" w:lineRule="auto"/>
        <w:rPr>
          <w:rFonts w:eastAsia="Times New Roman"/>
          <w:sz w:val="22"/>
          <w:szCs w:val="22"/>
          <w:lang w:eastAsia="en-AU"/>
        </w:rPr>
      </w:pPr>
    </w:p>
    <w:p w14:paraId="577D4FE8" w14:textId="052CC82F" w:rsidR="005C3000" w:rsidRPr="002E5238" w:rsidRDefault="005C3000" w:rsidP="001372BC">
      <w:pPr>
        <w:spacing w:after="0" w:line="240" w:lineRule="auto"/>
        <w:rPr>
          <w:rFonts w:eastAsia="Times New Roman"/>
          <w:sz w:val="22"/>
          <w:szCs w:val="22"/>
          <w:lang w:eastAsia="en-AU"/>
        </w:rPr>
      </w:pPr>
      <w:r w:rsidRPr="002E5238">
        <w:rPr>
          <w:rFonts w:eastAsia="Times New Roman"/>
          <w:sz w:val="22"/>
          <w:szCs w:val="22"/>
          <w:lang w:eastAsia="en-AU"/>
        </w:rPr>
        <w:lastRenderedPageBreak/>
        <w:t>The reforms to the regulation of vapes support the availability of therapeutic vaping goods to persons who require such goods for smoking cessation or the management of nicotine dependence under the supervision of a health practitioner, and ensure the application of minimum quality and safety standards to vaping goods.</w:t>
      </w:r>
    </w:p>
    <w:p w14:paraId="7D6F5829" w14:textId="77777777" w:rsidR="005C3000" w:rsidRPr="002E5238" w:rsidRDefault="005C3000" w:rsidP="001372BC">
      <w:pPr>
        <w:spacing w:after="0" w:line="240" w:lineRule="auto"/>
        <w:rPr>
          <w:rFonts w:eastAsia="Times New Roman"/>
          <w:sz w:val="22"/>
          <w:szCs w:val="22"/>
          <w:lang w:eastAsia="en-AU"/>
        </w:rPr>
      </w:pPr>
    </w:p>
    <w:p w14:paraId="339617C7" w14:textId="1A712D50" w:rsidR="005C3000" w:rsidRPr="002E5238" w:rsidRDefault="005C3000" w:rsidP="001372BC">
      <w:pPr>
        <w:spacing w:after="0" w:line="240" w:lineRule="auto"/>
        <w:rPr>
          <w:rFonts w:eastAsia="Times New Roman"/>
          <w:sz w:val="22"/>
          <w:szCs w:val="22"/>
          <w:lang w:eastAsia="en-AU"/>
        </w:rPr>
      </w:pPr>
      <w:r w:rsidRPr="002E5238">
        <w:rPr>
          <w:rFonts w:eastAsia="Times New Roman"/>
          <w:sz w:val="22"/>
          <w:szCs w:val="22"/>
          <w:lang w:eastAsia="en-AU"/>
        </w:rPr>
        <w:t>Collectively, the reforms are intended to arrest the increasing uptake of recreational vaping, especially by youth and young adults</w:t>
      </w:r>
      <w:r w:rsidR="00F36EEA" w:rsidRPr="002E5238">
        <w:rPr>
          <w:rFonts w:eastAsia="Times New Roman"/>
          <w:sz w:val="22"/>
          <w:szCs w:val="22"/>
          <w:lang w:eastAsia="en-AU"/>
        </w:rPr>
        <w:t>, and to</w:t>
      </w:r>
      <w:r w:rsidRPr="002E5238">
        <w:rPr>
          <w:rFonts w:eastAsia="Times New Roman"/>
          <w:sz w:val="22"/>
          <w:szCs w:val="22"/>
          <w:lang w:eastAsia="en-AU"/>
        </w:rPr>
        <w:t xml:space="preserve"> strike an appropriate balance between the health concerns posed by vaping and the need to provide legitimate patient access to Australians combating smoking addiction or nicotine dependence. Ensuring vapes are only accessed under health practitioner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09E50FFD" w14:textId="77777777" w:rsidR="005C3000" w:rsidRPr="002E5238" w:rsidRDefault="005C3000" w:rsidP="001372BC">
      <w:pPr>
        <w:spacing w:after="0" w:line="240" w:lineRule="auto"/>
        <w:rPr>
          <w:rFonts w:eastAsia="Times New Roman"/>
          <w:sz w:val="22"/>
          <w:szCs w:val="22"/>
          <w:lang w:eastAsia="en-AU"/>
        </w:rPr>
      </w:pPr>
    </w:p>
    <w:p w14:paraId="132119D5" w14:textId="64631259" w:rsidR="00553082" w:rsidRPr="002E5238" w:rsidRDefault="0096780E" w:rsidP="001372BC">
      <w:pPr>
        <w:spacing w:after="0" w:line="240" w:lineRule="auto"/>
        <w:rPr>
          <w:rFonts w:eastAsia="Times New Roman"/>
          <w:sz w:val="22"/>
          <w:szCs w:val="22"/>
          <w:lang w:eastAsia="en-AU"/>
        </w:rPr>
      </w:pPr>
      <w:r w:rsidRPr="002E5238">
        <w:rPr>
          <w:rFonts w:eastAsia="Times New Roman"/>
          <w:sz w:val="22"/>
          <w:szCs w:val="22"/>
          <w:lang w:eastAsia="en-AU"/>
        </w:rPr>
        <w:t xml:space="preserve">The Determination </w:t>
      </w:r>
      <w:r w:rsidR="008525A4" w:rsidRPr="002E5238">
        <w:rPr>
          <w:rFonts w:eastAsia="Times New Roman"/>
          <w:sz w:val="22"/>
          <w:szCs w:val="22"/>
          <w:lang w:eastAsia="en-AU"/>
        </w:rPr>
        <w:t xml:space="preserve">takes positive steps to </w:t>
      </w:r>
      <w:r w:rsidRPr="002E5238">
        <w:rPr>
          <w:rFonts w:eastAsia="Times New Roman"/>
          <w:sz w:val="22"/>
          <w:szCs w:val="22"/>
          <w:lang w:eastAsia="en-AU"/>
        </w:rPr>
        <w:t xml:space="preserve">promote the right to health by </w:t>
      </w:r>
      <w:r w:rsidR="008525A4" w:rsidRPr="002E5238">
        <w:rPr>
          <w:rFonts w:eastAsia="Times New Roman"/>
          <w:sz w:val="22"/>
          <w:szCs w:val="22"/>
          <w:lang w:eastAsia="en-AU"/>
        </w:rPr>
        <w:t xml:space="preserve">supporting the </w:t>
      </w:r>
      <w:r w:rsidR="00F36EEA" w:rsidRPr="002E5238">
        <w:rPr>
          <w:rFonts w:eastAsia="Times New Roman"/>
          <w:sz w:val="22"/>
          <w:szCs w:val="22"/>
          <w:lang w:eastAsia="en-AU"/>
        </w:rPr>
        <w:t xml:space="preserve">vaping and by </w:t>
      </w:r>
      <w:r w:rsidRPr="002E5238">
        <w:rPr>
          <w:rFonts w:eastAsia="Times New Roman"/>
          <w:sz w:val="22"/>
          <w:szCs w:val="22"/>
          <w:lang w:eastAsia="en-AU"/>
        </w:rPr>
        <w:t>ensur</w:t>
      </w:r>
      <w:r w:rsidR="00F36EEA" w:rsidRPr="002E5238">
        <w:rPr>
          <w:rFonts w:eastAsia="Times New Roman"/>
          <w:sz w:val="22"/>
          <w:szCs w:val="22"/>
          <w:lang w:eastAsia="en-AU"/>
        </w:rPr>
        <w:t>ing</w:t>
      </w:r>
      <w:r w:rsidRPr="002E5238">
        <w:rPr>
          <w:rFonts w:eastAsia="Times New Roman"/>
          <w:sz w:val="22"/>
          <w:szCs w:val="22"/>
          <w:lang w:eastAsia="en-AU"/>
        </w:rPr>
        <w:t xml:space="preserve"> that vaping goods can be lawfully supplied</w:t>
      </w:r>
      <w:r w:rsidR="004F4A93" w:rsidRPr="002E5238">
        <w:rPr>
          <w:rFonts w:eastAsia="Times New Roman"/>
          <w:sz w:val="22"/>
          <w:szCs w:val="22"/>
          <w:lang w:eastAsia="en-AU"/>
        </w:rPr>
        <w:t xml:space="preserve"> </w:t>
      </w:r>
      <w:r w:rsidRPr="002E5238">
        <w:rPr>
          <w:rFonts w:eastAsia="Times New Roman"/>
          <w:sz w:val="22"/>
          <w:szCs w:val="22"/>
          <w:lang w:eastAsia="en-AU"/>
        </w:rPr>
        <w:t>to person</w:t>
      </w:r>
      <w:r w:rsidR="004F4A93" w:rsidRPr="002E5238">
        <w:rPr>
          <w:rFonts w:eastAsia="Times New Roman"/>
          <w:sz w:val="22"/>
          <w:szCs w:val="22"/>
          <w:lang w:eastAsia="en-AU"/>
        </w:rPr>
        <w:t>s, as part of a retail supply chain</w:t>
      </w:r>
      <w:r w:rsidR="00F36EEA" w:rsidRPr="002E5238">
        <w:rPr>
          <w:rFonts w:eastAsia="Times New Roman"/>
          <w:sz w:val="22"/>
          <w:szCs w:val="22"/>
          <w:lang w:eastAsia="en-AU"/>
        </w:rPr>
        <w:t xml:space="preserve"> exception from offences and a civil penalty that may otherwise apply for supplying such goods</w:t>
      </w:r>
      <w:r w:rsidR="004F4A93" w:rsidRPr="002E5238">
        <w:rPr>
          <w:rFonts w:eastAsia="Times New Roman"/>
          <w:sz w:val="22"/>
          <w:szCs w:val="22"/>
          <w:lang w:eastAsia="en-AU"/>
        </w:rPr>
        <w:t>,</w:t>
      </w:r>
      <w:r w:rsidRPr="002E5238">
        <w:rPr>
          <w:rFonts w:eastAsia="Times New Roman"/>
          <w:sz w:val="22"/>
          <w:szCs w:val="22"/>
          <w:lang w:eastAsia="en-AU"/>
        </w:rPr>
        <w:t xml:space="preserve"> for </w:t>
      </w:r>
      <w:r w:rsidR="006551B5" w:rsidRPr="002E5238">
        <w:rPr>
          <w:rFonts w:eastAsia="Times New Roman"/>
          <w:sz w:val="22"/>
          <w:szCs w:val="22"/>
          <w:lang w:eastAsia="en-AU"/>
        </w:rPr>
        <w:t xml:space="preserve">determined </w:t>
      </w:r>
      <w:r w:rsidRPr="002E5238">
        <w:rPr>
          <w:rFonts w:eastAsia="Times New Roman"/>
          <w:sz w:val="22"/>
          <w:szCs w:val="22"/>
          <w:lang w:eastAsia="en-AU"/>
        </w:rPr>
        <w:t>indications. In particular, the Determination</w:t>
      </w:r>
      <w:r w:rsidR="00553082" w:rsidRPr="002E5238">
        <w:rPr>
          <w:rFonts w:eastAsia="Times New Roman"/>
          <w:sz w:val="22"/>
          <w:szCs w:val="22"/>
          <w:lang w:eastAsia="en-AU"/>
        </w:rPr>
        <w:t xml:space="preserve"> ensures that vaping goods used in connection with the inhalation of medicinal cannabis can continue to be supplied under established pathways </w:t>
      </w:r>
      <w:r w:rsidR="00F36EEA" w:rsidRPr="002E5238">
        <w:rPr>
          <w:rFonts w:eastAsia="Times New Roman"/>
          <w:sz w:val="22"/>
          <w:szCs w:val="22"/>
          <w:lang w:eastAsia="en-AU"/>
        </w:rPr>
        <w:t xml:space="preserve">that apply </w:t>
      </w:r>
      <w:r w:rsidR="00553082" w:rsidRPr="002E5238">
        <w:rPr>
          <w:rFonts w:eastAsia="Times New Roman"/>
          <w:sz w:val="22"/>
          <w:szCs w:val="22"/>
          <w:lang w:eastAsia="en-AU"/>
        </w:rPr>
        <w:t>under the Act for</w:t>
      </w:r>
      <w:r w:rsidR="00F36EEA" w:rsidRPr="002E5238">
        <w:rPr>
          <w:rFonts w:eastAsia="Times New Roman"/>
          <w:sz w:val="22"/>
          <w:szCs w:val="22"/>
          <w:lang w:eastAsia="en-AU"/>
        </w:rPr>
        <w:t xml:space="preserve"> accessing</w:t>
      </w:r>
      <w:r w:rsidR="00553082" w:rsidRPr="002E5238">
        <w:rPr>
          <w:rFonts w:eastAsia="Times New Roman"/>
          <w:sz w:val="22"/>
          <w:szCs w:val="22"/>
          <w:lang w:eastAsia="en-AU"/>
        </w:rPr>
        <w:t xml:space="preserve"> unapproved goods where clinically appropriate, and that clinical research into any vaping goods is not precluded by the controls in Chapter 4A</w:t>
      </w:r>
      <w:r w:rsidR="00DA7D78" w:rsidRPr="002E5238">
        <w:rPr>
          <w:rFonts w:eastAsia="Times New Roman"/>
          <w:sz w:val="22"/>
          <w:szCs w:val="22"/>
          <w:lang w:eastAsia="en-AU"/>
        </w:rPr>
        <w:t xml:space="preserve"> of the Act</w:t>
      </w:r>
      <w:r w:rsidR="00553082" w:rsidRPr="002E5238">
        <w:rPr>
          <w:rFonts w:eastAsia="Times New Roman"/>
          <w:sz w:val="22"/>
          <w:szCs w:val="22"/>
          <w:lang w:eastAsia="en-AU"/>
        </w:rPr>
        <w:t>.</w:t>
      </w:r>
    </w:p>
    <w:p w14:paraId="318EAC21" w14:textId="77777777" w:rsidR="005C3000" w:rsidRPr="002E5238" w:rsidRDefault="005C3000" w:rsidP="001372BC">
      <w:pPr>
        <w:autoSpaceDE w:val="0"/>
        <w:autoSpaceDN w:val="0"/>
        <w:adjustRightInd w:val="0"/>
        <w:spacing w:after="0" w:line="240" w:lineRule="auto"/>
        <w:rPr>
          <w:rFonts w:eastAsia="Times New Roman"/>
          <w:sz w:val="22"/>
          <w:szCs w:val="22"/>
          <w:lang w:eastAsia="en-AU"/>
        </w:rPr>
      </w:pPr>
    </w:p>
    <w:p w14:paraId="66D9B13E" w14:textId="77777777" w:rsidR="007A1965" w:rsidRPr="002E5238" w:rsidRDefault="007A1965" w:rsidP="001372BC">
      <w:pPr>
        <w:keepNext/>
        <w:spacing w:after="0" w:line="240" w:lineRule="auto"/>
        <w:rPr>
          <w:rFonts w:eastAsia="Times New Roman"/>
          <w:b/>
          <w:sz w:val="22"/>
          <w:szCs w:val="22"/>
          <w:lang w:eastAsia="en-AU"/>
        </w:rPr>
      </w:pPr>
      <w:r w:rsidRPr="002E5238">
        <w:rPr>
          <w:rFonts w:eastAsia="Times New Roman"/>
          <w:b/>
          <w:sz w:val="22"/>
          <w:szCs w:val="22"/>
          <w:lang w:eastAsia="en-AU"/>
        </w:rPr>
        <w:t>Conclusion</w:t>
      </w:r>
    </w:p>
    <w:p w14:paraId="48718E6F" w14:textId="77777777" w:rsidR="007A1965" w:rsidRPr="002E5238" w:rsidRDefault="007A1965" w:rsidP="001372BC">
      <w:pPr>
        <w:keepNext/>
        <w:spacing w:after="0" w:line="240" w:lineRule="auto"/>
        <w:rPr>
          <w:rFonts w:eastAsia="Times New Roman"/>
          <w:sz w:val="22"/>
          <w:szCs w:val="22"/>
          <w:lang w:eastAsia="en-AU"/>
        </w:rPr>
      </w:pPr>
    </w:p>
    <w:p w14:paraId="6F204965" w14:textId="1BEFBADB" w:rsidR="00280050" w:rsidRPr="002E5238" w:rsidRDefault="007A1965" w:rsidP="001372BC">
      <w:pPr>
        <w:keepNext/>
        <w:spacing w:after="0" w:line="240" w:lineRule="auto"/>
        <w:rPr>
          <w:sz w:val="22"/>
          <w:szCs w:val="22"/>
        </w:rPr>
      </w:pPr>
      <w:r w:rsidRPr="002E5238">
        <w:rPr>
          <w:rFonts w:eastAsia="Times New Roman"/>
          <w:sz w:val="22"/>
          <w:szCs w:val="22"/>
          <w:lang w:eastAsia="en-AU"/>
        </w:rPr>
        <w:t>The Determination is compatible with human rights because it promotes the right to health in Article 12 of the ICESCR and otherwise does not raise any other human rights issues.</w:t>
      </w:r>
    </w:p>
    <w:sectPr w:rsidR="00280050" w:rsidRPr="002E5238"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82CE" w14:textId="77777777" w:rsidR="009F1CBC" w:rsidRDefault="009F1CBC">
      <w:pPr>
        <w:spacing w:after="0" w:line="240" w:lineRule="auto"/>
      </w:pPr>
      <w:r>
        <w:separator/>
      </w:r>
    </w:p>
  </w:endnote>
  <w:endnote w:type="continuationSeparator" w:id="0">
    <w:p w14:paraId="5B845374" w14:textId="77777777" w:rsidR="009F1CBC" w:rsidRDefault="009F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247C4333" w14:textId="77777777" w:rsidR="008D558B" w:rsidRPr="00BF658A" w:rsidRDefault="008D558B">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6</w:t>
        </w:r>
        <w:r w:rsidRPr="00BF658A">
          <w:rPr>
            <w:noProof/>
            <w:sz w:val="22"/>
            <w:szCs w:val="22"/>
          </w:rPr>
          <w:fldChar w:fldCharType="end"/>
        </w:r>
      </w:p>
    </w:sdtContent>
  </w:sdt>
  <w:p w14:paraId="4E2AD178" w14:textId="77777777" w:rsidR="008D558B" w:rsidRPr="00877529" w:rsidRDefault="008D558B"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F75C" w14:textId="77777777" w:rsidR="008D558B" w:rsidRDefault="008D558B"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8EB3" w14:textId="77777777" w:rsidR="009F1CBC" w:rsidRDefault="009F1CBC">
      <w:pPr>
        <w:spacing w:after="0" w:line="240" w:lineRule="auto"/>
      </w:pPr>
      <w:r>
        <w:separator/>
      </w:r>
    </w:p>
  </w:footnote>
  <w:footnote w:type="continuationSeparator" w:id="0">
    <w:p w14:paraId="35184948" w14:textId="77777777" w:rsidR="009F1CBC" w:rsidRDefault="009F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B578" w14:textId="77777777" w:rsidR="008D558B" w:rsidRDefault="008D558B"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5A917" w14:textId="77777777" w:rsidR="008D558B" w:rsidRDefault="008D5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BCE" w14:textId="77777777" w:rsidR="008D558B" w:rsidRDefault="008D558B"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6D6"/>
    <w:multiLevelType w:val="multilevel"/>
    <w:tmpl w:val="99EE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06D1D"/>
    <w:multiLevelType w:val="hybridMultilevel"/>
    <w:tmpl w:val="A300B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C0027"/>
    <w:multiLevelType w:val="hybridMultilevel"/>
    <w:tmpl w:val="045CB774"/>
    <w:lvl w:ilvl="0" w:tplc="32ECD4E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191ACF"/>
    <w:multiLevelType w:val="hybridMultilevel"/>
    <w:tmpl w:val="62FE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B02A7"/>
    <w:multiLevelType w:val="hybridMultilevel"/>
    <w:tmpl w:val="C6740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42B8B"/>
    <w:multiLevelType w:val="hybridMultilevel"/>
    <w:tmpl w:val="415E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C752F"/>
    <w:multiLevelType w:val="multilevel"/>
    <w:tmpl w:val="9E2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5E6024"/>
    <w:multiLevelType w:val="hybridMultilevel"/>
    <w:tmpl w:val="1E4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860CFB"/>
    <w:multiLevelType w:val="hybridMultilevel"/>
    <w:tmpl w:val="3ED0086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0" w15:restartNumberingAfterBreak="0">
    <w:nsid w:val="458120E0"/>
    <w:multiLevelType w:val="hybridMultilevel"/>
    <w:tmpl w:val="C63EC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92464C"/>
    <w:multiLevelType w:val="hybridMultilevel"/>
    <w:tmpl w:val="05E8F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910A88"/>
    <w:multiLevelType w:val="hybridMultilevel"/>
    <w:tmpl w:val="A77832AC"/>
    <w:lvl w:ilvl="0" w:tplc="A3B04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7F3CBF"/>
    <w:multiLevelType w:val="multilevel"/>
    <w:tmpl w:val="552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4400722">
    <w:abstractNumId w:val="13"/>
  </w:num>
  <w:num w:numId="2" w16cid:durableId="1560242021">
    <w:abstractNumId w:val="2"/>
  </w:num>
  <w:num w:numId="3" w16cid:durableId="1231235209">
    <w:abstractNumId w:val="7"/>
  </w:num>
  <w:num w:numId="4" w16cid:durableId="1327825409">
    <w:abstractNumId w:val="14"/>
  </w:num>
  <w:num w:numId="5" w16cid:durableId="90207483">
    <w:abstractNumId w:val="0"/>
  </w:num>
  <w:num w:numId="6" w16cid:durableId="777287756">
    <w:abstractNumId w:val="12"/>
  </w:num>
  <w:num w:numId="7" w16cid:durableId="1398749788">
    <w:abstractNumId w:val="5"/>
  </w:num>
  <w:num w:numId="8" w16cid:durableId="1999966409">
    <w:abstractNumId w:val="3"/>
  </w:num>
  <w:num w:numId="9" w16cid:durableId="1911161223">
    <w:abstractNumId w:val="11"/>
  </w:num>
  <w:num w:numId="10" w16cid:durableId="1312296374">
    <w:abstractNumId w:val="6"/>
  </w:num>
  <w:num w:numId="11" w16cid:durableId="1405642729">
    <w:abstractNumId w:val="8"/>
  </w:num>
  <w:num w:numId="12" w16cid:durableId="461189083">
    <w:abstractNumId w:val="1"/>
  </w:num>
  <w:num w:numId="13" w16cid:durableId="413161871">
    <w:abstractNumId w:val="4"/>
  </w:num>
  <w:num w:numId="14" w16cid:durableId="1052656252">
    <w:abstractNumId w:val="10"/>
  </w:num>
  <w:num w:numId="15" w16cid:durableId="850728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65"/>
    <w:rsid w:val="00006949"/>
    <w:rsid w:val="00013356"/>
    <w:rsid w:val="00040142"/>
    <w:rsid w:val="00082C97"/>
    <w:rsid w:val="000B4386"/>
    <w:rsid w:val="000B4F92"/>
    <w:rsid w:val="000C1178"/>
    <w:rsid w:val="000D785F"/>
    <w:rsid w:val="000D7B2A"/>
    <w:rsid w:val="00101084"/>
    <w:rsid w:val="001226C1"/>
    <w:rsid w:val="001372BC"/>
    <w:rsid w:val="00167CF4"/>
    <w:rsid w:val="0019613D"/>
    <w:rsid w:val="001B1C9C"/>
    <w:rsid w:val="001B3EE7"/>
    <w:rsid w:val="00203676"/>
    <w:rsid w:val="002149B8"/>
    <w:rsid w:val="00237937"/>
    <w:rsid w:val="00241708"/>
    <w:rsid w:val="0027360C"/>
    <w:rsid w:val="00280050"/>
    <w:rsid w:val="002800BA"/>
    <w:rsid w:val="002A2765"/>
    <w:rsid w:val="002A6C44"/>
    <w:rsid w:val="002B2AB3"/>
    <w:rsid w:val="002B2F7A"/>
    <w:rsid w:val="002E5238"/>
    <w:rsid w:val="003043CE"/>
    <w:rsid w:val="00314B53"/>
    <w:rsid w:val="003366C8"/>
    <w:rsid w:val="00341AB5"/>
    <w:rsid w:val="003648DA"/>
    <w:rsid w:val="003857E5"/>
    <w:rsid w:val="003D30E7"/>
    <w:rsid w:val="003E3420"/>
    <w:rsid w:val="00404931"/>
    <w:rsid w:val="00412589"/>
    <w:rsid w:val="00435953"/>
    <w:rsid w:val="0044023D"/>
    <w:rsid w:val="004503B2"/>
    <w:rsid w:val="004702B6"/>
    <w:rsid w:val="004A0649"/>
    <w:rsid w:val="004D2811"/>
    <w:rsid w:val="004E4AB7"/>
    <w:rsid w:val="004F4A93"/>
    <w:rsid w:val="00502EE2"/>
    <w:rsid w:val="00553082"/>
    <w:rsid w:val="005559CC"/>
    <w:rsid w:val="00567084"/>
    <w:rsid w:val="005B0BD2"/>
    <w:rsid w:val="005B0D19"/>
    <w:rsid w:val="005B765B"/>
    <w:rsid w:val="005C2A50"/>
    <w:rsid w:val="005C3000"/>
    <w:rsid w:val="005F4872"/>
    <w:rsid w:val="00604D57"/>
    <w:rsid w:val="006551B5"/>
    <w:rsid w:val="00663FE6"/>
    <w:rsid w:val="00672BD2"/>
    <w:rsid w:val="006A7458"/>
    <w:rsid w:val="006B33AA"/>
    <w:rsid w:val="00705CD9"/>
    <w:rsid w:val="00735E7D"/>
    <w:rsid w:val="00741BDC"/>
    <w:rsid w:val="007A1965"/>
    <w:rsid w:val="007B0F33"/>
    <w:rsid w:val="008205C9"/>
    <w:rsid w:val="00820C23"/>
    <w:rsid w:val="00823A3D"/>
    <w:rsid w:val="00843D1A"/>
    <w:rsid w:val="008525A4"/>
    <w:rsid w:val="008642F0"/>
    <w:rsid w:val="00872BA7"/>
    <w:rsid w:val="008A78C7"/>
    <w:rsid w:val="008B13EC"/>
    <w:rsid w:val="008B47B7"/>
    <w:rsid w:val="008D558B"/>
    <w:rsid w:val="008E1D89"/>
    <w:rsid w:val="0092343E"/>
    <w:rsid w:val="00952123"/>
    <w:rsid w:val="0096780E"/>
    <w:rsid w:val="009759B4"/>
    <w:rsid w:val="009A2682"/>
    <w:rsid w:val="009A3B9C"/>
    <w:rsid w:val="009A655E"/>
    <w:rsid w:val="009A7533"/>
    <w:rsid w:val="009F1CBC"/>
    <w:rsid w:val="00A41AB4"/>
    <w:rsid w:val="00A46335"/>
    <w:rsid w:val="00AF61E0"/>
    <w:rsid w:val="00AF6A42"/>
    <w:rsid w:val="00B10141"/>
    <w:rsid w:val="00B52B8C"/>
    <w:rsid w:val="00B5522E"/>
    <w:rsid w:val="00B61FC1"/>
    <w:rsid w:val="00B64359"/>
    <w:rsid w:val="00B86DF6"/>
    <w:rsid w:val="00BA7370"/>
    <w:rsid w:val="00BC2F1F"/>
    <w:rsid w:val="00BC5350"/>
    <w:rsid w:val="00BD786B"/>
    <w:rsid w:val="00BE3443"/>
    <w:rsid w:val="00BF7BB9"/>
    <w:rsid w:val="00C635C7"/>
    <w:rsid w:val="00C8150A"/>
    <w:rsid w:val="00CE474A"/>
    <w:rsid w:val="00CF79A8"/>
    <w:rsid w:val="00D054B0"/>
    <w:rsid w:val="00D62443"/>
    <w:rsid w:val="00D774A3"/>
    <w:rsid w:val="00D80379"/>
    <w:rsid w:val="00D83444"/>
    <w:rsid w:val="00D96425"/>
    <w:rsid w:val="00DA251E"/>
    <w:rsid w:val="00DA2FA6"/>
    <w:rsid w:val="00DA7D78"/>
    <w:rsid w:val="00DE6C8D"/>
    <w:rsid w:val="00DF23BA"/>
    <w:rsid w:val="00DF2AD2"/>
    <w:rsid w:val="00E12E98"/>
    <w:rsid w:val="00E311E2"/>
    <w:rsid w:val="00E43AFB"/>
    <w:rsid w:val="00E51AA8"/>
    <w:rsid w:val="00E71C1D"/>
    <w:rsid w:val="00E96022"/>
    <w:rsid w:val="00EB1B30"/>
    <w:rsid w:val="00EC5FB9"/>
    <w:rsid w:val="00EE21DA"/>
    <w:rsid w:val="00EE28F4"/>
    <w:rsid w:val="00EF666C"/>
    <w:rsid w:val="00F14D6C"/>
    <w:rsid w:val="00F17131"/>
    <w:rsid w:val="00F22E9A"/>
    <w:rsid w:val="00F32F69"/>
    <w:rsid w:val="00F36EEA"/>
    <w:rsid w:val="00F47032"/>
    <w:rsid w:val="00F56AAC"/>
    <w:rsid w:val="00F65288"/>
    <w:rsid w:val="00F733A8"/>
    <w:rsid w:val="00F746BB"/>
    <w:rsid w:val="00F81A7D"/>
    <w:rsid w:val="00F919A3"/>
    <w:rsid w:val="00FA27F9"/>
    <w:rsid w:val="00FB08CF"/>
    <w:rsid w:val="00FB6783"/>
    <w:rsid w:val="00FC3010"/>
    <w:rsid w:val="00FD40FE"/>
    <w:rsid w:val="00FF7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B9D"/>
  <w15:chartTrackingRefBased/>
  <w15:docId w15:val="{E7C1E10F-C55C-491A-B0C3-A417AFB5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6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A19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1965"/>
    <w:rPr>
      <w:kern w:val="0"/>
      <w14:ligatures w14:val="none"/>
    </w:rPr>
  </w:style>
  <w:style w:type="paragraph" w:styleId="Header">
    <w:name w:val="header"/>
    <w:basedOn w:val="Normal"/>
    <w:link w:val="HeaderChar"/>
    <w:uiPriority w:val="99"/>
    <w:semiHidden/>
    <w:unhideWhenUsed/>
    <w:rsid w:val="007A19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1965"/>
    <w:rPr>
      <w:kern w:val="0"/>
      <w14:ligatures w14:val="none"/>
    </w:rPr>
  </w:style>
  <w:style w:type="character" w:styleId="PageNumber">
    <w:name w:val="page number"/>
    <w:basedOn w:val="DefaultParagraphFont"/>
    <w:rsid w:val="007A1965"/>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7A1965"/>
    <w:pPr>
      <w:ind w:left="720"/>
      <w:contextualSpacing/>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7A1965"/>
    <w:rPr>
      <w:kern w:val="0"/>
      <w14:ligatures w14:val="none"/>
    </w:rPr>
  </w:style>
  <w:style w:type="paragraph" w:customStyle="1" w:styleId="paragraph">
    <w:name w:val="paragraph"/>
    <w:aliases w:val="a"/>
    <w:basedOn w:val="Normal"/>
    <w:link w:val="paragraphChar"/>
    <w:rsid w:val="007A1965"/>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7A1965"/>
  </w:style>
  <w:style w:type="character" w:customStyle="1" w:styleId="eop">
    <w:name w:val="eop"/>
    <w:basedOn w:val="DefaultParagraphFont"/>
    <w:rsid w:val="007A1965"/>
  </w:style>
  <w:style w:type="character" w:customStyle="1" w:styleId="paragraphChar">
    <w:name w:val="paragraph Char"/>
    <w:aliases w:val="a Char"/>
    <w:link w:val="paragraph"/>
    <w:rsid w:val="00AF61E0"/>
    <w:rPr>
      <w:rFonts w:eastAsia="Times New Roman"/>
      <w:kern w:val="0"/>
      <w:lang w:eastAsia="en-AU"/>
      <w14:ligatures w14:val="none"/>
    </w:rPr>
  </w:style>
  <w:style w:type="character" w:styleId="CommentReference">
    <w:name w:val="annotation reference"/>
    <w:basedOn w:val="DefaultParagraphFont"/>
    <w:uiPriority w:val="99"/>
    <w:semiHidden/>
    <w:unhideWhenUsed/>
    <w:rsid w:val="005C3000"/>
    <w:rPr>
      <w:sz w:val="16"/>
      <w:szCs w:val="16"/>
    </w:rPr>
  </w:style>
  <w:style w:type="paragraph" w:styleId="CommentText">
    <w:name w:val="annotation text"/>
    <w:basedOn w:val="Normal"/>
    <w:link w:val="CommentTextChar"/>
    <w:uiPriority w:val="99"/>
    <w:unhideWhenUsed/>
    <w:rsid w:val="005C3000"/>
    <w:pPr>
      <w:spacing w:after="0" w:line="240" w:lineRule="auto"/>
    </w:pPr>
    <w:rPr>
      <w:rFonts w:cstheme="minorBidi"/>
      <w:sz w:val="20"/>
      <w:szCs w:val="20"/>
    </w:rPr>
  </w:style>
  <w:style w:type="character" w:customStyle="1" w:styleId="CommentTextChar">
    <w:name w:val="Comment Text Char"/>
    <w:basedOn w:val="DefaultParagraphFont"/>
    <w:link w:val="CommentText"/>
    <w:uiPriority w:val="99"/>
    <w:rsid w:val="005C3000"/>
    <w:rPr>
      <w:rFonts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81A7D"/>
    <w:pPr>
      <w:spacing w:after="160"/>
    </w:pPr>
    <w:rPr>
      <w:rFonts w:cs="Times New Roman"/>
      <w:b/>
      <w:bCs/>
    </w:rPr>
  </w:style>
  <w:style w:type="character" w:customStyle="1" w:styleId="CommentSubjectChar">
    <w:name w:val="Comment Subject Char"/>
    <w:basedOn w:val="CommentTextChar"/>
    <w:link w:val="CommentSubject"/>
    <w:uiPriority w:val="99"/>
    <w:semiHidden/>
    <w:rsid w:val="00F81A7D"/>
    <w:rPr>
      <w:rFonts w:cstheme="minorBidi"/>
      <w:b/>
      <w:bCs/>
      <w:kern w:val="0"/>
      <w:sz w:val="20"/>
      <w:szCs w:val="20"/>
      <w14:ligatures w14:val="none"/>
    </w:rPr>
  </w:style>
  <w:style w:type="paragraph" w:styleId="Revision">
    <w:name w:val="Revision"/>
    <w:hidden/>
    <w:uiPriority w:val="99"/>
    <w:semiHidden/>
    <w:rsid w:val="006B33A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B6D22-D416-4D03-A924-DCA90E49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4490</Words>
  <Characters>25596</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Bridget</dc:creator>
  <cp:keywords/>
  <dc:description/>
  <cp:lastModifiedBy>MCDONALD, Jess</cp:lastModifiedBy>
  <cp:revision>2</cp:revision>
  <dcterms:created xsi:type="dcterms:W3CDTF">2024-06-29T19:56:00Z</dcterms:created>
  <dcterms:modified xsi:type="dcterms:W3CDTF">2024-06-29T19:56:00Z</dcterms:modified>
</cp:coreProperties>
</file>