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426C8C" w:rsidRDefault="001E51F5" w:rsidP="000B31F9">
      <w:pPr>
        <w:spacing w:after="0" w:line="240" w:lineRule="auto"/>
        <w:jc w:val="center"/>
        <w:rPr>
          <w:rFonts w:eastAsia="Times New Roman"/>
          <w:b/>
          <w:sz w:val="22"/>
          <w:szCs w:val="22"/>
          <w:u w:val="single"/>
          <w:lang w:eastAsia="en-AU"/>
        </w:rPr>
      </w:pPr>
      <w:r w:rsidRPr="00426C8C">
        <w:rPr>
          <w:rFonts w:eastAsia="Times New Roman"/>
          <w:b/>
          <w:sz w:val="22"/>
          <w:szCs w:val="22"/>
          <w:u w:val="single"/>
          <w:lang w:eastAsia="en-AU"/>
        </w:rPr>
        <w:t>EXPLANATORY STATEMENT</w:t>
      </w:r>
    </w:p>
    <w:p w14:paraId="7549D6D7" w14:textId="77777777" w:rsidR="00837EB9" w:rsidRPr="00426C8C" w:rsidRDefault="00837EB9" w:rsidP="000B31F9">
      <w:pPr>
        <w:spacing w:after="0" w:line="240" w:lineRule="auto"/>
        <w:jc w:val="center"/>
        <w:rPr>
          <w:rFonts w:eastAsia="Times New Roman"/>
          <w:iCs/>
          <w:sz w:val="22"/>
          <w:szCs w:val="22"/>
          <w:lang w:eastAsia="en-AU"/>
        </w:rPr>
      </w:pPr>
    </w:p>
    <w:p w14:paraId="65F796CD" w14:textId="60DC0F75" w:rsidR="001E51F5" w:rsidRPr="00426C8C" w:rsidRDefault="001E51F5" w:rsidP="000B31F9">
      <w:pPr>
        <w:spacing w:after="0" w:line="240" w:lineRule="auto"/>
        <w:jc w:val="center"/>
        <w:rPr>
          <w:rFonts w:eastAsia="Times New Roman"/>
          <w:sz w:val="22"/>
          <w:szCs w:val="22"/>
          <w:u w:val="single"/>
          <w:lang w:eastAsia="en-AU"/>
        </w:rPr>
      </w:pPr>
      <w:r w:rsidRPr="00426C8C">
        <w:rPr>
          <w:rFonts w:eastAsia="Times New Roman"/>
          <w:i/>
          <w:sz w:val="22"/>
          <w:szCs w:val="22"/>
          <w:lang w:eastAsia="en-AU"/>
        </w:rPr>
        <w:t>Therapeutic Goods Act 1989</w:t>
      </w:r>
    </w:p>
    <w:p w14:paraId="7C443CC3" w14:textId="77777777" w:rsidR="00837EB9" w:rsidRPr="00426C8C" w:rsidRDefault="00837EB9" w:rsidP="000B31F9">
      <w:pPr>
        <w:spacing w:after="0" w:line="240" w:lineRule="auto"/>
        <w:jc w:val="center"/>
        <w:rPr>
          <w:rFonts w:eastAsia="Times New Roman"/>
          <w:iCs/>
          <w:sz w:val="22"/>
          <w:szCs w:val="22"/>
          <w:lang w:eastAsia="en-AU"/>
        </w:rPr>
      </w:pPr>
    </w:p>
    <w:p w14:paraId="36148F37" w14:textId="692624F2" w:rsidR="001E51F5" w:rsidRPr="00426C8C" w:rsidRDefault="001E51F5" w:rsidP="000B31F9">
      <w:pPr>
        <w:spacing w:after="0" w:line="240" w:lineRule="auto"/>
        <w:jc w:val="center"/>
        <w:rPr>
          <w:rFonts w:eastAsia="Times New Roman"/>
          <w:i/>
          <w:sz w:val="22"/>
          <w:szCs w:val="22"/>
          <w:lang w:eastAsia="en-AU"/>
        </w:rPr>
      </w:pPr>
      <w:r w:rsidRPr="00426C8C">
        <w:rPr>
          <w:rFonts w:eastAsia="Times New Roman"/>
          <w:i/>
          <w:sz w:val="22"/>
          <w:szCs w:val="22"/>
          <w:lang w:eastAsia="en-AU"/>
        </w:rPr>
        <w:t>Therapeutic Goods (</w:t>
      </w:r>
      <w:r w:rsidR="006059C9" w:rsidRPr="00426C8C">
        <w:rPr>
          <w:rFonts w:eastAsia="Times New Roman"/>
          <w:i/>
          <w:sz w:val="22"/>
          <w:szCs w:val="22"/>
          <w:lang w:eastAsia="en-AU"/>
        </w:rPr>
        <w:t>Determined Goods</w:t>
      </w:r>
      <w:r w:rsidRPr="00426C8C">
        <w:rPr>
          <w:rFonts w:eastAsia="Times New Roman"/>
          <w:i/>
          <w:sz w:val="22"/>
          <w:szCs w:val="22"/>
          <w:lang w:eastAsia="en-AU"/>
        </w:rPr>
        <w:t xml:space="preserve">) </w:t>
      </w:r>
      <w:r w:rsidR="0028591D" w:rsidRPr="00426C8C">
        <w:rPr>
          <w:rFonts w:eastAsia="Times New Roman"/>
          <w:i/>
          <w:sz w:val="22"/>
          <w:szCs w:val="22"/>
          <w:lang w:eastAsia="en-AU"/>
        </w:rPr>
        <w:t xml:space="preserve">Determination </w:t>
      </w:r>
      <w:r w:rsidRPr="00426C8C">
        <w:rPr>
          <w:rFonts w:eastAsia="Times New Roman"/>
          <w:i/>
          <w:sz w:val="22"/>
          <w:szCs w:val="22"/>
          <w:lang w:eastAsia="en-AU"/>
        </w:rPr>
        <w:t>202</w:t>
      </w:r>
      <w:r w:rsidR="006059C9" w:rsidRPr="00426C8C">
        <w:rPr>
          <w:rFonts w:eastAsia="Times New Roman"/>
          <w:i/>
          <w:sz w:val="22"/>
          <w:szCs w:val="22"/>
          <w:lang w:eastAsia="en-AU"/>
        </w:rPr>
        <w:t>4</w:t>
      </w:r>
    </w:p>
    <w:p w14:paraId="71411FAD" w14:textId="77777777" w:rsidR="00837EB9" w:rsidRPr="00426C8C" w:rsidRDefault="00837EB9" w:rsidP="000B31F9">
      <w:pPr>
        <w:autoSpaceDE w:val="0"/>
        <w:autoSpaceDN w:val="0"/>
        <w:adjustRightInd w:val="0"/>
        <w:spacing w:after="0" w:line="240" w:lineRule="auto"/>
        <w:rPr>
          <w:rFonts w:eastAsia="Times New Roman"/>
          <w:sz w:val="22"/>
          <w:szCs w:val="22"/>
          <w:lang w:eastAsia="en-AU"/>
        </w:rPr>
      </w:pPr>
    </w:p>
    <w:p w14:paraId="1C0775F0" w14:textId="2BCA5AAD" w:rsidR="00837EB9" w:rsidRPr="00426C8C" w:rsidRDefault="00837EB9" w:rsidP="000B31F9">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w:t>
      </w:r>
      <w:r w:rsidRPr="00426C8C">
        <w:rPr>
          <w:rFonts w:eastAsia="Times New Roman"/>
          <w:i/>
          <w:sz w:val="22"/>
          <w:szCs w:val="22"/>
          <w:lang w:eastAsia="en-AU"/>
        </w:rPr>
        <w:t>Therapeutic Goods Act 1989</w:t>
      </w:r>
      <w:r w:rsidRPr="00426C8C">
        <w:rPr>
          <w:rFonts w:eastAsia="Times New Roman"/>
          <w:sz w:val="22"/>
          <w:szCs w:val="22"/>
          <w:lang w:eastAsia="en-AU"/>
        </w:rPr>
        <w:t xml:space="preserve"> (the Act) provides for the establishment and maintenance of a national system of controls for the quality, safety, efficacy or performance, and timely availability of therapeutic goods that are used in, or exported from, Australia. </w:t>
      </w:r>
      <w:r w:rsidR="006059C9" w:rsidRPr="00426C8C">
        <w:rPr>
          <w:rFonts w:eastAsia="Times New Roman"/>
          <w:sz w:val="22"/>
          <w:szCs w:val="22"/>
          <w:lang w:eastAsia="en-AU"/>
        </w:rPr>
        <w:t xml:space="preserve">It also provides for the establishment and maintenance of a national system of controls for the importation, manufacture, supply, and export of vaping goods. </w:t>
      </w:r>
      <w:r w:rsidRPr="00426C8C">
        <w:rPr>
          <w:rFonts w:eastAsia="Times New Roman"/>
          <w:sz w:val="22"/>
          <w:szCs w:val="22"/>
          <w:lang w:eastAsia="en-AU"/>
        </w:rPr>
        <w:t>The Act is administered by the Therapeutic Goods Administration (the TGA) within the Australian Government Department of Health and Aged Care (the Department).</w:t>
      </w:r>
    </w:p>
    <w:p w14:paraId="61034D6E" w14:textId="77777777" w:rsidR="00837EB9" w:rsidRPr="00426C8C" w:rsidRDefault="00837EB9" w:rsidP="000B31F9">
      <w:pPr>
        <w:autoSpaceDE w:val="0"/>
        <w:autoSpaceDN w:val="0"/>
        <w:adjustRightInd w:val="0"/>
        <w:spacing w:after="0" w:line="240" w:lineRule="auto"/>
        <w:rPr>
          <w:rFonts w:eastAsia="Times New Roman"/>
          <w:sz w:val="22"/>
          <w:szCs w:val="22"/>
          <w:lang w:eastAsia="en-AU"/>
        </w:rPr>
      </w:pPr>
    </w:p>
    <w:p w14:paraId="43822BD7" w14:textId="1FA1231A" w:rsidR="00456485" w:rsidRPr="00426C8C" w:rsidRDefault="00456485" w:rsidP="000B31F9">
      <w:pPr>
        <w:autoSpaceDE w:val="0"/>
        <w:autoSpaceDN w:val="0"/>
        <w:adjustRightInd w:val="0"/>
        <w:spacing w:after="0" w:line="240" w:lineRule="auto"/>
        <w:rPr>
          <w:rFonts w:eastAsia="Times New Roman"/>
          <w:sz w:val="22"/>
          <w:szCs w:val="22"/>
          <w:lang w:eastAsia="en-AU"/>
        </w:rPr>
      </w:pPr>
      <w:bookmarkStart w:id="0" w:name="_Hlk153349896"/>
      <w:r w:rsidRPr="00426C8C">
        <w:rPr>
          <w:rFonts w:eastAsia="Times New Roman"/>
          <w:sz w:val="22"/>
          <w:szCs w:val="22"/>
          <w:lang w:eastAsia="en-AU"/>
        </w:rPr>
        <w:t>Section 7AA</w:t>
      </w:r>
      <w:r w:rsidR="006059C9" w:rsidRPr="00426C8C">
        <w:rPr>
          <w:rFonts w:eastAsia="Times New Roman"/>
          <w:sz w:val="22"/>
          <w:szCs w:val="22"/>
          <w:lang w:eastAsia="en-AU"/>
        </w:rPr>
        <w:t>A</w:t>
      </w:r>
      <w:r w:rsidRPr="00426C8C">
        <w:rPr>
          <w:rFonts w:eastAsia="Times New Roman"/>
          <w:sz w:val="22"/>
          <w:szCs w:val="22"/>
          <w:lang w:eastAsia="en-AU"/>
        </w:rPr>
        <w:t xml:space="preserve"> of the Act relevantly provides that the Minister may, by legislative instrument, determine that</w:t>
      </w:r>
      <w:r w:rsidR="006059C9" w:rsidRPr="00426C8C">
        <w:rPr>
          <w:rFonts w:eastAsia="Times New Roman"/>
          <w:sz w:val="22"/>
          <w:szCs w:val="22"/>
          <w:lang w:eastAsia="en-AU"/>
        </w:rPr>
        <w:t>, for the purposes of the Act,</w:t>
      </w:r>
      <w:r w:rsidRPr="00426C8C">
        <w:rPr>
          <w:rFonts w:eastAsia="Times New Roman"/>
          <w:sz w:val="22"/>
          <w:szCs w:val="22"/>
          <w:lang w:eastAsia="en-AU"/>
        </w:rPr>
        <w:t xml:space="preserve"> specified goods are </w:t>
      </w:r>
      <w:r w:rsidR="006059C9" w:rsidRPr="00426C8C">
        <w:rPr>
          <w:rFonts w:eastAsia="Times New Roman"/>
          <w:sz w:val="22"/>
          <w:szCs w:val="22"/>
          <w:lang w:eastAsia="en-AU"/>
        </w:rPr>
        <w:t xml:space="preserve">therapeutic goods, or are therapeutic goods when used, advertised, or presented for supply in a particular way. The specified goods do not include goods that are declared not to be therapeutic goods under an order in force under section 7, or excluded goods that are covered by a determination under subsection 7AA(1) or (2) of the Act. </w:t>
      </w:r>
      <w:r w:rsidRPr="00426C8C">
        <w:rPr>
          <w:rFonts w:eastAsia="Times New Roman"/>
          <w:sz w:val="22"/>
          <w:szCs w:val="22"/>
          <w:lang w:eastAsia="en-AU"/>
        </w:rPr>
        <w:t>The effect of a determination under section 7AA</w:t>
      </w:r>
      <w:r w:rsidR="006059C9" w:rsidRPr="00426C8C">
        <w:rPr>
          <w:rFonts w:eastAsia="Times New Roman"/>
          <w:sz w:val="22"/>
          <w:szCs w:val="22"/>
          <w:lang w:eastAsia="en-AU"/>
        </w:rPr>
        <w:t>A</w:t>
      </w:r>
      <w:r w:rsidRPr="00426C8C">
        <w:rPr>
          <w:rFonts w:eastAsia="Times New Roman"/>
          <w:sz w:val="22"/>
          <w:szCs w:val="22"/>
          <w:lang w:eastAsia="en-AU"/>
        </w:rPr>
        <w:t xml:space="preserve"> is </w:t>
      </w:r>
      <w:r w:rsidR="006059C9" w:rsidRPr="00426C8C">
        <w:rPr>
          <w:rFonts w:eastAsia="Times New Roman"/>
          <w:sz w:val="22"/>
          <w:szCs w:val="22"/>
          <w:lang w:eastAsia="en-AU"/>
        </w:rPr>
        <w:t>that the specified goods are subject to the regulatory framework for therapeutic goods under the Act.</w:t>
      </w:r>
    </w:p>
    <w:p w14:paraId="606E62C9" w14:textId="77777777" w:rsidR="00837EB9" w:rsidRPr="00426C8C" w:rsidRDefault="00837EB9" w:rsidP="000B31F9">
      <w:pPr>
        <w:autoSpaceDE w:val="0"/>
        <w:autoSpaceDN w:val="0"/>
        <w:adjustRightInd w:val="0"/>
        <w:spacing w:after="0" w:line="240" w:lineRule="auto"/>
        <w:rPr>
          <w:rFonts w:eastAsia="Times New Roman"/>
          <w:sz w:val="22"/>
          <w:szCs w:val="22"/>
          <w:lang w:eastAsia="en-AU"/>
        </w:rPr>
      </w:pPr>
    </w:p>
    <w:p w14:paraId="762A06C7" w14:textId="3794CF6D" w:rsidR="008D2C8A" w:rsidRPr="00426C8C" w:rsidRDefault="008D2C8A" w:rsidP="000B31F9">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w:t>
      </w:r>
      <w:r w:rsidRPr="00426C8C">
        <w:rPr>
          <w:rFonts w:eastAsia="Times New Roman"/>
          <w:i/>
          <w:iCs/>
          <w:sz w:val="22"/>
          <w:szCs w:val="22"/>
          <w:lang w:eastAsia="en-AU"/>
        </w:rPr>
        <w:t>Therapeutic Goods (</w:t>
      </w:r>
      <w:r w:rsidR="004F4415" w:rsidRPr="00426C8C">
        <w:rPr>
          <w:rFonts w:eastAsia="Times New Roman"/>
          <w:i/>
          <w:iCs/>
          <w:sz w:val="22"/>
          <w:szCs w:val="22"/>
          <w:lang w:eastAsia="en-AU"/>
        </w:rPr>
        <w:t>Determined</w:t>
      </w:r>
      <w:r w:rsidRPr="00426C8C">
        <w:rPr>
          <w:rFonts w:eastAsia="Times New Roman"/>
          <w:i/>
          <w:iCs/>
          <w:sz w:val="22"/>
          <w:szCs w:val="22"/>
          <w:lang w:eastAsia="en-AU"/>
        </w:rPr>
        <w:t xml:space="preserve"> Goods) Determination </w:t>
      </w:r>
      <w:r w:rsidR="004F4415" w:rsidRPr="00426C8C">
        <w:rPr>
          <w:rFonts w:eastAsia="Times New Roman"/>
          <w:i/>
          <w:iCs/>
          <w:sz w:val="22"/>
          <w:szCs w:val="22"/>
          <w:lang w:eastAsia="en-AU"/>
        </w:rPr>
        <w:t>2024</w:t>
      </w:r>
      <w:r w:rsidRPr="00426C8C">
        <w:rPr>
          <w:rFonts w:eastAsia="Times New Roman"/>
          <w:sz w:val="22"/>
          <w:szCs w:val="22"/>
          <w:lang w:eastAsia="en-AU"/>
        </w:rPr>
        <w:t xml:space="preserve"> (the </w:t>
      </w:r>
      <w:r w:rsidR="00CF4D5D" w:rsidRPr="00426C8C">
        <w:rPr>
          <w:rFonts w:eastAsia="Times New Roman"/>
          <w:sz w:val="22"/>
          <w:szCs w:val="22"/>
          <w:lang w:eastAsia="en-AU"/>
        </w:rPr>
        <w:t>Determination</w:t>
      </w:r>
      <w:r w:rsidRPr="00426C8C">
        <w:rPr>
          <w:rFonts w:eastAsia="Times New Roman"/>
          <w:sz w:val="22"/>
          <w:szCs w:val="22"/>
          <w:lang w:eastAsia="en-AU"/>
        </w:rPr>
        <w:t>) is made under section 7AA</w:t>
      </w:r>
      <w:r w:rsidR="00CC6F00" w:rsidRPr="00426C8C">
        <w:rPr>
          <w:rFonts w:eastAsia="Times New Roman"/>
          <w:sz w:val="22"/>
          <w:szCs w:val="22"/>
          <w:lang w:eastAsia="en-AU"/>
        </w:rPr>
        <w:t>A</w:t>
      </w:r>
      <w:r w:rsidRPr="00426C8C">
        <w:rPr>
          <w:rFonts w:eastAsia="Times New Roman"/>
          <w:sz w:val="22"/>
          <w:szCs w:val="22"/>
          <w:lang w:eastAsia="en-AU"/>
        </w:rPr>
        <w:t xml:space="preserve"> of the Act. The </w:t>
      </w:r>
      <w:r w:rsidR="00CF4D5D" w:rsidRPr="00426C8C">
        <w:rPr>
          <w:rFonts w:eastAsia="Times New Roman"/>
          <w:sz w:val="22"/>
          <w:szCs w:val="22"/>
          <w:lang w:eastAsia="en-AU"/>
        </w:rPr>
        <w:t xml:space="preserve">Determination </w:t>
      </w:r>
      <w:r w:rsidRPr="00426C8C">
        <w:rPr>
          <w:rFonts w:eastAsia="Times New Roman"/>
          <w:sz w:val="22"/>
          <w:szCs w:val="22"/>
          <w:lang w:eastAsia="en-AU"/>
        </w:rPr>
        <w:t xml:space="preserve">determines </w:t>
      </w:r>
      <w:r w:rsidR="00CC6F00" w:rsidRPr="00426C8C">
        <w:rPr>
          <w:rFonts w:eastAsia="Times New Roman"/>
          <w:sz w:val="22"/>
          <w:szCs w:val="22"/>
          <w:lang w:eastAsia="en-AU"/>
        </w:rPr>
        <w:t xml:space="preserve">that </w:t>
      </w:r>
      <w:r w:rsidRPr="00426C8C">
        <w:rPr>
          <w:rFonts w:eastAsia="Times New Roman"/>
          <w:sz w:val="22"/>
          <w:szCs w:val="22"/>
          <w:lang w:eastAsia="en-AU"/>
        </w:rPr>
        <w:t>specified goods, including specified goods when used, advertised</w:t>
      </w:r>
      <w:r w:rsidR="00CC6F00" w:rsidRPr="00426C8C">
        <w:rPr>
          <w:rFonts w:eastAsia="Times New Roman"/>
          <w:sz w:val="22"/>
          <w:szCs w:val="22"/>
          <w:lang w:eastAsia="en-AU"/>
        </w:rPr>
        <w:t>,</w:t>
      </w:r>
      <w:r w:rsidRPr="00426C8C">
        <w:rPr>
          <w:rFonts w:eastAsia="Times New Roman"/>
          <w:sz w:val="22"/>
          <w:szCs w:val="22"/>
          <w:lang w:eastAsia="en-AU"/>
        </w:rPr>
        <w:t xml:space="preserve"> or presented for supply in a </w:t>
      </w:r>
      <w:r w:rsidR="00CC6F00" w:rsidRPr="00426C8C">
        <w:rPr>
          <w:rFonts w:eastAsia="Times New Roman"/>
          <w:sz w:val="22"/>
          <w:szCs w:val="22"/>
          <w:lang w:eastAsia="en-AU"/>
        </w:rPr>
        <w:t>particular way</w:t>
      </w:r>
      <w:r w:rsidRPr="00426C8C">
        <w:rPr>
          <w:rFonts w:eastAsia="Times New Roman"/>
          <w:sz w:val="22"/>
          <w:szCs w:val="22"/>
          <w:lang w:eastAsia="en-AU"/>
        </w:rPr>
        <w:t xml:space="preserve">, </w:t>
      </w:r>
      <w:r w:rsidR="00CC6F00" w:rsidRPr="00426C8C">
        <w:rPr>
          <w:rFonts w:eastAsia="Times New Roman"/>
          <w:sz w:val="22"/>
          <w:szCs w:val="22"/>
          <w:lang w:eastAsia="en-AU"/>
        </w:rPr>
        <w:t>are</w:t>
      </w:r>
      <w:r w:rsidRPr="00426C8C">
        <w:rPr>
          <w:rFonts w:eastAsia="Times New Roman"/>
          <w:sz w:val="22"/>
          <w:szCs w:val="22"/>
          <w:lang w:eastAsia="en-AU"/>
        </w:rPr>
        <w:t xml:space="preserve"> </w:t>
      </w:r>
      <w:r w:rsidR="00CC6F00" w:rsidRPr="00426C8C">
        <w:rPr>
          <w:rFonts w:eastAsia="Times New Roman"/>
          <w:sz w:val="22"/>
          <w:szCs w:val="22"/>
          <w:lang w:eastAsia="en-AU"/>
        </w:rPr>
        <w:t>therapeutic</w:t>
      </w:r>
      <w:r w:rsidRPr="00426C8C">
        <w:rPr>
          <w:rFonts w:eastAsia="Times New Roman"/>
          <w:sz w:val="22"/>
          <w:szCs w:val="22"/>
          <w:lang w:eastAsia="en-AU"/>
        </w:rPr>
        <w:t xml:space="preserve"> goods for the purposes of the Act.</w:t>
      </w:r>
    </w:p>
    <w:p w14:paraId="498C436F" w14:textId="2503DD95" w:rsidR="00837EB9" w:rsidRPr="00426C8C" w:rsidRDefault="00837EB9" w:rsidP="000B31F9">
      <w:pPr>
        <w:autoSpaceDE w:val="0"/>
        <w:autoSpaceDN w:val="0"/>
        <w:adjustRightInd w:val="0"/>
        <w:spacing w:after="0" w:line="240" w:lineRule="auto"/>
        <w:rPr>
          <w:rFonts w:eastAsia="Times New Roman"/>
          <w:sz w:val="22"/>
          <w:szCs w:val="22"/>
          <w:lang w:eastAsia="en-AU"/>
        </w:rPr>
      </w:pPr>
    </w:p>
    <w:p w14:paraId="1464BF06" w14:textId="77777777" w:rsidR="00C07687" w:rsidRPr="00426C8C" w:rsidRDefault="00C07687" w:rsidP="00BF604E">
      <w:pPr>
        <w:keepNext/>
        <w:autoSpaceDE w:val="0"/>
        <w:autoSpaceDN w:val="0"/>
        <w:adjustRightInd w:val="0"/>
        <w:spacing w:after="0" w:line="240" w:lineRule="auto"/>
        <w:rPr>
          <w:rFonts w:eastAsia="Times New Roman"/>
          <w:b/>
          <w:sz w:val="22"/>
          <w:szCs w:val="22"/>
          <w:lang w:eastAsia="en-AU"/>
        </w:rPr>
      </w:pPr>
      <w:bookmarkStart w:id="1" w:name="_Hlk169695797"/>
      <w:r w:rsidRPr="00426C8C">
        <w:rPr>
          <w:rFonts w:eastAsia="Times New Roman"/>
          <w:b/>
          <w:sz w:val="22"/>
          <w:szCs w:val="22"/>
          <w:lang w:eastAsia="en-AU"/>
        </w:rPr>
        <w:t>Background</w:t>
      </w:r>
    </w:p>
    <w:p w14:paraId="78010545" w14:textId="77777777" w:rsidR="00C07687" w:rsidRPr="00426C8C" w:rsidRDefault="00C07687" w:rsidP="00BF604E">
      <w:pPr>
        <w:keepNext/>
        <w:autoSpaceDE w:val="0"/>
        <w:autoSpaceDN w:val="0"/>
        <w:adjustRightInd w:val="0"/>
        <w:spacing w:after="0" w:line="240" w:lineRule="auto"/>
        <w:rPr>
          <w:rFonts w:eastAsia="Times New Roman"/>
          <w:sz w:val="22"/>
          <w:szCs w:val="22"/>
          <w:lang w:eastAsia="en-AU"/>
        </w:rPr>
      </w:pPr>
    </w:p>
    <w:bookmarkEnd w:id="1"/>
    <w:p w14:paraId="115D1091"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426C8C">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3A514126"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5A3D2AAA"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779AB01E"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0463727A"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762B644B"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79B3975D"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lastRenderedPageBreak/>
        <w:t xml:space="preserve">The Government’s vaping reforms are being implemented in stages over 2024. The </w:t>
      </w:r>
      <w:r w:rsidRPr="00426C8C">
        <w:rPr>
          <w:rFonts w:eastAsia="Times New Roman"/>
          <w:i/>
          <w:iCs/>
          <w:sz w:val="22"/>
          <w:szCs w:val="22"/>
          <w:lang w:eastAsia="en-AU"/>
        </w:rPr>
        <w:t>Therapeutic Goods and Other Legislation Amendment (Vaping Reforms) Act 2024</w:t>
      </w:r>
      <w:r w:rsidRPr="00426C8C">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79C2D061"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41C11458"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first stage of the Government’s vaping reforms comprised amendments to </w:t>
      </w:r>
      <w:r w:rsidRPr="00426C8C">
        <w:rPr>
          <w:rFonts w:eastAsia="Times New Roman"/>
          <w:i/>
          <w:iCs/>
          <w:sz w:val="22"/>
          <w:szCs w:val="22"/>
          <w:lang w:eastAsia="en-AU"/>
        </w:rPr>
        <w:t>the Customs (Prohibited Imports) Regulations 1956</w:t>
      </w:r>
      <w:r w:rsidRPr="00426C8C">
        <w:rPr>
          <w:rFonts w:eastAsia="Times New Roman"/>
          <w:sz w:val="22"/>
          <w:szCs w:val="22"/>
          <w:lang w:eastAsia="en-AU"/>
        </w:rPr>
        <w:t xml:space="preserve">, </w:t>
      </w:r>
      <w:r w:rsidRPr="00426C8C">
        <w:rPr>
          <w:rFonts w:eastAsia="Times New Roman"/>
          <w:i/>
          <w:iCs/>
          <w:sz w:val="22"/>
          <w:szCs w:val="22"/>
          <w:lang w:eastAsia="en-AU"/>
        </w:rPr>
        <w:t>Therapeutic Goods Regulations 1990</w:t>
      </w:r>
      <w:r w:rsidRPr="00426C8C">
        <w:rPr>
          <w:rFonts w:eastAsia="Times New Roman"/>
          <w:sz w:val="22"/>
          <w:szCs w:val="22"/>
          <w:lang w:eastAsia="en-AU"/>
        </w:rPr>
        <w:t xml:space="preserve"> and </w:t>
      </w:r>
      <w:r w:rsidRPr="00426C8C">
        <w:rPr>
          <w:rFonts w:eastAsia="Times New Roman"/>
          <w:i/>
          <w:iCs/>
          <w:sz w:val="22"/>
          <w:szCs w:val="22"/>
          <w:lang w:eastAsia="en-AU"/>
        </w:rPr>
        <w:t>Therapeutic Goods (Medical Devices) Regulations 2002</w:t>
      </w:r>
      <w:r w:rsidRPr="00426C8C">
        <w:rPr>
          <w:rFonts w:eastAsia="Times New Roman"/>
          <w:sz w:val="22"/>
          <w:szCs w:val="22"/>
          <w:lang w:eastAsia="en-AU"/>
        </w:rPr>
        <w:t>. These amendments commenced on 1 January 2024 and introduced the following changes:</w:t>
      </w:r>
    </w:p>
    <w:p w14:paraId="27365E98"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6BD7B2E6" w14:textId="77777777" w:rsidR="00426C8C" w:rsidRPr="00426C8C" w:rsidRDefault="00426C8C" w:rsidP="00426C8C">
      <w:pPr>
        <w:pStyle w:val="ListParagraph"/>
        <w:numPr>
          <w:ilvl w:val="0"/>
          <w:numId w:val="17"/>
        </w:num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4CF71EE9" w14:textId="77777777" w:rsidR="00426C8C" w:rsidRPr="00426C8C" w:rsidRDefault="00426C8C" w:rsidP="00426C8C">
      <w:pPr>
        <w:pStyle w:val="ListParagraph"/>
        <w:autoSpaceDE w:val="0"/>
        <w:autoSpaceDN w:val="0"/>
        <w:adjustRightInd w:val="0"/>
        <w:spacing w:after="0" w:line="240" w:lineRule="auto"/>
        <w:rPr>
          <w:rFonts w:eastAsia="Times New Roman"/>
          <w:sz w:val="22"/>
          <w:szCs w:val="22"/>
          <w:lang w:eastAsia="en-AU"/>
        </w:rPr>
      </w:pPr>
    </w:p>
    <w:p w14:paraId="3F69A623" w14:textId="77777777" w:rsidR="00426C8C" w:rsidRPr="00426C8C" w:rsidRDefault="00426C8C" w:rsidP="00426C8C">
      <w:pPr>
        <w:pStyle w:val="ListParagraph"/>
        <w:numPr>
          <w:ilvl w:val="0"/>
          <w:numId w:val="17"/>
        </w:num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53177038" w14:textId="77777777" w:rsidR="00426C8C" w:rsidRPr="00426C8C" w:rsidRDefault="00426C8C" w:rsidP="00426C8C">
      <w:pPr>
        <w:pStyle w:val="ListParagraph"/>
        <w:autoSpaceDE w:val="0"/>
        <w:autoSpaceDN w:val="0"/>
        <w:adjustRightInd w:val="0"/>
        <w:spacing w:after="0" w:line="240" w:lineRule="auto"/>
        <w:rPr>
          <w:rFonts w:eastAsia="Times New Roman"/>
          <w:sz w:val="22"/>
          <w:szCs w:val="22"/>
          <w:lang w:eastAsia="en-AU"/>
        </w:rPr>
      </w:pPr>
    </w:p>
    <w:p w14:paraId="4538F693" w14:textId="77777777" w:rsidR="00426C8C" w:rsidRPr="00426C8C" w:rsidRDefault="00426C8C" w:rsidP="00426C8C">
      <w:pPr>
        <w:pStyle w:val="ListParagraph"/>
        <w:numPr>
          <w:ilvl w:val="0"/>
          <w:numId w:val="17"/>
        </w:num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35584443"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163F9689" w14:textId="581B56EE"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The Amendment Act, commencing on 1 July 2024, implement</w:t>
      </w:r>
      <w:r w:rsidR="00703016">
        <w:rPr>
          <w:rFonts w:eastAsia="Times New Roman"/>
          <w:sz w:val="22"/>
          <w:szCs w:val="22"/>
          <w:lang w:eastAsia="en-AU"/>
        </w:rPr>
        <w:t>s</w:t>
      </w:r>
      <w:r w:rsidRPr="00426C8C">
        <w:rPr>
          <w:rFonts w:eastAsia="Times New Roman"/>
          <w:sz w:val="22"/>
          <w:szCs w:val="22"/>
          <w:lang w:eastAsia="en-AU"/>
        </w:rPr>
        <w:t xml:space="preserve"> the second stage of reforms to the regulation of vaping goods, principally to prohibit the importation, manufacture</w:t>
      </w:r>
      <w:r w:rsidR="00703016">
        <w:rPr>
          <w:rFonts w:eastAsia="Times New Roman"/>
          <w:sz w:val="22"/>
          <w:szCs w:val="22"/>
          <w:lang w:eastAsia="en-AU"/>
        </w:rPr>
        <w:t>,</w:t>
      </w:r>
      <w:r w:rsidR="0017203A">
        <w:rPr>
          <w:rFonts w:eastAsia="Times New Roman"/>
          <w:sz w:val="22"/>
          <w:szCs w:val="22"/>
          <w:lang w:eastAsia="en-AU"/>
        </w:rPr>
        <w:t xml:space="preserve"> supply,</w:t>
      </w:r>
      <w:r w:rsidR="00703016">
        <w:rPr>
          <w:rFonts w:eastAsia="Times New Roman"/>
          <w:sz w:val="22"/>
          <w:szCs w:val="22"/>
          <w:lang w:eastAsia="en-AU"/>
        </w:rPr>
        <w:t xml:space="preserve"> commercial possession</w:t>
      </w:r>
      <w:r w:rsidR="0017203A">
        <w:rPr>
          <w:rFonts w:eastAsia="Times New Roman"/>
          <w:sz w:val="22"/>
          <w:szCs w:val="22"/>
          <w:lang w:eastAsia="en-AU"/>
        </w:rPr>
        <w:t xml:space="preserve"> and </w:t>
      </w:r>
      <w:r w:rsidR="00703016">
        <w:rPr>
          <w:rFonts w:eastAsia="Times New Roman"/>
          <w:sz w:val="22"/>
          <w:szCs w:val="22"/>
          <w:lang w:eastAsia="en-AU"/>
        </w:rPr>
        <w:t>advertisement</w:t>
      </w:r>
      <w:r w:rsidRPr="00426C8C">
        <w:rPr>
          <w:rFonts w:eastAsia="Times New Roman"/>
          <w:sz w:val="22"/>
          <w:szCs w:val="22"/>
          <w:lang w:eastAsia="en-AU"/>
        </w:rPr>
        <w:t xml:space="preserve"> of vaping goods in Australia unless certain requirements under the Act are met. </w:t>
      </w:r>
      <w:r w:rsidR="00703016">
        <w:rPr>
          <w:rFonts w:eastAsia="Times New Roman"/>
          <w:sz w:val="22"/>
          <w:szCs w:val="22"/>
          <w:lang w:eastAsia="en-AU"/>
        </w:rPr>
        <w:t xml:space="preserve">Therapeutic vaping goods that meet regulatory requirements for therapeutic goods under the Act will continue to be available where clinically appropriate. </w:t>
      </w:r>
      <w:r w:rsidRPr="00426C8C">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600AAE08" w14:textId="77777777" w:rsidR="00C07687" w:rsidRPr="00426C8C" w:rsidRDefault="00C07687" w:rsidP="000B31F9">
      <w:pPr>
        <w:autoSpaceDE w:val="0"/>
        <w:autoSpaceDN w:val="0"/>
        <w:adjustRightInd w:val="0"/>
        <w:spacing w:after="0" w:line="240" w:lineRule="auto"/>
        <w:rPr>
          <w:rFonts w:eastAsia="Times New Roman"/>
          <w:bCs/>
          <w:sz w:val="22"/>
          <w:szCs w:val="22"/>
          <w:lang w:eastAsia="en-AU"/>
        </w:rPr>
      </w:pPr>
    </w:p>
    <w:p w14:paraId="5B4842BD" w14:textId="60FF77D0" w:rsidR="00E21CA7" w:rsidRPr="00426C8C" w:rsidRDefault="00EE08CB" w:rsidP="00BF604E">
      <w:pPr>
        <w:keepNext/>
        <w:autoSpaceDE w:val="0"/>
        <w:autoSpaceDN w:val="0"/>
        <w:adjustRightInd w:val="0"/>
        <w:spacing w:after="0" w:line="240" w:lineRule="auto"/>
        <w:rPr>
          <w:rFonts w:eastAsia="Times New Roman"/>
          <w:b/>
          <w:sz w:val="22"/>
          <w:szCs w:val="22"/>
          <w:lang w:eastAsia="en-AU"/>
        </w:rPr>
      </w:pPr>
      <w:r w:rsidRPr="00426C8C">
        <w:rPr>
          <w:rFonts w:eastAsia="Times New Roman"/>
          <w:b/>
          <w:sz w:val="22"/>
          <w:szCs w:val="22"/>
          <w:lang w:eastAsia="en-AU"/>
        </w:rPr>
        <w:t>P</w:t>
      </w:r>
      <w:r w:rsidR="00E21CA7" w:rsidRPr="00426C8C">
        <w:rPr>
          <w:rFonts w:eastAsia="Times New Roman"/>
          <w:b/>
          <w:sz w:val="22"/>
          <w:szCs w:val="22"/>
          <w:lang w:eastAsia="en-AU"/>
        </w:rPr>
        <w:t>urpose</w:t>
      </w:r>
    </w:p>
    <w:p w14:paraId="3C6CC88D" w14:textId="77777777" w:rsidR="00837EB9" w:rsidRPr="00426C8C" w:rsidRDefault="00837EB9" w:rsidP="00BF604E">
      <w:pPr>
        <w:keepNext/>
        <w:autoSpaceDE w:val="0"/>
        <w:autoSpaceDN w:val="0"/>
        <w:adjustRightInd w:val="0"/>
        <w:spacing w:after="0" w:line="240" w:lineRule="auto"/>
        <w:rPr>
          <w:rFonts w:eastAsia="Times New Roman"/>
          <w:sz w:val="22"/>
          <w:szCs w:val="22"/>
          <w:lang w:eastAsia="en-AU"/>
        </w:rPr>
      </w:pPr>
    </w:p>
    <w:p w14:paraId="4F7E020E" w14:textId="62E65A0B" w:rsidR="00981002" w:rsidRPr="00426C8C" w:rsidRDefault="00EE08CB" w:rsidP="000B31F9">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w:t>
      </w:r>
      <w:r w:rsidR="00CF4D5D" w:rsidRPr="00426C8C">
        <w:rPr>
          <w:rFonts w:eastAsia="Times New Roman"/>
          <w:sz w:val="22"/>
          <w:szCs w:val="22"/>
          <w:lang w:eastAsia="en-AU"/>
        </w:rPr>
        <w:t xml:space="preserve">Determination </w:t>
      </w:r>
      <w:r w:rsidR="00981002" w:rsidRPr="00426C8C">
        <w:rPr>
          <w:rFonts w:eastAsia="Times New Roman"/>
          <w:sz w:val="22"/>
          <w:szCs w:val="22"/>
          <w:lang w:eastAsia="en-AU"/>
        </w:rPr>
        <w:t>is made under section 7A</w:t>
      </w:r>
      <w:r w:rsidR="003813D5" w:rsidRPr="00426C8C">
        <w:rPr>
          <w:rFonts w:eastAsia="Times New Roman"/>
          <w:sz w:val="22"/>
          <w:szCs w:val="22"/>
          <w:lang w:eastAsia="en-AU"/>
        </w:rPr>
        <w:t>A</w:t>
      </w:r>
      <w:r w:rsidR="00981002" w:rsidRPr="00426C8C">
        <w:rPr>
          <w:rFonts w:eastAsia="Times New Roman"/>
          <w:sz w:val="22"/>
          <w:szCs w:val="22"/>
          <w:lang w:eastAsia="en-AU"/>
        </w:rPr>
        <w:t>A of the Act</w:t>
      </w:r>
      <w:r w:rsidR="00CD214D" w:rsidRPr="00426C8C">
        <w:rPr>
          <w:rFonts w:eastAsia="Times New Roman"/>
          <w:sz w:val="22"/>
          <w:szCs w:val="22"/>
          <w:lang w:eastAsia="en-AU"/>
        </w:rPr>
        <w:t xml:space="preserve">. The </w:t>
      </w:r>
      <w:r w:rsidR="00CF4D5D" w:rsidRPr="00426C8C">
        <w:rPr>
          <w:rFonts w:eastAsia="Times New Roman"/>
          <w:sz w:val="22"/>
          <w:szCs w:val="22"/>
          <w:lang w:eastAsia="en-AU"/>
        </w:rPr>
        <w:t xml:space="preserve">Determination </w:t>
      </w:r>
      <w:r w:rsidR="00CD214D" w:rsidRPr="00426C8C">
        <w:rPr>
          <w:rFonts w:eastAsia="Times New Roman"/>
          <w:sz w:val="22"/>
          <w:szCs w:val="22"/>
          <w:lang w:eastAsia="en-AU"/>
        </w:rPr>
        <w:t>determine</w:t>
      </w:r>
      <w:r w:rsidR="00514D55" w:rsidRPr="00426C8C">
        <w:rPr>
          <w:rFonts w:eastAsia="Times New Roman"/>
          <w:sz w:val="22"/>
          <w:szCs w:val="22"/>
          <w:lang w:eastAsia="en-AU"/>
        </w:rPr>
        <w:t>s</w:t>
      </w:r>
      <w:r w:rsidR="00CD214D" w:rsidRPr="00426C8C">
        <w:rPr>
          <w:rFonts w:eastAsia="Times New Roman"/>
          <w:sz w:val="22"/>
          <w:szCs w:val="22"/>
          <w:lang w:eastAsia="en-AU"/>
        </w:rPr>
        <w:t xml:space="preserve"> </w:t>
      </w:r>
      <w:r w:rsidR="003813D5" w:rsidRPr="00426C8C">
        <w:rPr>
          <w:rFonts w:eastAsia="Times New Roman"/>
          <w:sz w:val="22"/>
          <w:szCs w:val="22"/>
          <w:lang w:eastAsia="en-AU"/>
        </w:rPr>
        <w:t xml:space="preserve">that </w:t>
      </w:r>
      <w:r w:rsidR="00CD214D" w:rsidRPr="00426C8C">
        <w:rPr>
          <w:rFonts w:eastAsia="Times New Roman"/>
          <w:sz w:val="22"/>
          <w:szCs w:val="22"/>
          <w:lang w:eastAsia="en-AU"/>
        </w:rPr>
        <w:t xml:space="preserve">specified goods, including specified goods </w:t>
      </w:r>
      <w:r w:rsidR="00981002" w:rsidRPr="00426C8C">
        <w:rPr>
          <w:rFonts w:eastAsia="Times New Roman"/>
          <w:sz w:val="22"/>
          <w:szCs w:val="22"/>
          <w:lang w:eastAsia="en-AU"/>
        </w:rPr>
        <w:t xml:space="preserve">when used, advertised, or presented for supply in a specified way, </w:t>
      </w:r>
      <w:r w:rsidR="003813D5" w:rsidRPr="00426C8C">
        <w:rPr>
          <w:rFonts w:eastAsia="Times New Roman"/>
          <w:sz w:val="22"/>
          <w:szCs w:val="22"/>
          <w:lang w:eastAsia="en-AU"/>
        </w:rPr>
        <w:t xml:space="preserve">are therapeutic goods </w:t>
      </w:r>
      <w:r w:rsidR="00981002" w:rsidRPr="00426C8C">
        <w:rPr>
          <w:rFonts w:eastAsia="Times New Roman"/>
          <w:sz w:val="22"/>
          <w:szCs w:val="22"/>
          <w:lang w:eastAsia="en-AU"/>
        </w:rPr>
        <w:t>for the purposes of the Act.</w:t>
      </w:r>
    </w:p>
    <w:p w14:paraId="199FF2FE" w14:textId="77777777" w:rsidR="00981002" w:rsidRPr="00426C8C" w:rsidRDefault="00981002" w:rsidP="000B31F9">
      <w:pPr>
        <w:autoSpaceDE w:val="0"/>
        <w:autoSpaceDN w:val="0"/>
        <w:adjustRightInd w:val="0"/>
        <w:spacing w:after="0" w:line="240" w:lineRule="auto"/>
        <w:rPr>
          <w:rFonts w:eastAsia="Times New Roman"/>
          <w:sz w:val="22"/>
          <w:szCs w:val="22"/>
          <w:lang w:eastAsia="en-AU"/>
        </w:rPr>
      </w:pPr>
    </w:p>
    <w:p w14:paraId="3F3DA5F0" w14:textId="1D7B3E33" w:rsidR="003D1A6D" w:rsidRPr="00426C8C" w:rsidRDefault="003D1A6D" w:rsidP="003D1A6D">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Determination determines one item in the table in Schedule 1. That item specifies that goods containing nicotine for human use are therapeutic goods, with some exceptions. The exceptions are tobacco prepared and packed for smoking, foods that contain naturally occurring nicotine and tobacco products </w:t>
      </w:r>
      <w:r w:rsidRPr="00426C8C">
        <w:rPr>
          <w:sz w:val="22"/>
          <w:szCs w:val="22"/>
        </w:rPr>
        <w:t xml:space="preserve">that are permanently banned under Chapter 4 of the </w:t>
      </w:r>
      <w:r w:rsidRPr="00426C8C">
        <w:rPr>
          <w:i/>
          <w:iCs/>
          <w:sz w:val="22"/>
          <w:szCs w:val="22"/>
        </w:rPr>
        <w:t>Public Health (Tobacco and Other Products) Act 2023</w:t>
      </w:r>
      <w:r w:rsidRPr="00426C8C">
        <w:rPr>
          <w:rFonts w:eastAsia="Times New Roman"/>
          <w:sz w:val="22"/>
          <w:szCs w:val="22"/>
          <w:lang w:eastAsia="en-AU"/>
        </w:rPr>
        <w:t xml:space="preserve">. Nicotine is present in tobacco and naturally occurring in certain foods. However, tobacco prepared and packed for smoking, foods containing naturally occurring nicotine and tobacco products that are permanently banned </w:t>
      </w:r>
      <w:r w:rsidR="0079781E" w:rsidRPr="00426C8C">
        <w:rPr>
          <w:sz w:val="22"/>
          <w:szCs w:val="22"/>
        </w:rPr>
        <w:t xml:space="preserve">under Chapter 4 of the </w:t>
      </w:r>
      <w:r w:rsidR="0079781E" w:rsidRPr="00426C8C">
        <w:rPr>
          <w:i/>
          <w:iCs/>
          <w:sz w:val="22"/>
          <w:szCs w:val="22"/>
        </w:rPr>
        <w:t xml:space="preserve">Public Health (Tobacco and Other Products) Act 2023 </w:t>
      </w:r>
      <w:r w:rsidRPr="00426C8C">
        <w:rPr>
          <w:rFonts w:eastAsia="Times New Roman"/>
          <w:sz w:val="22"/>
          <w:szCs w:val="22"/>
          <w:lang w:eastAsia="en-AU"/>
        </w:rPr>
        <w:t>are not intended to be determined to be therapeutic goods.</w:t>
      </w:r>
    </w:p>
    <w:p w14:paraId="3B13ADCC" w14:textId="77777777" w:rsidR="003D1A6D" w:rsidRPr="00426C8C" w:rsidRDefault="003D1A6D" w:rsidP="003D1A6D">
      <w:pPr>
        <w:autoSpaceDE w:val="0"/>
        <w:autoSpaceDN w:val="0"/>
        <w:adjustRightInd w:val="0"/>
        <w:spacing w:after="0" w:line="240" w:lineRule="auto"/>
        <w:rPr>
          <w:rFonts w:eastAsia="Times New Roman"/>
          <w:sz w:val="22"/>
          <w:szCs w:val="22"/>
          <w:lang w:eastAsia="en-AU"/>
        </w:rPr>
      </w:pPr>
    </w:p>
    <w:p w14:paraId="7CFF3B21" w14:textId="35A80125" w:rsidR="003D1A6D" w:rsidRPr="00426C8C" w:rsidRDefault="0078763D" w:rsidP="003D1A6D">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By contrast, </w:t>
      </w:r>
      <w:r w:rsidR="003D1A6D" w:rsidRPr="00426C8C">
        <w:rPr>
          <w:rFonts w:eastAsia="Times New Roman"/>
          <w:sz w:val="22"/>
          <w:szCs w:val="22"/>
          <w:lang w:eastAsia="en-AU"/>
        </w:rPr>
        <w:t>goods contain</w:t>
      </w:r>
      <w:r w:rsidR="00562C95" w:rsidRPr="00426C8C">
        <w:rPr>
          <w:rFonts w:eastAsia="Times New Roman"/>
          <w:sz w:val="22"/>
          <w:szCs w:val="22"/>
          <w:lang w:eastAsia="en-AU"/>
        </w:rPr>
        <w:t>ing</w:t>
      </w:r>
      <w:r w:rsidR="003D1A6D" w:rsidRPr="00426C8C">
        <w:rPr>
          <w:rFonts w:eastAsia="Times New Roman"/>
          <w:sz w:val="22"/>
          <w:szCs w:val="22"/>
          <w:lang w:eastAsia="en-AU"/>
        </w:rPr>
        <w:t xml:space="preserve"> nicotine for human use </w:t>
      </w:r>
      <w:r w:rsidR="00562C95" w:rsidRPr="00426C8C">
        <w:rPr>
          <w:rFonts w:eastAsia="Times New Roman"/>
          <w:sz w:val="22"/>
          <w:szCs w:val="22"/>
          <w:lang w:eastAsia="en-AU"/>
        </w:rPr>
        <w:t>that are determined to be therapeutic goods include</w:t>
      </w:r>
      <w:r w:rsidRPr="00426C8C">
        <w:rPr>
          <w:rFonts w:eastAsia="Times New Roman"/>
          <w:sz w:val="22"/>
          <w:szCs w:val="22"/>
          <w:lang w:eastAsia="en-AU"/>
        </w:rPr>
        <w:t xml:space="preserve">, but </w:t>
      </w:r>
      <w:r w:rsidR="00562C95" w:rsidRPr="00426C8C">
        <w:rPr>
          <w:rFonts w:eastAsia="Times New Roman"/>
          <w:sz w:val="22"/>
          <w:szCs w:val="22"/>
          <w:lang w:eastAsia="en-AU"/>
        </w:rPr>
        <w:t>are</w:t>
      </w:r>
      <w:r w:rsidRPr="00426C8C">
        <w:rPr>
          <w:rFonts w:eastAsia="Times New Roman"/>
          <w:sz w:val="22"/>
          <w:szCs w:val="22"/>
          <w:lang w:eastAsia="en-AU"/>
        </w:rPr>
        <w:t xml:space="preserve"> not limited to, </w:t>
      </w:r>
      <w:r w:rsidR="003D1A6D" w:rsidRPr="00426C8C">
        <w:rPr>
          <w:rFonts w:eastAsia="Times New Roman"/>
          <w:sz w:val="22"/>
          <w:szCs w:val="22"/>
          <w:lang w:eastAsia="en-AU"/>
        </w:rPr>
        <w:t>vaping goods</w:t>
      </w:r>
      <w:r w:rsidR="00D7775A">
        <w:rPr>
          <w:rFonts w:eastAsia="Times New Roman"/>
          <w:sz w:val="22"/>
          <w:szCs w:val="22"/>
          <w:lang w:eastAsia="en-AU"/>
        </w:rPr>
        <w:t xml:space="preserve"> (including</w:t>
      </w:r>
      <w:r w:rsidR="003D1A6D" w:rsidRPr="00426C8C">
        <w:rPr>
          <w:rFonts w:eastAsia="Times New Roman"/>
          <w:sz w:val="22"/>
          <w:szCs w:val="22"/>
          <w:lang w:eastAsia="en-AU"/>
        </w:rPr>
        <w:t xml:space="preserve"> heat-not</w:t>
      </w:r>
      <w:r w:rsidR="00355302">
        <w:rPr>
          <w:rFonts w:eastAsia="Times New Roman"/>
          <w:sz w:val="22"/>
          <w:szCs w:val="22"/>
          <w:lang w:eastAsia="en-AU"/>
        </w:rPr>
        <w:t>-</w:t>
      </w:r>
      <w:r w:rsidR="003D1A6D" w:rsidRPr="00426C8C">
        <w:rPr>
          <w:rFonts w:eastAsia="Times New Roman"/>
          <w:sz w:val="22"/>
          <w:szCs w:val="22"/>
          <w:lang w:eastAsia="en-AU"/>
        </w:rPr>
        <w:t>burn products</w:t>
      </w:r>
      <w:r w:rsidR="00D7775A">
        <w:rPr>
          <w:rFonts w:eastAsia="Times New Roman"/>
          <w:sz w:val="22"/>
          <w:szCs w:val="22"/>
          <w:lang w:eastAsia="en-AU"/>
        </w:rPr>
        <w:t>)</w:t>
      </w:r>
      <w:r w:rsidR="003D1A6D" w:rsidRPr="00426C8C">
        <w:rPr>
          <w:rFonts w:eastAsia="Times New Roman"/>
          <w:sz w:val="22"/>
          <w:szCs w:val="22"/>
          <w:lang w:eastAsia="en-AU"/>
        </w:rPr>
        <w:t xml:space="preserve">, nicotine pouches, nicotine pearls, nicotine sachets, nicotine toothpicks and nicotine gummies. </w:t>
      </w:r>
      <w:r w:rsidR="00562C95" w:rsidRPr="00426C8C">
        <w:rPr>
          <w:rFonts w:eastAsia="Times New Roman"/>
          <w:sz w:val="22"/>
          <w:szCs w:val="22"/>
          <w:lang w:eastAsia="en-AU"/>
        </w:rPr>
        <w:t>These g</w:t>
      </w:r>
      <w:r w:rsidR="003D1A6D" w:rsidRPr="00426C8C">
        <w:rPr>
          <w:rFonts w:eastAsia="Times New Roman"/>
          <w:sz w:val="22"/>
          <w:szCs w:val="22"/>
          <w:lang w:eastAsia="en-AU"/>
        </w:rPr>
        <w:t xml:space="preserve">oods are determined </w:t>
      </w:r>
      <w:r w:rsidR="008D481D">
        <w:rPr>
          <w:rFonts w:eastAsia="Times New Roman"/>
          <w:sz w:val="22"/>
          <w:szCs w:val="22"/>
          <w:lang w:eastAsia="en-AU"/>
        </w:rPr>
        <w:t xml:space="preserve">for the avoidance of doubt </w:t>
      </w:r>
      <w:r w:rsidR="003D1A6D" w:rsidRPr="00426C8C">
        <w:rPr>
          <w:rFonts w:eastAsia="Times New Roman"/>
          <w:sz w:val="22"/>
          <w:szCs w:val="22"/>
          <w:lang w:eastAsia="en-AU"/>
        </w:rPr>
        <w:t xml:space="preserve">to be therapeutic goods irrespective of </w:t>
      </w:r>
      <w:r w:rsidRPr="00426C8C">
        <w:rPr>
          <w:rFonts w:eastAsia="Times New Roman"/>
          <w:sz w:val="22"/>
          <w:szCs w:val="22"/>
          <w:lang w:eastAsia="en-AU"/>
        </w:rPr>
        <w:t xml:space="preserve">their </w:t>
      </w:r>
      <w:r w:rsidR="003D1A6D" w:rsidRPr="00426C8C">
        <w:rPr>
          <w:rFonts w:eastAsia="Times New Roman"/>
          <w:sz w:val="22"/>
          <w:szCs w:val="22"/>
          <w:lang w:eastAsia="en-AU"/>
        </w:rPr>
        <w:t>nicotine concentration, dosage form, route of administration, presentation, indications or other claims.</w:t>
      </w:r>
    </w:p>
    <w:p w14:paraId="668C60E4" w14:textId="77777777" w:rsidR="003D1A6D" w:rsidRPr="00426C8C" w:rsidRDefault="003D1A6D" w:rsidP="003D1A6D">
      <w:pPr>
        <w:autoSpaceDE w:val="0"/>
        <w:autoSpaceDN w:val="0"/>
        <w:adjustRightInd w:val="0"/>
        <w:spacing w:after="0" w:line="240" w:lineRule="auto"/>
        <w:rPr>
          <w:rFonts w:eastAsia="Times New Roman"/>
          <w:sz w:val="22"/>
          <w:szCs w:val="22"/>
          <w:lang w:eastAsia="en-AU"/>
        </w:rPr>
      </w:pPr>
    </w:p>
    <w:p w14:paraId="6DF9BFF8" w14:textId="0EBF1E63" w:rsidR="0013234D" w:rsidRDefault="003D1A6D" w:rsidP="003D1A6D">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lastRenderedPageBreak/>
        <w:t xml:space="preserve">This reflects the </w:t>
      </w:r>
      <w:r w:rsidR="008D481D">
        <w:rPr>
          <w:rFonts w:eastAsia="Times New Roman"/>
          <w:sz w:val="22"/>
          <w:szCs w:val="22"/>
          <w:lang w:eastAsia="en-AU"/>
        </w:rPr>
        <w:t xml:space="preserve">Department’s long-standing </w:t>
      </w:r>
      <w:r w:rsidR="006164F0">
        <w:rPr>
          <w:rFonts w:eastAsia="Times New Roman"/>
          <w:sz w:val="22"/>
          <w:szCs w:val="22"/>
          <w:lang w:eastAsia="en-AU"/>
        </w:rPr>
        <w:t xml:space="preserve">policy </w:t>
      </w:r>
      <w:r w:rsidR="0013234D">
        <w:rPr>
          <w:rFonts w:eastAsia="Times New Roman"/>
          <w:sz w:val="22"/>
          <w:szCs w:val="22"/>
          <w:lang w:eastAsia="en-AU"/>
        </w:rPr>
        <w:t>and practice</w:t>
      </w:r>
      <w:r w:rsidRPr="00426C8C">
        <w:rPr>
          <w:rFonts w:eastAsia="Times New Roman"/>
          <w:sz w:val="22"/>
          <w:szCs w:val="22"/>
          <w:lang w:eastAsia="en-AU"/>
        </w:rPr>
        <w:t xml:space="preserve"> in relation to the regulatory status of these goods</w:t>
      </w:r>
      <w:r w:rsidR="0013234D">
        <w:rPr>
          <w:rFonts w:eastAsia="Times New Roman"/>
          <w:sz w:val="22"/>
          <w:szCs w:val="22"/>
          <w:lang w:eastAsia="en-AU"/>
        </w:rPr>
        <w:t xml:space="preserve">. Notwithstanding the Department’s </w:t>
      </w:r>
      <w:r w:rsidR="006164F0">
        <w:rPr>
          <w:rFonts w:eastAsia="Times New Roman"/>
          <w:sz w:val="22"/>
          <w:szCs w:val="22"/>
          <w:lang w:eastAsia="en-AU"/>
        </w:rPr>
        <w:t>policy</w:t>
      </w:r>
      <w:r w:rsidR="0013234D">
        <w:rPr>
          <w:rFonts w:eastAsia="Times New Roman"/>
          <w:sz w:val="22"/>
          <w:szCs w:val="22"/>
          <w:lang w:eastAsia="en-AU"/>
        </w:rPr>
        <w:t xml:space="preserve"> and practice,</w:t>
      </w:r>
      <w:r w:rsidRPr="00426C8C">
        <w:rPr>
          <w:rFonts w:eastAsia="Times New Roman"/>
          <w:sz w:val="22"/>
          <w:szCs w:val="22"/>
          <w:lang w:eastAsia="en-AU"/>
        </w:rPr>
        <w:t xml:space="preserve"> </w:t>
      </w:r>
      <w:r w:rsidR="0013234D">
        <w:rPr>
          <w:rFonts w:eastAsia="Times New Roman"/>
          <w:sz w:val="22"/>
          <w:szCs w:val="22"/>
          <w:lang w:eastAsia="en-AU"/>
        </w:rPr>
        <w:t xml:space="preserve">the Determination is made to </w:t>
      </w:r>
      <w:r w:rsidRPr="00426C8C">
        <w:rPr>
          <w:rFonts w:eastAsia="Times New Roman"/>
          <w:sz w:val="22"/>
          <w:szCs w:val="22"/>
          <w:lang w:eastAsia="en-AU"/>
        </w:rPr>
        <w:t xml:space="preserve">remove any doubt about whether these goods are in fact therapeutic goods. </w:t>
      </w:r>
    </w:p>
    <w:p w14:paraId="277A68B7" w14:textId="77777777" w:rsidR="0013234D" w:rsidRDefault="0013234D" w:rsidP="003D1A6D">
      <w:pPr>
        <w:autoSpaceDE w:val="0"/>
        <w:autoSpaceDN w:val="0"/>
        <w:adjustRightInd w:val="0"/>
        <w:spacing w:after="0" w:line="240" w:lineRule="auto"/>
        <w:rPr>
          <w:rFonts w:eastAsia="Times New Roman"/>
          <w:sz w:val="22"/>
          <w:szCs w:val="22"/>
          <w:lang w:eastAsia="en-AU"/>
        </w:rPr>
      </w:pPr>
    </w:p>
    <w:p w14:paraId="3D4641A8" w14:textId="159CF151" w:rsidR="003D1A6D" w:rsidRPr="00426C8C" w:rsidRDefault="003D1A6D" w:rsidP="003D1A6D">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effect of the Determination is </w:t>
      </w:r>
      <w:r w:rsidR="0013234D">
        <w:rPr>
          <w:rFonts w:eastAsia="Times New Roman"/>
          <w:sz w:val="22"/>
          <w:szCs w:val="22"/>
          <w:lang w:eastAsia="en-AU"/>
        </w:rPr>
        <w:t xml:space="preserve">to provide certainty </w:t>
      </w:r>
      <w:r w:rsidRPr="00426C8C">
        <w:rPr>
          <w:rFonts w:eastAsia="Times New Roman"/>
          <w:sz w:val="22"/>
          <w:szCs w:val="22"/>
          <w:lang w:eastAsia="en-AU"/>
        </w:rPr>
        <w:t xml:space="preserve">that goods containing nicotine for human use </w:t>
      </w:r>
      <w:r w:rsidR="008D481D">
        <w:rPr>
          <w:rFonts w:eastAsia="Times New Roman"/>
          <w:sz w:val="22"/>
          <w:szCs w:val="22"/>
          <w:lang w:eastAsia="en-AU"/>
        </w:rPr>
        <w:t>are</w:t>
      </w:r>
      <w:r w:rsidRPr="00426C8C">
        <w:rPr>
          <w:rFonts w:eastAsia="Times New Roman"/>
          <w:sz w:val="22"/>
          <w:szCs w:val="22"/>
          <w:lang w:eastAsia="en-AU"/>
        </w:rPr>
        <w:t xml:space="preserve"> subject to the regulatory framework for therapeutic goods under the Act. Accordingly, such goods </w:t>
      </w:r>
      <w:r w:rsidR="008D481D">
        <w:rPr>
          <w:rFonts w:eastAsia="Times New Roman"/>
          <w:sz w:val="22"/>
          <w:szCs w:val="22"/>
          <w:lang w:eastAsia="en-AU"/>
        </w:rPr>
        <w:t xml:space="preserve">must </w:t>
      </w:r>
      <w:r w:rsidRPr="00426C8C">
        <w:rPr>
          <w:rFonts w:eastAsia="Times New Roman"/>
          <w:sz w:val="22"/>
          <w:szCs w:val="22"/>
          <w:lang w:eastAsia="en-AU"/>
        </w:rPr>
        <w:t>be in</w:t>
      </w:r>
      <w:r w:rsidR="008D481D">
        <w:rPr>
          <w:rFonts w:eastAsia="Times New Roman"/>
          <w:sz w:val="22"/>
          <w:szCs w:val="22"/>
          <w:lang w:eastAsia="en-AU"/>
        </w:rPr>
        <w:t>cluded in</w:t>
      </w:r>
      <w:r w:rsidRPr="00426C8C">
        <w:rPr>
          <w:rFonts w:eastAsia="Times New Roman"/>
          <w:sz w:val="22"/>
          <w:szCs w:val="22"/>
          <w:lang w:eastAsia="en-AU"/>
        </w:rPr>
        <w:t xml:space="preserve"> the </w:t>
      </w:r>
      <w:r w:rsidR="0017647F" w:rsidRPr="00426C8C">
        <w:rPr>
          <w:rFonts w:eastAsia="Times New Roman"/>
          <w:sz w:val="22"/>
          <w:szCs w:val="22"/>
          <w:lang w:eastAsia="en-AU"/>
        </w:rPr>
        <w:t xml:space="preserve">Australian </w:t>
      </w:r>
      <w:r w:rsidRPr="00426C8C">
        <w:rPr>
          <w:rFonts w:eastAsia="Times New Roman"/>
          <w:sz w:val="22"/>
          <w:szCs w:val="22"/>
          <w:lang w:eastAsia="en-AU"/>
        </w:rPr>
        <w:t xml:space="preserve">Register </w:t>
      </w:r>
      <w:r w:rsidR="0017647F" w:rsidRPr="00426C8C">
        <w:rPr>
          <w:rFonts w:eastAsia="Times New Roman"/>
          <w:sz w:val="22"/>
          <w:szCs w:val="22"/>
          <w:lang w:eastAsia="en-AU"/>
        </w:rPr>
        <w:t xml:space="preserve">of Therapeutic Goods </w:t>
      </w:r>
      <w:r w:rsidRPr="00426C8C">
        <w:rPr>
          <w:rFonts w:eastAsia="Times New Roman"/>
          <w:sz w:val="22"/>
          <w:szCs w:val="22"/>
          <w:lang w:eastAsia="en-AU"/>
        </w:rPr>
        <w:t>to be lawfully imported, exported, manufactured or supplied, unless subject to an exemption, approval or authority under the Act. In addition, requirements relating to compliance with applicable standards, manufacturing principles and advertising controls apply.</w:t>
      </w:r>
    </w:p>
    <w:p w14:paraId="1283DC19" w14:textId="77777777" w:rsidR="00EB7D94" w:rsidRPr="00426C8C" w:rsidRDefault="00EB7D94" w:rsidP="000B31F9">
      <w:pPr>
        <w:autoSpaceDE w:val="0"/>
        <w:autoSpaceDN w:val="0"/>
        <w:adjustRightInd w:val="0"/>
        <w:spacing w:after="0" w:line="240" w:lineRule="auto"/>
        <w:rPr>
          <w:rFonts w:eastAsia="Times New Roman"/>
          <w:sz w:val="22"/>
          <w:szCs w:val="22"/>
          <w:lang w:eastAsia="en-AU"/>
        </w:rPr>
      </w:pPr>
    </w:p>
    <w:p w14:paraId="0F1BC78C" w14:textId="1449F25A" w:rsidR="00981002" w:rsidRPr="00426C8C" w:rsidRDefault="00CD214D" w:rsidP="00BF604E">
      <w:pPr>
        <w:keepNext/>
        <w:autoSpaceDE w:val="0"/>
        <w:autoSpaceDN w:val="0"/>
        <w:adjustRightInd w:val="0"/>
        <w:spacing w:after="0" w:line="240" w:lineRule="auto"/>
        <w:rPr>
          <w:rFonts w:eastAsia="Times New Roman"/>
          <w:b/>
          <w:sz w:val="22"/>
          <w:szCs w:val="22"/>
          <w:lang w:eastAsia="en-AU"/>
        </w:rPr>
      </w:pPr>
      <w:r w:rsidRPr="00426C8C">
        <w:rPr>
          <w:rFonts w:eastAsia="Times New Roman"/>
          <w:b/>
          <w:sz w:val="22"/>
          <w:szCs w:val="22"/>
          <w:lang w:eastAsia="en-AU"/>
        </w:rPr>
        <w:t>Statutory pre-conditions</w:t>
      </w:r>
    </w:p>
    <w:p w14:paraId="48FC38CC" w14:textId="73E320D6" w:rsidR="00981002" w:rsidRPr="00426C8C" w:rsidRDefault="00981002" w:rsidP="00BF604E">
      <w:pPr>
        <w:keepNext/>
        <w:autoSpaceDE w:val="0"/>
        <w:autoSpaceDN w:val="0"/>
        <w:adjustRightInd w:val="0"/>
        <w:spacing w:after="0" w:line="240" w:lineRule="auto"/>
        <w:rPr>
          <w:rFonts w:eastAsia="Times New Roman"/>
          <w:bCs/>
          <w:sz w:val="22"/>
          <w:szCs w:val="22"/>
          <w:lang w:eastAsia="en-AU"/>
        </w:rPr>
      </w:pPr>
    </w:p>
    <w:p w14:paraId="6B6FB025" w14:textId="2FF0BB71" w:rsidR="00CD214D" w:rsidRPr="00426C8C" w:rsidRDefault="00CD214D" w:rsidP="000B31F9">
      <w:pPr>
        <w:autoSpaceDE w:val="0"/>
        <w:autoSpaceDN w:val="0"/>
        <w:adjustRightInd w:val="0"/>
        <w:spacing w:after="0" w:line="240" w:lineRule="auto"/>
        <w:rPr>
          <w:rFonts w:eastAsia="Times New Roman"/>
          <w:bCs/>
          <w:sz w:val="22"/>
          <w:szCs w:val="22"/>
          <w:lang w:eastAsia="en-AU"/>
        </w:rPr>
      </w:pPr>
      <w:r w:rsidRPr="00426C8C">
        <w:rPr>
          <w:rFonts w:eastAsia="Times New Roman"/>
          <w:bCs/>
          <w:sz w:val="22"/>
          <w:szCs w:val="22"/>
          <w:lang w:eastAsia="en-AU"/>
        </w:rPr>
        <w:t>Subsection 7AA</w:t>
      </w:r>
      <w:r w:rsidR="00155AC6" w:rsidRPr="00426C8C">
        <w:rPr>
          <w:rFonts w:eastAsia="Times New Roman"/>
          <w:bCs/>
          <w:sz w:val="22"/>
          <w:szCs w:val="22"/>
          <w:lang w:eastAsia="en-AU"/>
        </w:rPr>
        <w:t>A</w:t>
      </w:r>
      <w:r w:rsidRPr="00426C8C">
        <w:rPr>
          <w:rFonts w:eastAsia="Times New Roman"/>
          <w:bCs/>
          <w:sz w:val="22"/>
          <w:szCs w:val="22"/>
          <w:lang w:eastAsia="en-AU"/>
        </w:rPr>
        <w:t>(</w:t>
      </w:r>
      <w:r w:rsidR="00155AC6" w:rsidRPr="00426C8C">
        <w:rPr>
          <w:rFonts w:eastAsia="Times New Roman"/>
          <w:bCs/>
          <w:sz w:val="22"/>
          <w:szCs w:val="22"/>
          <w:lang w:eastAsia="en-AU"/>
        </w:rPr>
        <w:t>2</w:t>
      </w:r>
      <w:r w:rsidRPr="00426C8C">
        <w:rPr>
          <w:rFonts w:eastAsia="Times New Roman"/>
          <w:bCs/>
          <w:sz w:val="22"/>
          <w:szCs w:val="22"/>
          <w:lang w:eastAsia="en-AU"/>
        </w:rPr>
        <w:t>) provides that</w:t>
      </w:r>
      <w:r w:rsidR="007A066F" w:rsidRPr="00426C8C">
        <w:rPr>
          <w:rFonts w:eastAsia="Times New Roman"/>
          <w:bCs/>
          <w:sz w:val="22"/>
          <w:szCs w:val="22"/>
          <w:lang w:eastAsia="en-AU"/>
        </w:rPr>
        <w:t>,</w:t>
      </w:r>
      <w:r w:rsidRPr="00426C8C">
        <w:rPr>
          <w:rFonts w:eastAsia="Times New Roman"/>
          <w:bCs/>
          <w:sz w:val="22"/>
          <w:szCs w:val="22"/>
          <w:lang w:eastAsia="en-AU"/>
        </w:rPr>
        <w:t xml:space="preserve"> before making a determination under this section, the Minister must have regard to the following matters:</w:t>
      </w:r>
    </w:p>
    <w:p w14:paraId="6BDC1FD3" w14:textId="3A666FE4" w:rsidR="00CD214D" w:rsidRPr="00426C8C"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426C8C">
        <w:rPr>
          <w:rFonts w:eastAsia="Times New Roman"/>
          <w:bCs/>
          <w:sz w:val="22"/>
          <w:szCs w:val="22"/>
          <w:lang w:eastAsia="en-AU"/>
        </w:rPr>
        <w:t>whether it is likely that the specified goods, if not regulated under this Act, might harm the health of members of the public;</w:t>
      </w:r>
    </w:p>
    <w:p w14:paraId="3FFB840F" w14:textId="74C34F3D" w:rsidR="00CD214D" w:rsidRPr="00426C8C"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426C8C">
        <w:rPr>
          <w:rFonts w:eastAsia="Times New Roman"/>
          <w:bCs/>
          <w:sz w:val="22"/>
          <w:szCs w:val="22"/>
          <w:lang w:eastAsia="en-AU"/>
        </w:rPr>
        <w:t>whether it is appropriate in all the circumstances to apply the national system of controls relating to the quality, safety, efficacy and performance of therapeutic goods established by this Act to regulate the specified goods;</w:t>
      </w:r>
    </w:p>
    <w:p w14:paraId="2B64EB81" w14:textId="5D994382" w:rsidR="00CD214D" w:rsidRPr="00426C8C"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426C8C">
        <w:rPr>
          <w:rFonts w:eastAsia="Times New Roman"/>
          <w:bCs/>
          <w:sz w:val="22"/>
          <w:szCs w:val="22"/>
          <w:lang w:eastAsia="en-AU"/>
        </w:rPr>
        <w:t>whether the kinds of risks from the specified goods to which members of the public might be exposed could be more appropriately dealt with under another regulatory scheme.</w:t>
      </w:r>
    </w:p>
    <w:p w14:paraId="5FD5844A" w14:textId="2FA782CF" w:rsidR="00CD214D" w:rsidRPr="00426C8C" w:rsidRDefault="00155AC6" w:rsidP="000B31F9">
      <w:pPr>
        <w:autoSpaceDE w:val="0"/>
        <w:autoSpaceDN w:val="0"/>
        <w:adjustRightInd w:val="0"/>
        <w:spacing w:after="0" w:line="240" w:lineRule="auto"/>
        <w:rPr>
          <w:rFonts w:eastAsia="Times New Roman"/>
          <w:bCs/>
          <w:sz w:val="22"/>
          <w:szCs w:val="22"/>
          <w:lang w:eastAsia="en-AU"/>
        </w:rPr>
      </w:pPr>
      <w:r w:rsidRPr="00426C8C">
        <w:rPr>
          <w:rFonts w:eastAsia="Times New Roman"/>
          <w:bCs/>
          <w:sz w:val="22"/>
          <w:szCs w:val="22"/>
          <w:lang w:eastAsia="en-AU"/>
        </w:rPr>
        <w:t>The Minister may also have regard to any other relevant matter.</w:t>
      </w:r>
    </w:p>
    <w:p w14:paraId="2BFBD564" w14:textId="77777777" w:rsidR="00155AC6" w:rsidRPr="00426C8C" w:rsidRDefault="00155AC6" w:rsidP="000B31F9">
      <w:pPr>
        <w:autoSpaceDE w:val="0"/>
        <w:autoSpaceDN w:val="0"/>
        <w:adjustRightInd w:val="0"/>
        <w:spacing w:after="0" w:line="240" w:lineRule="auto"/>
        <w:rPr>
          <w:rFonts w:eastAsia="Times New Roman"/>
          <w:bCs/>
          <w:sz w:val="22"/>
          <w:szCs w:val="22"/>
          <w:lang w:eastAsia="en-AU"/>
        </w:rPr>
      </w:pPr>
    </w:p>
    <w:p w14:paraId="11B39C5E" w14:textId="7CAADC9E" w:rsidR="00981002" w:rsidRPr="00426C8C" w:rsidRDefault="0005743D" w:rsidP="007B53F8">
      <w:pPr>
        <w:autoSpaceDE w:val="0"/>
        <w:autoSpaceDN w:val="0"/>
        <w:adjustRightInd w:val="0"/>
        <w:spacing w:after="0" w:line="240" w:lineRule="auto"/>
        <w:rPr>
          <w:rFonts w:eastAsia="Times New Roman"/>
          <w:b/>
          <w:sz w:val="22"/>
          <w:szCs w:val="22"/>
          <w:lang w:eastAsia="en-AU"/>
        </w:rPr>
      </w:pPr>
      <w:r w:rsidRPr="00426C8C">
        <w:rPr>
          <w:rFonts w:eastAsia="Times New Roman"/>
          <w:bCs/>
          <w:sz w:val="22"/>
          <w:szCs w:val="22"/>
          <w:lang w:eastAsia="en-AU"/>
        </w:rPr>
        <w:t xml:space="preserve">These matters have </w:t>
      </w:r>
      <w:r w:rsidR="00AA18F9" w:rsidRPr="00426C8C">
        <w:rPr>
          <w:rFonts w:eastAsia="Times New Roman"/>
          <w:bCs/>
          <w:sz w:val="22"/>
          <w:szCs w:val="22"/>
          <w:lang w:eastAsia="en-AU"/>
        </w:rPr>
        <w:t xml:space="preserve">been considered </w:t>
      </w:r>
      <w:r w:rsidR="007B53F8" w:rsidRPr="00426C8C">
        <w:rPr>
          <w:rFonts w:eastAsia="Times New Roman"/>
          <w:bCs/>
          <w:sz w:val="22"/>
          <w:szCs w:val="22"/>
          <w:lang w:eastAsia="en-AU"/>
        </w:rPr>
        <w:t xml:space="preserve">by the delegate </w:t>
      </w:r>
      <w:r w:rsidR="00AA18F9" w:rsidRPr="00426C8C">
        <w:rPr>
          <w:rFonts w:eastAsia="Times New Roman"/>
          <w:bCs/>
          <w:sz w:val="22"/>
          <w:szCs w:val="22"/>
          <w:lang w:eastAsia="en-AU"/>
        </w:rPr>
        <w:t xml:space="preserve">in </w:t>
      </w:r>
      <w:r w:rsidR="00C909E6" w:rsidRPr="00426C8C">
        <w:rPr>
          <w:rFonts w:eastAsia="Times New Roman"/>
          <w:bCs/>
          <w:sz w:val="22"/>
          <w:szCs w:val="22"/>
          <w:lang w:eastAsia="en-AU"/>
        </w:rPr>
        <w:t xml:space="preserve">making the </w:t>
      </w:r>
      <w:r w:rsidR="00CF4D5D" w:rsidRPr="00426C8C">
        <w:rPr>
          <w:rFonts w:eastAsia="Times New Roman"/>
          <w:bCs/>
          <w:sz w:val="22"/>
          <w:szCs w:val="22"/>
          <w:lang w:eastAsia="en-AU"/>
        </w:rPr>
        <w:t>Determination</w:t>
      </w:r>
      <w:r w:rsidR="00C909E6" w:rsidRPr="00426C8C">
        <w:rPr>
          <w:rFonts w:eastAsia="Times New Roman"/>
          <w:bCs/>
          <w:sz w:val="22"/>
          <w:szCs w:val="22"/>
          <w:lang w:eastAsia="en-AU"/>
        </w:rPr>
        <w:t>.</w:t>
      </w:r>
      <w:r w:rsidR="00AA18F9" w:rsidRPr="00426C8C">
        <w:rPr>
          <w:rFonts w:eastAsia="Times New Roman"/>
          <w:bCs/>
          <w:sz w:val="22"/>
          <w:szCs w:val="22"/>
          <w:lang w:eastAsia="en-AU"/>
        </w:rPr>
        <w:t xml:space="preserve"> </w:t>
      </w:r>
      <w:r w:rsidR="00F763FD" w:rsidRPr="00426C8C">
        <w:rPr>
          <w:rFonts w:eastAsia="Times New Roman"/>
          <w:bCs/>
          <w:sz w:val="22"/>
          <w:szCs w:val="22"/>
          <w:lang w:eastAsia="en-AU"/>
        </w:rPr>
        <w:t>In summary, t</w:t>
      </w:r>
      <w:r w:rsidRPr="00426C8C">
        <w:rPr>
          <w:rFonts w:eastAsia="Times New Roman"/>
          <w:bCs/>
          <w:sz w:val="22"/>
          <w:szCs w:val="22"/>
          <w:lang w:eastAsia="en-AU"/>
        </w:rPr>
        <w:t>he</w:t>
      </w:r>
      <w:r w:rsidR="007A066F" w:rsidRPr="00426C8C">
        <w:rPr>
          <w:rFonts w:eastAsia="Times New Roman"/>
          <w:bCs/>
          <w:sz w:val="22"/>
          <w:szCs w:val="22"/>
          <w:lang w:eastAsia="en-AU"/>
        </w:rPr>
        <w:t xml:space="preserve"> </w:t>
      </w:r>
      <w:r w:rsidR="00155AC6" w:rsidRPr="00426C8C">
        <w:rPr>
          <w:rFonts w:eastAsia="Times New Roman"/>
          <w:bCs/>
          <w:sz w:val="22"/>
          <w:szCs w:val="22"/>
          <w:lang w:eastAsia="en-AU"/>
        </w:rPr>
        <w:t xml:space="preserve">Determination is made on the basis that goods that contain nicotine </w:t>
      </w:r>
      <w:r w:rsidR="00F16E19" w:rsidRPr="00426C8C">
        <w:rPr>
          <w:rFonts w:eastAsia="Times New Roman"/>
          <w:bCs/>
          <w:sz w:val="22"/>
          <w:szCs w:val="22"/>
          <w:lang w:eastAsia="en-AU"/>
        </w:rPr>
        <w:t>have the potential to</w:t>
      </w:r>
      <w:r w:rsidR="00CD214D" w:rsidRPr="00426C8C">
        <w:rPr>
          <w:rFonts w:eastAsia="Times New Roman"/>
          <w:bCs/>
          <w:sz w:val="22"/>
          <w:szCs w:val="22"/>
          <w:lang w:eastAsia="en-AU"/>
        </w:rPr>
        <w:t xml:space="preserve"> harm the health of members of the public</w:t>
      </w:r>
      <w:r w:rsidR="00C909E6" w:rsidRPr="00426C8C">
        <w:rPr>
          <w:rFonts w:eastAsia="Times New Roman"/>
          <w:bCs/>
          <w:sz w:val="22"/>
          <w:szCs w:val="22"/>
          <w:lang w:eastAsia="en-AU"/>
        </w:rPr>
        <w:t xml:space="preserve"> if not regulated under this Act</w:t>
      </w:r>
      <w:r w:rsidR="005D7EB7" w:rsidRPr="00426C8C">
        <w:rPr>
          <w:rFonts w:eastAsia="Times New Roman"/>
          <w:bCs/>
          <w:sz w:val="22"/>
          <w:szCs w:val="22"/>
          <w:lang w:eastAsia="en-AU"/>
        </w:rPr>
        <w:t xml:space="preserve">. </w:t>
      </w:r>
      <w:r w:rsidR="00155AC6" w:rsidRPr="00426C8C">
        <w:rPr>
          <w:rFonts w:eastAsia="Times New Roman"/>
          <w:bCs/>
          <w:sz w:val="22"/>
          <w:szCs w:val="22"/>
          <w:lang w:eastAsia="en-AU"/>
        </w:rPr>
        <w:t xml:space="preserve">Goods containing nicotine are goods </w:t>
      </w:r>
      <w:r w:rsidRPr="00426C8C">
        <w:rPr>
          <w:rFonts w:eastAsia="Times New Roman"/>
          <w:bCs/>
          <w:sz w:val="22"/>
          <w:szCs w:val="22"/>
          <w:lang w:eastAsia="en-AU"/>
        </w:rPr>
        <w:t xml:space="preserve">for which controls relating to </w:t>
      </w:r>
      <w:r w:rsidR="00F763FD" w:rsidRPr="00426C8C">
        <w:rPr>
          <w:rFonts w:eastAsia="Times New Roman"/>
          <w:bCs/>
          <w:sz w:val="22"/>
          <w:szCs w:val="22"/>
          <w:lang w:eastAsia="en-AU"/>
        </w:rPr>
        <w:t>quality</w:t>
      </w:r>
      <w:r w:rsidR="00155AC6" w:rsidRPr="00426C8C">
        <w:rPr>
          <w:rFonts w:eastAsia="Times New Roman"/>
          <w:bCs/>
          <w:sz w:val="22"/>
          <w:szCs w:val="22"/>
          <w:lang w:eastAsia="en-AU"/>
        </w:rPr>
        <w:t>,</w:t>
      </w:r>
      <w:r w:rsidR="00F763FD" w:rsidRPr="00426C8C">
        <w:rPr>
          <w:rFonts w:eastAsia="Times New Roman"/>
          <w:bCs/>
          <w:sz w:val="22"/>
          <w:szCs w:val="22"/>
          <w:lang w:eastAsia="en-AU"/>
        </w:rPr>
        <w:t xml:space="preserve"> safety</w:t>
      </w:r>
      <w:r w:rsidR="0053703A" w:rsidRPr="00426C8C">
        <w:rPr>
          <w:rFonts w:eastAsia="Times New Roman"/>
          <w:bCs/>
          <w:sz w:val="22"/>
          <w:szCs w:val="22"/>
          <w:lang w:eastAsia="en-AU"/>
        </w:rPr>
        <w:t>,</w:t>
      </w:r>
      <w:r w:rsidR="00F763FD" w:rsidRPr="00426C8C">
        <w:rPr>
          <w:rFonts w:eastAsia="Times New Roman"/>
          <w:bCs/>
          <w:sz w:val="22"/>
          <w:szCs w:val="22"/>
          <w:lang w:eastAsia="en-AU"/>
        </w:rPr>
        <w:t xml:space="preserve"> </w:t>
      </w:r>
      <w:r w:rsidR="00155AC6" w:rsidRPr="00426C8C">
        <w:rPr>
          <w:rFonts w:eastAsia="Times New Roman"/>
          <w:bCs/>
          <w:sz w:val="22"/>
          <w:szCs w:val="22"/>
          <w:lang w:eastAsia="en-AU"/>
        </w:rPr>
        <w:t>efficacy</w:t>
      </w:r>
      <w:r w:rsidR="00F763FD" w:rsidRPr="00426C8C">
        <w:rPr>
          <w:rFonts w:eastAsia="Times New Roman"/>
          <w:bCs/>
          <w:sz w:val="22"/>
          <w:szCs w:val="22"/>
          <w:lang w:eastAsia="en-AU"/>
        </w:rPr>
        <w:t xml:space="preserve"> </w:t>
      </w:r>
      <w:r w:rsidR="0053703A" w:rsidRPr="00426C8C">
        <w:rPr>
          <w:rFonts w:eastAsia="Times New Roman"/>
          <w:bCs/>
          <w:sz w:val="22"/>
          <w:szCs w:val="22"/>
          <w:lang w:eastAsia="en-AU"/>
        </w:rPr>
        <w:t xml:space="preserve">and performance </w:t>
      </w:r>
      <w:r w:rsidR="00F763FD" w:rsidRPr="00426C8C">
        <w:rPr>
          <w:rFonts w:eastAsia="Times New Roman"/>
          <w:bCs/>
          <w:sz w:val="22"/>
          <w:szCs w:val="22"/>
          <w:lang w:eastAsia="en-AU"/>
        </w:rPr>
        <w:t xml:space="preserve">should be applied. </w:t>
      </w:r>
      <w:r w:rsidR="0053703A" w:rsidRPr="00426C8C">
        <w:rPr>
          <w:rFonts w:eastAsia="Times New Roman"/>
          <w:bCs/>
          <w:sz w:val="22"/>
          <w:szCs w:val="22"/>
          <w:lang w:eastAsia="en-AU"/>
        </w:rPr>
        <w:t>The Determination applies irrespective of the therapeutic claims made in relation to the goods</w:t>
      </w:r>
      <w:r w:rsidR="00155AC6" w:rsidRPr="00426C8C">
        <w:rPr>
          <w:rFonts w:eastAsia="Times New Roman"/>
          <w:bCs/>
          <w:sz w:val="22"/>
          <w:szCs w:val="22"/>
          <w:lang w:eastAsia="en-AU"/>
        </w:rPr>
        <w:t>.</w:t>
      </w:r>
    </w:p>
    <w:bookmarkEnd w:id="0"/>
    <w:p w14:paraId="44E538DE" w14:textId="77777777" w:rsidR="00981002" w:rsidRPr="00426C8C" w:rsidRDefault="00981002" w:rsidP="000B31F9">
      <w:pPr>
        <w:autoSpaceDE w:val="0"/>
        <w:autoSpaceDN w:val="0"/>
        <w:adjustRightInd w:val="0"/>
        <w:spacing w:after="0" w:line="240" w:lineRule="auto"/>
        <w:rPr>
          <w:rFonts w:eastAsia="Times New Roman"/>
          <w:bCs/>
          <w:sz w:val="22"/>
          <w:szCs w:val="22"/>
          <w:lang w:eastAsia="en-AU"/>
        </w:rPr>
      </w:pPr>
    </w:p>
    <w:p w14:paraId="7A1B0BE3" w14:textId="78B93556" w:rsidR="00E14D05" w:rsidRPr="00426C8C" w:rsidRDefault="00DC5A0D" w:rsidP="00BF604E">
      <w:pPr>
        <w:keepNext/>
        <w:autoSpaceDE w:val="0"/>
        <w:autoSpaceDN w:val="0"/>
        <w:adjustRightInd w:val="0"/>
        <w:spacing w:after="0" w:line="240" w:lineRule="auto"/>
        <w:rPr>
          <w:rFonts w:eastAsia="Times New Roman"/>
          <w:b/>
          <w:sz w:val="22"/>
          <w:szCs w:val="22"/>
          <w:lang w:eastAsia="en-AU"/>
        </w:rPr>
      </w:pPr>
      <w:r w:rsidRPr="00426C8C">
        <w:rPr>
          <w:rFonts w:eastAsia="Times New Roman"/>
          <w:b/>
          <w:sz w:val="22"/>
          <w:szCs w:val="22"/>
          <w:lang w:eastAsia="en-AU"/>
        </w:rPr>
        <w:t>Consultation</w:t>
      </w:r>
    </w:p>
    <w:p w14:paraId="44CBEB7E" w14:textId="77777777" w:rsidR="00837EB9" w:rsidRPr="00426C8C" w:rsidRDefault="00837EB9" w:rsidP="00BF604E">
      <w:pPr>
        <w:keepNext/>
        <w:autoSpaceDE w:val="0"/>
        <w:autoSpaceDN w:val="0"/>
        <w:adjustRightInd w:val="0"/>
        <w:spacing w:after="0" w:line="240" w:lineRule="auto"/>
        <w:rPr>
          <w:rFonts w:eastAsia="Times New Roman"/>
          <w:bCs/>
          <w:sz w:val="22"/>
          <w:szCs w:val="22"/>
          <w:lang w:eastAsia="en-AU"/>
        </w:rPr>
      </w:pPr>
      <w:bookmarkStart w:id="2" w:name="_Hlk135994503"/>
    </w:p>
    <w:p w14:paraId="0EF6BA14"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bookmarkStart w:id="3" w:name="_Hlk135995230"/>
      <w:bookmarkEnd w:id="2"/>
      <w:r w:rsidRPr="00426C8C">
        <w:rPr>
          <w:rFonts w:eastAsia="Times New Roman"/>
          <w:sz w:val="22"/>
          <w:szCs w:val="22"/>
          <w:lang w:eastAsia="en-AU"/>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2A4D3CF3"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p>
    <w:p w14:paraId="70280C24" w14:textId="0EB5D5EC" w:rsidR="004420F0" w:rsidRPr="00426C8C" w:rsidRDefault="004420F0" w:rsidP="004420F0">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further 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 </w:t>
      </w:r>
      <w:r w:rsidR="00944F72" w:rsidRPr="00426C8C">
        <w:rPr>
          <w:rFonts w:eastAsia="Times New Roman"/>
          <w:sz w:val="22"/>
          <w:szCs w:val="22"/>
          <w:lang w:eastAsia="en-AU"/>
        </w:rPr>
        <w:t xml:space="preserve">the </w:t>
      </w:r>
      <w:r w:rsidRPr="00426C8C">
        <w:rPr>
          <w:rFonts w:eastAsia="Times New Roman"/>
          <w:sz w:val="22"/>
          <w:szCs w:val="22"/>
          <w:lang w:eastAsia="en-AU"/>
        </w:rPr>
        <w:t>regulation of vapes.</w:t>
      </w:r>
    </w:p>
    <w:p w14:paraId="4B66C76D"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p>
    <w:p w14:paraId="40FD6E4C" w14:textId="2D3881C3" w:rsidR="004420F0" w:rsidRPr="00426C8C" w:rsidRDefault="004420F0" w:rsidP="004420F0">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 received in connection with this consultation informed the development of the Amendment Act and related regulations and other legislative instruments, including the Determination. Further informal consultation, including for instance with health practitioners, was also undertaken in late 2023 and in 2024, and has further informed the development of the reforms.</w:t>
      </w:r>
    </w:p>
    <w:p w14:paraId="26FE7E55" w14:textId="77777777" w:rsidR="00C57631" w:rsidRPr="00426C8C" w:rsidRDefault="00C57631" w:rsidP="000B31F9">
      <w:pPr>
        <w:autoSpaceDE w:val="0"/>
        <w:autoSpaceDN w:val="0"/>
        <w:adjustRightInd w:val="0"/>
        <w:spacing w:after="0" w:line="240" w:lineRule="auto"/>
        <w:rPr>
          <w:rFonts w:eastAsia="Times New Roman"/>
          <w:bCs/>
          <w:sz w:val="22"/>
          <w:szCs w:val="22"/>
          <w:lang w:eastAsia="en-AU"/>
        </w:rPr>
      </w:pPr>
    </w:p>
    <w:p w14:paraId="11D6D35B" w14:textId="63486486" w:rsidR="00DC5A0D" w:rsidRPr="00426C8C" w:rsidRDefault="00DC5A0D" w:rsidP="00BF604E">
      <w:pPr>
        <w:keepNext/>
        <w:autoSpaceDE w:val="0"/>
        <w:autoSpaceDN w:val="0"/>
        <w:adjustRightInd w:val="0"/>
        <w:spacing w:after="0" w:line="240" w:lineRule="auto"/>
        <w:rPr>
          <w:rFonts w:eastAsia="Times New Roman"/>
          <w:b/>
          <w:sz w:val="22"/>
          <w:szCs w:val="22"/>
          <w:lang w:eastAsia="en-AU"/>
        </w:rPr>
      </w:pPr>
      <w:r w:rsidRPr="00426C8C">
        <w:rPr>
          <w:rFonts w:eastAsia="Times New Roman"/>
          <w:b/>
          <w:sz w:val="22"/>
          <w:szCs w:val="22"/>
          <w:lang w:eastAsia="en-AU"/>
        </w:rPr>
        <w:t>Other details</w:t>
      </w:r>
      <w:bookmarkEnd w:id="3"/>
    </w:p>
    <w:p w14:paraId="6986F734" w14:textId="77777777" w:rsidR="00837EB9" w:rsidRPr="00426C8C" w:rsidRDefault="00837EB9" w:rsidP="00BF604E">
      <w:pPr>
        <w:keepNext/>
        <w:autoSpaceDE w:val="0"/>
        <w:autoSpaceDN w:val="0"/>
        <w:adjustRightInd w:val="0"/>
        <w:spacing w:after="0" w:line="240" w:lineRule="auto"/>
        <w:rPr>
          <w:rFonts w:eastAsia="Times New Roman"/>
          <w:sz w:val="22"/>
          <w:szCs w:val="22"/>
          <w:lang w:eastAsia="en-AU"/>
        </w:rPr>
      </w:pPr>
    </w:p>
    <w:p w14:paraId="79770489" w14:textId="74E548A4" w:rsidR="0093285E" w:rsidRPr="00426C8C" w:rsidRDefault="006A361A" w:rsidP="000B31F9">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Details of the Determination are set out in </w:t>
      </w:r>
      <w:r w:rsidRPr="00426C8C">
        <w:rPr>
          <w:rFonts w:eastAsia="Times New Roman"/>
          <w:b/>
          <w:sz w:val="22"/>
          <w:szCs w:val="22"/>
          <w:lang w:eastAsia="en-AU"/>
        </w:rPr>
        <w:t>Attachment A</w:t>
      </w:r>
      <w:r w:rsidRPr="00426C8C">
        <w:rPr>
          <w:rFonts w:eastAsia="Times New Roman"/>
          <w:sz w:val="22"/>
          <w:szCs w:val="22"/>
          <w:lang w:eastAsia="en-AU"/>
        </w:rPr>
        <w:t>.</w:t>
      </w:r>
    </w:p>
    <w:p w14:paraId="4B41EFDF" w14:textId="77777777" w:rsidR="00837EB9" w:rsidRPr="00426C8C" w:rsidRDefault="00837EB9" w:rsidP="000B31F9">
      <w:pPr>
        <w:spacing w:after="0" w:line="240" w:lineRule="auto"/>
        <w:rPr>
          <w:rFonts w:eastAsia="Times New Roman"/>
          <w:sz w:val="22"/>
          <w:szCs w:val="22"/>
          <w:lang w:eastAsia="en-AU"/>
        </w:rPr>
      </w:pPr>
    </w:p>
    <w:p w14:paraId="2A5E6F42" w14:textId="2DAE902A" w:rsidR="006A361A" w:rsidRPr="00426C8C" w:rsidRDefault="006A361A" w:rsidP="000B31F9">
      <w:pPr>
        <w:spacing w:after="0" w:line="240" w:lineRule="auto"/>
        <w:rPr>
          <w:rFonts w:eastAsia="Times New Roman"/>
          <w:sz w:val="22"/>
          <w:szCs w:val="22"/>
          <w:lang w:eastAsia="en-AU"/>
        </w:rPr>
      </w:pPr>
      <w:r w:rsidRPr="00426C8C">
        <w:rPr>
          <w:rFonts w:eastAsia="Times New Roman"/>
          <w:sz w:val="22"/>
          <w:szCs w:val="22"/>
          <w:lang w:eastAsia="en-AU"/>
        </w:rPr>
        <w:t xml:space="preserve">The Determination is compatible with human rights and freedoms recognised or declared under section 3 of the </w:t>
      </w:r>
      <w:r w:rsidRPr="00426C8C">
        <w:rPr>
          <w:rFonts w:eastAsia="Times New Roman"/>
          <w:i/>
          <w:sz w:val="22"/>
          <w:szCs w:val="22"/>
          <w:lang w:eastAsia="en-AU"/>
        </w:rPr>
        <w:t>Human Rights (Parliamentary Scrutiny) Act 2011</w:t>
      </w:r>
      <w:r w:rsidRPr="00426C8C">
        <w:rPr>
          <w:rFonts w:eastAsia="Times New Roman"/>
          <w:sz w:val="22"/>
          <w:szCs w:val="22"/>
          <w:lang w:eastAsia="en-AU"/>
        </w:rPr>
        <w:t xml:space="preserve">. A full statement of compatibility is set out in </w:t>
      </w:r>
      <w:r w:rsidRPr="00426C8C">
        <w:rPr>
          <w:rFonts w:eastAsia="Times New Roman"/>
          <w:b/>
          <w:sz w:val="22"/>
          <w:szCs w:val="22"/>
          <w:lang w:eastAsia="en-AU"/>
        </w:rPr>
        <w:t>Attachment B</w:t>
      </w:r>
      <w:r w:rsidRPr="00426C8C">
        <w:rPr>
          <w:rFonts w:eastAsia="Times New Roman"/>
          <w:bCs/>
          <w:sz w:val="22"/>
          <w:szCs w:val="22"/>
          <w:lang w:eastAsia="en-AU"/>
        </w:rPr>
        <w:t>.</w:t>
      </w:r>
    </w:p>
    <w:p w14:paraId="6EB912F3" w14:textId="77777777" w:rsidR="00837EB9" w:rsidRPr="00426C8C" w:rsidRDefault="00837EB9" w:rsidP="000B31F9">
      <w:pPr>
        <w:spacing w:after="0" w:line="240" w:lineRule="auto"/>
        <w:rPr>
          <w:rFonts w:eastAsia="Times New Roman"/>
          <w:sz w:val="22"/>
          <w:szCs w:val="22"/>
          <w:lang w:eastAsia="en-AU"/>
        </w:rPr>
      </w:pPr>
    </w:p>
    <w:p w14:paraId="358E4F66" w14:textId="1B2CB305" w:rsidR="00C909E6" w:rsidRPr="00426C8C" w:rsidRDefault="00C909E6" w:rsidP="000B31F9">
      <w:pPr>
        <w:spacing w:after="0" w:line="240" w:lineRule="auto"/>
        <w:rPr>
          <w:rFonts w:eastAsia="Times New Roman"/>
          <w:sz w:val="22"/>
          <w:szCs w:val="22"/>
          <w:lang w:eastAsia="en-AU"/>
        </w:rPr>
      </w:pPr>
      <w:r w:rsidRPr="00426C8C">
        <w:rPr>
          <w:rFonts w:eastAsia="Times New Roman"/>
          <w:sz w:val="22"/>
          <w:szCs w:val="22"/>
          <w:lang w:eastAsia="en-AU"/>
        </w:rPr>
        <w:t xml:space="preserve">An </w:t>
      </w:r>
      <w:r w:rsidR="00284B64" w:rsidRPr="00426C8C">
        <w:rPr>
          <w:rFonts w:eastAsia="Times New Roman"/>
          <w:sz w:val="22"/>
          <w:szCs w:val="22"/>
          <w:lang w:eastAsia="en-AU"/>
        </w:rPr>
        <w:t>i</w:t>
      </w:r>
      <w:r w:rsidRPr="00426C8C">
        <w:rPr>
          <w:rFonts w:eastAsia="Times New Roman"/>
          <w:sz w:val="22"/>
          <w:szCs w:val="22"/>
          <w:lang w:eastAsia="en-AU"/>
        </w:rPr>
        <w:t xml:space="preserve">mpact </w:t>
      </w:r>
      <w:r w:rsidR="00284B64" w:rsidRPr="00426C8C">
        <w:rPr>
          <w:rFonts w:eastAsia="Times New Roman"/>
          <w:sz w:val="22"/>
          <w:szCs w:val="22"/>
          <w:lang w:eastAsia="en-AU"/>
        </w:rPr>
        <w:t>a</w:t>
      </w:r>
      <w:r w:rsidRPr="00426C8C">
        <w:rPr>
          <w:rFonts w:eastAsia="Times New Roman"/>
          <w:sz w:val="22"/>
          <w:szCs w:val="22"/>
          <w:lang w:eastAsia="en-AU"/>
        </w:rPr>
        <w:t xml:space="preserve">nalysis (IA) was prepared </w:t>
      </w:r>
      <w:r w:rsidR="00540BA1" w:rsidRPr="00426C8C">
        <w:rPr>
          <w:rFonts w:eastAsia="Times New Roman"/>
          <w:sz w:val="22"/>
          <w:szCs w:val="22"/>
          <w:lang w:eastAsia="en-AU"/>
        </w:rPr>
        <w:t>on</w:t>
      </w:r>
      <w:r w:rsidRPr="00426C8C">
        <w:rPr>
          <w:rFonts w:eastAsia="Times New Roman"/>
          <w:sz w:val="22"/>
          <w:szCs w:val="22"/>
          <w:lang w:eastAsia="en-AU"/>
        </w:rPr>
        <w:t xml:space="preserve"> the </w:t>
      </w:r>
      <w:r w:rsidR="00F01C81" w:rsidRPr="00426C8C">
        <w:rPr>
          <w:rFonts w:eastAsia="Times New Roman"/>
          <w:sz w:val="22"/>
          <w:szCs w:val="22"/>
          <w:lang w:eastAsia="en-AU"/>
        </w:rPr>
        <w:t xml:space="preserve">proposed </w:t>
      </w:r>
      <w:r w:rsidRPr="00426C8C">
        <w:rPr>
          <w:rFonts w:eastAsia="Times New Roman"/>
          <w:sz w:val="22"/>
          <w:szCs w:val="22"/>
          <w:lang w:eastAsia="en-AU"/>
        </w:rPr>
        <w:t xml:space="preserve">reforms relating to </w:t>
      </w:r>
      <w:r w:rsidR="00F01C81" w:rsidRPr="00426C8C">
        <w:rPr>
          <w:rFonts w:eastAsia="Times New Roman"/>
          <w:sz w:val="22"/>
          <w:szCs w:val="22"/>
          <w:lang w:eastAsia="en-AU"/>
        </w:rPr>
        <w:t>the regulation of vapes</w:t>
      </w:r>
      <w:r w:rsidRPr="00426C8C">
        <w:rPr>
          <w:rFonts w:eastAsia="Times New Roman"/>
          <w:sz w:val="22"/>
          <w:szCs w:val="22"/>
          <w:lang w:eastAsia="en-AU"/>
        </w:rPr>
        <w:t>, taking into account the feedback received from stakeholders through</w:t>
      </w:r>
      <w:r w:rsidR="002E71B1" w:rsidRPr="00426C8C">
        <w:rPr>
          <w:rFonts w:eastAsia="Times New Roman"/>
          <w:sz w:val="22"/>
          <w:szCs w:val="22"/>
          <w:lang w:eastAsia="en-AU"/>
        </w:rPr>
        <w:t>out</w:t>
      </w:r>
      <w:r w:rsidRPr="00426C8C">
        <w:rPr>
          <w:rFonts w:eastAsia="Times New Roman"/>
          <w:sz w:val="22"/>
          <w:szCs w:val="22"/>
          <w:lang w:eastAsia="en-AU"/>
        </w:rPr>
        <w:t xml:space="preserve"> the consultation</w:t>
      </w:r>
      <w:r w:rsidR="002E71B1" w:rsidRPr="00426C8C">
        <w:rPr>
          <w:rFonts w:eastAsia="Times New Roman"/>
          <w:sz w:val="22"/>
          <w:szCs w:val="22"/>
          <w:lang w:eastAsia="en-AU"/>
        </w:rPr>
        <w:t>s</w:t>
      </w:r>
      <w:r w:rsidRPr="00426C8C">
        <w:rPr>
          <w:rFonts w:eastAsia="Times New Roman"/>
          <w:sz w:val="22"/>
          <w:szCs w:val="22"/>
          <w:lang w:eastAsia="en-AU"/>
        </w:rPr>
        <w:t xml:space="preserve">. The Office of Impact Analysis </w:t>
      </w:r>
      <w:r w:rsidR="002D0A2B" w:rsidRPr="00426C8C">
        <w:rPr>
          <w:rFonts w:eastAsia="Times New Roman"/>
          <w:sz w:val="22"/>
          <w:szCs w:val="22"/>
          <w:lang w:eastAsia="en-AU"/>
        </w:rPr>
        <w:t xml:space="preserve">(OIA) </w:t>
      </w:r>
      <w:r w:rsidRPr="00426C8C">
        <w:rPr>
          <w:rFonts w:eastAsia="Times New Roman"/>
          <w:sz w:val="22"/>
          <w:szCs w:val="22"/>
          <w:lang w:eastAsia="en-AU"/>
        </w:rPr>
        <w:t xml:space="preserve">determined that the </w:t>
      </w:r>
      <w:r w:rsidR="007A066F" w:rsidRPr="00426C8C">
        <w:rPr>
          <w:rFonts w:eastAsia="Times New Roman"/>
          <w:sz w:val="22"/>
          <w:szCs w:val="22"/>
          <w:lang w:eastAsia="en-AU"/>
        </w:rPr>
        <w:t xml:space="preserve">IA </w:t>
      </w:r>
      <w:r w:rsidRPr="00426C8C">
        <w:rPr>
          <w:rFonts w:eastAsia="Times New Roman"/>
          <w:sz w:val="22"/>
          <w:szCs w:val="22"/>
          <w:lang w:eastAsia="en-AU"/>
        </w:rPr>
        <w:t>was consistent with good practice and met Australian Government best practice regulation requirements (</w:t>
      </w:r>
      <w:r w:rsidR="00001411" w:rsidRPr="00426C8C">
        <w:rPr>
          <w:rFonts w:eastAsia="Times New Roman"/>
          <w:sz w:val="22"/>
          <w:szCs w:val="22"/>
          <w:lang w:eastAsia="en-AU"/>
        </w:rPr>
        <w:t>OBPR23-03933</w:t>
      </w:r>
      <w:r w:rsidRPr="00426C8C">
        <w:rPr>
          <w:rFonts w:eastAsia="Times New Roman"/>
          <w:sz w:val="22"/>
          <w:szCs w:val="22"/>
          <w:lang w:eastAsia="en-AU"/>
        </w:rPr>
        <w:t>). The IA has been published on the OIA website at: oia.pmc.gov.au/.</w:t>
      </w:r>
    </w:p>
    <w:p w14:paraId="50DDEAA3" w14:textId="77777777" w:rsidR="00837EB9" w:rsidRPr="00426C8C" w:rsidRDefault="00837EB9" w:rsidP="000B31F9">
      <w:pPr>
        <w:spacing w:after="0" w:line="240" w:lineRule="auto"/>
        <w:rPr>
          <w:rFonts w:eastAsia="Times New Roman"/>
          <w:sz w:val="22"/>
          <w:szCs w:val="22"/>
          <w:lang w:eastAsia="en-AU"/>
        </w:rPr>
      </w:pPr>
    </w:p>
    <w:p w14:paraId="6C027A28" w14:textId="6FBAA31C" w:rsidR="00837EB9" w:rsidRPr="00426C8C" w:rsidRDefault="006A361A" w:rsidP="000B31F9">
      <w:pPr>
        <w:spacing w:after="0" w:line="240" w:lineRule="auto"/>
        <w:rPr>
          <w:rFonts w:eastAsia="Times New Roman"/>
          <w:sz w:val="22"/>
          <w:szCs w:val="22"/>
          <w:lang w:eastAsia="en-AU"/>
        </w:rPr>
      </w:pPr>
      <w:r w:rsidRPr="00426C8C">
        <w:rPr>
          <w:rFonts w:eastAsia="Times New Roman"/>
          <w:sz w:val="22"/>
          <w:szCs w:val="22"/>
          <w:lang w:eastAsia="en-AU"/>
        </w:rPr>
        <w:t xml:space="preserve">The Determination is a disallowable legislative </w:t>
      </w:r>
      <w:r w:rsidR="0013234D">
        <w:rPr>
          <w:rFonts w:eastAsia="Times New Roman"/>
          <w:sz w:val="22"/>
          <w:szCs w:val="22"/>
          <w:lang w:eastAsia="en-AU"/>
        </w:rPr>
        <w:t>I</w:t>
      </w:r>
      <w:r w:rsidRPr="00426C8C">
        <w:rPr>
          <w:rFonts w:eastAsia="Times New Roman"/>
          <w:sz w:val="22"/>
          <w:szCs w:val="22"/>
          <w:lang w:eastAsia="en-AU"/>
        </w:rPr>
        <w:t>nstrument</w:t>
      </w:r>
      <w:r w:rsidRPr="00426C8C">
        <w:rPr>
          <w:rFonts w:eastAsia="Times New Roman"/>
          <w:i/>
          <w:sz w:val="22"/>
          <w:szCs w:val="22"/>
          <w:lang w:eastAsia="en-AU"/>
        </w:rPr>
        <w:t xml:space="preserve"> </w:t>
      </w:r>
      <w:r w:rsidRPr="00426C8C">
        <w:rPr>
          <w:rFonts w:eastAsia="Times New Roman"/>
          <w:sz w:val="22"/>
          <w:szCs w:val="22"/>
          <w:lang w:eastAsia="en-AU"/>
        </w:rPr>
        <w:t xml:space="preserve">for the purposes of the </w:t>
      </w:r>
      <w:r w:rsidRPr="00426C8C">
        <w:rPr>
          <w:rFonts w:eastAsia="Times New Roman"/>
          <w:i/>
          <w:sz w:val="22"/>
          <w:szCs w:val="22"/>
          <w:lang w:eastAsia="en-AU"/>
        </w:rPr>
        <w:t xml:space="preserve">Legislation Act 2003 </w:t>
      </w:r>
      <w:r w:rsidRPr="00426C8C">
        <w:rPr>
          <w:rFonts w:eastAsia="Times New Roman"/>
          <w:sz w:val="22"/>
          <w:szCs w:val="22"/>
          <w:lang w:eastAsia="en-AU"/>
        </w:rPr>
        <w:t>and commences</w:t>
      </w:r>
      <w:r w:rsidR="002D0A2B" w:rsidRPr="00426C8C">
        <w:rPr>
          <w:rFonts w:eastAsia="Times New Roman"/>
          <w:sz w:val="22"/>
          <w:szCs w:val="22"/>
          <w:lang w:eastAsia="en-AU"/>
        </w:rPr>
        <w:t xml:space="preserve"> </w:t>
      </w:r>
      <w:r w:rsidR="00E81086" w:rsidRPr="00426C8C">
        <w:rPr>
          <w:rFonts w:eastAsia="Times New Roman"/>
          <w:sz w:val="22"/>
          <w:szCs w:val="22"/>
          <w:lang w:eastAsia="en-AU"/>
        </w:rPr>
        <w:t xml:space="preserve">at the same time as Parts 1 to 3 of Schedule 1 to </w:t>
      </w:r>
      <w:r w:rsidR="005A5787" w:rsidRPr="00426C8C">
        <w:rPr>
          <w:rFonts w:eastAsia="Times New Roman"/>
          <w:sz w:val="22"/>
          <w:szCs w:val="22"/>
          <w:lang w:eastAsia="en-AU"/>
        </w:rPr>
        <w:t>the Amendment Act commences</w:t>
      </w:r>
      <w:r w:rsidR="005A5787" w:rsidRPr="00426C8C">
        <w:rPr>
          <w:rFonts w:eastAsia="Times New Roman"/>
          <w:i/>
          <w:iCs/>
          <w:sz w:val="22"/>
          <w:szCs w:val="22"/>
          <w:lang w:eastAsia="en-AU"/>
        </w:rPr>
        <w:t xml:space="preserve">. </w:t>
      </w:r>
      <w:r w:rsidR="002D0A2B" w:rsidRPr="00426C8C">
        <w:rPr>
          <w:rFonts w:eastAsia="Times New Roman"/>
          <w:sz w:val="22"/>
          <w:szCs w:val="22"/>
          <w:lang w:eastAsia="en-AU"/>
        </w:rPr>
        <w:t xml:space="preserve">However, the </w:t>
      </w:r>
      <w:r w:rsidR="00CF4D5D" w:rsidRPr="00426C8C">
        <w:rPr>
          <w:rFonts w:eastAsia="Times New Roman"/>
          <w:sz w:val="22"/>
          <w:szCs w:val="22"/>
          <w:lang w:eastAsia="en-AU"/>
        </w:rPr>
        <w:t>Determination</w:t>
      </w:r>
      <w:r w:rsidR="002D0A2B" w:rsidRPr="00426C8C">
        <w:rPr>
          <w:rFonts w:eastAsia="Times New Roman"/>
          <w:sz w:val="22"/>
          <w:szCs w:val="22"/>
          <w:lang w:eastAsia="en-AU"/>
        </w:rPr>
        <w:t xml:space="preserve"> does not commence at all if the Amendment </w:t>
      </w:r>
      <w:r w:rsidR="005A5787" w:rsidRPr="00426C8C">
        <w:rPr>
          <w:rFonts w:eastAsia="Times New Roman"/>
          <w:sz w:val="22"/>
          <w:szCs w:val="22"/>
          <w:lang w:eastAsia="en-AU"/>
        </w:rPr>
        <w:t>Act</w:t>
      </w:r>
      <w:r w:rsidR="002D0A2B" w:rsidRPr="00426C8C">
        <w:rPr>
          <w:rFonts w:eastAsia="Times New Roman"/>
          <w:sz w:val="22"/>
          <w:szCs w:val="22"/>
          <w:lang w:eastAsia="en-AU"/>
        </w:rPr>
        <w:t xml:space="preserve"> do</w:t>
      </w:r>
      <w:r w:rsidR="005A5787" w:rsidRPr="00426C8C">
        <w:rPr>
          <w:rFonts w:eastAsia="Times New Roman"/>
          <w:sz w:val="22"/>
          <w:szCs w:val="22"/>
          <w:lang w:eastAsia="en-AU"/>
        </w:rPr>
        <w:t xml:space="preserve">es </w:t>
      </w:r>
      <w:r w:rsidR="002D0A2B" w:rsidRPr="00426C8C">
        <w:rPr>
          <w:rFonts w:eastAsia="Times New Roman"/>
          <w:sz w:val="22"/>
          <w:szCs w:val="22"/>
          <w:lang w:eastAsia="en-AU"/>
        </w:rPr>
        <w:t>not commence.</w:t>
      </w:r>
    </w:p>
    <w:p w14:paraId="1AFD487F" w14:textId="6C7F5591" w:rsidR="001E51F5" w:rsidRPr="00426C8C" w:rsidRDefault="001E51F5" w:rsidP="000B31F9">
      <w:pPr>
        <w:spacing w:after="0" w:line="240" w:lineRule="auto"/>
        <w:rPr>
          <w:rFonts w:eastAsia="Times New Roman"/>
          <w:sz w:val="22"/>
          <w:szCs w:val="22"/>
          <w:lang w:eastAsia="en-AU"/>
        </w:rPr>
      </w:pPr>
      <w:r w:rsidRPr="00426C8C">
        <w:rPr>
          <w:rFonts w:eastAsia="Times New Roman"/>
          <w:b/>
          <w:bCs/>
          <w:sz w:val="22"/>
          <w:szCs w:val="22"/>
          <w:lang w:eastAsia="en-AU"/>
        </w:rPr>
        <w:br w:type="page"/>
      </w:r>
    </w:p>
    <w:p w14:paraId="01D2E0B2" w14:textId="77777777" w:rsidR="001E51F5" w:rsidRPr="00426C8C" w:rsidRDefault="001E51F5" w:rsidP="000B31F9">
      <w:pPr>
        <w:spacing w:after="0" w:line="240" w:lineRule="auto"/>
        <w:jc w:val="right"/>
        <w:rPr>
          <w:rFonts w:eastAsia="Times New Roman"/>
          <w:b/>
          <w:bCs/>
          <w:sz w:val="22"/>
          <w:szCs w:val="22"/>
          <w:lang w:eastAsia="en-AU"/>
        </w:rPr>
      </w:pPr>
      <w:r w:rsidRPr="00426C8C">
        <w:rPr>
          <w:rFonts w:eastAsia="Times New Roman"/>
          <w:b/>
          <w:bCs/>
          <w:sz w:val="22"/>
          <w:szCs w:val="22"/>
          <w:lang w:eastAsia="en-AU"/>
        </w:rPr>
        <w:lastRenderedPageBreak/>
        <w:t>Attachment A</w:t>
      </w:r>
    </w:p>
    <w:p w14:paraId="6B11CAAE" w14:textId="77777777" w:rsidR="00837EB9" w:rsidRPr="00426C8C" w:rsidRDefault="00837EB9" w:rsidP="000B31F9">
      <w:pPr>
        <w:spacing w:after="0" w:line="240" w:lineRule="auto"/>
        <w:rPr>
          <w:rFonts w:eastAsia="Times New Roman"/>
          <w:sz w:val="22"/>
          <w:szCs w:val="22"/>
          <w:lang w:eastAsia="en-AU"/>
        </w:rPr>
      </w:pPr>
    </w:p>
    <w:p w14:paraId="0CDD0A6A" w14:textId="58E7A7D7" w:rsidR="001E51F5" w:rsidRPr="00426C8C" w:rsidRDefault="001E51F5" w:rsidP="000B31F9">
      <w:pPr>
        <w:spacing w:after="0" w:line="240" w:lineRule="auto"/>
        <w:rPr>
          <w:rFonts w:eastAsia="Times New Roman"/>
          <w:b/>
          <w:bCs/>
          <w:i/>
          <w:sz w:val="22"/>
          <w:szCs w:val="22"/>
          <w:lang w:eastAsia="en-AU"/>
        </w:rPr>
      </w:pPr>
      <w:r w:rsidRPr="00426C8C">
        <w:rPr>
          <w:rFonts w:eastAsia="Times New Roman"/>
          <w:b/>
          <w:bCs/>
          <w:sz w:val="22"/>
          <w:szCs w:val="22"/>
          <w:lang w:eastAsia="en-AU"/>
        </w:rPr>
        <w:t xml:space="preserve">Details of the </w:t>
      </w:r>
      <w:r w:rsidR="00D2737D" w:rsidRPr="00426C8C">
        <w:rPr>
          <w:rFonts w:eastAsia="Times New Roman"/>
          <w:b/>
          <w:bCs/>
          <w:i/>
          <w:sz w:val="22"/>
          <w:szCs w:val="22"/>
          <w:lang w:eastAsia="en-AU"/>
        </w:rPr>
        <w:t>Therapeutic Goods (</w:t>
      </w:r>
      <w:r w:rsidR="00D8077F" w:rsidRPr="00426C8C">
        <w:rPr>
          <w:rFonts w:eastAsia="Times New Roman"/>
          <w:b/>
          <w:bCs/>
          <w:i/>
          <w:sz w:val="22"/>
          <w:szCs w:val="22"/>
          <w:lang w:eastAsia="en-AU"/>
        </w:rPr>
        <w:t>Determined Goods</w:t>
      </w:r>
      <w:r w:rsidR="00D2737D" w:rsidRPr="00426C8C">
        <w:rPr>
          <w:rFonts w:eastAsia="Times New Roman"/>
          <w:b/>
          <w:bCs/>
          <w:i/>
          <w:sz w:val="22"/>
          <w:szCs w:val="22"/>
          <w:lang w:eastAsia="en-AU"/>
        </w:rPr>
        <w:t>) Determination</w:t>
      </w:r>
      <w:r w:rsidR="00246EDA" w:rsidRPr="00426C8C">
        <w:rPr>
          <w:rFonts w:eastAsia="Times New Roman"/>
          <w:b/>
          <w:bCs/>
          <w:i/>
          <w:sz w:val="22"/>
          <w:szCs w:val="22"/>
          <w:lang w:eastAsia="en-AU"/>
        </w:rPr>
        <w:t> </w:t>
      </w:r>
      <w:r w:rsidR="00D2737D" w:rsidRPr="00426C8C">
        <w:rPr>
          <w:rFonts w:eastAsia="Times New Roman"/>
          <w:b/>
          <w:bCs/>
          <w:i/>
          <w:sz w:val="22"/>
          <w:szCs w:val="22"/>
          <w:lang w:eastAsia="en-AU"/>
        </w:rPr>
        <w:t>202</w:t>
      </w:r>
      <w:r w:rsidR="00D8077F" w:rsidRPr="00426C8C">
        <w:rPr>
          <w:rFonts w:eastAsia="Times New Roman"/>
          <w:b/>
          <w:bCs/>
          <w:i/>
          <w:sz w:val="22"/>
          <w:szCs w:val="22"/>
          <w:lang w:eastAsia="en-AU"/>
        </w:rPr>
        <w:t>4</w:t>
      </w:r>
    </w:p>
    <w:p w14:paraId="2AA53E70" w14:textId="77777777" w:rsidR="00837EB9" w:rsidRPr="00426C8C" w:rsidRDefault="00837EB9" w:rsidP="000B31F9">
      <w:pPr>
        <w:spacing w:after="0" w:line="240" w:lineRule="auto"/>
        <w:rPr>
          <w:rFonts w:eastAsia="Times New Roman"/>
          <w:sz w:val="22"/>
          <w:szCs w:val="22"/>
          <w:lang w:eastAsia="en-AU"/>
        </w:rPr>
      </w:pPr>
    </w:p>
    <w:p w14:paraId="7225F5C7" w14:textId="24995D83" w:rsidR="001E51F5" w:rsidRPr="00426C8C" w:rsidRDefault="001E51F5" w:rsidP="00BF604E">
      <w:pPr>
        <w:keepNext/>
        <w:spacing w:after="0" w:line="240" w:lineRule="auto"/>
        <w:rPr>
          <w:rFonts w:eastAsia="Times New Roman"/>
          <w:b/>
          <w:bCs/>
          <w:sz w:val="22"/>
          <w:szCs w:val="22"/>
          <w:lang w:eastAsia="en-AU"/>
        </w:rPr>
      </w:pPr>
      <w:r w:rsidRPr="00426C8C">
        <w:rPr>
          <w:rFonts w:eastAsia="Times New Roman"/>
          <w:b/>
          <w:bCs/>
          <w:sz w:val="22"/>
          <w:szCs w:val="22"/>
          <w:lang w:eastAsia="en-AU"/>
        </w:rPr>
        <w:t>Section 1 – Name</w:t>
      </w:r>
    </w:p>
    <w:p w14:paraId="132D65FE" w14:textId="77777777" w:rsidR="00837EB9" w:rsidRPr="00426C8C" w:rsidRDefault="00837EB9" w:rsidP="00BF604E">
      <w:pPr>
        <w:keepNext/>
        <w:spacing w:after="0" w:line="240" w:lineRule="auto"/>
        <w:rPr>
          <w:rFonts w:eastAsia="Times New Roman"/>
          <w:sz w:val="22"/>
          <w:szCs w:val="22"/>
          <w:lang w:eastAsia="en-AU"/>
        </w:rPr>
      </w:pPr>
    </w:p>
    <w:p w14:paraId="4346BAF4" w14:textId="4C63A44E" w:rsidR="001E51F5" w:rsidRPr="00426C8C" w:rsidRDefault="001E51F5" w:rsidP="000B31F9">
      <w:pPr>
        <w:spacing w:after="0" w:line="240" w:lineRule="auto"/>
        <w:rPr>
          <w:rFonts w:eastAsia="Times New Roman"/>
          <w:sz w:val="22"/>
          <w:szCs w:val="22"/>
          <w:lang w:eastAsia="en-AU"/>
        </w:rPr>
      </w:pPr>
      <w:r w:rsidRPr="00426C8C">
        <w:rPr>
          <w:rFonts w:eastAsia="Times New Roman"/>
          <w:sz w:val="22"/>
          <w:szCs w:val="22"/>
          <w:lang w:eastAsia="en-AU"/>
        </w:rPr>
        <w:t xml:space="preserve">This section provides that the name of the instrument is the </w:t>
      </w:r>
      <w:r w:rsidR="00D2737D" w:rsidRPr="00426C8C">
        <w:rPr>
          <w:rFonts w:eastAsia="Times New Roman"/>
          <w:i/>
          <w:sz w:val="22"/>
          <w:szCs w:val="22"/>
          <w:lang w:eastAsia="en-AU"/>
        </w:rPr>
        <w:t>Therapeutic Goods (</w:t>
      </w:r>
      <w:r w:rsidR="00D8077F" w:rsidRPr="00426C8C">
        <w:rPr>
          <w:rFonts w:eastAsia="Times New Roman"/>
          <w:i/>
          <w:sz w:val="22"/>
          <w:szCs w:val="22"/>
          <w:lang w:eastAsia="en-AU"/>
        </w:rPr>
        <w:t>Determined Goods</w:t>
      </w:r>
      <w:r w:rsidR="00D2737D" w:rsidRPr="00426C8C">
        <w:rPr>
          <w:rFonts w:eastAsia="Times New Roman"/>
          <w:i/>
          <w:sz w:val="22"/>
          <w:szCs w:val="22"/>
          <w:lang w:eastAsia="en-AU"/>
        </w:rPr>
        <w:t>) Determination 202</w:t>
      </w:r>
      <w:r w:rsidR="00D8077F" w:rsidRPr="00426C8C">
        <w:rPr>
          <w:rFonts w:eastAsia="Times New Roman"/>
          <w:i/>
          <w:sz w:val="22"/>
          <w:szCs w:val="22"/>
          <w:lang w:eastAsia="en-AU"/>
        </w:rPr>
        <w:t>4</w:t>
      </w:r>
      <w:r w:rsidRPr="00426C8C">
        <w:rPr>
          <w:rFonts w:eastAsia="Times New Roman"/>
          <w:i/>
          <w:sz w:val="22"/>
          <w:szCs w:val="22"/>
          <w:lang w:eastAsia="en-AU"/>
        </w:rPr>
        <w:t xml:space="preserve"> </w:t>
      </w:r>
      <w:r w:rsidR="00BB2758" w:rsidRPr="00426C8C">
        <w:rPr>
          <w:rFonts w:eastAsia="Times New Roman"/>
          <w:sz w:val="22"/>
          <w:szCs w:val="22"/>
          <w:lang w:eastAsia="en-AU"/>
        </w:rPr>
        <w:t xml:space="preserve">(the </w:t>
      </w:r>
      <w:r w:rsidR="00BA2EE9" w:rsidRPr="00426C8C">
        <w:rPr>
          <w:rFonts w:eastAsia="Times New Roman"/>
          <w:sz w:val="22"/>
          <w:szCs w:val="22"/>
          <w:lang w:eastAsia="en-AU"/>
        </w:rPr>
        <w:t>Determination</w:t>
      </w:r>
      <w:r w:rsidRPr="00426C8C">
        <w:rPr>
          <w:rFonts w:eastAsia="Times New Roman"/>
          <w:sz w:val="22"/>
          <w:szCs w:val="22"/>
          <w:lang w:eastAsia="en-AU"/>
        </w:rPr>
        <w:t>).</w:t>
      </w:r>
    </w:p>
    <w:p w14:paraId="724620FB" w14:textId="77777777" w:rsidR="00837EB9" w:rsidRPr="00426C8C" w:rsidRDefault="00837EB9" w:rsidP="000B31F9">
      <w:pPr>
        <w:spacing w:after="0" w:line="240" w:lineRule="auto"/>
        <w:rPr>
          <w:rFonts w:eastAsia="Times New Roman"/>
          <w:sz w:val="22"/>
          <w:szCs w:val="22"/>
          <w:lang w:eastAsia="en-AU"/>
        </w:rPr>
      </w:pPr>
    </w:p>
    <w:p w14:paraId="2155701C" w14:textId="076C2E54" w:rsidR="001E51F5" w:rsidRPr="00426C8C" w:rsidRDefault="001E51F5" w:rsidP="00BF604E">
      <w:pPr>
        <w:keepNext/>
        <w:spacing w:after="0" w:line="240" w:lineRule="auto"/>
        <w:rPr>
          <w:rFonts w:eastAsia="Times New Roman"/>
          <w:b/>
          <w:bCs/>
          <w:sz w:val="22"/>
          <w:szCs w:val="22"/>
          <w:lang w:eastAsia="en-AU"/>
        </w:rPr>
      </w:pPr>
      <w:r w:rsidRPr="00426C8C">
        <w:rPr>
          <w:rFonts w:eastAsia="Times New Roman"/>
          <w:b/>
          <w:bCs/>
          <w:sz w:val="22"/>
          <w:szCs w:val="22"/>
          <w:lang w:eastAsia="en-AU"/>
        </w:rPr>
        <w:t>Section 2 – Commencement</w:t>
      </w:r>
    </w:p>
    <w:p w14:paraId="0D7AA190" w14:textId="77777777" w:rsidR="00837EB9" w:rsidRPr="00426C8C" w:rsidRDefault="00837EB9" w:rsidP="00BF604E">
      <w:pPr>
        <w:keepNext/>
        <w:spacing w:after="0" w:line="240" w:lineRule="auto"/>
        <w:rPr>
          <w:rFonts w:eastAsia="Times New Roman"/>
          <w:bCs/>
          <w:sz w:val="22"/>
          <w:szCs w:val="22"/>
          <w:lang w:eastAsia="en-AU"/>
        </w:rPr>
      </w:pPr>
    </w:p>
    <w:p w14:paraId="42A42C1F" w14:textId="128DE505" w:rsidR="001E51F5" w:rsidRPr="00426C8C" w:rsidRDefault="001E51F5" w:rsidP="000B31F9">
      <w:pPr>
        <w:spacing w:after="0" w:line="240" w:lineRule="auto"/>
        <w:rPr>
          <w:rFonts w:eastAsia="Times New Roman"/>
          <w:bCs/>
          <w:sz w:val="22"/>
          <w:szCs w:val="22"/>
          <w:lang w:eastAsia="en-AU"/>
        </w:rPr>
      </w:pPr>
      <w:r w:rsidRPr="00426C8C">
        <w:rPr>
          <w:rFonts w:eastAsia="Times New Roman"/>
          <w:bCs/>
          <w:sz w:val="22"/>
          <w:szCs w:val="22"/>
          <w:lang w:eastAsia="en-AU"/>
        </w:rPr>
        <w:t xml:space="preserve">This section provides that the </w:t>
      </w:r>
      <w:r w:rsidR="00BA2EE9" w:rsidRPr="00426C8C">
        <w:rPr>
          <w:rFonts w:eastAsia="Times New Roman"/>
          <w:bCs/>
          <w:sz w:val="22"/>
          <w:szCs w:val="22"/>
          <w:lang w:eastAsia="en-AU"/>
        </w:rPr>
        <w:t xml:space="preserve">Determination </w:t>
      </w:r>
      <w:r w:rsidRPr="00426C8C">
        <w:rPr>
          <w:rFonts w:eastAsia="Times New Roman"/>
          <w:bCs/>
          <w:sz w:val="22"/>
          <w:szCs w:val="22"/>
          <w:lang w:eastAsia="en-AU"/>
        </w:rPr>
        <w:t xml:space="preserve">commences </w:t>
      </w:r>
      <w:r w:rsidR="00E81086" w:rsidRPr="00426C8C">
        <w:rPr>
          <w:rFonts w:eastAsia="Times New Roman"/>
          <w:bCs/>
          <w:sz w:val="22"/>
          <w:szCs w:val="22"/>
          <w:lang w:eastAsia="en-AU"/>
        </w:rPr>
        <w:t>at the same time as Parts 1 to 3 of Schedule</w:t>
      </w:r>
      <w:r w:rsidR="003076FC" w:rsidRPr="00426C8C">
        <w:rPr>
          <w:rFonts w:eastAsia="Times New Roman"/>
          <w:bCs/>
          <w:sz w:val="22"/>
          <w:szCs w:val="22"/>
          <w:lang w:eastAsia="en-AU"/>
        </w:rPr>
        <w:t> </w:t>
      </w:r>
      <w:r w:rsidR="00E81086" w:rsidRPr="00426C8C">
        <w:rPr>
          <w:rFonts w:eastAsia="Times New Roman"/>
          <w:bCs/>
          <w:sz w:val="22"/>
          <w:szCs w:val="22"/>
          <w:lang w:eastAsia="en-AU"/>
        </w:rPr>
        <w:t xml:space="preserve">1 to </w:t>
      </w:r>
      <w:r w:rsidR="00D8077F" w:rsidRPr="00426C8C">
        <w:rPr>
          <w:rFonts w:eastAsia="Times New Roman"/>
          <w:bCs/>
          <w:sz w:val="22"/>
          <w:szCs w:val="22"/>
          <w:lang w:eastAsia="en-AU"/>
        </w:rPr>
        <w:t xml:space="preserve">the </w:t>
      </w:r>
      <w:r w:rsidR="00D8077F" w:rsidRPr="00426C8C">
        <w:rPr>
          <w:rFonts w:eastAsia="Times New Roman"/>
          <w:bCs/>
          <w:i/>
          <w:iCs/>
          <w:sz w:val="22"/>
          <w:szCs w:val="22"/>
          <w:lang w:eastAsia="en-AU"/>
        </w:rPr>
        <w:t xml:space="preserve">Therapeutic Goods and Other Legislation Amendment (Vaping Reforms) Act 2024 </w:t>
      </w:r>
      <w:r w:rsidR="00D8077F" w:rsidRPr="00426C8C">
        <w:rPr>
          <w:rFonts w:eastAsia="Times New Roman"/>
          <w:bCs/>
          <w:sz w:val="22"/>
          <w:szCs w:val="22"/>
          <w:lang w:eastAsia="en-AU"/>
        </w:rPr>
        <w:t>(the</w:t>
      </w:r>
      <w:r w:rsidR="00E81086" w:rsidRPr="00426C8C">
        <w:rPr>
          <w:rFonts w:eastAsia="Times New Roman"/>
          <w:bCs/>
          <w:sz w:val="22"/>
          <w:szCs w:val="22"/>
          <w:lang w:eastAsia="en-AU"/>
        </w:rPr>
        <w:t> </w:t>
      </w:r>
      <w:r w:rsidR="00D8077F" w:rsidRPr="00426C8C">
        <w:rPr>
          <w:rFonts w:eastAsia="Times New Roman"/>
          <w:bCs/>
          <w:sz w:val="22"/>
          <w:szCs w:val="22"/>
          <w:lang w:eastAsia="en-AU"/>
        </w:rPr>
        <w:t>Amendment Act) commences</w:t>
      </w:r>
      <w:r w:rsidR="002D0A2B" w:rsidRPr="00426C8C">
        <w:rPr>
          <w:rFonts w:eastAsia="Times New Roman"/>
          <w:sz w:val="22"/>
          <w:szCs w:val="22"/>
          <w:lang w:eastAsia="en-AU"/>
        </w:rPr>
        <w:t xml:space="preserve">. However, the </w:t>
      </w:r>
      <w:r w:rsidR="00BA2EE9" w:rsidRPr="00426C8C">
        <w:rPr>
          <w:rFonts w:eastAsia="Times New Roman"/>
          <w:sz w:val="22"/>
          <w:szCs w:val="22"/>
          <w:lang w:eastAsia="en-AU"/>
        </w:rPr>
        <w:t>Determination</w:t>
      </w:r>
      <w:r w:rsidR="002D0A2B" w:rsidRPr="00426C8C">
        <w:rPr>
          <w:rFonts w:eastAsia="Times New Roman"/>
          <w:sz w:val="22"/>
          <w:szCs w:val="22"/>
          <w:lang w:eastAsia="en-AU"/>
        </w:rPr>
        <w:t xml:space="preserve"> does not commence at all if the Amendment </w:t>
      </w:r>
      <w:r w:rsidR="00D8077F" w:rsidRPr="00426C8C">
        <w:rPr>
          <w:rFonts w:eastAsia="Times New Roman"/>
          <w:sz w:val="22"/>
          <w:szCs w:val="22"/>
          <w:lang w:eastAsia="en-AU"/>
        </w:rPr>
        <w:t>Act</w:t>
      </w:r>
      <w:r w:rsidR="002D0A2B" w:rsidRPr="00426C8C">
        <w:rPr>
          <w:rFonts w:eastAsia="Times New Roman"/>
          <w:sz w:val="22"/>
          <w:szCs w:val="22"/>
          <w:lang w:eastAsia="en-AU"/>
        </w:rPr>
        <w:t xml:space="preserve"> do</w:t>
      </w:r>
      <w:r w:rsidR="00D8077F" w:rsidRPr="00426C8C">
        <w:rPr>
          <w:rFonts w:eastAsia="Times New Roman"/>
          <w:sz w:val="22"/>
          <w:szCs w:val="22"/>
          <w:lang w:eastAsia="en-AU"/>
        </w:rPr>
        <w:t>es</w:t>
      </w:r>
      <w:r w:rsidR="002D0A2B" w:rsidRPr="00426C8C">
        <w:rPr>
          <w:rFonts w:eastAsia="Times New Roman"/>
          <w:sz w:val="22"/>
          <w:szCs w:val="22"/>
          <w:lang w:eastAsia="en-AU"/>
        </w:rPr>
        <w:t xml:space="preserve"> not commence.</w:t>
      </w:r>
      <w:r w:rsidR="00703016">
        <w:rPr>
          <w:rFonts w:eastAsia="Times New Roman"/>
          <w:sz w:val="22"/>
          <w:szCs w:val="22"/>
          <w:lang w:eastAsia="en-AU"/>
        </w:rPr>
        <w:t xml:space="preserve"> The Amendment Act received Royal Assent on 27 June 2024 and commences on 1 July 2024.</w:t>
      </w:r>
    </w:p>
    <w:p w14:paraId="4AE6A433" w14:textId="77777777" w:rsidR="00837EB9" w:rsidRPr="00426C8C" w:rsidRDefault="00837EB9" w:rsidP="000B31F9">
      <w:pPr>
        <w:spacing w:after="0" w:line="240" w:lineRule="auto"/>
        <w:rPr>
          <w:rFonts w:eastAsia="Times New Roman"/>
          <w:sz w:val="22"/>
          <w:szCs w:val="22"/>
          <w:lang w:eastAsia="en-AU"/>
        </w:rPr>
      </w:pPr>
    </w:p>
    <w:p w14:paraId="665A7296" w14:textId="3494C8C3" w:rsidR="001E51F5" w:rsidRPr="00426C8C" w:rsidRDefault="001E51F5" w:rsidP="00BF604E">
      <w:pPr>
        <w:keepNext/>
        <w:spacing w:after="0" w:line="240" w:lineRule="auto"/>
        <w:rPr>
          <w:rFonts w:eastAsia="Times New Roman"/>
          <w:b/>
          <w:bCs/>
          <w:sz w:val="22"/>
          <w:szCs w:val="22"/>
          <w:lang w:eastAsia="en-AU"/>
        </w:rPr>
      </w:pPr>
      <w:r w:rsidRPr="00426C8C">
        <w:rPr>
          <w:rFonts w:eastAsia="Times New Roman"/>
          <w:b/>
          <w:bCs/>
          <w:sz w:val="22"/>
          <w:szCs w:val="22"/>
          <w:lang w:eastAsia="en-AU"/>
        </w:rPr>
        <w:t>Section 3 – Authority</w:t>
      </w:r>
    </w:p>
    <w:p w14:paraId="701D7E4A" w14:textId="77777777" w:rsidR="00837EB9" w:rsidRPr="00426C8C" w:rsidRDefault="00837EB9" w:rsidP="00BF604E">
      <w:pPr>
        <w:keepNext/>
        <w:spacing w:after="0" w:line="240" w:lineRule="auto"/>
        <w:rPr>
          <w:rFonts w:eastAsia="Times New Roman"/>
          <w:bCs/>
          <w:sz w:val="22"/>
          <w:szCs w:val="22"/>
          <w:lang w:eastAsia="en-AU"/>
        </w:rPr>
      </w:pPr>
    </w:p>
    <w:p w14:paraId="6AFE41B9" w14:textId="092EFDED" w:rsidR="001E51F5" w:rsidRPr="00426C8C" w:rsidRDefault="001E51F5" w:rsidP="000B31F9">
      <w:pPr>
        <w:spacing w:after="0" w:line="240" w:lineRule="auto"/>
        <w:rPr>
          <w:rFonts w:eastAsia="Times New Roman"/>
          <w:bCs/>
          <w:i/>
          <w:sz w:val="22"/>
          <w:szCs w:val="22"/>
          <w:lang w:eastAsia="en-AU"/>
        </w:rPr>
      </w:pPr>
      <w:r w:rsidRPr="00426C8C">
        <w:rPr>
          <w:rFonts w:eastAsia="Times New Roman"/>
          <w:bCs/>
          <w:sz w:val="22"/>
          <w:szCs w:val="22"/>
          <w:lang w:eastAsia="en-AU"/>
        </w:rPr>
        <w:t xml:space="preserve">This section provides that the legislative authority for making the </w:t>
      </w:r>
      <w:r w:rsidR="00BA2EE9" w:rsidRPr="00426C8C">
        <w:rPr>
          <w:rFonts w:eastAsia="Times New Roman"/>
          <w:bCs/>
          <w:sz w:val="22"/>
          <w:szCs w:val="22"/>
          <w:lang w:eastAsia="en-AU"/>
        </w:rPr>
        <w:t xml:space="preserve">Determination </w:t>
      </w:r>
      <w:r w:rsidRPr="00426C8C">
        <w:rPr>
          <w:rFonts w:eastAsia="Times New Roman"/>
          <w:bCs/>
          <w:sz w:val="22"/>
          <w:szCs w:val="22"/>
          <w:lang w:eastAsia="en-AU"/>
        </w:rPr>
        <w:t>is section 7</w:t>
      </w:r>
      <w:r w:rsidR="00BB2758" w:rsidRPr="00426C8C">
        <w:rPr>
          <w:rFonts w:eastAsia="Times New Roman"/>
          <w:bCs/>
          <w:sz w:val="22"/>
          <w:szCs w:val="22"/>
          <w:lang w:eastAsia="en-AU"/>
        </w:rPr>
        <w:t>A</w:t>
      </w:r>
      <w:r w:rsidR="00D8077F" w:rsidRPr="00426C8C">
        <w:rPr>
          <w:rFonts w:eastAsia="Times New Roman"/>
          <w:bCs/>
          <w:sz w:val="22"/>
          <w:szCs w:val="22"/>
          <w:lang w:eastAsia="en-AU"/>
        </w:rPr>
        <w:t>A</w:t>
      </w:r>
      <w:r w:rsidR="00BB2758" w:rsidRPr="00426C8C">
        <w:rPr>
          <w:rFonts w:eastAsia="Times New Roman"/>
          <w:bCs/>
          <w:sz w:val="22"/>
          <w:szCs w:val="22"/>
          <w:lang w:eastAsia="en-AU"/>
        </w:rPr>
        <w:t>A</w:t>
      </w:r>
      <w:r w:rsidRPr="00426C8C">
        <w:rPr>
          <w:rFonts w:eastAsia="Times New Roman"/>
          <w:bCs/>
          <w:sz w:val="22"/>
          <w:szCs w:val="22"/>
          <w:lang w:eastAsia="en-AU"/>
        </w:rPr>
        <w:t xml:space="preserve"> of the </w:t>
      </w:r>
      <w:r w:rsidRPr="00426C8C">
        <w:rPr>
          <w:rFonts w:eastAsia="Times New Roman"/>
          <w:bCs/>
          <w:i/>
          <w:sz w:val="22"/>
          <w:szCs w:val="22"/>
          <w:lang w:eastAsia="en-AU"/>
        </w:rPr>
        <w:t xml:space="preserve">Therapeutic Goods Act 1989 </w:t>
      </w:r>
      <w:r w:rsidRPr="00426C8C">
        <w:rPr>
          <w:rFonts w:eastAsia="Times New Roman"/>
          <w:bCs/>
          <w:sz w:val="22"/>
          <w:szCs w:val="22"/>
          <w:lang w:eastAsia="en-AU"/>
        </w:rPr>
        <w:t>(the Act)</w:t>
      </w:r>
      <w:r w:rsidRPr="00426C8C">
        <w:rPr>
          <w:rFonts w:eastAsia="Times New Roman"/>
          <w:bCs/>
          <w:i/>
          <w:sz w:val="22"/>
          <w:szCs w:val="22"/>
          <w:lang w:eastAsia="en-AU"/>
        </w:rPr>
        <w:t>.</w:t>
      </w:r>
    </w:p>
    <w:p w14:paraId="5412560E" w14:textId="77777777" w:rsidR="00837EB9" w:rsidRPr="00426C8C" w:rsidRDefault="00837EB9" w:rsidP="000B31F9">
      <w:pPr>
        <w:spacing w:after="0" w:line="240" w:lineRule="auto"/>
        <w:rPr>
          <w:rFonts w:eastAsia="Times New Roman"/>
          <w:bCs/>
          <w:sz w:val="22"/>
          <w:szCs w:val="22"/>
          <w:lang w:eastAsia="en-AU"/>
        </w:rPr>
      </w:pPr>
    </w:p>
    <w:p w14:paraId="0CC41FB6" w14:textId="31A51CFD" w:rsidR="001E51F5" w:rsidRPr="00426C8C" w:rsidRDefault="001E51F5" w:rsidP="000F0D2A">
      <w:pPr>
        <w:keepNext/>
        <w:spacing w:after="0" w:line="240" w:lineRule="auto"/>
        <w:rPr>
          <w:rFonts w:eastAsia="Times New Roman"/>
          <w:b/>
          <w:bCs/>
          <w:sz w:val="22"/>
          <w:szCs w:val="22"/>
          <w:lang w:eastAsia="en-AU"/>
        </w:rPr>
      </w:pPr>
      <w:r w:rsidRPr="00426C8C">
        <w:rPr>
          <w:rFonts w:eastAsia="Times New Roman"/>
          <w:b/>
          <w:bCs/>
          <w:sz w:val="22"/>
          <w:szCs w:val="22"/>
          <w:lang w:eastAsia="en-AU"/>
        </w:rPr>
        <w:t xml:space="preserve">Section 4 – </w:t>
      </w:r>
      <w:r w:rsidR="00D8077F" w:rsidRPr="00426C8C">
        <w:rPr>
          <w:rFonts w:eastAsia="Times New Roman"/>
          <w:b/>
          <w:bCs/>
          <w:sz w:val="22"/>
          <w:szCs w:val="22"/>
          <w:lang w:eastAsia="en-AU"/>
        </w:rPr>
        <w:t>Definitions</w:t>
      </w:r>
    </w:p>
    <w:p w14:paraId="2249B082" w14:textId="77777777" w:rsidR="00837EB9" w:rsidRPr="00426C8C" w:rsidRDefault="00837EB9" w:rsidP="000F0D2A">
      <w:pPr>
        <w:keepNext/>
        <w:spacing w:after="0" w:line="240" w:lineRule="auto"/>
        <w:rPr>
          <w:rFonts w:eastAsia="Times New Roman"/>
          <w:bCs/>
          <w:sz w:val="22"/>
          <w:szCs w:val="22"/>
          <w:lang w:eastAsia="en-AU"/>
        </w:rPr>
      </w:pPr>
    </w:p>
    <w:p w14:paraId="6C0223ED" w14:textId="7819303B" w:rsidR="00D8077F" w:rsidRPr="00426C8C" w:rsidRDefault="001E51F5" w:rsidP="000B31F9">
      <w:pPr>
        <w:spacing w:after="0" w:line="240" w:lineRule="auto"/>
        <w:rPr>
          <w:rFonts w:eastAsia="Times New Roman"/>
          <w:sz w:val="22"/>
          <w:szCs w:val="22"/>
          <w:lang w:eastAsia="en-AU"/>
        </w:rPr>
      </w:pPr>
      <w:r w:rsidRPr="00426C8C">
        <w:rPr>
          <w:rFonts w:eastAsia="Times New Roman"/>
          <w:bCs/>
          <w:sz w:val="22"/>
          <w:szCs w:val="22"/>
          <w:lang w:eastAsia="en-AU"/>
        </w:rPr>
        <w:t xml:space="preserve">This section provides </w:t>
      </w:r>
      <w:r w:rsidR="00D8077F" w:rsidRPr="00426C8C">
        <w:rPr>
          <w:rFonts w:eastAsia="Times New Roman"/>
          <w:bCs/>
          <w:sz w:val="22"/>
          <w:szCs w:val="22"/>
          <w:lang w:eastAsia="en-AU"/>
        </w:rPr>
        <w:t xml:space="preserve">definitions for terms used in the Determination. </w:t>
      </w:r>
      <w:r w:rsidR="003076FC" w:rsidRPr="00426C8C">
        <w:rPr>
          <w:rFonts w:eastAsia="Times New Roman"/>
          <w:bCs/>
          <w:sz w:val="22"/>
          <w:szCs w:val="22"/>
          <w:lang w:eastAsia="en-AU"/>
        </w:rPr>
        <w:t>In particular, t</w:t>
      </w:r>
      <w:r w:rsidR="00D8077F" w:rsidRPr="00426C8C">
        <w:rPr>
          <w:rFonts w:eastAsia="Times New Roman"/>
          <w:bCs/>
          <w:sz w:val="22"/>
          <w:szCs w:val="22"/>
          <w:lang w:eastAsia="en-AU"/>
        </w:rPr>
        <w:t xml:space="preserve">he term ‘tobacco product’ is defined to </w:t>
      </w:r>
      <w:r w:rsidR="0071652B" w:rsidRPr="00426C8C">
        <w:rPr>
          <w:rFonts w:eastAsia="Times New Roman"/>
          <w:bCs/>
          <w:sz w:val="22"/>
          <w:szCs w:val="22"/>
          <w:lang w:eastAsia="en-AU"/>
        </w:rPr>
        <w:t xml:space="preserve">have the same meaning as </w:t>
      </w:r>
      <w:r w:rsidR="00D8077F" w:rsidRPr="00426C8C">
        <w:rPr>
          <w:rFonts w:eastAsia="Times New Roman"/>
          <w:bCs/>
          <w:sz w:val="22"/>
          <w:szCs w:val="22"/>
          <w:lang w:eastAsia="en-AU"/>
        </w:rPr>
        <w:t xml:space="preserve">in </w:t>
      </w:r>
      <w:r w:rsidR="0071652B" w:rsidRPr="00426C8C">
        <w:rPr>
          <w:rFonts w:eastAsia="Times New Roman"/>
          <w:bCs/>
          <w:sz w:val="22"/>
          <w:szCs w:val="22"/>
          <w:lang w:eastAsia="en-AU"/>
        </w:rPr>
        <w:t xml:space="preserve">section 9 of the </w:t>
      </w:r>
      <w:r w:rsidR="00D8077F" w:rsidRPr="00426C8C">
        <w:rPr>
          <w:i/>
          <w:iCs/>
          <w:sz w:val="22"/>
          <w:szCs w:val="22"/>
        </w:rPr>
        <w:t>Public Health (Tobacco and Other Products) Act 2023.</w:t>
      </w:r>
    </w:p>
    <w:p w14:paraId="7EC9FF24" w14:textId="303820C1" w:rsidR="00EF6D34" w:rsidRPr="00426C8C" w:rsidRDefault="00D8077F" w:rsidP="000F0D2A">
      <w:pPr>
        <w:keepNext/>
        <w:spacing w:after="0" w:line="240" w:lineRule="auto"/>
        <w:rPr>
          <w:rFonts w:eastAsia="Times New Roman"/>
          <w:b/>
          <w:bCs/>
          <w:sz w:val="22"/>
          <w:szCs w:val="22"/>
          <w:lang w:eastAsia="en-AU"/>
        </w:rPr>
      </w:pPr>
      <w:r w:rsidRPr="00426C8C">
        <w:rPr>
          <w:rFonts w:eastAsia="Times New Roman"/>
          <w:b/>
          <w:bCs/>
          <w:sz w:val="22"/>
          <w:szCs w:val="22"/>
          <w:lang w:eastAsia="en-AU"/>
        </w:rPr>
        <w:t>Section 5 – Goods determined to be therapeutic goods</w:t>
      </w:r>
    </w:p>
    <w:p w14:paraId="264DF434" w14:textId="77777777" w:rsidR="00EF6D34" w:rsidRPr="00426C8C" w:rsidRDefault="00EF6D34" w:rsidP="000F0D2A">
      <w:pPr>
        <w:keepNext/>
        <w:spacing w:after="0" w:line="240" w:lineRule="auto"/>
        <w:rPr>
          <w:rFonts w:eastAsia="Times New Roman"/>
          <w:bCs/>
          <w:sz w:val="22"/>
          <w:szCs w:val="22"/>
          <w:lang w:eastAsia="en-AU"/>
        </w:rPr>
      </w:pPr>
    </w:p>
    <w:p w14:paraId="179E2691" w14:textId="44597645" w:rsidR="00EF6D34" w:rsidRPr="00426C8C" w:rsidRDefault="00EF6D34" w:rsidP="000B31F9">
      <w:pPr>
        <w:spacing w:after="0" w:line="240" w:lineRule="auto"/>
        <w:rPr>
          <w:rFonts w:eastAsia="Times New Roman"/>
          <w:bCs/>
          <w:sz w:val="22"/>
          <w:szCs w:val="22"/>
          <w:lang w:eastAsia="en-AU"/>
        </w:rPr>
      </w:pPr>
      <w:r w:rsidRPr="00426C8C">
        <w:rPr>
          <w:rFonts w:eastAsia="Times New Roman"/>
          <w:bCs/>
          <w:sz w:val="22"/>
          <w:szCs w:val="22"/>
          <w:lang w:eastAsia="en-AU"/>
        </w:rPr>
        <w:t>This</w:t>
      </w:r>
      <w:r w:rsidR="00CB0D16" w:rsidRPr="00426C8C">
        <w:rPr>
          <w:rFonts w:eastAsia="Times New Roman"/>
          <w:bCs/>
          <w:sz w:val="22"/>
          <w:szCs w:val="22"/>
          <w:lang w:eastAsia="en-AU"/>
        </w:rPr>
        <w:t xml:space="preserve"> section provides that the goods specified in Schedule 1 </w:t>
      </w:r>
      <w:r w:rsidR="00E74001" w:rsidRPr="00426C8C">
        <w:rPr>
          <w:rFonts w:eastAsia="Times New Roman"/>
          <w:bCs/>
          <w:sz w:val="22"/>
          <w:szCs w:val="22"/>
          <w:lang w:eastAsia="en-AU"/>
        </w:rPr>
        <w:t>are determined to be therapeutic goods for the purposes of the Act. Further, the goods specified in column 2 of Schedule 2, when used, advertised, or presented for supply in a way specified in column 3, are determined to be therapeutic goods for the purposes of the Act.</w:t>
      </w:r>
    </w:p>
    <w:p w14:paraId="6C4170C9" w14:textId="77777777" w:rsidR="00EF6D34" w:rsidRPr="00426C8C" w:rsidRDefault="00EF6D34" w:rsidP="000B31F9">
      <w:pPr>
        <w:spacing w:after="0" w:line="240" w:lineRule="auto"/>
        <w:rPr>
          <w:rFonts w:eastAsia="Times New Roman"/>
          <w:bCs/>
          <w:sz w:val="22"/>
          <w:szCs w:val="22"/>
          <w:lang w:eastAsia="en-AU"/>
        </w:rPr>
      </w:pPr>
    </w:p>
    <w:p w14:paraId="2590CC14" w14:textId="070571A6" w:rsidR="00EF6D34" w:rsidRPr="00426C8C" w:rsidRDefault="008458F8" w:rsidP="000F0D2A">
      <w:pPr>
        <w:keepNext/>
        <w:spacing w:after="0" w:line="240" w:lineRule="auto"/>
        <w:rPr>
          <w:rFonts w:eastAsia="Times New Roman"/>
          <w:bCs/>
          <w:sz w:val="22"/>
          <w:szCs w:val="22"/>
          <w:lang w:eastAsia="en-AU"/>
        </w:rPr>
      </w:pPr>
      <w:r w:rsidRPr="00426C8C">
        <w:rPr>
          <w:rFonts w:eastAsia="Times New Roman"/>
          <w:b/>
          <w:sz w:val="22"/>
          <w:szCs w:val="22"/>
          <w:lang w:eastAsia="en-AU"/>
        </w:rPr>
        <w:t>Schedule</w:t>
      </w:r>
      <w:r w:rsidR="00EF6D34" w:rsidRPr="00426C8C">
        <w:rPr>
          <w:rFonts w:eastAsia="Times New Roman"/>
          <w:b/>
          <w:sz w:val="22"/>
          <w:szCs w:val="22"/>
          <w:lang w:eastAsia="en-AU"/>
        </w:rPr>
        <w:t xml:space="preserve"> </w:t>
      </w:r>
      <w:r w:rsidR="00A57D63" w:rsidRPr="00426C8C">
        <w:rPr>
          <w:rFonts w:eastAsia="Times New Roman"/>
          <w:b/>
          <w:sz w:val="22"/>
          <w:szCs w:val="22"/>
          <w:lang w:eastAsia="en-AU"/>
        </w:rPr>
        <w:t>1</w:t>
      </w:r>
      <w:r w:rsidR="00EF6D34" w:rsidRPr="00426C8C">
        <w:rPr>
          <w:rFonts w:eastAsia="Times New Roman"/>
          <w:b/>
          <w:sz w:val="22"/>
          <w:szCs w:val="22"/>
          <w:lang w:eastAsia="en-AU"/>
        </w:rPr>
        <w:t xml:space="preserve"> – </w:t>
      </w:r>
      <w:r w:rsidRPr="00426C8C">
        <w:rPr>
          <w:rFonts w:eastAsia="Times New Roman"/>
          <w:b/>
          <w:sz w:val="22"/>
          <w:szCs w:val="22"/>
          <w:lang w:eastAsia="en-AU"/>
        </w:rPr>
        <w:t>Therapeutic goods</w:t>
      </w:r>
    </w:p>
    <w:p w14:paraId="3EF1D4E3" w14:textId="77777777" w:rsidR="00EF6D34" w:rsidRPr="00426C8C" w:rsidRDefault="00EF6D34" w:rsidP="000F0D2A">
      <w:pPr>
        <w:keepNext/>
        <w:spacing w:after="0" w:line="240" w:lineRule="auto"/>
        <w:rPr>
          <w:rFonts w:eastAsia="Times New Roman"/>
          <w:bCs/>
          <w:sz w:val="22"/>
          <w:szCs w:val="22"/>
          <w:lang w:eastAsia="en-AU"/>
        </w:rPr>
      </w:pPr>
    </w:p>
    <w:p w14:paraId="4E96BDE3" w14:textId="6AD03494" w:rsidR="008458F8" w:rsidRPr="00426C8C" w:rsidRDefault="008458F8" w:rsidP="000B31F9">
      <w:pPr>
        <w:spacing w:after="0" w:line="240" w:lineRule="auto"/>
        <w:rPr>
          <w:rFonts w:eastAsia="Times New Roman"/>
          <w:bCs/>
          <w:sz w:val="22"/>
          <w:szCs w:val="22"/>
          <w:lang w:eastAsia="en-AU"/>
        </w:rPr>
      </w:pPr>
      <w:r w:rsidRPr="00426C8C">
        <w:rPr>
          <w:rFonts w:eastAsia="Times New Roman"/>
          <w:bCs/>
          <w:sz w:val="22"/>
          <w:szCs w:val="22"/>
          <w:lang w:eastAsia="en-AU"/>
        </w:rPr>
        <w:t>The table in Schedule 1 sets out the goods that are determined to be therapeutic goods for the purposes of the Act.</w:t>
      </w:r>
    </w:p>
    <w:p w14:paraId="7066D379" w14:textId="77777777" w:rsidR="008458F8" w:rsidRPr="00426C8C" w:rsidRDefault="008458F8" w:rsidP="000B31F9">
      <w:pPr>
        <w:spacing w:after="0" w:line="240" w:lineRule="auto"/>
        <w:rPr>
          <w:rFonts w:eastAsia="Times New Roman"/>
          <w:bCs/>
          <w:sz w:val="22"/>
          <w:szCs w:val="22"/>
          <w:lang w:eastAsia="en-AU"/>
        </w:rPr>
      </w:pPr>
    </w:p>
    <w:p w14:paraId="5E80D617" w14:textId="1D03AC81" w:rsidR="008458F8" w:rsidRPr="00426C8C" w:rsidRDefault="008458F8" w:rsidP="008458F8">
      <w:pPr>
        <w:spacing w:after="0" w:line="240" w:lineRule="auto"/>
        <w:rPr>
          <w:rFonts w:eastAsia="Times New Roman"/>
          <w:bCs/>
          <w:sz w:val="22"/>
          <w:szCs w:val="22"/>
          <w:lang w:eastAsia="en-AU"/>
        </w:rPr>
      </w:pPr>
      <w:r w:rsidRPr="00426C8C">
        <w:rPr>
          <w:rFonts w:eastAsia="Times New Roman"/>
          <w:bCs/>
          <w:sz w:val="22"/>
          <w:szCs w:val="22"/>
          <w:lang w:eastAsia="en-AU"/>
        </w:rPr>
        <w:t>Item 1 of the table in Schedule 1 specifies goods contain</w:t>
      </w:r>
      <w:r w:rsidR="008D481D">
        <w:rPr>
          <w:rFonts w:eastAsia="Times New Roman"/>
          <w:bCs/>
          <w:sz w:val="22"/>
          <w:szCs w:val="22"/>
          <w:lang w:eastAsia="en-AU"/>
        </w:rPr>
        <w:t>ing</w:t>
      </w:r>
      <w:r w:rsidRPr="00426C8C">
        <w:rPr>
          <w:rFonts w:eastAsia="Times New Roman"/>
          <w:bCs/>
          <w:sz w:val="22"/>
          <w:szCs w:val="22"/>
          <w:lang w:eastAsia="en-AU"/>
        </w:rPr>
        <w:t xml:space="preserve"> nicotine</w:t>
      </w:r>
      <w:r w:rsidR="00C80CDA">
        <w:rPr>
          <w:rFonts w:eastAsia="Times New Roman"/>
          <w:bCs/>
          <w:sz w:val="22"/>
          <w:szCs w:val="22"/>
          <w:lang w:eastAsia="en-AU"/>
        </w:rPr>
        <w:t xml:space="preserve"> </w:t>
      </w:r>
      <w:r w:rsidR="008D481D">
        <w:rPr>
          <w:rFonts w:eastAsia="Times New Roman"/>
          <w:bCs/>
          <w:sz w:val="22"/>
          <w:szCs w:val="22"/>
          <w:lang w:eastAsia="en-AU"/>
        </w:rPr>
        <w:t xml:space="preserve">for human use </w:t>
      </w:r>
      <w:r w:rsidR="00C80CDA">
        <w:rPr>
          <w:rFonts w:eastAsia="Times New Roman"/>
          <w:bCs/>
          <w:sz w:val="22"/>
          <w:szCs w:val="22"/>
          <w:lang w:eastAsia="en-AU"/>
        </w:rPr>
        <w:t>(</w:t>
      </w:r>
      <w:r w:rsidR="009431FD">
        <w:rPr>
          <w:rFonts w:eastAsia="Times New Roman"/>
          <w:bCs/>
          <w:sz w:val="22"/>
          <w:szCs w:val="22"/>
          <w:lang w:eastAsia="en-AU"/>
        </w:rPr>
        <w:t>including but not limited to vaping goods</w:t>
      </w:r>
      <w:r w:rsidR="00C80CDA">
        <w:rPr>
          <w:rFonts w:eastAsia="Times New Roman"/>
          <w:bCs/>
          <w:sz w:val="22"/>
          <w:szCs w:val="22"/>
          <w:lang w:eastAsia="en-AU"/>
        </w:rPr>
        <w:t>)</w:t>
      </w:r>
      <w:r w:rsidR="009431FD">
        <w:rPr>
          <w:rFonts w:eastAsia="Times New Roman"/>
          <w:bCs/>
          <w:sz w:val="22"/>
          <w:szCs w:val="22"/>
          <w:lang w:eastAsia="en-AU"/>
        </w:rPr>
        <w:t>,</w:t>
      </w:r>
      <w:r w:rsidRPr="00426C8C">
        <w:rPr>
          <w:rFonts w:eastAsia="Times New Roman"/>
          <w:bCs/>
          <w:sz w:val="22"/>
          <w:szCs w:val="22"/>
          <w:lang w:eastAsia="en-AU"/>
        </w:rPr>
        <w:t xml:space="preserve"> other than tobacco </w:t>
      </w:r>
      <w:r w:rsidR="003076FC" w:rsidRPr="00426C8C">
        <w:rPr>
          <w:rFonts w:eastAsia="Times New Roman"/>
          <w:bCs/>
          <w:sz w:val="22"/>
          <w:szCs w:val="22"/>
          <w:lang w:eastAsia="en-AU"/>
        </w:rPr>
        <w:t xml:space="preserve">prepared and packed for smoking, foods that contain naturally occurring nicotine, and </w:t>
      </w:r>
      <w:r w:rsidR="008D5244" w:rsidRPr="00426C8C">
        <w:rPr>
          <w:rFonts w:eastAsia="Times New Roman"/>
          <w:bCs/>
          <w:sz w:val="22"/>
          <w:szCs w:val="22"/>
          <w:lang w:eastAsia="en-AU"/>
        </w:rPr>
        <w:t>tobacco products</w:t>
      </w:r>
      <w:r w:rsidR="003076FC" w:rsidRPr="00426C8C">
        <w:rPr>
          <w:rFonts w:eastAsia="Times New Roman"/>
          <w:bCs/>
          <w:sz w:val="22"/>
          <w:szCs w:val="22"/>
          <w:lang w:eastAsia="en-AU"/>
        </w:rPr>
        <w:t xml:space="preserve"> that are permanently banned under Chapter 4 of the </w:t>
      </w:r>
      <w:r w:rsidR="003076FC" w:rsidRPr="00426C8C">
        <w:rPr>
          <w:rFonts w:eastAsia="Times New Roman"/>
          <w:bCs/>
          <w:i/>
          <w:iCs/>
          <w:sz w:val="22"/>
          <w:szCs w:val="22"/>
          <w:lang w:eastAsia="en-AU"/>
        </w:rPr>
        <w:t>Public Health (Tobacco and Other Products) Act 2023</w:t>
      </w:r>
      <w:r w:rsidRPr="00426C8C">
        <w:rPr>
          <w:sz w:val="22"/>
          <w:szCs w:val="22"/>
        </w:rPr>
        <w:t>.</w:t>
      </w:r>
    </w:p>
    <w:p w14:paraId="4BD188EC" w14:textId="77777777" w:rsidR="008458F8" w:rsidRDefault="008458F8" w:rsidP="008458F8">
      <w:pPr>
        <w:spacing w:after="0" w:line="240" w:lineRule="auto"/>
        <w:rPr>
          <w:rFonts w:eastAsia="Times New Roman"/>
          <w:bCs/>
          <w:sz w:val="22"/>
          <w:szCs w:val="22"/>
          <w:lang w:eastAsia="en-AU"/>
        </w:rPr>
      </w:pPr>
    </w:p>
    <w:p w14:paraId="645782AA" w14:textId="0F4CAB59" w:rsidR="009431FD" w:rsidRPr="00426C8C" w:rsidRDefault="009431FD" w:rsidP="008458F8">
      <w:pPr>
        <w:spacing w:after="0" w:line="240" w:lineRule="auto"/>
        <w:rPr>
          <w:rFonts w:eastAsia="Times New Roman"/>
          <w:bCs/>
          <w:sz w:val="22"/>
          <w:szCs w:val="22"/>
          <w:lang w:eastAsia="en-AU"/>
        </w:rPr>
      </w:pPr>
      <w:r>
        <w:rPr>
          <w:rFonts w:eastAsia="Times New Roman"/>
          <w:bCs/>
          <w:sz w:val="22"/>
          <w:szCs w:val="22"/>
          <w:lang w:eastAsia="en-AU"/>
        </w:rPr>
        <w:t xml:space="preserve">The note to this item provides </w:t>
      </w:r>
      <w:r w:rsidR="008D2DBB">
        <w:rPr>
          <w:rFonts w:eastAsia="Times New Roman"/>
          <w:bCs/>
          <w:sz w:val="22"/>
          <w:szCs w:val="22"/>
          <w:lang w:eastAsia="en-AU"/>
        </w:rPr>
        <w:t xml:space="preserve">that </w:t>
      </w:r>
      <w:r>
        <w:rPr>
          <w:rFonts w:eastAsia="Times New Roman"/>
          <w:bCs/>
          <w:sz w:val="22"/>
          <w:szCs w:val="22"/>
          <w:lang w:eastAsia="en-AU"/>
        </w:rPr>
        <w:t>vaping goods include heat-not-burn products</w:t>
      </w:r>
      <w:r w:rsidR="008D2DBB">
        <w:rPr>
          <w:rFonts w:eastAsia="Times New Roman"/>
          <w:bCs/>
          <w:sz w:val="22"/>
          <w:szCs w:val="22"/>
          <w:lang w:eastAsia="en-AU"/>
        </w:rPr>
        <w:t xml:space="preserve">. </w:t>
      </w:r>
    </w:p>
    <w:p w14:paraId="6F956EC7" w14:textId="77777777" w:rsidR="009431FD" w:rsidRDefault="009431FD" w:rsidP="008458F8">
      <w:pPr>
        <w:spacing w:after="0" w:line="240" w:lineRule="auto"/>
        <w:rPr>
          <w:rFonts w:eastAsia="Times New Roman"/>
          <w:bCs/>
          <w:sz w:val="22"/>
          <w:szCs w:val="22"/>
          <w:lang w:eastAsia="en-AU"/>
        </w:rPr>
      </w:pPr>
    </w:p>
    <w:p w14:paraId="565A8973" w14:textId="56E57B15" w:rsidR="008458F8" w:rsidRPr="00426C8C" w:rsidRDefault="008458F8" w:rsidP="008458F8">
      <w:pPr>
        <w:spacing w:after="0" w:line="240" w:lineRule="auto"/>
        <w:rPr>
          <w:rFonts w:eastAsia="Times New Roman"/>
          <w:bCs/>
          <w:sz w:val="22"/>
          <w:szCs w:val="22"/>
          <w:lang w:eastAsia="en-AU"/>
        </w:rPr>
      </w:pPr>
      <w:r w:rsidRPr="00426C8C">
        <w:rPr>
          <w:rFonts w:eastAsia="Times New Roman"/>
          <w:bCs/>
          <w:sz w:val="22"/>
          <w:szCs w:val="22"/>
          <w:lang w:eastAsia="en-AU"/>
        </w:rPr>
        <w:t xml:space="preserve">The effect of this item is </w:t>
      </w:r>
      <w:r w:rsidR="00D7775A">
        <w:rPr>
          <w:rFonts w:eastAsia="Times New Roman"/>
          <w:bCs/>
          <w:sz w:val="22"/>
          <w:szCs w:val="22"/>
          <w:lang w:eastAsia="en-AU"/>
        </w:rPr>
        <w:t xml:space="preserve">to provide certainty </w:t>
      </w:r>
      <w:r w:rsidRPr="00426C8C">
        <w:rPr>
          <w:rFonts w:eastAsia="Times New Roman"/>
          <w:bCs/>
          <w:sz w:val="22"/>
          <w:szCs w:val="22"/>
          <w:lang w:eastAsia="en-AU"/>
        </w:rPr>
        <w:t>that goods contain</w:t>
      </w:r>
      <w:r w:rsidR="008D481D">
        <w:rPr>
          <w:rFonts w:eastAsia="Times New Roman"/>
          <w:bCs/>
          <w:sz w:val="22"/>
          <w:szCs w:val="22"/>
          <w:lang w:eastAsia="en-AU"/>
        </w:rPr>
        <w:t>ing</w:t>
      </w:r>
      <w:r w:rsidRPr="00426C8C">
        <w:rPr>
          <w:rFonts w:eastAsia="Times New Roman"/>
          <w:bCs/>
          <w:sz w:val="22"/>
          <w:szCs w:val="22"/>
          <w:lang w:eastAsia="en-AU"/>
        </w:rPr>
        <w:t xml:space="preserve"> nicotine</w:t>
      </w:r>
      <w:r w:rsidR="008D481D">
        <w:rPr>
          <w:rFonts w:eastAsia="Times New Roman"/>
          <w:bCs/>
          <w:sz w:val="22"/>
          <w:szCs w:val="22"/>
          <w:lang w:eastAsia="en-AU"/>
        </w:rPr>
        <w:t xml:space="preserve"> for human use</w:t>
      </w:r>
      <w:r w:rsidRPr="00426C8C">
        <w:rPr>
          <w:rFonts w:eastAsia="Times New Roman"/>
          <w:bCs/>
          <w:sz w:val="22"/>
          <w:szCs w:val="22"/>
          <w:lang w:eastAsia="en-AU"/>
        </w:rPr>
        <w:t>, other than those excepted, are determined to be therapeutic goods for the purposes of the Act and are therefore subject to the therapeutic goods regulatory scheme.</w:t>
      </w:r>
      <w:r w:rsidR="008D2DBB" w:rsidRPr="008D2DBB">
        <w:rPr>
          <w:rFonts w:eastAsia="Times New Roman"/>
          <w:bCs/>
          <w:sz w:val="22"/>
          <w:szCs w:val="22"/>
          <w:lang w:eastAsia="en-AU"/>
        </w:rPr>
        <w:t xml:space="preserve"> </w:t>
      </w:r>
      <w:r w:rsidR="008D2DBB">
        <w:rPr>
          <w:rFonts w:eastAsia="Times New Roman"/>
          <w:bCs/>
          <w:sz w:val="22"/>
          <w:szCs w:val="22"/>
          <w:lang w:eastAsia="en-AU"/>
        </w:rPr>
        <w:t xml:space="preserve">The item puts beyond doubt that goods containing nicotine </w:t>
      </w:r>
      <w:r w:rsidR="008D481D">
        <w:rPr>
          <w:rFonts w:eastAsia="Times New Roman"/>
          <w:bCs/>
          <w:sz w:val="22"/>
          <w:szCs w:val="22"/>
          <w:lang w:eastAsia="en-AU"/>
        </w:rPr>
        <w:t xml:space="preserve">for human use </w:t>
      </w:r>
      <w:r w:rsidR="008D2DBB">
        <w:rPr>
          <w:rFonts w:eastAsia="Times New Roman"/>
          <w:bCs/>
          <w:sz w:val="22"/>
          <w:szCs w:val="22"/>
          <w:lang w:eastAsia="en-AU"/>
        </w:rPr>
        <w:t>(including but not limited to vaping goods) are therapeutic goods for the purposes of the Act. The position in this item reflects the Department’s long</w:t>
      </w:r>
      <w:r w:rsidR="00577E08">
        <w:rPr>
          <w:rFonts w:eastAsia="Times New Roman"/>
          <w:bCs/>
          <w:sz w:val="22"/>
          <w:szCs w:val="22"/>
          <w:lang w:eastAsia="en-AU"/>
        </w:rPr>
        <w:t>-</w:t>
      </w:r>
      <w:r w:rsidR="008D2DBB">
        <w:rPr>
          <w:rFonts w:eastAsia="Times New Roman"/>
          <w:bCs/>
          <w:sz w:val="22"/>
          <w:szCs w:val="22"/>
          <w:lang w:eastAsia="en-AU"/>
        </w:rPr>
        <w:t>standing policy and practice concerning vaping goods.</w:t>
      </w:r>
      <w:r w:rsidR="008D481D">
        <w:rPr>
          <w:rFonts w:eastAsia="Times New Roman"/>
          <w:bCs/>
          <w:sz w:val="22"/>
          <w:szCs w:val="22"/>
          <w:lang w:eastAsia="en-AU"/>
        </w:rPr>
        <w:t xml:space="preserve"> </w:t>
      </w:r>
      <w:r w:rsidR="00D7775A">
        <w:rPr>
          <w:rFonts w:eastAsia="Times New Roman"/>
          <w:bCs/>
          <w:sz w:val="22"/>
          <w:szCs w:val="22"/>
          <w:lang w:eastAsia="en-AU"/>
        </w:rPr>
        <w:t xml:space="preserve">Notwithstanding the Department’s </w:t>
      </w:r>
      <w:r w:rsidR="006164F0">
        <w:rPr>
          <w:rFonts w:eastAsia="Times New Roman"/>
          <w:bCs/>
          <w:sz w:val="22"/>
          <w:szCs w:val="22"/>
          <w:lang w:eastAsia="en-AU"/>
        </w:rPr>
        <w:t xml:space="preserve">policy and </w:t>
      </w:r>
      <w:r w:rsidR="00D7775A">
        <w:rPr>
          <w:rFonts w:eastAsia="Times New Roman"/>
          <w:bCs/>
          <w:sz w:val="22"/>
          <w:szCs w:val="22"/>
          <w:lang w:eastAsia="en-AU"/>
        </w:rPr>
        <w:t>practice, t</w:t>
      </w:r>
      <w:r w:rsidR="008D481D">
        <w:rPr>
          <w:rFonts w:eastAsia="Times New Roman"/>
          <w:bCs/>
          <w:sz w:val="22"/>
          <w:szCs w:val="22"/>
          <w:lang w:eastAsia="en-AU"/>
        </w:rPr>
        <w:t xml:space="preserve">he item is made </w:t>
      </w:r>
      <w:r w:rsidR="00D7775A">
        <w:rPr>
          <w:rFonts w:eastAsia="Times New Roman"/>
          <w:bCs/>
          <w:sz w:val="22"/>
          <w:szCs w:val="22"/>
          <w:lang w:eastAsia="en-AU"/>
        </w:rPr>
        <w:t xml:space="preserve">to remove any </w:t>
      </w:r>
      <w:r w:rsidR="008D481D">
        <w:rPr>
          <w:rFonts w:eastAsia="Times New Roman"/>
          <w:bCs/>
          <w:sz w:val="22"/>
          <w:szCs w:val="22"/>
          <w:lang w:eastAsia="en-AU"/>
        </w:rPr>
        <w:t>doubt that</w:t>
      </w:r>
      <w:r w:rsidR="00D7775A">
        <w:rPr>
          <w:rFonts w:eastAsia="Times New Roman"/>
          <w:bCs/>
          <w:sz w:val="22"/>
          <w:szCs w:val="22"/>
          <w:lang w:eastAsia="en-AU"/>
        </w:rPr>
        <w:t>, unless excepted,</w:t>
      </w:r>
      <w:r w:rsidR="008D481D">
        <w:rPr>
          <w:rFonts w:eastAsia="Times New Roman"/>
          <w:bCs/>
          <w:sz w:val="22"/>
          <w:szCs w:val="22"/>
          <w:lang w:eastAsia="en-AU"/>
        </w:rPr>
        <w:t xml:space="preserve"> goods containing nicotine for human use are therapeutic goods.</w:t>
      </w:r>
    </w:p>
    <w:p w14:paraId="220BA193" w14:textId="64BDC1F2" w:rsidR="00A57D63" w:rsidRPr="00426C8C" w:rsidRDefault="00A57D63" w:rsidP="000B31F9">
      <w:pPr>
        <w:spacing w:after="0" w:line="240" w:lineRule="auto"/>
        <w:rPr>
          <w:rFonts w:eastAsia="Times New Roman"/>
          <w:bCs/>
          <w:sz w:val="22"/>
          <w:szCs w:val="22"/>
          <w:lang w:eastAsia="en-AU"/>
        </w:rPr>
      </w:pPr>
    </w:p>
    <w:p w14:paraId="7C9FF1DF" w14:textId="574B850B" w:rsidR="008458F8" w:rsidRPr="00426C8C" w:rsidRDefault="008458F8" w:rsidP="008458F8">
      <w:pPr>
        <w:spacing w:after="0" w:line="240" w:lineRule="auto"/>
        <w:rPr>
          <w:rFonts w:eastAsia="Times New Roman"/>
          <w:bCs/>
          <w:sz w:val="22"/>
          <w:szCs w:val="22"/>
          <w:lang w:eastAsia="en-AU"/>
        </w:rPr>
      </w:pPr>
      <w:r w:rsidRPr="00426C8C">
        <w:rPr>
          <w:rFonts w:eastAsia="Times New Roman"/>
          <w:bCs/>
          <w:sz w:val="22"/>
          <w:szCs w:val="22"/>
          <w:lang w:eastAsia="en-AU"/>
        </w:rPr>
        <w:lastRenderedPageBreak/>
        <w:t xml:space="preserve">Tobacco </w:t>
      </w:r>
      <w:r w:rsidR="003076FC" w:rsidRPr="00426C8C">
        <w:rPr>
          <w:rFonts w:eastAsia="Times New Roman"/>
          <w:bCs/>
          <w:sz w:val="22"/>
          <w:szCs w:val="22"/>
          <w:lang w:eastAsia="en-AU"/>
        </w:rPr>
        <w:t xml:space="preserve">prepared and packed for smoking, foods containing </w:t>
      </w:r>
      <w:r w:rsidR="00D7775A">
        <w:rPr>
          <w:rFonts w:eastAsia="Times New Roman"/>
          <w:bCs/>
          <w:sz w:val="22"/>
          <w:szCs w:val="22"/>
          <w:lang w:eastAsia="en-AU"/>
        </w:rPr>
        <w:t xml:space="preserve">only </w:t>
      </w:r>
      <w:r w:rsidR="003076FC" w:rsidRPr="00426C8C">
        <w:rPr>
          <w:rFonts w:eastAsia="Times New Roman"/>
          <w:bCs/>
          <w:sz w:val="22"/>
          <w:szCs w:val="22"/>
          <w:lang w:eastAsia="en-AU"/>
        </w:rPr>
        <w:t xml:space="preserve">naturally occurring nicotine and </w:t>
      </w:r>
      <w:r w:rsidR="008D5244" w:rsidRPr="00426C8C">
        <w:rPr>
          <w:rFonts w:eastAsia="Times New Roman"/>
          <w:bCs/>
          <w:sz w:val="22"/>
          <w:szCs w:val="22"/>
          <w:lang w:eastAsia="en-AU"/>
        </w:rPr>
        <w:t>tobacco produc</w:t>
      </w:r>
      <w:r w:rsidR="00BE7EDC" w:rsidRPr="00426C8C">
        <w:rPr>
          <w:rFonts w:eastAsia="Times New Roman"/>
          <w:bCs/>
          <w:sz w:val="22"/>
          <w:szCs w:val="22"/>
          <w:lang w:eastAsia="en-AU"/>
        </w:rPr>
        <w:t xml:space="preserve">ts </w:t>
      </w:r>
      <w:r w:rsidR="003076FC" w:rsidRPr="00426C8C">
        <w:rPr>
          <w:rFonts w:eastAsia="Times New Roman"/>
          <w:bCs/>
          <w:sz w:val="22"/>
          <w:szCs w:val="22"/>
          <w:lang w:eastAsia="en-AU"/>
        </w:rPr>
        <w:t xml:space="preserve">that are permanently banned under Chapter 4 </w:t>
      </w:r>
      <w:r w:rsidR="008D5244" w:rsidRPr="00426C8C">
        <w:rPr>
          <w:rFonts w:eastAsia="Times New Roman"/>
          <w:bCs/>
          <w:sz w:val="22"/>
          <w:szCs w:val="22"/>
          <w:lang w:eastAsia="en-AU"/>
        </w:rPr>
        <w:t xml:space="preserve">of the </w:t>
      </w:r>
      <w:r w:rsidR="008D5244" w:rsidRPr="00426C8C">
        <w:rPr>
          <w:rFonts w:eastAsia="Times New Roman"/>
          <w:bCs/>
          <w:i/>
          <w:iCs/>
          <w:sz w:val="22"/>
          <w:szCs w:val="22"/>
          <w:lang w:eastAsia="en-AU"/>
        </w:rPr>
        <w:t>Public Health (Tobacco and Other Products) Act 202</w:t>
      </w:r>
      <w:r w:rsidR="00BE7EDC" w:rsidRPr="00426C8C">
        <w:rPr>
          <w:rFonts w:eastAsia="Times New Roman"/>
          <w:bCs/>
          <w:i/>
          <w:iCs/>
          <w:sz w:val="22"/>
          <w:szCs w:val="22"/>
          <w:lang w:eastAsia="en-AU"/>
        </w:rPr>
        <w:t xml:space="preserve">4 </w:t>
      </w:r>
      <w:r w:rsidR="000E22EE" w:rsidRPr="00426C8C">
        <w:rPr>
          <w:rFonts w:eastAsia="Times New Roman"/>
          <w:bCs/>
          <w:sz w:val="22"/>
          <w:szCs w:val="22"/>
          <w:lang w:eastAsia="en-AU"/>
        </w:rPr>
        <w:t>contain nicotine</w:t>
      </w:r>
      <w:r w:rsidR="008D481D">
        <w:rPr>
          <w:rFonts w:eastAsia="Times New Roman"/>
          <w:bCs/>
          <w:sz w:val="22"/>
          <w:szCs w:val="22"/>
          <w:lang w:eastAsia="en-AU"/>
        </w:rPr>
        <w:t xml:space="preserve"> for human use</w:t>
      </w:r>
      <w:r w:rsidR="003076FC" w:rsidRPr="00426C8C">
        <w:rPr>
          <w:rFonts w:eastAsia="Times New Roman"/>
          <w:bCs/>
          <w:sz w:val="22"/>
          <w:szCs w:val="22"/>
          <w:lang w:eastAsia="en-AU"/>
        </w:rPr>
        <w:t xml:space="preserve">. However, these products </w:t>
      </w:r>
      <w:r w:rsidR="000E22EE" w:rsidRPr="00426C8C">
        <w:rPr>
          <w:rFonts w:eastAsia="Times New Roman"/>
          <w:bCs/>
          <w:sz w:val="22"/>
          <w:szCs w:val="22"/>
          <w:lang w:eastAsia="en-AU"/>
        </w:rPr>
        <w:t xml:space="preserve">are not intended to be subject to the therapeutic goods regulatory scheme </w:t>
      </w:r>
      <w:r w:rsidR="008D481D">
        <w:rPr>
          <w:rFonts w:eastAsia="Times New Roman"/>
          <w:bCs/>
          <w:sz w:val="22"/>
          <w:szCs w:val="22"/>
          <w:lang w:eastAsia="en-AU"/>
        </w:rPr>
        <w:t>under</w:t>
      </w:r>
      <w:r w:rsidR="000E22EE" w:rsidRPr="00426C8C">
        <w:rPr>
          <w:rFonts w:eastAsia="Times New Roman"/>
          <w:bCs/>
          <w:sz w:val="22"/>
          <w:szCs w:val="22"/>
          <w:lang w:eastAsia="en-AU"/>
        </w:rPr>
        <w:t xml:space="preserve"> the Act. Goods such as </w:t>
      </w:r>
      <w:r w:rsidR="003076FC" w:rsidRPr="00426C8C">
        <w:rPr>
          <w:rFonts w:eastAsia="Times New Roman"/>
          <w:bCs/>
          <w:sz w:val="22"/>
          <w:szCs w:val="22"/>
          <w:lang w:eastAsia="en-AU"/>
        </w:rPr>
        <w:t xml:space="preserve">nicotine pouches, nicotine pearls, nicotine sachets, nicotine toothpicks and nicotine gummies </w:t>
      </w:r>
      <w:r w:rsidR="0013234D">
        <w:rPr>
          <w:rFonts w:eastAsia="Times New Roman"/>
          <w:bCs/>
          <w:sz w:val="22"/>
          <w:szCs w:val="22"/>
          <w:lang w:eastAsia="en-AU"/>
        </w:rPr>
        <w:t>(regardless of whether th</w:t>
      </w:r>
      <w:r w:rsidR="006164F0">
        <w:rPr>
          <w:rFonts w:eastAsia="Times New Roman"/>
          <w:bCs/>
          <w:sz w:val="22"/>
          <w:szCs w:val="22"/>
          <w:lang w:eastAsia="en-AU"/>
        </w:rPr>
        <w:t>ese goods</w:t>
      </w:r>
      <w:r w:rsidR="0013234D">
        <w:rPr>
          <w:rFonts w:eastAsia="Times New Roman"/>
          <w:bCs/>
          <w:sz w:val="22"/>
          <w:szCs w:val="22"/>
          <w:lang w:eastAsia="en-AU"/>
        </w:rPr>
        <w:t xml:space="preserve"> contain tobacco, synthetic nicotine or naturally occurring nicotine extracts) </w:t>
      </w:r>
      <w:r w:rsidR="003076FC" w:rsidRPr="00426C8C">
        <w:rPr>
          <w:rFonts w:eastAsia="Times New Roman"/>
          <w:bCs/>
          <w:sz w:val="22"/>
          <w:szCs w:val="22"/>
          <w:lang w:eastAsia="en-AU"/>
        </w:rPr>
        <w:t xml:space="preserve">will </w:t>
      </w:r>
      <w:r w:rsidR="000E22EE" w:rsidRPr="00426C8C">
        <w:rPr>
          <w:rFonts w:eastAsia="Times New Roman"/>
          <w:bCs/>
          <w:sz w:val="22"/>
          <w:szCs w:val="22"/>
          <w:lang w:eastAsia="en-AU"/>
        </w:rPr>
        <w:t xml:space="preserve">be covered by item 1 </w:t>
      </w:r>
      <w:r w:rsidR="00BE7EDC" w:rsidRPr="00426C8C">
        <w:rPr>
          <w:rFonts w:eastAsia="Times New Roman"/>
          <w:bCs/>
          <w:sz w:val="22"/>
          <w:szCs w:val="22"/>
          <w:lang w:eastAsia="en-AU"/>
        </w:rPr>
        <w:t xml:space="preserve">of the table in Schedule 1 </w:t>
      </w:r>
      <w:r w:rsidR="000E22EE" w:rsidRPr="00426C8C">
        <w:rPr>
          <w:rFonts w:eastAsia="Times New Roman"/>
          <w:bCs/>
          <w:sz w:val="22"/>
          <w:szCs w:val="22"/>
          <w:lang w:eastAsia="en-AU"/>
        </w:rPr>
        <w:t xml:space="preserve">and are </w:t>
      </w:r>
      <w:r w:rsidR="00FA04AC" w:rsidRPr="00426C8C">
        <w:rPr>
          <w:rFonts w:eastAsia="Times New Roman"/>
          <w:bCs/>
          <w:sz w:val="22"/>
          <w:szCs w:val="22"/>
          <w:lang w:eastAsia="en-AU"/>
        </w:rPr>
        <w:t xml:space="preserve">therefore </w:t>
      </w:r>
      <w:r w:rsidR="000E22EE" w:rsidRPr="00426C8C">
        <w:rPr>
          <w:rFonts w:eastAsia="Times New Roman"/>
          <w:bCs/>
          <w:sz w:val="22"/>
          <w:szCs w:val="22"/>
          <w:lang w:eastAsia="en-AU"/>
        </w:rPr>
        <w:t xml:space="preserve">determined to be therapeutic goods, consistent with the current position on how </w:t>
      </w:r>
      <w:r w:rsidR="003076FC" w:rsidRPr="00426C8C">
        <w:rPr>
          <w:rFonts w:eastAsia="Times New Roman"/>
          <w:bCs/>
          <w:sz w:val="22"/>
          <w:szCs w:val="22"/>
          <w:lang w:eastAsia="en-AU"/>
        </w:rPr>
        <w:t xml:space="preserve">such </w:t>
      </w:r>
      <w:r w:rsidR="000E22EE" w:rsidRPr="00426C8C">
        <w:rPr>
          <w:rFonts w:eastAsia="Times New Roman"/>
          <w:bCs/>
          <w:sz w:val="22"/>
          <w:szCs w:val="22"/>
          <w:lang w:eastAsia="en-AU"/>
        </w:rPr>
        <w:t xml:space="preserve">goods containing nicotine </w:t>
      </w:r>
      <w:r w:rsidR="008D481D">
        <w:rPr>
          <w:rFonts w:eastAsia="Times New Roman"/>
          <w:bCs/>
          <w:sz w:val="22"/>
          <w:szCs w:val="22"/>
          <w:lang w:eastAsia="en-AU"/>
        </w:rPr>
        <w:t xml:space="preserve">for human use </w:t>
      </w:r>
      <w:r w:rsidR="000E22EE" w:rsidRPr="00426C8C">
        <w:rPr>
          <w:rFonts w:eastAsia="Times New Roman"/>
          <w:bCs/>
          <w:sz w:val="22"/>
          <w:szCs w:val="22"/>
          <w:lang w:eastAsia="en-AU"/>
        </w:rPr>
        <w:t>are regulated</w:t>
      </w:r>
      <w:r w:rsidR="003076FC" w:rsidRPr="00426C8C">
        <w:rPr>
          <w:rFonts w:eastAsia="Times New Roman"/>
          <w:bCs/>
          <w:sz w:val="22"/>
          <w:szCs w:val="22"/>
          <w:lang w:eastAsia="en-AU"/>
        </w:rPr>
        <w:t xml:space="preserve"> under the Act</w:t>
      </w:r>
      <w:r w:rsidR="000E22EE" w:rsidRPr="00426C8C">
        <w:rPr>
          <w:rFonts w:eastAsia="Times New Roman"/>
          <w:bCs/>
          <w:sz w:val="22"/>
          <w:szCs w:val="22"/>
          <w:lang w:eastAsia="en-AU"/>
        </w:rPr>
        <w:t>.</w:t>
      </w:r>
    </w:p>
    <w:p w14:paraId="14A5A430" w14:textId="6A7F5AFD" w:rsidR="001E51F5" w:rsidRPr="00426C8C" w:rsidRDefault="001E51F5" w:rsidP="000B31F9">
      <w:pPr>
        <w:spacing w:after="0" w:line="240" w:lineRule="auto"/>
        <w:rPr>
          <w:rFonts w:eastAsia="Times New Roman"/>
          <w:bCs/>
          <w:sz w:val="22"/>
          <w:szCs w:val="22"/>
          <w:lang w:eastAsia="en-AU"/>
        </w:rPr>
      </w:pPr>
      <w:r w:rsidRPr="00426C8C">
        <w:rPr>
          <w:rFonts w:eastAsia="Times New Roman"/>
          <w:bCs/>
          <w:sz w:val="22"/>
          <w:szCs w:val="22"/>
          <w:lang w:eastAsia="en-AU"/>
        </w:rPr>
        <w:br w:type="page"/>
      </w:r>
    </w:p>
    <w:p w14:paraId="568BA265" w14:textId="77777777" w:rsidR="00E744B0" w:rsidRPr="00426C8C" w:rsidRDefault="00E744B0" w:rsidP="000B31F9">
      <w:pPr>
        <w:spacing w:after="0" w:line="240" w:lineRule="auto"/>
        <w:jc w:val="right"/>
        <w:rPr>
          <w:b/>
          <w:sz w:val="22"/>
          <w:szCs w:val="22"/>
        </w:rPr>
      </w:pPr>
      <w:r w:rsidRPr="00426C8C">
        <w:rPr>
          <w:b/>
          <w:sz w:val="22"/>
          <w:szCs w:val="22"/>
        </w:rPr>
        <w:lastRenderedPageBreak/>
        <w:t>Attachment B</w:t>
      </w:r>
    </w:p>
    <w:p w14:paraId="45E1E345" w14:textId="77777777" w:rsidR="00E744B0" w:rsidRPr="00426C8C" w:rsidRDefault="00E744B0" w:rsidP="000B31F9">
      <w:pPr>
        <w:spacing w:after="0" w:line="240" w:lineRule="auto"/>
        <w:jc w:val="center"/>
        <w:rPr>
          <w:bCs/>
          <w:sz w:val="22"/>
          <w:szCs w:val="22"/>
        </w:rPr>
      </w:pPr>
    </w:p>
    <w:p w14:paraId="05D89B19" w14:textId="77777777" w:rsidR="00E744B0" w:rsidRPr="00426C8C" w:rsidRDefault="00E744B0" w:rsidP="000B31F9">
      <w:pPr>
        <w:spacing w:after="0" w:line="240" w:lineRule="auto"/>
        <w:jc w:val="center"/>
        <w:rPr>
          <w:b/>
          <w:sz w:val="22"/>
          <w:szCs w:val="22"/>
        </w:rPr>
      </w:pPr>
      <w:r w:rsidRPr="00426C8C">
        <w:rPr>
          <w:b/>
          <w:sz w:val="22"/>
          <w:szCs w:val="22"/>
        </w:rPr>
        <w:t>Statement of Compatibility with Human Rights</w:t>
      </w:r>
    </w:p>
    <w:p w14:paraId="61C2B711" w14:textId="77777777" w:rsidR="00E744B0" w:rsidRPr="00426C8C" w:rsidRDefault="00E744B0" w:rsidP="000B31F9">
      <w:pPr>
        <w:spacing w:after="0" w:line="240" w:lineRule="auto"/>
        <w:rPr>
          <w:sz w:val="22"/>
          <w:szCs w:val="22"/>
        </w:rPr>
      </w:pPr>
    </w:p>
    <w:p w14:paraId="05F5EEBB" w14:textId="77777777" w:rsidR="00E744B0" w:rsidRPr="00426C8C" w:rsidRDefault="00E744B0" w:rsidP="000B31F9">
      <w:pPr>
        <w:spacing w:after="0" w:line="240" w:lineRule="auto"/>
        <w:jc w:val="center"/>
        <w:rPr>
          <w:sz w:val="22"/>
          <w:szCs w:val="22"/>
        </w:rPr>
      </w:pPr>
      <w:r w:rsidRPr="00426C8C">
        <w:rPr>
          <w:sz w:val="22"/>
          <w:szCs w:val="22"/>
        </w:rPr>
        <w:t xml:space="preserve">Prepared in accordance with Part 3 of the </w:t>
      </w:r>
      <w:r w:rsidRPr="00426C8C">
        <w:rPr>
          <w:i/>
          <w:sz w:val="22"/>
          <w:szCs w:val="22"/>
        </w:rPr>
        <w:t>Human Rights (Parliamentary Scrutiny) Act 2011</w:t>
      </w:r>
    </w:p>
    <w:p w14:paraId="46D43075" w14:textId="77777777" w:rsidR="00E744B0" w:rsidRPr="00426C8C" w:rsidRDefault="00E744B0" w:rsidP="000B31F9">
      <w:pPr>
        <w:spacing w:after="0" w:line="240" w:lineRule="auto"/>
        <w:jc w:val="center"/>
        <w:rPr>
          <w:bCs/>
          <w:sz w:val="22"/>
          <w:szCs w:val="22"/>
        </w:rPr>
      </w:pPr>
    </w:p>
    <w:p w14:paraId="3DAB8214" w14:textId="27C1AB6B" w:rsidR="001E51F5" w:rsidRPr="00426C8C" w:rsidRDefault="00DA449C" w:rsidP="000B31F9">
      <w:pPr>
        <w:spacing w:after="0" w:line="240" w:lineRule="auto"/>
        <w:jc w:val="center"/>
        <w:rPr>
          <w:rFonts w:eastAsia="Times New Roman"/>
          <w:b/>
          <w:sz w:val="22"/>
          <w:szCs w:val="22"/>
          <w:lang w:eastAsia="en-AU"/>
        </w:rPr>
      </w:pPr>
      <w:r w:rsidRPr="00426C8C">
        <w:rPr>
          <w:rFonts w:eastAsia="Times New Roman"/>
          <w:b/>
          <w:i/>
          <w:sz w:val="22"/>
          <w:szCs w:val="22"/>
          <w:lang w:eastAsia="en-AU"/>
        </w:rPr>
        <w:t>Therapeutic Goods (</w:t>
      </w:r>
      <w:r w:rsidR="000E22EE" w:rsidRPr="00426C8C">
        <w:rPr>
          <w:rFonts w:eastAsia="Times New Roman"/>
          <w:b/>
          <w:i/>
          <w:sz w:val="22"/>
          <w:szCs w:val="22"/>
          <w:lang w:eastAsia="en-AU"/>
        </w:rPr>
        <w:t>Determined Goods</w:t>
      </w:r>
      <w:r w:rsidRPr="00426C8C">
        <w:rPr>
          <w:rFonts w:eastAsia="Times New Roman"/>
          <w:b/>
          <w:i/>
          <w:sz w:val="22"/>
          <w:szCs w:val="22"/>
          <w:lang w:eastAsia="en-AU"/>
        </w:rPr>
        <w:t>) Determination 202</w:t>
      </w:r>
      <w:r w:rsidR="000E22EE" w:rsidRPr="00426C8C">
        <w:rPr>
          <w:rFonts w:eastAsia="Times New Roman"/>
          <w:b/>
          <w:i/>
          <w:sz w:val="22"/>
          <w:szCs w:val="22"/>
          <w:lang w:eastAsia="en-AU"/>
        </w:rPr>
        <w:t>4</w:t>
      </w:r>
    </w:p>
    <w:p w14:paraId="20F0978C" w14:textId="77777777" w:rsidR="00E744B0" w:rsidRPr="00426C8C" w:rsidRDefault="00E744B0" w:rsidP="000B31F9">
      <w:pPr>
        <w:spacing w:after="0" w:line="240" w:lineRule="auto"/>
        <w:rPr>
          <w:rFonts w:eastAsia="Times New Roman"/>
          <w:sz w:val="22"/>
          <w:szCs w:val="22"/>
          <w:lang w:eastAsia="en-AU"/>
        </w:rPr>
      </w:pPr>
    </w:p>
    <w:p w14:paraId="52B743F6" w14:textId="5305CF5A" w:rsidR="001E51F5" w:rsidRPr="00426C8C" w:rsidRDefault="001E51F5" w:rsidP="000B31F9">
      <w:pPr>
        <w:spacing w:after="0" w:line="240" w:lineRule="auto"/>
        <w:rPr>
          <w:rFonts w:eastAsia="Times New Roman"/>
          <w:sz w:val="22"/>
          <w:szCs w:val="22"/>
          <w:lang w:eastAsia="en-AU"/>
        </w:rPr>
      </w:pPr>
      <w:r w:rsidRPr="00426C8C">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426C8C">
        <w:rPr>
          <w:rFonts w:eastAsia="Times New Roman"/>
          <w:i/>
          <w:sz w:val="22"/>
          <w:szCs w:val="22"/>
          <w:lang w:eastAsia="en-AU"/>
        </w:rPr>
        <w:t>Human Rights (Parliamentary Scrutiny) Act 2011</w:t>
      </w:r>
      <w:r w:rsidRPr="00426C8C">
        <w:rPr>
          <w:rFonts w:eastAsia="Times New Roman"/>
          <w:sz w:val="22"/>
          <w:szCs w:val="22"/>
          <w:lang w:eastAsia="en-AU"/>
        </w:rPr>
        <w:t>.</w:t>
      </w:r>
    </w:p>
    <w:p w14:paraId="1FE107FF" w14:textId="77777777" w:rsidR="00E744B0" w:rsidRPr="00426C8C" w:rsidRDefault="00E744B0" w:rsidP="000B31F9">
      <w:pPr>
        <w:spacing w:after="0" w:line="240" w:lineRule="auto"/>
        <w:rPr>
          <w:rFonts w:eastAsia="Times New Roman"/>
          <w:bCs/>
          <w:sz w:val="22"/>
          <w:szCs w:val="22"/>
          <w:lang w:eastAsia="en-AU"/>
        </w:rPr>
      </w:pPr>
    </w:p>
    <w:p w14:paraId="5BB723C9" w14:textId="48F2A642" w:rsidR="001E51F5" w:rsidRPr="00426C8C" w:rsidRDefault="001E51F5" w:rsidP="000F0D2A">
      <w:pPr>
        <w:keepNext/>
        <w:spacing w:after="0" w:line="240" w:lineRule="auto"/>
        <w:rPr>
          <w:rFonts w:eastAsia="Times New Roman"/>
          <w:b/>
          <w:sz w:val="22"/>
          <w:szCs w:val="22"/>
          <w:lang w:eastAsia="en-AU"/>
        </w:rPr>
      </w:pPr>
      <w:r w:rsidRPr="00426C8C">
        <w:rPr>
          <w:rFonts w:eastAsia="Times New Roman"/>
          <w:b/>
          <w:sz w:val="22"/>
          <w:szCs w:val="22"/>
          <w:lang w:eastAsia="en-AU"/>
        </w:rPr>
        <w:t>Overview of legislative instrument</w:t>
      </w:r>
    </w:p>
    <w:p w14:paraId="7128088C" w14:textId="77777777" w:rsidR="00E744B0" w:rsidRPr="00426C8C" w:rsidRDefault="00E744B0" w:rsidP="000F0D2A">
      <w:pPr>
        <w:keepNext/>
        <w:spacing w:after="0" w:line="240" w:lineRule="auto"/>
        <w:rPr>
          <w:rFonts w:eastAsia="Times New Roman"/>
          <w:sz w:val="22"/>
          <w:szCs w:val="22"/>
          <w:lang w:eastAsia="en-AU"/>
        </w:rPr>
      </w:pPr>
    </w:p>
    <w:p w14:paraId="4C16115E"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Section 7AAA of the Act relevantly provides that the Minister may, by legislative instrument, determine that, for the purposes of the Act, specified goods are therapeutic goods, or are therapeutic goods when used, advertised, or presented for supply in a particular way. The specified goods do not include goods that are declared not to be therapeutic goods under an order in force under section 7, or excluded goods that are covered by a determination under subsection 7AA(1) or (2) of the Act. The effect of a determination under section 7AAA is that the specified goods are subject to the regulatory framework for therapeutic goods under the Act.</w:t>
      </w:r>
    </w:p>
    <w:p w14:paraId="05A52CCD"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p>
    <w:p w14:paraId="2CB46C4C" w14:textId="4B1DFB2B" w:rsidR="004420F0" w:rsidRPr="00426C8C" w:rsidRDefault="004420F0" w:rsidP="004420F0">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w:t>
      </w:r>
      <w:r w:rsidRPr="00426C8C">
        <w:rPr>
          <w:rFonts w:eastAsia="Times New Roman"/>
          <w:i/>
          <w:iCs/>
          <w:sz w:val="22"/>
          <w:szCs w:val="22"/>
          <w:lang w:eastAsia="en-AU"/>
        </w:rPr>
        <w:t>Therapeutic Goods (Determined Goods) Determination 2024</w:t>
      </w:r>
      <w:r w:rsidRPr="00426C8C">
        <w:rPr>
          <w:rFonts w:eastAsia="Times New Roman"/>
          <w:sz w:val="22"/>
          <w:szCs w:val="22"/>
          <w:lang w:eastAsia="en-AU"/>
        </w:rPr>
        <w:t xml:space="preserve"> (the Determination) is </w:t>
      </w:r>
      <w:r w:rsidR="008500D6" w:rsidRPr="00426C8C">
        <w:rPr>
          <w:rFonts w:eastAsia="Times New Roman"/>
          <w:sz w:val="22"/>
          <w:szCs w:val="22"/>
          <w:lang w:eastAsia="en-AU"/>
        </w:rPr>
        <w:t xml:space="preserve">a legislative instrument </w:t>
      </w:r>
      <w:r w:rsidRPr="00426C8C">
        <w:rPr>
          <w:rFonts w:eastAsia="Times New Roman"/>
          <w:sz w:val="22"/>
          <w:szCs w:val="22"/>
          <w:lang w:eastAsia="en-AU"/>
        </w:rPr>
        <w:t>made under section 7AAA of the Act. The Determination determines that specified goods, including specified goods when used, advertised, or presented for supply in a particular way, are therapeutic goods for the purposes of the Act.</w:t>
      </w:r>
    </w:p>
    <w:p w14:paraId="20AB5F73"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p>
    <w:p w14:paraId="69798F53" w14:textId="77777777" w:rsidR="004420F0" w:rsidRPr="00426C8C" w:rsidRDefault="004420F0" w:rsidP="004420F0">
      <w:pPr>
        <w:keepNext/>
        <w:autoSpaceDE w:val="0"/>
        <w:autoSpaceDN w:val="0"/>
        <w:adjustRightInd w:val="0"/>
        <w:spacing w:after="0" w:line="240" w:lineRule="auto"/>
        <w:rPr>
          <w:rFonts w:eastAsia="Times New Roman"/>
          <w:b/>
          <w:sz w:val="22"/>
          <w:szCs w:val="22"/>
          <w:lang w:eastAsia="en-AU"/>
        </w:rPr>
      </w:pPr>
      <w:r w:rsidRPr="00426C8C">
        <w:rPr>
          <w:rFonts w:eastAsia="Times New Roman"/>
          <w:b/>
          <w:sz w:val="22"/>
          <w:szCs w:val="22"/>
          <w:lang w:eastAsia="en-AU"/>
        </w:rPr>
        <w:t>Background</w:t>
      </w:r>
    </w:p>
    <w:p w14:paraId="777C471B" w14:textId="77777777" w:rsidR="004420F0" w:rsidRPr="00426C8C" w:rsidRDefault="004420F0" w:rsidP="004420F0">
      <w:pPr>
        <w:keepNext/>
        <w:autoSpaceDE w:val="0"/>
        <w:autoSpaceDN w:val="0"/>
        <w:adjustRightInd w:val="0"/>
        <w:spacing w:after="0" w:line="240" w:lineRule="auto"/>
        <w:rPr>
          <w:rFonts w:eastAsia="Times New Roman"/>
          <w:sz w:val="22"/>
          <w:szCs w:val="22"/>
          <w:lang w:eastAsia="en-AU"/>
        </w:rPr>
      </w:pPr>
    </w:p>
    <w:p w14:paraId="5B546D32"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426C8C">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50EDF14D"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534F0484"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196D2B39"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0C1FF96F"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41B0D4FE"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37E7DA8F"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Government’s vaping reforms are being implemented in stages over 2024. The </w:t>
      </w:r>
      <w:r w:rsidRPr="00426C8C">
        <w:rPr>
          <w:rFonts w:eastAsia="Times New Roman"/>
          <w:i/>
          <w:iCs/>
          <w:sz w:val="22"/>
          <w:szCs w:val="22"/>
          <w:lang w:eastAsia="en-AU"/>
        </w:rPr>
        <w:t>Therapeutic Goods and Other Legislation Amendment (Vaping Reforms) Act 2024</w:t>
      </w:r>
      <w:r w:rsidRPr="00426C8C">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54B861F6"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4092F52E"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first stage of the Government’s vaping reforms comprised amendments to </w:t>
      </w:r>
      <w:r w:rsidRPr="00426C8C">
        <w:rPr>
          <w:rFonts w:eastAsia="Times New Roman"/>
          <w:i/>
          <w:iCs/>
          <w:sz w:val="22"/>
          <w:szCs w:val="22"/>
          <w:lang w:eastAsia="en-AU"/>
        </w:rPr>
        <w:t>the Customs (Prohibited Imports) Regulations 1956</w:t>
      </w:r>
      <w:r w:rsidRPr="00426C8C">
        <w:rPr>
          <w:rFonts w:eastAsia="Times New Roman"/>
          <w:sz w:val="22"/>
          <w:szCs w:val="22"/>
          <w:lang w:eastAsia="en-AU"/>
        </w:rPr>
        <w:t xml:space="preserve">, </w:t>
      </w:r>
      <w:r w:rsidRPr="00426C8C">
        <w:rPr>
          <w:rFonts w:eastAsia="Times New Roman"/>
          <w:i/>
          <w:iCs/>
          <w:sz w:val="22"/>
          <w:szCs w:val="22"/>
          <w:lang w:eastAsia="en-AU"/>
        </w:rPr>
        <w:t>Therapeutic Goods Regulations 1990</w:t>
      </w:r>
      <w:r w:rsidRPr="00426C8C">
        <w:rPr>
          <w:rFonts w:eastAsia="Times New Roman"/>
          <w:sz w:val="22"/>
          <w:szCs w:val="22"/>
          <w:lang w:eastAsia="en-AU"/>
        </w:rPr>
        <w:t xml:space="preserve"> and </w:t>
      </w:r>
      <w:r w:rsidRPr="00426C8C">
        <w:rPr>
          <w:rFonts w:eastAsia="Times New Roman"/>
          <w:i/>
          <w:iCs/>
          <w:sz w:val="22"/>
          <w:szCs w:val="22"/>
          <w:lang w:eastAsia="en-AU"/>
        </w:rPr>
        <w:t>Therapeutic Goods (Medical Devices) Regulations 2002</w:t>
      </w:r>
      <w:r w:rsidRPr="00426C8C">
        <w:rPr>
          <w:rFonts w:eastAsia="Times New Roman"/>
          <w:sz w:val="22"/>
          <w:szCs w:val="22"/>
          <w:lang w:eastAsia="en-AU"/>
        </w:rPr>
        <w:t>. These amendments commenced on 1 January 2024 and introduced the following changes:</w:t>
      </w:r>
    </w:p>
    <w:p w14:paraId="60D4C53E"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5D9FCC10" w14:textId="77777777" w:rsidR="00426C8C" w:rsidRPr="00426C8C" w:rsidRDefault="00426C8C" w:rsidP="00426C8C">
      <w:pPr>
        <w:pStyle w:val="ListParagraph"/>
        <w:numPr>
          <w:ilvl w:val="0"/>
          <w:numId w:val="17"/>
        </w:num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56647B45" w14:textId="77777777" w:rsidR="00426C8C" w:rsidRPr="00426C8C" w:rsidRDefault="00426C8C" w:rsidP="00426C8C">
      <w:pPr>
        <w:pStyle w:val="ListParagraph"/>
        <w:autoSpaceDE w:val="0"/>
        <w:autoSpaceDN w:val="0"/>
        <w:adjustRightInd w:val="0"/>
        <w:spacing w:after="0" w:line="240" w:lineRule="auto"/>
        <w:rPr>
          <w:rFonts w:eastAsia="Times New Roman"/>
          <w:sz w:val="22"/>
          <w:szCs w:val="22"/>
          <w:lang w:eastAsia="en-AU"/>
        </w:rPr>
      </w:pPr>
    </w:p>
    <w:p w14:paraId="67D9F0C3" w14:textId="77777777" w:rsidR="00426C8C" w:rsidRPr="00426C8C" w:rsidRDefault="00426C8C" w:rsidP="00426C8C">
      <w:pPr>
        <w:pStyle w:val="ListParagraph"/>
        <w:numPr>
          <w:ilvl w:val="0"/>
          <w:numId w:val="17"/>
        </w:num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2EF65BDB" w14:textId="77777777" w:rsidR="00426C8C" w:rsidRPr="00426C8C" w:rsidRDefault="00426C8C" w:rsidP="00426C8C">
      <w:pPr>
        <w:pStyle w:val="ListParagraph"/>
        <w:autoSpaceDE w:val="0"/>
        <w:autoSpaceDN w:val="0"/>
        <w:adjustRightInd w:val="0"/>
        <w:spacing w:after="0" w:line="240" w:lineRule="auto"/>
        <w:rPr>
          <w:rFonts w:eastAsia="Times New Roman"/>
          <w:sz w:val="22"/>
          <w:szCs w:val="22"/>
          <w:lang w:eastAsia="en-AU"/>
        </w:rPr>
      </w:pPr>
    </w:p>
    <w:p w14:paraId="3C2EB36E" w14:textId="77777777" w:rsidR="00426C8C" w:rsidRPr="00426C8C" w:rsidRDefault="00426C8C" w:rsidP="00426C8C">
      <w:pPr>
        <w:pStyle w:val="ListParagraph"/>
        <w:numPr>
          <w:ilvl w:val="0"/>
          <w:numId w:val="17"/>
        </w:num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66A658C0" w14:textId="77777777" w:rsidR="00426C8C" w:rsidRPr="00426C8C" w:rsidRDefault="00426C8C" w:rsidP="00426C8C">
      <w:pPr>
        <w:autoSpaceDE w:val="0"/>
        <w:autoSpaceDN w:val="0"/>
        <w:adjustRightInd w:val="0"/>
        <w:spacing w:after="0" w:line="240" w:lineRule="auto"/>
        <w:rPr>
          <w:rFonts w:eastAsia="Times New Roman"/>
          <w:sz w:val="22"/>
          <w:szCs w:val="22"/>
          <w:lang w:eastAsia="en-AU"/>
        </w:rPr>
      </w:pPr>
    </w:p>
    <w:p w14:paraId="16A7BD22" w14:textId="1B82A208" w:rsidR="00426C8C" w:rsidRPr="00426C8C" w:rsidRDefault="00426C8C" w:rsidP="00426C8C">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The Amendment Act, commencing on 1 July 2024, implement</w:t>
      </w:r>
      <w:r w:rsidR="00703016">
        <w:rPr>
          <w:rFonts w:eastAsia="Times New Roman"/>
          <w:sz w:val="22"/>
          <w:szCs w:val="22"/>
          <w:lang w:eastAsia="en-AU"/>
        </w:rPr>
        <w:t>s</w:t>
      </w:r>
      <w:r w:rsidRPr="00426C8C">
        <w:rPr>
          <w:rFonts w:eastAsia="Times New Roman"/>
          <w:sz w:val="22"/>
          <w:szCs w:val="22"/>
          <w:lang w:eastAsia="en-AU"/>
        </w:rPr>
        <w:t xml:space="preserve"> the second stage of reforms to the regulation of vaping goods, principally to prohibit the importation, manufacture</w:t>
      </w:r>
      <w:r w:rsidR="00703016">
        <w:rPr>
          <w:rFonts w:eastAsia="Times New Roman"/>
          <w:sz w:val="22"/>
          <w:szCs w:val="22"/>
          <w:lang w:eastAsia="en-AU"/>
        </w:rPr>
        <w:t>,</w:t>
      </w:r>
      <w:r w:rsidR="0017203A">
        <w:rPr>
          <w:rFonts w:eastAsia="Times New Roman"/>
          <w:sz w:val="22"/>
          <w:szCs w:val="22"/>
          <w:lang w:eastAsia="en-AU"/>
        </w:rPr>
        <w:t xml:space="preserve"> supply,</w:t>
      </w:r>
      <w:r w:rsidR="00703016">
        <w:rPr>
          <w:rFonts w:eastAsia="Times New Roman"/>
          <w:sz w:val="22"/>
          <w:szCs w:val="22"/>
          <w:lang w:eastAsia="en-AU"/>
        </w:rPr>
        <w:t xml:space="preserve"> commercial possession</w:t>
      </w:r>
      <w:r w:rsidR="0017203A">
        <w:rPr>
          <w:rFonts w:eastAsia="Times New Roman"/>
          <w:sz w:val="22"/>
          <w:szCs w:val="22"/>
          <w:lang w:eastAsia="en-AU"/>
        </w:rPr>
        <w:t xml:space="preserve"> and</w:t>
      </w:r>
      <w:r w:rsidR="00703016">
        <w:rPr>
          <w:rFonts w:eastAsia="Times New Roman"/>
          <w:sz w:val="22"/>
          <w:szCs w:val="22"/>
          <w:lang w:eastAsia="en-AU"/>
        </w:rPr>
        <w:t xml:space="preserve"> advertisement</w:t>
      </w:r>
      <w:r w:rsidRPr="00426C8C">
        <w:rPr>
          <w:rFonts w:eastAsia="Times New Roman"/>
          <w:sz w:val="22"/>
          <w:szCs w:val="22"/>
          <w:lang w:eastAsia="en-AU"/>
        </w:rPr>
        <w:t xml:space="preserve"> of vaping goods in Australia unless certain requirements under the Act are met. </w:t>
      </w:r>
      <w:r w:rsidR="00703016">
        <w:rPr>
          <w:rFonts w:eastAsia="Times New Roman"/>
          <w:sz w:val="22"/>
          <w:szCs w:val="22"/>
          <w:lang w:eastAsia="en-AU"/>
        </w:rPr>
        <w:t xml:space="preserve">Therapeutic vaping goods that meet regulatory requirements for therapeutic goods under the Act will continue to be available where clinically appropriate. </w:t>
      </w:r>
      <w:r w:rsidRPr="00426C8C">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08633597" w14:textId="77777777" w:rsidR="004420F0" w:rsidRPr="00426C8C" w:rsidRDefault="004420F0" w:rsidP="004420F0">
      <w:pPr>
        <w:autoSpaceDE w:val="0"/>
        <w:autoSpaceDN w:val="0"/>
        <w:adjustRightInd w:val="0"/>
        <w:spacing w:after="0" w:line="240" w:lineRule="auto"/>
        <w:rPr>
          <w:rFonts w:eastAsia="Times New Roman"/>
          <w:bCs/>
          <w:sz w:val="22"/>
          <w:szCs w:val="22"/>
          <w:lang w:eastAsia="en-AU"/>
        </w:rPr>
      </w:pPr>
    </w:p>
    <w:p w14:paraId="610BA823" w14:textId="77777777" w:rsidR="004420F0" w:rsidRPr="00426C8C" w:rsidRDefault="004420F0" w:rsidP="004420F0">
      <w:pPr>
        <w:keepNext/>
        <w:autoSpaceDE w:val="0"/>
        <w:autoSpaceDN w:val="0"/>
        <w:adjustRightInd w:val="0"/>
        <w:spacing w:after="0" w:line="240" w:lineRule="auto"/>
        <w:rPr>
          <w:rFonts w:eastAsia="Times New Roman"/>
          <w:b/>
          <w:sz w:val="22"/>
          <w:szCs w:val="22"/>
          <w:lang w:eastAsia="en-AU"/>
        </w:rPr>
      </w:pPr>
      <w:r w:rsidRPr="00426C8C">
        <w:rPr>
          <w:rFonts w:eastAsia="Times New Roman"/>
          <w:b/>
          <w:sz w:val="22"/>
          <w:szCs w:val="22"/>
          <w:lang w:eastAsia="en-AU"/>
        </w:rPr>
        <w:t>Purpose</w:t>
      </w:r>
    </w:p>
    <w:p w14:paraId="173E2F18" w14:textId="77777777" w:rsidR="004420F0" w:rsidRPr="00426C8C" w:rsidRDefault="004420F0" w:rsidP="004420F0">
      <w:pPr>
        <w:keepNext/>
        <w:autoSpaceDE w:val="0"/>
        <w:autoSpaceDN w:val="0"/>
        <w:adjustRightInd w:val="0"/>
        <w:spacing w:after="0" w:line="240" w:lineRule="auto"/>
        <w:rPr>
          <w:rFonts w:eastAsia="Times New Roman"/>
          <w:sz w:val="22"/>
          <w:szCs w:val="22"/>
          <w:lang w:eastAsia="en-AU"/>
        </w:rPr>
      </w:pPr>
    </w:p>
    <w:p w14:paraId="47A1602B"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The Determination is made under section 7AAA of the Act. The Determination determines that specified goods, including specified goods when used, advertised, or presented for supply in a specified way, are therapeutic goods for the purposes of the Act.</w:t>
      </w:r>
    </w:p>
    <w:p w14:paraId="14F33128" w14:textId="77777777" w:rsidR="004420F0" w:rsidRPr="00426C8C" w:rsidRDefault="004420F0" w:rsidP="004420F0">
      <w:pPr>
        <w:autoSpaceDE w:val="0"/>
        <w:autoSpaceDN w:val="0"/>
        <w:adjustRightInd w:val="0"/>
        <w:spacing w:after="0" w:line="240" w:lineRule="auto"/>
        <w:rPr>
          <w:rFonts w:eastAsia="Times New Roman"/>
          <w:sz w:val="22"/>
          <w:szCs w:val="22"/>
          <w:lang w:eastAsia="en-AU"/>
        </w:rPr>
      </w:pPr>
    </w:p>
    <w:p w14:paraId="4CAB43DE" w14:textId="5BDBB4C2" w:rsidR="00562C95" w:rsidRPr="00426C8C" w:rsidRDefault="00562C95" w:rsidP="00562C95">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The Determination determines one item in the table in Schedule 1. That item specifies that goods containing nicotine for human use are therapeutic goods, with some exceptions. The exceptions are tobacco prepared and packed for smoking, foods that contain naturally occurring nicotine and tobacco products </w:t>
      </w:r>
      <w:r w:rsidRPr="00426C8C">
        <w:rPr>
          <w:sz w:val="22"/>
          <w:szCs w:val="22"/>
        </w:rPr>
        <w:t xml:space="preserve">that are permanently banned under Chapter 4 of the </w:t>
      </w:r>
      <w:r w:rsidRPr="00426C8C">
        <w:rPr>
          <w:i/>
          <w:iCs/>
          <w:sz w:val="22"/>
          <w:szCs w:val="22"/>
        </w:rPr>
        <w:t>Public Health (Tobacco and Other Products) Act 2023</w:t>
      </w:r>
      <w:r w:rsidRPr="00426C8C">
        <w:rPr>
          <w:rFonts w:eastAsia="Times New Roman"/>
          <w:sz w:val="22"/>
          <w:szCs w:val="22"/>
          <w:lang w:eastAsia="en-AU"/>
        </w:rPr>
        <w:t xml:space="preserve">. Nicotine is present in tobacco and naturally occurring in certain foods. However, tobacco prepared and packed for smoking, foods containing naturally occurring nicotine and tobacco products that are permanently banned </w:t>
      </w:r>
      <w:r w:rsidRPr="00426C8C">
        <w:rPr>
          <w:sz w:val="22"/>
          <w:szCs w:val="22"/>
        </w:rPr>
        <w:t xml:space="preserve">under Chapter 4 of the </w:t>
      </w:r>
      <w:r w:rsidRPr="00426C8C">
        <w:rPr>
          <w:i/>
          <w:iCs/>
          <w:sz w:val="22"/>
          <w:szCs w:val="22"/>
        </w:rPr>
        <w:t xml:space="preserve">Public Health (Tobacco and Other Products) Act 2023 </w:t>
      </w:r>
      <w:r w:rsidRPr="00426C8C">
        <w:rPr>
          <w:rFonts w:eastAsia="Times New Roman"/>
          <w:sz w:val="22"/>
          <w:szCs w:val="22"/>
          <w:lang w:eastAsia="en-AU"/>
        </w:rPr>
        <w:t>are not intended to be determined to be therapeutic goods.</w:t>
      </w:r>
    </w:p>
    <w:p w14:paraId="6157855F" w14:textId="77777777" w:rsidR="00562C95" w:rsidRPr="00426C8C" w:rsidRDefault="00562C95" w:rsidP="00562C95">
      <w:pPr>
        <w:autoSpaceDE w:val="0"/>
        <w:autoSpaceDN w:val="0"/>
        <w:adjustRightInd w:val="0"/>
        <w:spacing w:after="0" w:line="240" w:lineRule="auto"/>
        <w:rPr>
          <w:rFonts w:eastAsia="Times New Roman"/>
          <w:sz w:val="22"/>
          <w:szCs w:val="22"/>
          <w:lang w:eastAsia="en-AU"/>
        </w:rPr>
      </w:pPr>
    </w:p>
    <w:p w14:paraId="0D7F0818" w14:textId="4F6CCA90" w:rsidR="008D481D" w:rsidRDefault="008D481D" w:rsidP="00562C95">
      <w:pPr>
        <w:autoSpaceDE w:val="0"/>
        <w:autoSpaceDN w:val="0"/>
        <w:adjustRightInd w:val="0"/>
        <w:spacing w:after="0" w:line="240" w:lineRule="auto"/>
        <w:rPr>
          <w:rFonts w:eastAsia="Times New Roman"/>
          <w:sz w:val="22"/>
          <w:szCs w:val="22"/>
          <w:lang w:eastAsia="en-AU"/>
        </w:rPr>
      </w:pPr>
    </w:p>
    <w:p w14:paraId="23EAEE13" w14:textId="1BA3E595" w:rsidR="008D481D" w:rsidRPr="00426C8C" w:rsidRDefault="008D481D" w:rsidP="008D481D">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By contrast, goods containing nicotine for human use that are determined to be therapeutic goods include, but are not limited to, vaping goods</w:t>
      </w:r>
      <w:r w:rsidR="00D7775A">
        <w:rPr>
          <w:rFonts w:eastAsia="Times New Roman"/>
          <w:sz w:val="22"/>
          <w:szCs w:val="22"/>
          <w:lang w:eastAsia="en-AU"/>
        </w:rPr>
        <w:t xml:space="preserve"> (including </w:t>
      </w:r>
      <w:r w:rsidRPr="00426C8C">
        <w:rPr>
          <w:rFonts w:eastAsia="Times New Roman"/>
          <w:sz w:val="22"/>
          <w:szCs w:val="22"/>
          <w:lang w:eastAsia="en-AU"/>
        </w:rPr>
        <w:t>heat-not</w:t>
      </w:r>
      <w:r w:rsidR="00355302">
        <w:rPr>
          <w:rFonts w:eastAsia="Times New Roman"/>
          <w:sz w:val="22"/>
          <w:szCs w:val="22"/>
          <w:lang w:eastAsia="en-AU"/>
        </w:rPr>
        <w:t>-</w:t>
      </w:r>
      <w:r w:rsidRPr="00426C8C">
        <w:rPr>
          <w:rFonts w:eastAsia="Times New Roman"/>
          <w:sz w:val="22"/>
          <w:szCs w:val="22"/>
          <w:lang w:eastAsia="en-AU"/>
        </w:rPr>
        <w:t>burn products</w:t>
      </w:r>
      <w:r w:rsidR="00D7775A">
        <w:rPr>
          <w:rFonts w:eastAsia="Times New Roman"/>
          <w:sz w:val="22"/>
          <w:szCs w:val="22"/>
          <w:lang w:eastAsia="en-AU"/>
        </w:rPr>
        <w:t>)</w:t>
      </w:r>
      <w:r w:rsidRPr="00426C8C">
        <w:rPr>
          <w:rFonts w:eastAsia="Times New Roman"/>
          <w:sz w:val="22"/>
          <w:szCs w:val="22"/>
          <w:lang w:eastAsia="en-AU"/>
        </w:rPr>
        <w:t xml:space="preserve">, nicotine pouches, nicotine pearls, nicotine sachets, nicotine toothpicks and nicotine gummies. These goods are </w:t>
      </w:r>
      <w:r w:rsidRPr="00426C8C">
        <w:rPr>
          <w:rFonts w:eastAsia="Times New Roman"/>
          <w:sz w:val="22"/>
          <w:szCs w:val="22"/>
          <w:lang w:eastAsia="en-AU"/>
        </w:rPr>
        <w:lastRenderedPageBreak/>
        <w:t xml:space="preserve">determined </w:t>
      </w:r>
      <w:r>
        <w:rPr>
          <w:rFonts w:eastAsia="Times New Roman"/>
          <w:sz w:val="22"/>
          <w:szCs w:val="22"/>
          <w:lang w:eastAsia="en-AU"/>
        </w:rPr>
        <w:t xml:space="preserve">for the avoidance of doubt </w:t>
      </w:r>
      <w:r w:rsidRPr="00426C8C">
        <w:rPr>
          <w:rFonts w:eastAsia="Times New Roman"/>
          <w:sz w:val="22"/>
          <w:szCs w:val="22"/>
          <w:lang w:eastAsia="en-AU"/>
        </w:rPr>
        <w:t>to be therapeutic goods irrespective of their nicotine concentration, dosage form, route of administration, presentation, indications or other claims.</w:t>
      </w:r>
    </w:p>
    <w:p w14:paraId="06BC0EAC" w14:textId="77777777" w:rsidR="008D481D" w:rsidRPr="00426C8C" w:rsidRDefault="008D481D" w:rsidP="008D481D">
      <w:pPr>
        <w:autoSpaceDE w:val="0"/>
        <w:autoSpaceDN w:val="0"/>
        <w:adjustRightInd w:val="0"/>
        <w:spacing w:after="0" w:line="240" w:lineRule="auto"/>
        <w:rPr>
          <w:rFonts w:eastAsia="Times New Roman"/>
          <w:sz w:val="22"/>
          <w:szCs w:val="22"/>
          <w:lang w:eastAsia="en-AU"/>
        </w:rPr>
      </w:pPr>
    </w:p>
    <w:p w14:paraId="682AAC1F" w14:textId="0C1589C0" w:rsidR="008D481D" w:rsidRPr="00426C8C" w:rsidRDefault="008D481D" w:rsidP="00562C95">
      <w:pPr>
        <w:autoSpaceDE w:val="0"/>
        <w:autoSpaceDN w:val="0"/>
        <w:adjustRightInd w:val="0"/>
        <w:spacing w:after="0" w:line="240" w:lineRule="auto"/>
        <w:rPr>
          <w:rFonts w:eastAsia="Times New Roman"/>
          <w:sz w:val="22"/>
          <w:szCs w:val="22"/>
          <w:lang w:eastAsia="en-AU"/>
        </w:rPr>
      </w:pPr>
      <w:r w:rsidRPr="00426C8C">
        <w:rPr>
          <w:rFonts w:eastAsia="Times New Roman"/>
          <w:sz w:val="22"/>
          <w:szCs w:val="22"/>
          <w:lang w:eastAsia="en-AU"/>
        </w:rPr>
        <w:t xml:space="preserve">This reflects the </w:t>
      </w:r>
      <w:r>
        <w:rPr>
          <w:rFonts w:eastAsia="Times New Roman"/>
          <w:sz w:val="22"/>
          <w:szCs w:val="22"/>
          <w:lang w:eastAsia="en-AU"/>
        </w:rPr>
        <w:t xml:space="preserve">Department’s long-standing </w:t>
      </w:r>
      <w:r w:rsidR="006164F0">
        <w:rPr>
          <w:rFonts w:eastAsia="Times New Roman"/>
          <w:sz w:val="22"/>
          <w:szCs w:val="22"/>
          <w:lang w:eastAsia="en-AU"/>
        </w:rPr>
        <w:t>policy</w:t>
      </w:r>
      <w:r w:rsidR="00D7775A">
        <w:rPr>
          <w:rFonts w:eastAsia="Times New Roman"/>
          <w:sz w:val="22"/>
          <w:szCs w:val="22"/>
          <w:lang w:eastAsia="en-AU"/>
        </w:rPr>
        <w:t xml:space="preserve"> and practice</w:t>
      </w:r>
      <w:r w:rsidRPr="00426C8C">
        <w:rPr>
          <w:rFonts w:eastAsia="Times New Roman"/>
          <w:sz w:val="22"/>
          <w:szCs w:val="22"/>
          <w:lang w:eastAsia="en-AU"/>
        </w:rPr>
        <w:t xml:space="preserve"> in relation to the regulatory status of these goods, and removes any doubt about whether these goods are in fact therapeutic goods. The effect of the Determination is that goods containing nicotine for human use </w:t>
      </w:r>
      <w:r>
        <w:rPr>
          <w:rFonts w:eastAsia="Times New Roman"/>
          <w:sz w:val="22"/>
          <w:szCs w:val="22"/>
          <w:lang w:eastAsia="en-AU"/>
        </w:rPr>
        <w:t>are</w:t>
      </w:r>
      <w:r w:rsidRPr="00426C8C">
        <w:rPr>
          <w:rFonts w:eastAsia="Times New Roman"/>
          <w:sz w:val="22"/>
          <w:szCs w:val="22"/>
          <w:lang w:eastAsia="en-AU"/>
        </w:rPr>
        <w:t xml:space="preserve"> subject to the regulatory framework for therapeutic goods under the Act. Accordingly, such goods </w:t>
      </w:r>
      <w:r>
        <w:rPr>
          <w:rFonts w:eastAsia="Times New Roman"/>
          <w:sz w:val="22"/>
          <w:szCs w:val="22"/>
          <w:lang w:eastAsia="en-AU"/>
        </w:rPr>
        <w:t xml:space="preserve">must </w:t>
      </w:r>
      <w:r w:rsidRPr="00426C8C">
        <w:rPr>
          <w:rFonts w:eastAsia="Times New Roman"/>
          <w:sz w:val="22"/>
          <w:szCs w:val="22"/>
          <w:lang w:eastAsia="en-AU"/>
        </w:rPr>
        <w:t>be in</w:t>
      </w:r>
      <w:r>
        <w:rPr>
          <w:rFonts w:eastAsia="Times New Roman"/>
          <w:sz w:val="22"/>
          <w:szCs w:val="22"/>
          <w:lang w:eastAsia="en-AU"/>
        </w:rPr>
        <w:t>cluded in</w:t>
      </w:r>
      <w:r w:rsidRPr="00426C8C">
        <w:rPr>
          <w:rFonts w:eastAsia="Times New Roman"/>
          <w:sz w:val="22"/>
          <w:szCs w:val="22"/>
          <w:lang w:eastAsia="en-AU"/>
        </w:rPr>
        <w:t xml:space="preserve"> the Australian Register of Therapeutic Goods to be lawfully imported, exported, manufactured or supplied, unless subject to an exemption, approval or authority under the Act. In addition, requirements relating to compliance with applicable standards, manufacturing principles and advertising controls apply.</w:t>
      </w:r>
    </w:p>
    <w:p w14:paraId="04A442C7" w14:textId="77777777" w:rsidR="00457870" w:rsidRPr="00426C8C" w:rsidRDefault="00457870" w:rsidP="004420F0">
      <w:pPr>
        <w:autoSpaceDE w:val="0"/>
        <w:autoSpaceDN w:val="0"/>
        <w:adjustRightInd w:val="0"/>
        <w:spacing w:after="0" w:line="240" w:lineRule="auto"/>
        <w:rPr>
          <w:rFonts w:eastAsia="Times New Roman"/>
          <w:sz w:val="22"/>
          <w:szCs w:val="22"/>
          <w:lang w:eastAsia="en-AU"/>
        </w:rPr>
      </w:pPr>
    </w:p>
    <w:p w14:paraId="788FD88D" w14:textId="77777777" w:rsidR="00E744B0" w:rsidRPr="00426C8C" w:rsidRDefault="00E744B0" w:rsidP="0072456A">
      <w:pPr>
        <w:keepNext/>
        <w:spacing w:after="0" w:line="240" w:lineRule="auto"/>
        <w:rPr>
          <w:rFonts w:eastAsia="Times New Roman"/>
          <w:b/>
          <w:sz w:val="22"/>
          <w:szCs w:val="22"/>
          <w:lang w:eastAsia="en-AU"/>
        </w:rPr>
      </w:pPr>
      <w:r w:rsidRPr="00426C8C">
        <w:rPr>
          <w:rFonts w:eastAsia="Times New Roman"/>
          <w:b/>
          <w:sz w:val="22"/>
          <w:szCs w:val="22"/>
          <w:lang w:eastAsia="en-AU"/>
        </w:rPr>
        <w:t>Human rights implications</w:t>
      </w:r>
    </w:p>
    <w:p w14:paraId="4173A14B" w14:textId="77777777" w:rsidR="00E744B0" w:rsidRPr="00426C8C" w:rsidRDefault="00E744B0" w:rsidP="0072456A">
      <w:pPr>
        <w:keepNext/>
        <w:spacing w:after="0" w:line="240" w:lineRule="auto"/>
        <w:rPr>
          <w:rFonts w:eastAsia="Times New Roman"/>
          <w:sz w:val="22"/>
          <w:szCs w:val="22"/>
          <w:lang w:eastAsia="en-AU"/>
        </w:rPr>
      </w:pPr>
      <w:bookmarkStart w:id="4" w:name="_Hlk169702464"/>
    </w:p>
    <w:p w14:paraId="0BFF8EB2" w14:textId="27689508" w:rsidR="00E744B0" w:rsidRPr="00426C8C" w:rsidRDefault="00E744B0" w:rsidP="000B31F9">
      <w:pPr>
        <w:spacing w:after="0" w:line="240" w:lineRule="auto"/>
        <w:rPr>
          <w:rFonts w:eastAsia="Times New Roman"/>
          <w:sz w:val="22"/>
          <w:szCs w:val="22"/>
          <w:lang w:eastAsia="en-AU"/>
        </w:rPr>
      </w:pPr>
      <w:r w:rsidRPr="00426C8C">
        <w:rPr>
          <w:rFonts w:eastAsia="Times New Roman"/>
          <w:sz w:val="22"/>
          <w:szCs w:val="22"/>
          <w:lang w:eastAsia="en-AU"/>
        </w:rPr>
        <w:t xml:space="preserve">The </w:t>
      </w:r>
      <w:r w:rsidR="00BA2EE9" w:rsidRPr="00426C8C">
        <w:rPr>
          <w:rFonts w:eastAsia="Times New Roman"/>
          <w:sz w:val="22"/>
          <w:szCs w:val="22"/>
          <w:lang w:eastAsia="en-AU"/>
        </w:rPr>
        <w:t>Determination</w:t>
      </w:r>
      <w:r w:rsidRPr="00426C8C">
        <w:rPr>
          <w:rFonts w:eastAsia="Times New Roman"/>
          <w:sz w:val="22"/>
          <w:szCs w:val="22"/>
          <w:lang w:eastAsia="en-AU"/>
        </w:rPr>
        <w:t xml:space="preserve"> engages the right to health in Article 12 of the International Covenant on Economic, Social and Cultural rights (</w:t>
      </w:r>
      <w:r w:rsidR="00001411" w:rsidRPr="00426C8C">
        <w:rPr>
          <w:rFonts w:eastAsia="Times New Roman"/>
          <w:sz w:val="22"/>
          <w:szCs w:val="22"/>
          <w:lang w:eastAsia="en-AU"/>
        </w:rPr>
        <w:t xml:space="preserve">the </w:t>
      </w:r>
      <w:r w:rsidRPr="00426C8C">
        <w:rPr>
          <w:rFonts w:eastAsia="Times New Roman"/>
          <w:sz w:val="22"/>
          <w:szCs w:val="22"/>
          <w:lang w:eastAsia="en-AU"/>
        </w:rPr>
        <w:t>ICESCR). Article 12 of the ICESCR promotes the right of all individuals to enjoy the highest attainable standards of physical and mental health</w:t>
      </w:r>
      <w:r w:rsidR="002D0A2B" w:rsidRPr="00426C8C">
        <w:rPr>
          <w:rFonts w:eastAsia="Times New Roman"/>
          <w:sz w:val="22"/>
          <w:szCs w:val="22"/>
          <w:lang w:eastAsia="en-AU"/>
        </w:rPr>
        <w:t>, and includes an obligation to take reasonable measures within available resources to progressively secure broader enjoyment of the right</w:t>
      </w:r>
      <w:r w:rsidRPr="00426C8C">
        <w:rPr>
          <w:rFonts w:eastAsia="Times New Roman"/>
          <w:sz w:val="22"/>
          <w:szCs w:val="22"/>
          <w:lang w:eastAsia="en-AU"/>
        </w:rPr>
        <w:t>.</w:t>
      </w:r>
    </w:p>
    <w:p w14:paraId="6611EAF9" w14:textId="77777777" w:rsidR="00E744B0" w:rsidRPr="00426C8C" w:rsidRDefault="00E744B0" w:rsidP="000B31F9">
      <w:pPr>
        <w:spacing w:after="0" w:line="240" w:lineRule="auto"/>
        <w:rPr>
          <w:rFonts w:eastAsia="Times New Roman"/>
          <w:sz w:val="22"/>
          <w:szCs w:val="22"/>
          <w:lang w:eastAsia="en-AU"/>
        </w:rPr>
      </w:pPr>
    </w:p>
    <w:p w14:paraId="04F1CA20" w14:textId="1A96D526" w:rsidR="00E0725D" w:rsidRPr="00426C8C" w:rsidRDefault="00E0725D" w:rsidP="000B31F9">
      <w:pPr>
        <w:spacing w:after="0" w:line="240" w:lineRule="auto"/>
        <w:rPr>
          <w:rFonts w:eastAsia="Times New Roman"/>
          <w:sz w:val="22"/>
          <w:szCs w:val="22"/>
          <w:lang w:eastAsia="en-AU"/>
        </w:rPr>
      </w:pPr>
      <w:r w:rsidRPr="00426C8C">
        <w:rPr>
          <w:sz w:val="22"/>
          <w:szCs w:val="22"/>
        </w:rPr>
        <w:t xml:space="preserve">In </w:t>
      </w:r>
      <w:r w:rsidRPr="00426C8C">
        <w:rPr>
          <w:i/>
          <w:iCs/>
          <w:sz w:val="22"/>
          <w:szCs w:val="22"/>
        </w:rPr>
        <w:t xml:space="preserve">General Comment No. 14: The Right to the Highest Attainable Standard of Health </w:t>
      </w:r>
      <w:r w:rsidRPr="00426C8C">
        <w:rPr>
          <w:sz w:val="22"/>
          <w:szCs w:val="22"/>
        </w:rPr>
        <w:t xml:space="preserve">(Art. 12) (2000), </w:t>
      </w:r>
      <w:r w:rsidRPr="00426C8C">
        <w:rPr>
          <w:rFonts w:eastAsia="Times New Roman"/>
          <w:sz w:val="22"/>
          <w:szCs w:val="22"/>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DA7FBA" w:rsidRPr="00426C8C">
        <w:rPr>
          <w:rFonts w:eastAsia="Times New Roman"/>
          <w:sz w:val="22"/>
          <w:szCs w:val="22"/>
          <w:lang w:eastAsia="en-AU"/>
        </w:rPr>
        <w:t>,</w:t>
      </w:r>
      <w:r w:rsidRPr="00426C8C">
        <w:rPr>
          <w:rFonts w:eastAsia="Times New Roman"/>
          <w:sz w:val="22"/>
          <w:szCs w:val="22"/>
          <w:lang w:eastAsia="en-AU"/>
        </w:rPr>
        <w:t xml:space="preserve"> which provides equal opportunity for people to enjoy the highest attainable level of health.</w:t>
      </w:r>
    </w:p>
    <w:p w14:paraId="4AE3D603" w14:textId="77777777" w:rsidR="00E0725D" w:rsidRPr="00426C8C" w:rsidRDefault="00E0725D" w:rsidP="000B31F9">
      <w:pPr>
        <w:spacing w:after="0" w:line="240" w:lineRule="auto"/>
        <w:rPr>
          <w:rFonts w:eastAsia="Times New Roman"/>
          <w:sz w:val="22"/>
          <w:szCs w:val="22"/>
          <w:lang w:eastAsia="en-AU"/>
        </w:rPr>
      </w:pPr>
    </w:p>
    <w:p w14:paraId="21960742" w14:textId="722A1551" w:rsidR="00E0725D" w:rsidRPr="00426C8C" w:rsidRDefault="00E0725D" w:rsidP="000B31F9">
      <w:pPr>
        <w:spacing w:after="0" w:line="240" w:lineRule="auto"/>
        <w:rPr>
          <w:sz w:val="22"/>
          <w:szCs w:val="22"/>
        </w:rPr>
      </w:pPr>
      <w:r w:rsidRPr="00426C8C">
        <w:rPr>
          <w:sz w:val="22"/>
          <w:szCs w:val="22"/>
        </w:rPr>
        <w:t xml:space="preserve">Vaping has been associated with a range of short-term health risks and its long-term health effects are still unknown. Vape marketing and use in the community has increased rapidly in recent years, particularly among </w:t>
      </w:r>
      <w:r w:rsidR="00944F72" w:rsidRPr="00426C8C">
        <w:rPr>
          <w:sz w:val="22"/>
          <w:szCs w:val="22"/>
        </w:rPr>
        <w:t xml:space="preserve">youth and </w:t>
      </w:r>
      <w:r w:rsidRPr="00426C8C">
        <w:rPr>
          <w:sz w:val="22"/>
          <w:szCs w:val="22"/>
        </w:rPr>
        <w:t xml:space="preserve">young </w:t>
      </w:r>
      <w:r w:rsidR="00944F72" w:rsidRPr="00426C8C">
        <w:rPr>
          <w:sz w:val="22"/>
          <w:szCs w:val="22"/>
        </w:rPr>
        <w:t>adults</w:t>
      </w:r>
      <w:r w:rsidRPr="00426C8C">
        <w:rPr>
          <w:sz w:val="22"/>
          <w:szCs w:val="22"/>
        </w:rPr>
        <w:t xml:space="preserve"> and poses a major risk to population health and Australia’s success in tobacco control.</w:t>
      </w:r>
    </w:p>
    <w:p w14:paraId="13A14479" w14:textId="77777777" w:rsidR="00E0725D" w:rsidRPr="00426C8C" w:rsidRDefault="00E0725D" w:rsidP="000B31F9">
      <w:pPr>
        <w:spacing w:after="0" w:line="240" w:lineRule="auto"/>
        <w:rPr>
          <w:sz w:val="22"/>
          <w:szCs w:val="22"/>
        </w:rPr>
      </w:pPr>
    </w:p>
    <w:p w14:paraId="2CCC931A" w14:textId="397C50DD" w:rsidR="00E0725D" w:rsidRPr="00426C8C" w:rsidRDefault="00E0725D" w:rsidP="000B31F9">
      <w:pPr>
        <w:spacing w:after="0" w:line="240" w:lineRule="auto"/>
        <w:rPr>
          <w:sz w:val="22"/>
          <w:szCs w:val="22"/>
        </w:rPr>
      </w:pPr>
      <w:r w:rsidRPr="00426C8C">
        <w:rPr>
          <w:sz w:val="22"/>
          <w:szCs w:val="22"/>
        </w:rPr>
        <w:t>The</w:t>
      </w:r>
      <w:r w:rsidR="00BA6113" w:rsidRPr="00426C8C">
        <w:rPr>
          <w:sz w:val="22"/>
          <w:szCs w:val="22"/>
        </w:rPr>
        <w:t xml:space="preserve"> reforms to the regulation of vapes </w:t>
      </w:r>
      <w:r w:rsidRPr="00426C8C">
        <w:rPr>
          <w:sz w:val="22"/>
          <w:szCs w:val="22"/>
        </w:rPr>
        <w:t xml:space="preserve">support the availability of therapeutic vaping goods to persons who require </w:t>
      </w:r>
      <w:r w:rsidR="00DC4722" w:rsidRPr="00426C8C">
        <w:rPr>
          <w:sz w:val="22"/>
          <w:szCs w:val="22"/>
        </w:rPr>
        <w:t xml:space="preserve">such </w:t>
      </w:r>
      <w:r w:rsidRPr="00426C8C">
        <w:rPr>
          <w:sz w:val="22"/>
          <w:szCs w:val="22"/>
        </w:rPr>
        <w:t xml:space="preserve">goods </w:t>
      </w:r>
      <w:r w:rsidR="005C494A" w:rsidRPr="00426C8C">
        <w:rPr>
          <w:sz w:val="22"/>
          <w:szCs w:val="22"/>
        </w:rPr>
        <w:t xml:space="preserve">for smoking cessation or the </w:t>
      </w:r>
      <w:r w:rsidRPr="00426C8C">
        <w:rPr>
          <w:sz w:val="22"/>
          <w:szCs w:val="22"/>
        </w:rPr>
        <w:t>management of nicotine dependence</w:t>
      </w:r>
      <w:r w:rsidR="00DC4722" w:rsidRPr="00426C8C">
        <w:rPr>
          <w:sz w:val="22"/>
          <w:szCs w:val="22"/>
        </w:rPr>
        <w:t xml:space="preserve"> under the supervision of a</w:t>
      </w:r>
      <w:r w:rsidR="00F249CF" w:rsidRPr="00426C8C">
        <w:rPr>
          <w:sz w:val="22"/>
          <w:szCs w:val="22"/>
        </w:rPr>
        <w:t xml:space="preserve"> </w:t>
      </w:r>
      <w:r w:rsidR="00DC4722" w:rsidRPr="00426C8C">
        <w:rPr>
          <w:sz w:val="22"/>
          <w:szCs w:val="22"/>
        </w:rPr>
        <w:t>health practitioner</w:t>
      </w:r>
      <w:r w:rsidRPr="00426C8C">
        <w:rPr>
          <w:sz w:val="22"/>
          <w:szCs w:val="22"/>
        </w:rPr>
        <w:t xml:space="preserve">, </w:t>
      </w:r>
      <w:r w:rsidR="00DC4722" w:rsidRPr="00426C8C">
        <w:rPr>
          <w:sz w:val="22"/>
          <w:szCs w:val="22"/>
        </w:rPr>
        <w:t>and ensure</w:t>
      </w:r>
      <w:r w:rsidRPr="00426C8C">
        <w:rPr>
          <w:sz w:val="22"/>
          <w:szCs w:val="22"/>
        </w:rPr>
        <w:t xml:space="preserve"> th</w:t>
      </w:r>
      <w:r w:rsidR="00DC4722" w:rsidRPr="00426C8C">
        <w:rPr>
          <w:sz w:val="22"/>
          <w:szCs w:val="22"/>
        </w:rPr>
        <w:t xml:space="preserve">e application of </w:t>
      </w:r>
      <w:r w:rsidRPr="00426C8C">
        <w:rPr>
          <w:sz w:val="22"/>
          <w:szCs w:val="22"/>
        </w:rPr>
        <w:t xml:space="preserve">minimum </w:t>
      </w:r>
      <w:r w:rsidR="00DC4722" w:rsidRPr="00426C8C">
        <w:rPr>
          <w:sz w:val="22"/>
          <w:szCs w:val="22"/>
        </w:rPr>
        <w:t xml:space="preserve">quality and safety </w:t>
      </w:r>
      <w:r w:rsidRPr="00426C8C">
        <w:rPr>
          <w:sz w:val="22"/>
          <w:szCs w:val="22"/>
        </w:rPr>
        <w:t>standards</w:t>
      </w:r>
      <w:r w:rsidR="00DC62EB" w:rsidRPr="00426C8C">
        <w:rPr>
          <w:sz w:val="22"/>
          <w:szCs w:val="22"/>
        </w:rPr>
        <w:t xml:space="preserve"> to vaping goods</w:t>
      </w:r>
      <w:r w:rsidRPr="00426C8C">
        <w:rPr>
          <w:sz w:val="22"/>
          <w:szCs w:val="22"/>
        </w:rPr>
        <w:t>.</w:t>
      </w:r>
    </w:p>
    <w:p w14:paraId="3F340850" w14:textId="77777777" w:rsidR="00E0725D" w:rsidRPr="00426C8C" w:rsidRDefault="00E0725D" w:rsidP="000B31F9">
      <w:pPr>
        <w:spacing w:after="0" w:line="240" w:lineRule="auto"/>
        <w:rPr>
          <w:sz w:val="22"/>
          <w:szCs w:val="22"/>
        </w:rPr>
      </w:pPr>
    </w:p>
    <w:p w14:paraId="255C4D0D" w14:textId="5380B438" w:rsidR="00DD4159" w:rsidRPr="00426C8C" w:rsidRDefault="00DD4159" w:rsidP="00DD4159">
      <w:pPr>
        <w:spacing w:after="0" w:line="240" w:lineRule="auto"/>
        <w:rPr>
          <w:rFonts w:eastAsia="Times New Roman"/>
          <w:sz w:val="22"/>
          <w:szCs w:val="22"/>
          <w:lang w:eastAsia="en-AU"/>
        </w:rPr>
      </w:pPr>
      <w:r w:rsidRPr="00426C8C">
        <w:rPr>
          <w:rFonts w:eastAsia="Times New Roman"/>
          <w:sz w:val="22"/>
          <w:szCs w:val="22"/>
          <w:lang w:eastAsia="en-AU"/>
        </w:rPr>
        <w:t>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3ACBF90C" w14:textId="77777777" w:rsidR="00540BA1" w:rsidRPr="00426C8C" w:rsidRDefault="00540BA1" w:rsidP="00540BA1">
      <w:pPr>
        <w:autoSpaceDE w:val="0"/>
        <w:autoSpaceDN w:val="0"/>
        <w:adjustRightInd w:val="0"/>
        <w:spacing w:after="0" w:line="240" w:lineRule="auto"/>
        <w:rPr>
          <w:rFonts w:eastAsia="Times New Roman"/>
          <w:sz w:val="22"/>
          <w:szCs w:val="22"/>
          <w:lang w:eastAsia="en-AU"/>
        </w:rPr>
      </w:pPr>
      <w:bookmarkStart w:id="5" w:name="_Hlk153322980"/>
    </w:p>
    <w:bookmarkEnd w:id="4"/>
    <w:bookmarkEnd w:id="5"/>
    <w:p w14:paraId="281EF460" w14:textId="3CE3133A" w:rsidR="00EE5C56" w:rsidRPr="00426C8C" w:rsidRDefault="00BA6113" w:rsidP="000B31F9">
      <w:pPr>
        <w:spacing w:after="0" w:line="240" w:lineRule="auto"/>
        <w:rPr>
          <w:rFonts w:eastAsia="Times New Roman"/>
          <w:sz w:val="22"/>
          <w:szCs w:val="22"/>
          <w:lang w:eastAsia="en-AU"/>
        </w:rPr>
      </w:pPr>
      <w:r w:rsidRPr="00426C8C">
        <w:rPr>
          <w:sz w:val="22"/>
          <w:szCs w:val="22"/>
        </w:rPr>
        <w:t xml:space="preserve">The Determination takes positive steps to promote the right to health by supporting the </w:t>
      </w:r>
      <w:r w:rsidR="00DD4159" w:rsidRPr="00426C8C">
        <w:rPr>
          <w:sz w:val="22"/>
          <w:szCs w:val="22"/>
        </w:rPr>
        <w:t xml:space="preserve">vaping </w:t>
      </w:r>
      <w:r w:rsidRPr="00426C8C">
        <w:rPr>
          <w:sz w:val="22"/>
          <w:szCs w:val="22"/>
        </w:rPr>
        <w:t>reforms</w:t>
      </w:r>
      <w:r w:rsidR="00DA7FBA" w:rsidRPr="00426C8C">
        <w:rPr>
          <w:sz w:val="22"/>
          <w:szCs w:val="22"/>
        </w:rPr>
        <w:t xml:space="preserve"> and</w:t>
      </w:r>
      <w:r w:rsidR="002032B3" w:rsidRPr="00426C8C">
        <w:rPr>
          <w:sz w:val="22"/>
          <w:szCs w:val="22"/>
        </w:rPr>
        <w:t xml:space="preserve"> </w:t>
      </w:r>
      <w:r w:rsidR="006D07AB">
        <w:rPr>
          <w:sz w:val="22"/>
          <w:szCs w:val="22"/>
        </w:rPr>
        <w:t>providing certainty about</w:t>
      </w:r>
      <w:r w:rsidR="006D07AB" w:rsidRPr="00426C8C">
        <w:rPr>
          <w:sz w:val="22"/>
          <w:szCs w:val="22"/>
        </w:rPr>
        <w:t xml:space="preserve"> </w:t>
      </w:r>
      <w:r w:rsidR="00CC4FB0" w:rsidRPr="00426C8C">
        <w:rPr>
          <w:sz w:val="22"/>
          <w:szCs w:val="22"/>
        </w:rPr>
        <w:t xml:space="preserve">the regulatory status of goods containing nicotine. </w:t>
      </w:r>
      <w:r w:rsidR="005F62AB" w:rsidRPr="00426C8C">
        <w:rPr>
          <w:sz w:val="22"/>
          <w:szCs w:val="22"/>
        </w:rPr>
        <w:t>G</w:t>
      </w:r>
      <w:r w:rsidR="00CC4FB0" w:rsidRPr="00426C8C">
        <w:rPr>
          <w:sz w:val="22"/>
          <w:szCs w:val="22"/>
        </w:rPr>
        <w:t xml:space="preserve">oods that </w:t>
      </w:r>
      <w:r w:rsidR="005F62AB" w:rsidRPr="00426C8C">
        <w:rPr>
          <w:sz w:val="22"/>
          <w:szCs w:val="22"/>
        </w:rPr>
        <w:t xml:space="preserve">contain nicotine that are not regulated as therapeutic goods may </w:t>
      </w:r>
      <w:r w:rsidR="005D7EB7" w:rsidRPr="00426C8C">
        <w:rPr>
          <w:sz w:val="22"/>
          <w:szCs w:val="22"/>
        </w:rPr>
        <w:t>pose a risk to the Australian public</w:t>
      </w:r>
      <w:r w:rsidR="002E71B1" w:rsidRPr="00426C8C">
        <w:rPr>
          <w:sz w:val="22"/>
          <w:szCs w:val="22"/>
        </w:rPr>
        <w:t>. This is</w:t>
      </w:r>
      <w:r w:rsidR="005D7EB7" w:rsidRPr="00426C8C">
        <w:rPr>
          <w:sz w:val="22"/>
          <w:szCs w:val="22"/>
        </w:rPr>
        <w:t xml:space="preserve"> due to the negative health effects that may arise from the </w:t>
      </w:r>
      <w:r w:rsidR="005F62AB" w:rsidRPr="00426C8C">
        <w:rPr>
          <w:sz w:val="22"/>
          <w:szCs w:val="22"/>
        </w:rPr>
        <w:t xml:space="preserve">supply of goods containing nicotine that are not regulated as therapeutic goods. The Determination promotes the right </w:t>
      </w:r>
      <w:r w:rsidR="00D026A9" w:rsidRPr="00426C8C">
        <w:rPr>
          <w:sz w:val="22"/>
          <w:szCs w:val="22"/>
        </w:rPr>
        <w:t xml:space="preserve">health by </w:t>
      </w:r>
      <w:r w:rsidR="00790F8D">
        <w:rPr>
          <w:sz w:val="22"/>
          <w:szCs w:val="22"/>
        </w:rPr>
        <w:t xml:space="preserve">putting beyond doubt that </w:t>
      </w:r>
      <w:r w:rsidR="00D026A9" w:rsidRPr="00426C8C">
        <w:rPr>
          <w:sz w:val="22"/>
          <w:szCs w:val="22"/>
        </w:rPr>
        <w:t xml:space="preserve">regulatory requirements </w:t>
      </w:r>
      <w:r w:rsidR="005F62AB" w:rsidRPr="00426C8C">
        <w:rPr>
          <w:sz w:val="22"/>
          <w:szCs w:val="22"/>
        </w:rPr>
        <w:t xml:space="preserve">under the Act </w:t>
      </w:r>
      <w:r w:rsidR="00790F8D">
        <w:rPr>
          <w:sz w:val="22"/>
          <w:szCs w:val="22"/>
        </w:rPr>
        <w:t xml:space="preserve">are imposed </w:t>
      </w:r>
      <w:r w:rsidR="005F62AB" w:rsidRPr="00426C8C">
        <w:rPr>
          <w:sz w:val="22"/>
          <w:szCs w:val="22"/>
        </w:rPr>
        <w:t xml:space="preserve">on goods that contain nicotine </w:t>
      </w:r>
      <w:r w:rsidR="005B77CC" w:rsidRPr="00426C8C">
        <w:rPr>
          <w:sz w:val="22"/>
          <w:szCs w:val="22"/>
        </w:rPr>
        <w:t>in the interests of public health and safety</w:t>
      </w:r>
      <w:r w:rsidR="005F62AB" w:rsidRPr="00426C8C">
        <w:rPr>
          <w:sz w:val="22"/>
          <w:szCs w:val="22"/>
        </w:rPr>
        <w:t>.</w:t>
      </w:r>
    </w:p>
    <w:p w14:paraId="56F18AAF" w14:textId="77777777" w:rsidR="00E744B0" w:rsidRPr="00426C8C" w:rsidRDefault="00E744B0" w:rsidP="000B31F9">
      <w:pPr>
        <w:keepNext/>
        <w:spacing w:after="0" w:line="240" w:lineRule="auto"/>
        <w:rPr>
          <w:rFonts w:eastAsia="Times New Roman"/>
          <w:bCs/>
          <w:sz w:val="22"/>
          <w:szCs w:val="22"/>
          <w:lang w:eastAsia="en-AU"/>
        </w:rPr>
      </w:pPr>
    </w:p>
    <w:p w14:paraId="65A01B90" w14:textId="07154B2C" w:rsidR="001E51F5" w:rsidRPr="00426C8C" w:rsidRDefault="001E51F5" w:rsidP="000B31F9">
      <w:pPr>
        <w:keepNext/>
        <w:spacing w:after="0" w:line="240" w:lineRule="auto"/>
        <w:rPr>
          <w:rFonts w:eastAsia="Times New Roman"/>
          <w:b/>
          <w:sz w:val="22"/>
          <w:szCs w:val="22"/>
          <w:lang w:eastAsia="en-AU"/>
        </w:rPr>
      </w:pPr>
      <w:r w:rsidRPr="00426C8C">
        <w:rPr>
          <w:rFonts w:eastAsia="Times New Roman"/>
          <w:b/>
          <w:sz w:val="22"/>
          <w:szCs w:val="22"/>
          <w:lang w:eastAsia="en-AU"/>
        </w:rPr>
        <w:t>Conclusion</w:t>
      </w:r>
    </w:p>
    <w:p w14:paraId="53909F32" w14:textId="77777777" w:rsidR="00E744B0" w:rsidRPr="00426C8C" w:rsidRDefault="00E744B0" w:rsidP="000B31F9">
      <w:pPr>
        <w:keepNext/>
        <w:spacing w:after="0" w:line="240" w:lineRule="auto"/>
        <w:rPr>
          <w:rFonts w:eastAsia="Times New Roman"/>
          <w:sz w:val="22"/>
          <w:szCs w:val="22"/>
          <w:lang w:eastAsia="en-AU"/>
        </w:rPr>
      </w:pPr>
    </w:p>
    <w:p w14:paraId="488DF4C4" w14:textId="12BB1DE3" w:rsidR="00EC29B8" w:rsidRPr="00426C8C" w:rsidRDefault="001E51F5" w:rsidP="000B31F9">
      <w:pPr>
        <w:keepNext/>
        <w:spacing w:after="0" w:line="240" w:lineRule="auto"/>
        <w:rPr>
          <w:rFonts w:eastAsia="Times New Roman"/>
          <w:b/>
          <w:bCs/>
          <w:sz w:val="22"/>
          <w:szCs w:val="22"/>
          <w:lang w:eastAsia="en-AU"/>
        </w:rPr>
      </w:pPr>
      <w:r w:rsidRPr="00426C8C">
        <w:rPr>
          <w:rFonts w:eastAsia="Times New Roman"/>
          <w:sz w:val="22"/>
          <w:szCs w:val="22"/>
          <w:lang w:eastAsia="en-AU"/>
        </w:rPr>
        <w:t>Th</w:t>
      </w:r>
      <w:r w:rsidR="00280B08" w:rsidRPr="00426C8C">
        <w:rPr>
          <w:rFonts w:eastAsia="Times New Roman"/>
          <w:sz w:val="22"/>
          <w:szCs w:val="22"/>
          <w:lang w:eastAsia="en-AU"/>
        </w:rPr>
        <w:t>e</w:t>
      </w:r>
      <w:r w:rsidRPr="00426C8C">
        <w:rPr>
          <w:rFonts w:eastAsia="Times New Roman"/>
          <w:sz w:val="22"/>
          <w:szCs w:val="22"/>
          <w:lang w:eastAsia="en-AU"/>
        </w:rPr>
        <w:t xml:space="preserve"> </w:t>
      </w:r>
      <w:r w:rsidR="00BA2EE9" w:rsidRPr="00426C8C">
        <w:rPr>
          <w:rFonts w:eastAsia="Times New Roman"/>
          <w:sz w:val="22"/>
          <w:szCs w:val="22"/>
          <w:lang w:eastAsia="en-AU"/>
        </w:rPr>
        <w:t xml:space="preserve">Determination </w:t>
      </w:r>
      <w:r w:rsidRPr="00426C8C">
        <w:rPr>
          <w:rFonts w:eastAsia="Times New Roman"/>
          <w:sz w:val="22"/>
          <w:szCs w:val="22"/>
          <w:lang w:eastAsia="en-AU"/>
        </w:rPr>
        <w:t>is compatible with human rights because it promotes the right to health in Article</w:t>
      </w:r>
      <w:r w:rsidR="004518EB" w:rsidRPr="00426C8C">
        <w:rPr>
          <w:rFonts w:eastAsia="Times New Roman"/>
          <w:sz w:val="22"/>
          <w:szCs w:val="22"/>
          <w:lang w:eastAsia="en-AU"/>
        </w:rPr>
        <w:t> </w:t>
      </w:r>
      <w:r w:rsidRPr="00426C8C">
        <w:rPr>
          <w:rFonts w:eastAsia="Times New Roman"/>
          <w:sz w:val="22"/>
          <w:szCs w:val="22"/>
          <w:lang w:eastAsia="en-AU"/>
        </w:rPr>
        <w:t>12 of the ICESCR and otherwise does not raise any other human rights issues.</w:t>
      </w:r>
    </w:p>
    <w:sectPr w:rsidR="00EC29B8" w:rsidRPr="00426C8C"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ED02" w14:textId="77777777" w:rsidR="00685B9B" w:rsidRDefault="00685B9B">
      <w:pPr>
        <w:spacing w:after="0" w:line="240" w:lineRule="auto"/>
      </w:pPr>
      <w:r>
        <w:separator/>
      </w:r>
    </w:p>
  </w:endnote>
  <w:endnote w:type="continuationSeparator" w:id="0">
    <w:p w14:paraId="3E5079B2" w14:textId="77777777" w:rsidR="00685B9B" w:rsidRDefault="0068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7A46" w14:textId="77777777" w:rsidR="00685B9B" w:rsidRDefault="00685B9B">
      <w:pPr>
        <w:spacing w:after="0" w:line="240" w:lineRule="auto"/>
      </w:pPr>
      <w:r>
        <w:separator/>
      </w:r>
    </w:p>
  </w:footnote>
  <w:footnote w:type="continuationSeparator" w:id="0">
    <w:p w14:paraId="3C4D39B6" w14:textId="77777777" w:rsidR="00685B9B" w:rsidRDefault="0068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13"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1287243">
    <w:abstractNumId w:val="13"/>
  </w:num>
  <w:num w:numId="2" w16cid:durableId="1384329846">
    <w:abstractNumId w:val="5"/>
  </w:num>
  <w:num w:numId="3" w16cid:durableId="1370913671">
    <w:abstractNumId w:val="11"/>
  </w:num>
  <w:num w:numId="4" w16cid:durableId="1182477246">
    <w:abstractNumId w:val="10"/>
  </w:num>
  <w:num w:numId="5" w16cid:durableId="1298997752">
    <w:abstractNumId w:val="14"/>
  </w:num>
  <w:num w:numId="6" w16cid:durableId="788936879">
    <w:abstractNumId w:val="15"/>
  </w:num>
  <w:num w:numId="7" w16cid:durableId="1595820935">
    <w:abstractNumId w:val="6"/>
  </w:num>
  <w:num w:numId="8" w16cid:durableId="1832598272">
    <w:abstractNumId w:val="3"/>
  </w:num>
  <w:num w:numId="9" w16cid:durableId="867790743">
    <w:abstractNumId w:val="12"/>
  </w:num>
  <w:num w:numId="10" w16cid:durableId="1463571993">
    <w:abstractNumId w:val="7"/>
  </w:num>
  <w:num w:numId="11" w16cid:durableId="1847939877">
    <w:abstractNumId w:val="0"/>
  </w:num>
  <w:num w:numId="12" w16cid:durableId="2138065251">
    <w:abstractNumId w:val="2"/>
  </w:num>
  <w:num w:numId="13" w16cid:durableId="1705515838">
    <w:abstractNumId w:val="9"/>
  </w:num>
  <w:num w:numId="14" w16cid:durableId="451287187">
    <w:abstractNumId w:val="4"/>
  </w:num>
  <w:num w:numId="15" w16cid:durableId="2075808501">
    <w:abstractNumId w:val="16"/>
  </w:num>
  <w:num w:numId="16" w16cid:durableId="1500271570">
    <w:abstractNumId w:val="1"/>
  </w:num>
  <w:num w:numId="17" w16cid:durableId="1832215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411"/>
    <w:rsid w:val="00002611"/>
    <w:rsid w:val="000063F9"/>
    <w:rsid w:val="00020DD6"/>
    <w:rsid w:val="00020EB1"/>
    <w:rsid w:val="0002431C"/>
    <w:rsid w:val="000257D0"/>
    <w:rsid w:val="00027463"/>
    <w:rsid w:val="00032E35"/>
    <w:rsid w:val="0003431C"/>
    <w:rsid w:val="00050390"/>
    <w:rsid w:val="00050B02"/>
    <w:rsid w:val="00056D63"/>
    <w:rsid w:val="0005743D"/>
    <w:rsid w:val="000622CE"/>
    <w:rsid w:val="000722DC"/>
    <w:rsid w:val="00085A4F"/>
    <w:rsid w:val="0009127A"/>
    <w:rsid w:val="000931F3"/>
    <w:rsid w:val="00093426"/>
    <w:rsid w:val="000A2B56"/>
    <w:rsid w:val="000A6D16"/>
    <w:rsid w:val="000B31F9"/>
    <w:rsid w:val="000C7237"/>
    <w:rsid w:val="000C7A6F"/>
    <w:rsid w:val="000D53DB"/>
    <w:rsid w:val="000D6959"/>
    <w:rsid w:val="000E22EE"/>
    <w:rsid w:val="000E2F6C"/>
    <w:rsid w:val="000F0D2A"/>
    <w:rsid w:val="000F17F7"/>
    <w:rsid w:val="000F3FB2"/>
    <w:rsid w:val="000F4182"/>
    <w:rsid w:val="000F7B6D"/>
    <w:rsid w:val="000F7D58"/>
    <w:rsid w:val="00102733"/>
    <w:rsid w:val="00112086"/>
    <w:rsid w:val="0011565A"/>
    <w:rsid w:val="00120D81"/>
    <w:rsid w:val="001314F9"/>
    <w:rsid w:val="0013189C"/>
    <w:rsid w:val="0013234D"/>
    <w:rsid w:val="00133D92"/>
    <w:rsid w:val="00144306"/>
    <w:rsid w:val="0015368D"/>
    <w:rsid w:val="00155AC6"/>
    <w:rsid w:val="00165C2C"/>
    <w:rsid w:val="0017203A"/>
    <w:rsid w:val="00175F98"/>
    <w:rsid w:val="0017647F"/>
    <w:rsid w:val="0019320B"/>
    <w:rsid w:val="001A4FC4"/>
    <w:rsid w:val="001A7EA5"/>
    <w:rsid w:val="001C24DC"/>
    <w:rsid w:val="001C5975"/>
    <w:rsid w:val="001D54EB"/>
    <w:rsid w:val="001D7D3D"/>
    <w:rsid w:val="001E4877"/>
    <w:rsid w:val="001E51F5"/>
    <w:rsid w:val="001E6A2B"/>
    <w:rsid w:val="002032B3"/>
    <w:rsid w:val="0020413F"/>
    <w:rsid w:val="0020619D"/>
    <w:rsid w:val="002071D2"/>
    <w:rsid w:val="0021726B"/>
    <w:rsid w:val="002254D0"/>
    <w:rsid w:val="00225970"/>
    <w:rsid w:val="0022702E"/>
    <w:rsid w:val="00230649"/>
    <w:rsid w:val="0023634F"/>
    <w:rsid w:val="00242B74"/>
    <w:rsid w:val="00243199"/>
    <w:rsid w:val="00243641"/>
    <w:rsid w:val="002442FB"/>
    <w:rsid w:val="00246EDA"/>
    <w:rsid w:val="0024775A"/>
    <w:rsid w:val="0025561F"/>
    <w:rsid w:val="00256790"/>
    <w:rsid w:val="00256D94"/>
    <w:rsid w:val="002715D3"/>
    <w:rsid w:val="00272FBA"/>
    <w:rsid w:val="00274E3F"/>
    <w:rsid w:val="00280050"/>
    <w:rsid w:val="00280B08"/>
    <w:rsid w:val="00284B64"/>
    <w:rsid w:val="0028591D"/>
    <w:rsid w:val="002A255E"/>
    <w:rsid w:val="002B3442"/>
    <w:rsid w:val="002B650B"/>
    <w:rsid w:val="002B66B7"/>
    <w:rsid w:val="002C1ED5"/>
    <w:rsid w:val="002D0735"/>
    <w:rsid w:val="002D0A2B"/>
    <w:rsid w:val="002D0B48"/>
    <w:rsid w:val="002D71E2"/>
    <w:rsid w:val="002E08F4"/>
    <w:rsid w:val="002E1F0C"/>
    <w:rsid w:val="002E71B1"/>
    <w:rsid w:val="003076FC"/>
    <w:rsid w:val="00310965"/>
    <w:rsid w:val="0031610E"/>
    <w:rsid w:val="00326D58"/>
    <w:rsid w:val="00333F79"/>
    <w:rsid w:val="00340454"/>
    <w:rsid w:val="00342B6B"/>
    <w:rsid w:val="00352AD7"/>
    <w:rsid w:val="00355302"/>
    <w:rsid w:val="00355D1E"/>
    <w:rsid w:val="003635E6"/>
    <w:rsid w:val="0036457F"/>
    <w:rsid w:val="00364C69"/>
    <w:rsid w:val="00374344"/>
    <w:rsid w:val="00375F1F"/>
    <w:rsid w:val="003813D5"/>
    <w:rsid w:val="00385C20"/>
    <w:rsid w:val="00390636"/>
    <w:rsid w:val="0039238C"/>
    <w:rsid w:val="0039728D"/>
    <w:rsid w:val="003973AB"/>
    <w:rsid w:val="00397BD5"/>
    <w:rsid w:val="003B753E"/>
    <w:rsid w:val="003C0D65"/>
    <w:rsid w:val="003C1833"/>
    <w:rsid w:val="003C36B4"/>
    <w:rsid w:val="003C5AC6"/>
    <w:rsid w:val="003C7E03"/>
    <w:rsid w:val="003D07BD"/>
    <w:rsid w:val="003D1A6D"/>
    <w:rsid w:val="003D58C6"/>
    <w:rsid w:val="003D7CF8"/>
    <w:rsid w:val="003E5DDE"/>
    <w:rsid w:val="00417368"/>
    <w:rsid w:val="00417565"/>
    <w:rsid w:val="00420ACC"/>
    <w:rsid w:val="00426C8C"/>
    <w:rsid w:val="00433AB8"/>
    <w:rsid w:val="004420F0"/>
    <w:rsid w:val="004477DD"/>
    <w:rsid w:val="004518EB"/>
    <w:rsid w:val="004521BA"/>
    <w:rsid w:val="00452C85"/>
    <w:rsid w:val="00454166"/>
    <w:rsid w:val="00456485"/>
    <w:rsid w:val="00457870"/>
    <w:rsid w:val="00464FC6"/>
    <w:rsid w:val="00465712"/>
    <w:rsid w:val="00466D79"/>
    <w:rsid w:val="004729ED"/>
    <w:rsid w:val="00481AA9"/>
    <w:rsid w:val="00484117"/>
    <w:rsid w:val="00485580"/>
    <w:rsid w:val="00487728"/>
    <w:rsid w:val="00497BCB"/>
    <w:rsid w:val="004A67CB"/>
    <w:rsid w:val="004C445B"/>
    <w:rsid w:val="004D3A2B"/>
    <w:rsid w:val="004D7384"/>
    <w:rsid w:val="004F4415"/>
    <w:rsid w:val="00505E4C"/>
    <w:rsid w:val="0051143F"/>
    <w:rsid w:val="00514D55"/>
    <w:rsid w:val="005209CC"/>
    <w:rsid w:val="00520EF8"/>
    <w:rsid w:val="00523B93"/>
    <w:rsid w:val="00527948"/>
    <w:rsid w:val="00531F1C"/>
    <w:rsid w:val="005327E5"/>
    <w:rsid w:val="00532E5D"/>
    <w:rsid w:val="00532FD3"/>
    <w:rsid w:val="0053703A"/>
    <w:rsid w:val="00540BA1"/>
    <w:rsid w:val="0054490E"/>
    <w:rsid w:val="00550BB2"/>
    <w:rsid w:val="00562C95"/>
    <w:rsid w:val="00567579"/>
    <w:rsid w:val="0057264C"/>
    <w:rsid w:val="005750E1"/>
    <w:rsid w:val="005755BA"/>
    <w:rsid w:val="005769BE"/>
    <w:rsid w:val="00577E08"/>
    <w:rsid w:val="00583143"/>
    <w:rsid w:val="00583A90"/>
    <w:rsid w:val="00585D8F"/>
    <w:rsid w:val="00590E0C"/>
    <w:rsid w:val="00591901"/>
    <w:rsid w:val="00594701"/>
    <w:rsid w:val="005A1D07"/>
    <w:rsid w:val="005A5220"/>
    <w:rsid w:val="005A5787"/>
    <w:rsid w:val="005B5FF4"/>
    <w:rsid w:val="005B77CC"/>
    <w:rsid w:val="005C494A"/>
    <w:rsid w:val="005C60F1"/>
    <w:rsid w:val="005C6E1B"/>
    <w:rsid w:val="005D43FE"/>
    <w:rsid w:val="005D7EB7"/>
    <w:rsid w:val="005E30B5"/>
    <w:rsid w:val="005E3D9E"/>
    <w:rsid w:val="005F0A7A"/>
    <w:rsid w:val="005F62AB"/>
    <w:rsid w:val="005F6CEF"/>
    <w:rsid w:val="0060047E"/>
    <w:rsid w:val="006051C2"/>
    <w:rsid w:val="006059C9"/>
    <w:rsid w:val="006164F0"/>
    <w:rsid w:val="00617A83"/>
    <w:rsid w:val="006307A0"/>
    <w:rsid w:val="00635E5E"/>
    <w:rsid w:val="00636976"/>
    <w:rsid w:val="0064139B"/>
    <w:rsid w:val="00645085"/>
    <w:rsid w:val="00650DE1"/>
    <w:rsid w:val="00673A02"/>
    <w:rsid w:val="006752A4"/>
    <w:rsid w:val="00682369"/>
    <w:rsid w:val="00684F36"/>
    <w:rsid w:val="0068536E"/>
    <w:rsid w:val="00685658"/>
    <w:rsid w:val="00685B9B"/>
    <w:rsid w:val="006A1A6B"/>
    <w:rsid w:val="006A361A"/>
    <w:rsid w:val="006A5F5B"/>
    <w:rsid w:val="006C33DD"/>
    <w:rsid w:val="006D07AB"/>
    <w:rsid w:val="006D15F4"/>
    <w:rsid w:val="006D4792"/>
    <w:rsid w:val="006D61CE"/>
    <w:rsid w:val="006E31AF"/>
    <w:rsid w:val="006F1B06"/>
    <w:rsid w:val="006F2D91"/>
    <w:rsid w:val="006F3C0C"/>
    <w:rsid w:val="006F7973"/>
    <w:rsid w:val="00703016"/>
    <w:rsid w:val="00703A47"/>
    <w:rsid w:val="00705773"/>
    <w:rsid w:val="007159F7"/>
    <w:rsid w:val="0071652B"/>
    <w:rsid w:val="0071771A"/>
    <w:rsid w:val="00723DE6"/>
    <w:rsid w:val="0072456A"/>
    <w:rsid w:val="0073451E"/>
    <w:rsid w:val="007436F9"/>
    <w:rsid w:val="007528CB"/>
    <w:rsid w:val="007610BE"/>
    <w:rsid w:val="007860A7"/>
    <w:rsid w:val="0078763D"/>
    <w:rsid w:val="00790F8D"/>
    <w:rsid w:val="0079541E"/>
    <w:rsid w:val="0079781E"/>
    <w:rsid w:val="007A066F"/>
    <w:rsid w:val="007B1C63"/>
    <w:rsid w:val="007B449A"/>
    <w:rsid w:val="007B53F8"/>
    <w:rsid w:val="007C65B6"/>
    <w:rsid w:val="007D3495"/>
    <w:rsid w:val="007D3AC7"/>
    <w:rsid w:val="007E5DE8"/>
    <w:rsid w:val="007F539D"/>
    <w:rsid w:val="008056CA"/>
    <w:rsid w:val="0081149F"/>
    <w:rsid w:val="00811CB3"/>
    <w:rsid w:val="008121EF"/>
    <w:rsid w:val="008140C5"/>
    <w:rsid w:val="00821064"/>
    <w:rsid w:val="008240A6"/>
    <w:rsid w:val="00825235"/>
    <w:rsid w:val="0083080B"/>
    <w:rsid w:val="00833D78"/>
    <w:rsid w:val="00834A60"/>
    <w:rsid w:val="00836203"/>
    <w:rsid w:val="00836495"/>
    <w:rsid w:val="00836504"/>
    <w:rsid w:val="00837EB9"/>
    <w:rsid w:val="008407E9"/>
    <w:rsid w:val="00844D10"/>
    <w:rsid w:val="008458F8"/>
    <w:rsid w:val="008500D6"/>
    <w:rsid w:val="00852B6A"/>
    <w:rsid w:val="008540BD"/>
    <w:rsid w:val="00854286"/>
    <w:rsid w:val="00864AAF"/>
    <w:rsid w:val="008737FE"/>
    <w:rsid w:val="00876C93"/>
    <w:rsid w:val="008771CC"/>
    <w:rsid w:val="00886927"/>
    <w:rsid w:val="00886DC8"/>
    <w:rsid w:val="008925C6"/>
    <w:rsid w:val="008A648E"/>
    <w:rsid w:val="008B20AA"/>
    <w:rsid w:val="008C079F"/>
    <w:rsid w:val="008C4674"/>
    <w:rsid w:val="008D12B1"/>
    <w:rsid w:val="008D1E44"/>
    <w:rsid w:val="008D1E81"/>
    <w:rsid w:val="008D2C8A"/>
    <w:rsid w:val="008D2DBB"/>
    <w:rsid w:val="008D481D"/>
    <w:rsid w:val="008D5244"/>
    <w:rsid w:val="0090181E"/>
    <w:rsid w:val="0091560A"/>
    <w:rsid w:val="00921CDB"/>
    <w:rsid w:val="00931441"/>
    <w:rsid w:val="00931B34"/>
    <w:rsid w:val="0093285E"/>
    <w:rsid w:val="009374C4"/>
    <w:rsid w:val="00937852"/>
    <w:rsid w:val="00941E85"/>
    <w:rsid w:val="0094306A"/>
    <w:rsid w:val="009431FD"/>
    <w:rsid w:val="00944F72"/>
    <w:rsid w:val="009461F9"/>
    <w:rsid w:val="00947430"/>
    <w:rsid w:val="00952606"/>
    <w:rsid w:val="00953A3E"/>
    <w:rsid w:val="00955D48"/>
    <w:rsid w:val="0096011C"/>
    <w:rsid w:val="00974028"/>
    <w:rsid w:val="00974BA7"/>
    <w:rsid w:val="00980360"/>
    <w:rsid w:val="00981002"/>
    <w:rsid w:val="009917EC"/>
    <w:rsid w:val="00996764"/>
    <w:rsid w:val="009A489D"/>
    <w:rsid w:val="009A4948"/>
    <w:rsid w:val="009A4C16"/>
    <w:rsid w:val="009B028F"/>
    <w:rsid w:val="009B3821"/>
    <w:rsid w:val="009C5D5F"/>
    <w:rsid w:val="009C70C2"/>
    <w:rsid w:val="009C70F9"/>
    <w:rsid w:val="009D336F"/>
    <w:rsid w:val="009D5EF8"/>
    <w:rsid w:val="009D67CF"/>
    <w:rsid w:val="009E0859"/>
    <w:rsid w:val="009E113A"/>
    <w:rsid w:val="009E5550"/>
    <w:rsid w:val="00A210B8"/>
    <w:rsid w:val="00A24DED"/>
    <w:rsid w:val="00A25093"/>
    <w:rsid w:val="00A41163"/>
    <w:rsid w:val="00A44402"/>
    <w:rsid w:val="00A4469B"/>
    <w:rsid w:val="00A47DEF"/>
    <w:rsid w:val="00A54658"/>
    <w:rsid w:val="00A57D63"/>
    <w:rsid w:val="00A6475A"/>
    <w:rsid w:val="00A65627"/>
    <w:rsid w:val="00A71E00"/>
    <w:rsid w:val="00A75FD5"/>
    <w:rsid w:val="00A774CA"/>
    <w:rsid w:val="00A95E0E"/>
    <w:rsid w:val="00AA0C9E"/>
    <w:rsid w:val="00AA18F9"/>
    <w:rsid w:val="00AA19A8"/>
    <w:rsid w:val="00AB0218"/>
    <w:rsid w:val="00AB29FD"/>
    <w:rsid w:val="00AB4485"/>
    <w:rsid w:val="00AC1D82"/>
    <w:rsid w:val="00AC3530"/>
    <w:rsid w:val="00AC3637"/>
    <w:rsid w:val="00AC5365"/>
    <w:rsid w:val="00AC7602"/>
    <w:rsid w:val="00AD2DFD"/>
    <w:rsid w:val="00AD7255"/>
    <w:rsid w:val="00AF66D2"/>
    <w:rsid w:val="00B06A3A"/>
    <w:rsid w:val="00B1493E"/>
    <w:rsid w:val="00B24153"/>
    <w:rsid w:val="00B262E4"/>
    <w:rsid w:val="00B27626"/>
    <w:rsid w:val="00B3118D"/>
    <w:rsid w:val="00B3418B"/>
    <w:rsid w:val="00B41065"/>
    <w:rsid w:val="00B44223"/>
    <w:rsid w:val="00B5474B"/>
    <w:rsid w:val="00B6399A"/>
    <w:rsid w:val="00B71F60"/>
    <w:rsid w:val="00B7656E"/>
    <w:rsid w:val="00B7711B"/>
    <w:rsid w:val="00B77FB4"/>
    <w:rsid w:val="00B8620C"/>
    <w:rsid w:val="00B93391"/>
    <w:rsid w:val="00B962F4"/>
    <w:rsid w:val="00BA1774"/>
    <w:rsid w:val="00BA2EE9"/>
    <w:rsid w:val="00BA6113"/>
    <w:rsid w:val="00BB1171"/>
    <w:rsid w:val="00BB2758"/>
    <w:rsid w:val="00BC4736"/>
    <w:rsid w:val="00BC4AA5"/>
    <w:rsid w:val="00BD3108"/>
    <w:rsid w:val="00BD5520"/>
    <w:rsid w:val="00BE1CEE"/>
    <w:rsid w:val="00BE7EDC"/>
    <w:rsid w:val="00BF604E"/>
    <w:rsid w:val="00BF6162"/>
    <w:rsid w:val="00BF7606"/>
    <w:rsid w:val="00C004B2"/>
    <w:rsid w:val="00C03EAE"/>
    <w:rsid w:val="00C06495"/>
    <w:rsid w:val="00C070E7"/>
    <w:rsid w:val="00C07687"/>
    <w:rsid w:val="00C13A13"/>
    <w:rsid w:val="00C23326"/>
    <w:rsid w:val="00C246F9"/>
    <w:rsid w:val="00C24838"/>
    <w:rsid w:val="00C24CBA"/>
    <w:rsid w:val="00C30D81"/>
    <w:rsid w:val="00C35BD9"/>
    <w:rsid w:val="00C40982"/>
    <w:rsid w:val="00C455A7"/>
    <w:rsid w:val="00C47049"/>
    <w:rsid w:val="00C53E08"/>
    <w:rsid w:val="00C54020"/>
    <w:rsid w:val="00C55033"/>
    <w:rsid w:val="00C5584D"/>
    <w:rsid w:val="00C57631"/>
    <w:rsid w:val="00C6119E"/>
    <w:rsid w:val="00C622DD"/>
    <w:rsid w:val="00C629A9"/>
    <w:rsid w:val="00C630D5"/>
    <w:rsid w:val="00C6651D"/>
    <w:rsid w:val="00C72299"/>
    <w:rsid w:val="00C72E13"/>
    <w:rsid w:val="00C75C51"/>
    <w:rsid w:val="00C7772D"/>
    <w:rsid w:val="00C800AC"/>
    <w:rsid w:val="00C80CDA"/>
    <w:rsid w:val="00C866A8"/>
    <w:rsid w:val="00C909E6"/>
    <w:rsid w:val="00C97315"/>
    <w:rsid w:val="00CB09DA"/>
    <w:rsid w:val="00CB0D16"/>
    <w:rsid w:val="00CB50B1"/>
    <w:rsid w:val="00CC2A82"/>
    <w:rsid w:val="00CC44D1"/>
    <w:rsid w:val="00CC4FB0"/>
    <w:rsid w:val="00CC6F00"/>
    <w:rsid w:val="00CC7C84"/>
    <w:rsid w:val="00CD1B43"/>
    <w:rsid w:val="00CD214D"/>
    <w:rsid w:val="00CD6B35"/>
    <w:rsid w:val="00CE497B"/>
    <w:rsid w:val="00CF0434"/>
    <w:rsid w:val="00CF0B2C"/>
    <w:rsid w:val="00CF11D4"/>
    <w:rsid w:val="00CF27A1"/>
    <w:rsid w:val="00CF4D5D"/>
    <w:rsid w:val="00CF54EC"/>
    <w:rsid w:val="00CF73AD"/>
    <w:rsid w:val="00D026A9"/>
    <w:rsid w:val="00D21835"/>
    <w:rsid w:val="00D26888"/>
    <w:rsid w:val="00D2737D"/>
    <w:rsid w:val="00D305E4"/>
    <w:rsid w:val="00D32BCB"/>
    <w:rsid w:val="00D409F3"/>
    <w:rsid w:val="00D40D96"/>
    <w:rsid w:val="00D41EEC"/>
    <w:rsid w:val="00D42450"/>
    <w:rsid w:val="00D438C2"/>
    <w:rsid w:val="00D43DC4"/>
    <w:rsid w:val="00D52E0B"/>
    <w:rsid w:val="00D55750"/>
    <w:rsid w:val="00D55AFD"/>
    <w:rsid w:val="00D61C2D"/>
    <w:rsid w:val="00D708C2"/>
    <w:rsid w:val="00D7253D"/>
    <w:rsid w:val="00D75879"/>
    <w:rsid w:val="00D7775A"/>
    <w:rsid w:val="00D8077F"/>
    <w:rsid w:val="00D862F6"/>
    <w:rsid w:val="00D923C9"/>
    <w:rsid w:val="00DA449C"/>
    <w:rsid w:val="00DA7FBA"/>
    <w:rsid w:val="00DB6C1D"/>
    <w:rsid w:val="00DC10A4"/>
    <w:rsid w:val="00DC4722"/>
    <w:rsid w:val="00DC577F"/>
    <w:rsid w:val="00DC5A0D"/>
    <w:rsid w:val="00DC62EB"/>
    <w:rsid w:val="00DD01C1"/>
    <w:rsid w:val="00DD4159"/>
    <w:rsid w:val="00DD4F53"/>
    <w:rsid w:val="00DD5785"/>
    <w:rsid w:val="00DD71DA"/>
    <w:rsid w:val="00DE1408"/>
    <w:rsid w:val="00DE485E"/>
    <w:rsid w:val="00DF100A"/>
    <w:rsid w:val="00DF3B10"/>
    <w:rsid w:val="00E007B7"/>
    <w:rsid w:val="00E03363"/>
    <w:rsid w:val="00E04487"/>
    <w:rsid w:val="00E04ABC"/>
    <w:rsid w:val="00E04DE6"/>
    <w:rsid w:val="00E0725D"/>
    <w:rsid w:val="00E14489"/>
    <w:rsid w:val="00E14D05"/>
    <w:rsid w:val="00E21CA7"/>
    <w:rsid w:val="00E30434"/>
    <w:rsid w:val="00E30B91"/>
    <w:rsid w:val="00E3451E"/>
    <w:rsid w:val="00E34EBE"/>
    <w:rsid w:val="00E4049A"/>
    <w:rsid w:val="00E4655A"/>
    <w:rsid w:val="00E53F2C"/>
    <w:rsid w:val="00E5662E"/>
    <w:rsid w:val="00E669B7"/>
    <w:rsid w:val="00E6749A"/>
    <w:rsid w:val="00E67DF5"/>
    <w:rsid w:val="00E74001"/>
    <w:rsid w:val="00E744B0"/>
    <w:rsid w:val="00E77EED"/>
    <w:rsid w:val="00E81086"/>
    <w:rsid w:val="00E832E4"/>
    <w:rsid w:val="00E94939"/>
    <w:rsid w:val="00E965B3"/>
    <w:rsid w:val="00EA05D7"/>
    <w:rsid w:val="00EA5FD6"/>
    <w:rsid w:val="00EB3FA6"/>
    <w:rsid w:val="00EB6E25"/>
    <w:rsid w:val="00EB7D94"/>
    <w:rsid w:val="00EC06BB"/>
    <w:rsid w:val="00EC0FCD"/>
    <w:rsid w:val="00EC29B8"/>
    <w:rsid w:val="00EC5B0A"/>
    <w:rsid w:val="00EC764B"/>
    <w:rsid w:val="00EE08CB"/>
    <w:rsid w:val="00EE11D1"/>
    <w:rsid w:val="00EE5C56"/>
    <w:rsid w:val="00EF6D34"/>
    <w:rsid w:val="00F01C81"/>
    <w:rsid w:val="00F14D6C"/>
    <w:rsid w:val="00F166A0"/>
    <w:rsid w:val="00F16E19"/>
    <w:rsid w:val="00F249CF"/>
    <w:rsid w:val="00F260D6"/>
    <w:rsid w:val="00F2783E"/>
    <w:rsid w:val="00F3162B"/>
    <w:rsid w:val="00F3249B"/>
    <w:rsid w:val="00F33D60"/>
    <w:rsid w:val="00F34602"/>
    <w:rsid w:val="00F46F0B"/>
    <w:rsid w:val="00F53529"/>
    <w:rsid w:val="00F562F8"/>
    <w:rsid w:val="00F5674C"/>
    <w:rsid w:val="00F61EF1"/>
    <w:rsid w:val="00F70A23"/>
    <w:rsid w:val="00F73290"/>
    <w:rsid w:val="00F763FD"/>
    <w:rsid w:val="00F9168E"/>
    <w:rsid w:val="00F97B56"/>
    <w:rsid w:val="00FA04AC"/>
    <w:rsid w:val="00FA1B7C"/>
    <w:rsid w:val="00FA791D"/>
    <w:rsid w:val="00FA7E63"/>
    <w:rsid w:val="00FB3E66"/>
    <w:rsid w:val="00FB5326"/>
    <w:rsid w:val="00FB653D"/>
    <w:rsid w:val="00FC0835"/>
    <w:rsid w:val="00FC1A9B"/>
    <w:rsid w:val="00FC6A0B"/>
    <w:rsid w:val="00FD273B"/>
    <w:rsid w:val="00FE249B"/>
    <w:rsid w:val="00FE5A45"/>
    <w:rsid w:val="00FF0550"/>
    <w:rsid w:val="00FF0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085A4F"/>
    <w:pPr>
      <w:ind w:left="720"/>
      <w:contextualSpacing/>
    </w:pPr>
  </w:style>
  <w:style w:type="character" w:styleId="Hyperlink">
    <w:name w:val="Hyperlink"/>
    <w:basedOn w:val="DefaultParagraphFont"/>
    <w:uiPriority w:val="99"/>
    <w:unhideWhenUsed/>
    <w:rsid w:val="00C07687"/>
    <w:rPr>
      <w:rFonts w:ascii="Arial" w:hAnsi="Arial"/>
      <w:color w:val="0000FF"/>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07687"/>
  </w:style>
  <w:style w:type="character" w:customStyle="1" w:styleId="ui-provider">
    <w:name w:val="ui-provider"/>
    <w:basedOn w:val="DefaultParagraphFont"/>
    <w:rsid w:val="006059C9"/>
  </w:style>
  <w:style w:type="paragraph" w:customStyle="1" w:styleId="paragraph">
    <w:name w:val="paragraph"/>
    <w:basedOn w:val="Normal"/>
    <w:rsid w:val="00CC6F00"/>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CC6F00"/>
  </w:style>
  <w:style w:type="character" w:customStyle="1" w:styleId="eop">
    <w:name w:val="eop"/>
    <w:basedOn w:val="DefaultParagraphFont"/>
    <w:rsid w:val="00CC6F00"/>
  </w:style>
  <w:style w:type="paragraph" w:customStyle="1" w:styleId="subsection">
    <w:name w:val="subsection"/>
    <w:basedOn w:val="Normal"/>
    <w:rsid w:val="00DF3B10"/>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2253">
      <w:bodyDiv w:val="1"/>
      <w:marLeft w:val="0"/>
      <w:marRight w:val="0"/>
      <w:marTop w:val="0"/>
      <w:marBottom w:val="0"/>
      <w:divBdr>
        <w:top w:val="none" w:sz="0" w:space="0" w:color="auto"/>
        <w:left w:val="none" w:sz="0" w:space="0" w:color="auto"/>
        <w:bottom w:val="none" w:sz="0" w:space="0" w:color="auto"/>
        <w:right w:val="none" w:sz="0" w:space="0" w:color="auto"/>
      </w:divBdr>
    </w:div>
    <w:div w:id="287014566">
      <w:bodyDiv w:val="1"/>
      <w:marLeft w:val="0"/>
      <w:marRight w:val="0"/>
      <w:marTop w:val="0"/>
      <w:marBottom w:val="0"/>
      <w:divBdr>
        <w:top w:val="none" w:sz="0" w:space="0" w:color="auto"/>
        <w:left w:val="none" w:sz="0" w:space="0" w:color="auto"/>
        <w:bottom w:val="none" w:sz="0" w:space="0" w:color="auto"/>
        <w:right w:val="none" w:sz="0" w:space="0" w:color="auto"/>
      </w:divBdr>
    </w:div>
    <w:div w:id="502279346">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078529">
      <w:bodyDiv w:val="1"/>
      <w:marLeft w:val="0"/>
      <w:marRight w:val="0"/>
      <w:marTop w:val="0"/>
      <w:marBottom w:val="0"/>
      <w:divBdr>
        <w:top w:val="none" w:sz="0" w:space="0" w:color="auto"/>
        <w:left w:val="none" w:sz="0" w:space="0" w:color="auto"/>
        <w:bottom w:val="none" w:sz="0" w:space="0" w:color="auto"/>
        <w:right w:val="none" w:sz="0" w:space="0" w:color="auto"/>
      </w:divBdr>
    </w:div>
    <w:div w:id="723988352">
      <w:bodyDiv w:val="1"/>
      <w:marLeft w:val="0"/>
      <w:marRight w:val="0"/>
      <w:marTop w:val="0"/>
      <w:marBottom w:val="0"/>
      <w:divBdr>
        <w:top w:val="none" w:sz="0" w:space="0" w:color="auto"/>
        <w:left w:val="none" w:sz="0" w:space="0" w:color="auto"/>
        <w:bottom w:val="none" w:sz="0" w:space="0" w:color="auto"/>
        <w:right w:val="none" w:sz="0" w:space="0" w:color="auto"/>
      </w:divBdr>
      <w:divsChild>
        <w:div w:id="199709647">
          <w:marLeft w:val="0"/>
          <w:marRight w:val="0"/>
          <w:marTop w:val="0"/>
          <w:marBottom w:val="0"/>
          <w:divBdr>
            <w:top w:val="none" w:sz="0" w:space="0" w:color="auto"/>
            <w:left w:val="none" w:sz="0" w:space="0" w:color="auto"/>
            <w:bottom w:val="none" w:sz="0" w:space="0" w:color="auto"/>
            <w:right w:val="none" w:sz="0" w:space="0" w:color="auto"/>
          </w:divBdr>
          <w:divsChild>
            <w:div w:id="1385064025">
              <w:marLeft w:val="0"/>
              <w:marRight w:val="0"/>
              <w:marTop w:val="0"/>
              <w:marBottom w:val="0"/>
              <w:divBdr>
                <w:top w:val="none" w:sz="0" w:space="0" w:color="auto"/>
                <w:left w:val="none" w:sz="0" w:space="0" w:color="auto"/>
                <w:bottom w:val="none" w:sz="0" w:space="0" w:color="auto"/>
                <w:right w:val="none" w:sz="0" w:space="0" w:color="auto"/>
              </w:divBdr>
            </w:div>
            <w:div w:id="2081899969">
              <w:marLeft w:val="0"/>
              <w:marRight w:val="0"/>
              <w:marTop w:val="0"/>
              <w:marBottom w:val="0"/>
              <w:divBdr>
                <w:top w:val="none" w:sz="0" w:space="0" w:color="auto"/>
                <w:left w:val="none" w:sz="0" w:space="0" w:color="auto"/>
                <w:bottom w:val="none" w:sz="0" w:space="0" w:color="auto"/>
                <w:right w:val="none" w:sz="0" w:space="0" w:color="auto"/>
              </w:divBdr>
            </w:div>
            <w:div w:id="731462489">
              <w:marLeft w:val="0"/>
              <w:marRight w:val="0"/>
              <w:marTop w:val="0"/>
              <w:marBottom w:val="0"/>
              <w:divBdr>
                <w:top w:val="none" w:sz="0" w:space="0" w:color="auto"/>
                <w:left w:val="none" w:sz="0" w:space="0" w:color="auto"/>
                <w:bottom w:val="none" w:sz="0" w:space="0" w:color="auto"/>
                <w:right w:val="none" w:sz="0" w:space="0" w:color="auto"/>
              </w:divBdr>
            </w:div>
            <w:div w:id="1873877202">
              <w:marLeft w:val="0"/>
              <w:marRight w:val="0"/>
              <w:marTop w:val="0"/>
              <w:marBottom w:val="0"/>
              <w:divBdr>
                <w:top w:val="none" w:sz="0" w:space="0" w:color="auto"/>
                <w:left w:val="none" w:sz="0" w:space="0" w:color="auto"/>
                <w:bottom w:val="none" w:sz="0" w:space="0" w:color="auto"/>
                <w:right w:val="none" w:sz="0" w:space="0" w:color="auto"/>
              </w:divBdr>
            </w:div>
            <w:div w:id="1293831446">
              <w:marLeft w:val="0"/>
              <w:marRight w:val="0"/>
              <w:marTop w:val="0"/>
              <w:marBottom w:val="0"/>
              <w:divBdr>
                <w:top w:val="none" w:sz="0" w:space="0" w:color="auto"/>
                <w:left w:val="none" w:sz="0" w:space="0" w:color="auto"/>
                <w:bottom w:val="none" w:sz="0" w:space="0" w:color="auto"/>
                <w:right w:val="none" w:sz="0" w:space="0" w:color="auto"/>
              </w:divBdr>
            </w:div>
            <w:div w:id="1398549231">
              <w:marLeft w:val="0"/>
              <w:marRight w:val="0"/>
              <w:marTop w:val="0"/>
              <w:marBottom w:val="0"/>
              <w:divBdr>
                <w:top w:val="none" w:sz="0" w:space="0" w:color="auto"/>
                <w:left w:val="none" w:sz="0" w:space="0" w:color="auto"/>
                <w:bottom w:val="none" w:sz="0" w:space="0" w:color="auto"/>
                <w:right w:val="none" w:sz="0" w:space="0" w:color="auto"/>
              </w:divBdr>
            </w:div>
            <w:div w:id="933175006">
              <w:marLeft w:val="0"/>
              <w:marRight w:val="0"/>
              <w:marTop w:val="0"/>
              <w:marBottom w:val="0"/>
              <w:divBdr>
                <w:top w:val="none" w:sz="0" w:space="0" w:color="auto"/>
                <w:left w:val="none" w:sz="0" w:space="0" w:color="auto"/>
                <w:bottom w:val="none" w:sz="0" w:space="0" w:color="auto"/>
                <w:right w:val="none" w:sz="0" w:space="0" w:color="auto"/>
              </w:divBdr>
            </w:div>
            <w:div w:id="762409201">
              <w:marLeft w:val="0"/>
              <w:marRight w:val="0"/>
              <w:marTop w:val="0"/>
              <w:marBottom w:val="0"/>
              <w:divBdr>
                <w:top w:val="none" w:sz="0" w:space="0" w:color="auto"/>
                <w:left w:val="none" w:sz="0" w:space="0" w:color="auto"/>
                <w:bottom w:val="none" w:sz="0" w:space="0" w:color="auto"/>
                <w:right w:val="none" w:sz="0" w:space="0" w:color="auto"/>
              </w:divBdr>
            </w:div>
            <w:div w:id="39324146">
              <w:marLeft w:val="0"/>
              <w:marRight w:val="0"/>
              <w:marTop w:val="0"/>
              <w:marBottom w:val="0"/>
              <w:divBdr>
                <w:top w:val="none" w:sz="0" w:space="0" w:color="auto"/>
                <w:left w:val="none" w:sz="0" w:space="0" w:color="auto"/>
                <w:bottom w:val="none" w:sz="0" w:space="0" w:color="auto"/>
                <w:right w:val="none" w:sz="0" w:space="0" w:color="auto"/>
              </w:divBdr>
            </w:div>
            <w:div w:id="12921066">
              <w:marLeft w:val="0"/>
              <w:marRight w:val="0"/>
              <w:marTop w:val="0"/>
              <w:marBottom w:val="0"/>
              <w:divBdr>
                <w:top w:val="none" w:sz="0" w:space="0" w:color="auto"/>
                <w:left w:val="none" w:sz="0" w:space="0" w:color="auto"/>
                <w:bottom w:val="none" w:sz="0" w:space="0" w:color="auto"/>
                <w:right w:val="none" w:sz="0" w:space="0" w:color="auto"/>
              </w:divBdr>
            </w:div>
            <w:div w:id="1113981062">
              <w:marLeft w:val="0"/>
              <w:marRight w:val="0"/>
              <w:marTop w:val="0"/>
              <w:marBottom w:val="0"/>
              <w:divBdr>
                <w:top w:val="none" w:sz="0" w:space="0" w:color="auto"/>
                <w:left w:val="none" w:sz="0" w:space="0" w:color="auto"/>
                <w:bottom w:val="none" w:sz="0" w:space="0" w:color="auto"/>
                <w:right w:val="none" w:sz="0" w:space="0" w:color="auto"/>
              </w:divBdr>
            </w:div>
            <w:div w:id="488599029">
              <w:marLeft w:val="0"/>
              <w:marRight w:val="0"/>
              <w:marTop w:val="0"/>
              <w:marBottom w:val="0"/>
              <w:divBdr>
                <w:top w:val="none" w:sz="0" w:space="0" w:color="auto"/>
                <w:left w:val="none" w:sz="0" w:space="0" w:color="auto"/>
                <w:bottom w:val="none" w:sz="0" w:space="0" w:color="auto"/>
                <w:right w:val="none" w:sz="0" w:space="0" w:color="auto"/>
              </w:divBdr>
            </w:div>
            <w:div w:id="2106337777">
              <w:marLeft w:val="0"/>
              <w:marRight w:val="0"/>
              <w:marTop w:val="0"/>
              <w:marBottom w:val="0"/>
              <w:divBdr>
                <w:top w:val="none" w:sz="0" w:space="0" w:color="auto"/>
                <w:left w:val="none" w:sz="0" w:space="0" w:color="auto"/>
                <w:bottom w:val="none" w:sz="0" w:space="0" w:color="auto"/>
                <w:right w:val="none" w:sz="0" w:space="0" w:color="auto"/>
              </w:divBdr>
            </w:div>
            <w:div w:id="660542752">
              <w:marLeft w:val="0"/>
              <w:marRight w:val="0"/>
              <w:marTop w:val="0"/>
              <w:marBottom w:val="0"/>
              <w:divBdr>
                <w:top w:val="none" w:sz="0" w:space="0" w:color="auto"/>
                <w:left w:val="none" w:sz="0" w:space="0" w:color="auto"/>
                <w:bottom w:val="none" w:sz="0" w:space="0" w:color="auto"/>
                <w:right w:val="none" w:sz="0" w:space="0" w:color="auto"/>
              </w:divBdr>
            </w:div>
            <w:div w:id="1817145814">
              <w:marLeft w:val="0"/>
              <w:marRight w:val="0"/>
              <w:marTop w:val="0"/>
              <w:marBottom w:val="0"/>
              <w:divBdr>
                <w:top w:val="none" w:sz="0" w:space="0" w:color="auto"/>
                <w:left w:val="none" w:sz="0" w:space="0" w:color="auto"/>
                <w:bottom w:val="none" w:sz="0" w:space="0" w:color="auto"/>
                <w:right w:val="none" w:sz="0" w:space="0" w:color="auto"/>
              </w:divBdr>
            </w:div>
            <w:div w:id="1043168962">
              <w:marLeft w:val="0"/>
              <w:marRight w:val="0"/>
              <w:marTop w:val="0"/>
              <w:marBottom w:val="0"/>
              <w:divBdr>
                <w:top w:val="none" w:sz="0" w:space="0" w:color="auto"/>
                <w:left w:val="none" w:sz="0" w:space="0" w:color="auto"/>
                <w:bottom w:val="none" w:sz="0" w:space="0" w:color="auto"/>
                <w:right w:val="none" w:sz="0" w:space="0" w:color="auto"/>
              </w:divBdr>
            </w:div>
          </w:divsChild>
        </w:div>
        <w:div w:id="1372415414">
          <w:marLeft w:val="0"/>
          <w:marRight w:val="0"/>
          <w:marTop w:val="0"/>
          <w:marBottom w:val="0"/>
          <w:divBdr>
            <w:top w:val="none" w:sz="0" w:space="0" w:color="auto"/>
            <w:left w:val="none" w:sz="0" w:space="0" w:color="auto"/>
            <w:bottom w:val="none" w:sz="0" w:space="0" w:color="auto"/>
            <w:right w:val="none" w:sz="0" w:space="0" w:color="auto"/>
          </w:divBdr>
        </w:div>
      </w:divsChild>
    </w:div>
    <w:div w:id="784428213">
      <w:bodyDiv w:val="1"/>
      <w:marLeft w:val="0"/>
      <w:marRight w:val="0"/>
      <w:marTop w:val="0"/>
      <w:marBottom w:val="0"/>
      <w:divBdr>
        <w:top w:val="none" w:sz="0" w:space="0" w:color="auto"/>
        <w:left w:val="none" w:sz="0" w:space="0" w:color="auto"/>
        <w:bottom w:val="none" w:sz="0" w:space="0" w:color="auto"/>
        <w:right w:val="none" w:sz="0" w:space="0" w:color="auto"/>
      </w:divBdr>
    </w:div>
    <w:div w:id="1183784118">
      <w:bodyDiv w:val="1"/>
      <w:marLeft w:val="0"/>
      <w:marRight w:val="0"/>
      <w:marTop w:val="0"/>
      <w:marBottom w:val="0"/>
      <w:divBdr>
        <w:top w:val="none" w:sz="0" w:space="0" w:color="auto"/>
        <w:left w:val="none" w:sz="0" w:space="0" w:color="auto"/>
        <w:bottom w:val="none" w:sz="0" w:space="0" w:color="auto"/>
        <w:right w:val="none" w:sz="0" w:space="0" w:color="auto"/>
      </w:divBdr>
    </w:div>
    <w:div w:id="1228493748">
      <w:bodyDiv w:val="1"/>
      <w:marLeft w:val="0"/>
      <w:marRight w:val="0"/>
      <w:marTop w:val="0"/>
      <w:marBottom w:val="0"/>
      <w:divBdr>
        <w:top w:val="none" w:sz="0" w:space="0" w:color="auto"/>
        <w:left w:val="none" w:sz="0" w:space="0" w:color="auto"/>
        <w:bottom w:val="none" w:sz="0" w:space="0" w:color="auto"/>
        <w:right w:val="none" w:sz="0" w:space="0" w:color="auto"/>
      </w:divBdr>
      <w:divsChild>
        <w:div w:id="828862484">
          <w:marLeft w:val="0"/>
          <w:marRight w:val="0"/>
          <w:marTop w:val="0"/>
          <w:marBottom w:val="0"/>
          <w:divBdr>
            <w:top w:val="none" w:sz="0" w:space="0" w:color="auto"/>
            <w:left w:val="none" w:sz="0" w:space="0" w:color="auto"/>
            <w:bottom w:val="none" w:sz="0" w:space="0" w:color="auto"/>
            <w:right w:val="none" w:sz="0" w:space="0" w:color="auto"/>
          </w:divBdr>
        </w:div>
        <w:div w:id="1766608087">
          <w:marLeft w:val="0"/>
          <w:marRight w:val="0"/>
          <w:marTop w:val="0"/>
          <w:marBottom w:val="0"/>
          <w:divBdr>
            <w:top w:val="none" w:sz="0" w:space="0" w:color="auto"/>
            <w:left w:val="none" w:sz="0" w:space="0" w:color="auto"/>
            <w:bottom w:val="none" w:sz="0" w:space="0" w:color="auto"/>
            <w:right w:val="none" w:sz="0" w:space="0" w:color="auto"/>
          </w:divBdr>
        </w:div>
        <w:div w:id="1634211247">
          <w:marLeft w:val="0"/>
          <w:marRight w:val="0"/>
          <w:marTop w:val="0"/>
          <w:marBottom w:val="0"/>
          <w:divBdr>
            <w:top w:val="none" w:sz="0" w:space="0" w:color="auto"/>
            <w:left w:val="none" w:sz="0" w:space="0" w:color="auto"/>
            <w:bottom w:val="none" w:sz="0" w:space="0" w:color="auto"/>
            <w:right w:val="none" w:sz="0" w:space="0" w:color="auto"/>
          </w:divBdr>
        </w:div>
        <w:div w:id="1457528787">
          <w:marLeft w:val="0"/>
          <w:marRight w:val="0"/>
          <w:marTop w:val="0"/>
          <w:marBottom w:val="0"/>
          <w:divBdr>
            <w:top w:val="none" w:sz="0" w:space="0" w:color="auto"/>
            <w:left w:val="none" w:sz="0" w:space="0" w:color="auto"/>
            <w:bottom w:val="none" w:sz="0" w:space="0" w:color="auto"/>
            <w:right w:val="none" w:sz="0" w:space="0" w:color="auto"/>
          </w:divBdr>
        </w:div>
        <w:div w:id="2008822155">
          <w:marLeft w:val="0"/>
          <w:marRight w:val="0"/>
          <w:marTop w:val="0"/>
          <w:marBottom w:val="0"/>
          <w:divBdr>
            <w:top w:val="none" w:sz="0" w:space="0" w:color="auto"/>
            <w:left w:val="none" w:sz="0" w:space="0" w:color="auto"/>
            <w:bottom w:val="none" w:sz="0" w:space="0" w:color="auto"/>
            <w:right w:val="none" w:sz="0" w:space="0" w:color="auto"/>
          </w:divBdr>
        </w:div>
      </w:divsChild>
    </w:div>
    <w:div w:id="1324504529">
      <w:bodyDiv w:val="1"/>
      <w:marLeft w:val="0"/>
      <w:marRight w:val="0"/>
      <w:marTop w:val="0"/>
      <w:marBottom w:val="0"/>
      <w:divBdr>
        <w:top w:val="none" w:sz="0" w:space="0" w:color="auto"/>
        <w:left w:val="none" w:sz="0" w:space="0" w:color="auto"/>
        <w:bottom w:val="none" w:sz="0" w:space="0" w:color="auto"/>
        <w:right w:val="none" w:sz="0" w:space="0" w:color="auto"/>
      </w:divBdr>
    </w:div>
    <w:div w:id="1425496046">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4122</Words>
  <Characters>23498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MCDONALD, Jess</cp:lastModifiedBy>
  <cp:revision>2</cp:revision>
  <cp:lastPrinted>2021-01-22T04:44:00Z</cp:lastPrinted>
  <dcterms:created xsi:type="dcterms:W3CDTF">2024-06-29T23:17:00Z</dcterms:created>
  <dcterms:modified xsi:type="dcterms:W3CDTF">2024-06-29T23:17:00Z</dcterms:modified>
</cp:coreProperties>
</file>