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8C4B" w14:textId="77777777" w:rsidR="00440E4D" w:rsidRPr="00B91852" w:rsidRDefault="00440E4D" w:rsidP="00440E4D">
      <w:pPr>
        <w:rPr>
          <w:rFonts w:ascii="Arial" w:hAnsi="Arial" w:cs="Arial"/>
          <w:color w:val="000000"/>
          <w:szCs w:val="24"/>
        </w:rPr>
      </w:pPr>
      <w:bookmarkStart w:id="0" w:name="_Toc168113228"/>
      <w:r w:rsidRPr="00B91852">
        <w:rPr>
          <w:rFonts w:ascii="Arial" w:hAnsi="Arial" w:cs="Arial"/>
          <w:noProof/>
          <w:color w:val="000000"/>
          <w:szCs w:val="24"/>
        </w:rPr>
        <w:drawing>
          <wp:inline distT="0" distB="0" distL="0" distR="0" wp14:anchorId="5D2FC89B" wp14:editId="0AA82C94">
            <wp:extent cx="1419225" cy="1104900"/>
            <wp:effectExtent l="0" t="0" r="9525"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A44D795" w14:textId="71A945E8" w:rsidR="00440E4D" w:rsidRPr="00235A04" w:rsidRDefault="00440E4D" w:rsidP="00440E4D">
      <w:pPr>
        <w:spacing w:before="480"/>
        <w:rPr>
          <w:rFonts w:ascii="Arial" w:hAnsi="Arial" w:cs="Arial"/>
          <w:b/>
          <w:bCs/>
          <w:color w:val="000000"/>
          <w:sz w:val="32"/>
          <w:szCs w:val="32"/>
          <w:lang w:eastAsia="en-US"/>
        </w:rPr>
      </w:pPr>
      <w:r w:rsidRPr="545F0180">
        <w:rPr>
          <w:rFonts w:ascii="Arial" w:hAnsi="Arial" w:cs="Arial"/>
          <w:b/>
          <w:bCs/>
          <w:color w:val="000000" w:themeColor="text1"/>
          <w:sz w:val="32"/>
          <w:szCs w:val="32"/>
          <w:lang w:eastAsia="en-US"/>
        </w:rPr>
        <w:t xml:space="preserve">Insurance (prudential standard) determination No. </w:t>
      </w:r>
      <w:r w:rsidR="7DD9C907" w:rsidRPr="5A1D9F4B">
        <w:rPr>
          <w:rFonts w:ascii="Arial" w:hAnsi="Arial" w:cs="Arial"/>
          <w:b/>
          <w:bCs/>
          <w:color w:val="000000" w:themeColor="text1"/>
          <w:sz w:val="32"/>
          <w:szCs w:val="32"/>
          <w:lang w:eastAsia="en-US"/>
        </w:rPr>
        <w:t>1</w:t>
      </w:r>
      <w:r w:rsidRPr="545F0180">
        <w:rPr>
          <w:rFonts w:ascii="Arial" w:hAnsi="Arial" w:cs="Arial"/>
          <w:b/>
          <w:bCs/>
          <w:color w:val="000000" w:themeColor="text1"/>
          <w:sz w:val="32"/>
          <w:szCs w:val="32"/>
          <w:lang w:eastAsia="en-US"/>
        </w:rPr>
        <w:t xml:space="preserve"> of 20</w:t>
      </w:r>
      <w:r w:rsidR="36703CAA" w:rsidRPr="545F0180">
        <w:rPr>
          <w:rFonts w:ascii="Arial" w:hAnsi="Arial" w:cs="Arial"/>
          <w:b/>
          <w:bCs/>
          <w:color w:val="000000" w:themeColor="text1"/>
          <w:sz w:val="32"/>
          <w:szCs w:val="32"/>
          <w:lang w:eastAsia="en-US"/>
        </w:rPr>
        <w:t>24</w:t>
      </w:r>
      <w:r w:rsidRPr="545F0180">
        <w:rPr>
          <w:rFonts w:ascii="Arial" w:hAnsi="Arial" w:cs="Arial"/>
          <w:b/>
          <w:bCs/>
          <w:color w:val="000000" w:themeColor="text1"/>
          <w:sz w:val="32"/>
          <w:szCs w:val="32"/>
          <w:lang w:eastAsia="en-US"/>
        </w:rPr>
        <w:t xml:space="preserve"> </w:t>
      </w:r>
    </w:p>
    <w:p w14:paraId="3E0F7421" w14:textId="77777777" w:rsidR="00440E4D" w:rsidRPr="00235A04" w:rsidRDefault="00440E4D" w:rsidP="006A549A">
      <w:pPr>
        <w:spacing w:before="240" w:after="120"/>
        <w:rPr>
          <w:rFonts w:ascii="Arial" w:hAnsi="Arial" w:cs="Arial"/>
          <w:b/>
          <w:bCs/>
          <w:color w:val="000000"/>
          <w:sz w:val="28"/>
          <w:szCs w:val="28"/>
          <w:lang w:eastAsia="en-US"/>
        </w:rPr>
      </w:pPr>
      <w:r w:rsidRPr="00235A04">
        <w:rPr>
          <w:rFonts w:ascii="Arial" w:hAnsi="Arial" w:cs="Arial"/>
          <w:b/>
          <w:bCs/>
          <w:color w:val="000000"/>
          <w:sz w:val="28"/>
          <w:szCs w:val="28"/>
          <w:lang w:eastAsia="en-US"/>
        </w:rPr>
        <w:t>Prudential Standard GPS 310 Audit and Related Matters</w:t>
      </w:r>
    </w:p>
    <w:p w14:paraId="71E6D959" w14:textId="77777777" w:rsidR="00440E4D" w:rsidRPr="00B91852" w:rsidRDefault="00440E4D" w:rsidP="00440E4D">
      <w:pPr>
        <w:pStyle w:val="ActTitle"/>
        <w:rPr>
          <w:rFonts w:cs="Arial"/>
          <w:color w:val="000000"/>
          <w:sz w:val="24"/>
          <w:szCs w:val="24"/>
        </w:rPr>
      </w:pPr>
      <w:r w:rsidRPr="00B91852">
        <w:rPr>
          <w:rFonts w:cs="Arial"/>
          <w:color w:val="000000"/>
          <w:sz w:val="24"/>
          <w:szCs w:val="24"/>
        </w:rPr>
        <w:t>Insurance Act 1973</w:t>
      </w:r>
    </w:p>
    <w:p w14:paraId="1BDE4748" w14:textId="05EBDC9B" w:rsidR="00440E4D" w:rsidRPr="00B91852" w:rsidRDefault="00440E4D" w:rsidP="00440E4D">
      <w:pPr>
        <w:pStyle w:val="IntroTo"/>
        <w:ind w:left="0" w:firstLine="0"/>
        <w:jc w:val="both"/>
        <w:rPr>
          <w:rFonts w:ascii="Arial" w:hAnsi="Arial" w:cs="Arial"/>
          <w:szCs w:val="24"/>
        </w:rPr>
      </w:pPr>
      <w:r w:rsidRPr="00B91852">
        <w:rPr>
          <w:rFonts w:ascii="Arial" w:hAnsi="Arial" w:cs="Arial"/>
          <w:szCs w:val="24"/>
        </w:rPr>
        <w:t xml:space="preserve">I, </w:t>
      </w:r>
      <w:r w:rsidR="007C174B">
        <w:rPr>
          <w:rFonts w:ascii="Arial" w:hAnsi="Arial" w:cs="Arial"/>
          <w:szCs w:val="24"/>
        </w:rPr>
        <w:t>Clare Gibney</w:t>
      </w:r>
      <w:r w:rsidRPr="00B91852">
        <w:rPr>
          <w:rFonts w:ascii="Arial" w:hAnsi="Arial" w:cs="Arial"/>
          <w:szCs w:val="24"/>
        </w:rPr>
        <w:t xml:space="preserve">, </w:t>
      </w:r>
      <w:r w:rsidR="00DB007E">
        <w:rPr>
          <w:rFonts w:ascii="Arial" w:hAnsi="Arial" w:cs="Arial"/>
          <w:szCs w:val="24"/>
        </w:rPr>
        <w:t xml:space="preserve">a </w:t>
      </w:r>
      <w:r w:rsidRPr="00B91852">
        <w:rPr>
          <w:rFonts w:ascii="Arial" w:hAnsi="Arial" w:cs="Arial"/>
          <w:szCs w:val="24"/>
        </w:rPr>
        <w:t>delegate of APRA:</w:t>
      </w:r>
    </w:p>
    <w:p w14:paraId="39614DA7" w14:textId="77777777" w:rsidR="00440E4D" w:rsidRPr="00B91852" w:rsidRDefault="00440E4D" w:rsidP="00440E4D">
      <w:pPr>
        <w:pStyle w:val="IntroTo"/>
        <w:ind w:left="0" w:firstLine="0"/>
        <w:jc w:val="both"/>
        <w:rPr>
          <w:rFonts w:ascii="Arial" w:hAnsi="Arial" w:cs="Arial"/>
          <w:szCs w:val="24"/>
        </w:rPr>
      </w:pPr>
    </w:p>
    <w:p w14:paraId="64ECD7DB" w14:textId="628B0964" w:rsidR="00440E4D" w:rsidRPr="00B91852" w:rsidRDefault="00440E4D" w:rsidP="00440E4D">
      <w:pPr>
        <w:pStyle w:val="IntroTo"/>
        <w:numPr>
          <w:ilvl w:val="0"/>
          <w:numId w:val="40"/>
        </w:numPr>
        <w:ind w:left="567" w:hanging="567"/>
        <w:jc w:val="both"/>
        <w:rPr>
          <w:rFonts w:ascii="Arial" w:hAnsi="Arial" w:cs="Arial"/>
          <w:color w:val="000000"/>
          <w:szCs w:val="24"/>
        </w:rPr>
      </w:pPr>
      <w:r w:rsidRPr="00B91852">
        <w:rPr>
          <w:rFonts w:ascii="Arial" w:hAnsi="Arial" w:cs="Arial"/>
          <w:color w:val="000000"/>
          <w:szCs w:val="24"/>
        </w:rPr>
        <w:t xml:space="preserve">under subsection 32(4) of the </w:t>
      </w:r>
      <w:r w:rsidRPr="00B91852">
        <w:rPr>
          <w:rFonts w:ascii="Arial" w:hAnsi="Arial" w:cs="Arial"/>
          <w:i/>
          <w:color w:val="000000"/>
          <w:szCs w:val="24"/>
        </w:rPr>
        <w:t>Insurance Act 1973</w:t>
      </w:r>
      <w:r w:rsidRPr="00B91852">
        <w:rPr>
          <w:rFonts w:ascii="Arial" w:hAnsi="Arial" w:cs="Arial"/>
          <w:color w:val="000000"/>
          <w:szCs w:val="24"/>
        </w:rPr>
        <w:t xml:space="preserve"> (the Act) REVOKE </w:t>
      </w:r>
      <w:r w:rsidRPr="00064C4A">
        <w:rPr>
          <w:rFonts w:ascii="Arial" w:hAnsi="Arial" w:cs="Arial"/>
          <w:i/>
          <w:color w:val="000000"/>
          <w:szCs w:val="24"/>
        </w:rPr>
        <w:t xml:space="preserve">Insurance (prudential standard) determination No. </w:t>
      </w:r>
      <w:r w:rsidR="00DB007E">
        <w:rPr>
          <w:rFonts w:ascii="Arial" w:hAnsi="Arial" w:cs="Arial"/>
          <w:i/>
          <w:color w:val="000000"/>
          <w:szCs w:val="24"/>
        </w:rPr>
        <w:t>9</w:t>
      </w:r>
      <w:r w:rsidRPr="00064C4A">
        <w:rPr>
          <w:rFonts w:ascii="Arial" w:hAnsi="Arial" w:cs="Arial"/>
          <w:i/>
          <w:color w:val="000000"/>
          <w:szCs w:val="24"/>
        </w:rPr>
        <w:t xml:space="preserve"> of 20</w:t>
      </w:r>
      <w:r w:rsidR="00DB007E">
        <w:rPr>
          <w:rFonts w:ascii="Arial" w:hAnsi="Arial" w:cs="Arial"/>
          <w:i/>
          <w:color w:val="000000"/>
          <w:szCs w:val="24"/>
        </w:rPr>
        <w:t>19</w:t>
      </w:r>
      <w:r w:rsidRPr="00064C4A">
        <w:rPr>
          <w:rFonts w:ascii="Arial" w:hAnsi="Arial" w:cs="Arial"/>
          <w:color w:val="000000"/>
          <w:szCs w:val="24"/>
        </w:rPr>
        <w:t xml:space="preserve">, including </w:t>
      </w:r>
      <w:r w:rsidRPr="00064C4A">
        <w:rPr>
          <w:rFonts w:ascii="Arial" w:hAnsi="Arial" w:cs="Arial"/>
          <w:i/>
          <w:color w:val="000000"/>
          <w:szCs w:val="24"/>
        </w:rPr>
        <w:t>Prudential Standard GPS 310 Audit and Related</w:t>
      </w:r>
      <w:r w:rsidRPr="00B91852">
        <w:rPr>
          <w:rFonts w:ascii="Arial" w:hAnsi="Arial" w:cs="Arial"/>
          <w:i/>
          <w:color w:val="000000"/>
          <w:szCs w:val="24"/>
        </w:rPr>
        <w:t xml:space="preserve"> Matters</w:t>
      </w:r>
      <w:r w:rsidRPr="00B91852">
        <w:rPr>
          <w:rFonts w:ascii="Arial" w:hAnsi="Arial" w:cs="Arial"/>
          <w:color w:val="000000"/>
          <w:szCs w:val="24"/>
        </w:rPr>
        <w:t xml:space="preserve"> made under that</w:t>
      </w:r>
      <w:r w:rsidR="00064C4A">
        <w:rPr>
          <w:rFonts w:ascii="Arial" w:hAnsi="Arial" w:cs="Arial"/>
          <w:color w:val="000000"/>
          <w:szCs w:val="24"/>
        </w:rPr>
        <w:t xml:space="preserve"> determination</w:t>
      </w:r>
      <w:r w:rsidRPr="00B91852">
        <w:rPr>
          <w:rFonts w:ascii="Arial" w:hAnsi="Arial" w:cs="Arial"/>
          <w:color w:val="000000"/>
          <w:szCs w:val="24"/>
        </w:rPr>
        <w:t>; and</w:t>
      </w:r>
    </w:p>
    <w:p w14:paraId="6D21E4BE" w14:textId="77777777" w:rsidR="00440E4D" w:rsidRPr="00B91852" w:rsidRDefault="00440E4D" w:rsidP="00440E4D">
      <w:pPr>
        <w:pStyle w:val="IntroTo"/>
        <w:numPr>
          <w:ilvl w:val="0"/>
          <w:numId w:val="40"/>
        </w:numPr>
        <w:spacing w:before="120"/>
        <w:ind w:left="567" w:hanging="567"/>
        <w:jc w:val="both"/>
        <w:rPr>
          <w:rFonts w:ascii="Arial" w:hAnsi="Arial" w:cs="Arial"/>
          <w:color w:val="000000"/>
          <w:szCs w:val="24"/>
        </w:rPr>
      </w:pPr>
      <w:r w:rsidRPr="00B91852">
        <w:rPr>
          <w:rFonts w:ascii="Arial" w:hAnsi="Arial" w:cs="Arial"/>
          <w:color w:val="000000"/>
          <w:szCs w:val="24"/>
        </w:rPr>
        <w:t xml:space="preserve">under subsection 32(1) of the Act DETERMINE </w:t>
      </w:r>
      <w:r w:rsidRPr="00B91852">
        <w:rPr>
          <w:rFonts w:ascii="Arial" w:hAnsi="Arial" w:cs="Arial"/>
          <w:i/>
          <w:color w:val="000000"/>
          <w:szCs w:val="24"/>
        </w:rPr>
        <w:t>Prudential Standard GPS 310 Audit and Related Matters</w:t>
      </w:r>
      <w:r w:rsidRPr="00B91852">
        <w:rPr>
          <w:rFonts w:ascii="Arial" w:hAnsi="Arial" w:cs="Arial"/>
          <w:color w:val="000000"/>
          <w:szCs w:val="24"/>
        </w:rPr>
        <w:t>, in the form set out in the Schedule, which applies to:</w:t>
      </w:r>
    </w:p>
    <w:p w14:paraId="48513459" w14:textId="77777777" w:rsidR="00440E4D" w:rsidRPr="00B91852" w:rsidRDefault="00440E4D" w:rsidP="00440E4D">
      <w:pPr>
        <w:pStyle w:val="IntroTo"/>
        <w:numPr>
          <w:ilvl w:val="1"/>
          <w:numId w:val="40"/>
        </w:numPr>
        <w:tabs>
          <w:tab w:val="left" w:pos="1134"/>
        </w:tabs>
        <w:spacing w:before="120"/>
        <w:ind w:left="1134" w:hanging="425"/>
        <w:jc w:val="both"/>
        <w:rPr>
          <w:rFonts w:ascii="Arial" w:hAnsi="Arial" w:cs="Arial"/>
          <w:color w:val="000000"/>
          <w:szCs w:val="24"/>
        </w:rPr>
      </w:pPr>
      <w:r w:rsidRPr="00B91852">
        <w:rPr>
          <w:rFonts w:ascii="Arial" w:hAnsi="Arial" w:cs="Arial"/>
          <w:color w:val="000000"/>
          <w:szCs w:val="24"/>
        </w:rPr>
        <w:t>all general insurers and authorised NOHCs; and</w:t>
      </w:r>
    </w:p>
    <w:p w14:paraId="6E5226C0" w14:textId="77777777" w:rsidR="00440E4D" w:rsidRPr="00B91852" w:rsidRDefault="00440E4D" w:rsidP="00440E4D">
      <w:pPr>
        <w:pStyle w:val="IntroTo"/>
        <w:numPr>
          <w:ilvl w:val="1"/>
          <w:numId w:val="40"/>
        </w:numPr>
        <w:tabs>
          <w:tab w:val="left" w:pos="1134"/>
        </w:tabs>
        <w:spacing w:before="120"/>
        <w:ind w:left="1134" w:hanging="425"/>
        <w:jc w:val="both"/>
        <w:rPr>
          <w:rFonts w:ascii="Arial" w:hAnsi="Arial" w:cs="Arial"/>
          <w:color w:val="000000"/>
          <w:szCs w:val="24"/>
        </w:rPr>
      </w:pPr>
      <w:r w:rsidRPr="00B91852">
        <w:rPr>
          <w:rFonts w:ascii="Arial" w:hAnsi="Arial" w:cs="Arial"/>
          <w:color w:val="000000"/>
          <w:szCs w:val="24"/>
        </w:rPr>
        <w:t>a subsidiary of a general insurer or authorised NOHC, where that subsidiary is a parent entity of a Level 2 insurance group.</w:t>
      </w:r>
    </w:p>
    <w:p w14:paraId="60A58D95" w14:textId="77777777" w:rsidR="00440E4D" w:rsidRPr="00B91852" w:rsidRDefault="00440E4D" w:rsidP="00440E4D">
      <w:pPr>
        <w:jc w:val="both"/>
        <w:rPr>
          <w:rFonts w:ascii="Arial" w:hAnsi="Arial" w:cs="Arial"/>
          <w:szCs w:val="24"/>
        </w:rPr>
      </w:pPr>
    </w:p>
    <w:p w14:paraId="4A357474" w14:textId="3585105E" w:rsidR="00440E4D" w:rsidRPr="00B91852" w:rsidRDefault="00440E4D" w:rsidP="00440E4D">
      <w:pPr>
        <w:jc w:val="both"/>
        <w:rPr>
          <w:rFonts w:ascii="Arial" w:hAnsi="Arial" w:cs="Arial"/>
          <w:szCs w:val="24"/>
        </w:rPr>
      </w:pPr>
      <w:r w:rsidRPr="00B91852">
        <w:rPr>
          <w:rFonts w:ascii="Arial" w:hAnsi="Arial" w:cs="Arial"/>
          <w:szCs w:val="24"/>
        </w:rPr>
        <w:t xml:space="preserve">This instrument </w:t>
      </w:r>
      <w:r w:rsidR="00794451">
        <w:rPr>
          <w:rFonts w:ascii="Arial" w:hAnsi="Arial" w:cs="Arial"/>
          <w:szCs w:val="24"/>
        </w:rPr>
        <w:t>commences</w:t>
      </w:r>
      <w:r w:rsidRPr="00B91852">
        <w:rPr>
          <w:rFonts w:ascii="Arial" w:hAnsi="Arial" w:cs="Arial"/>
          <w:szCs w:val="24"/>
        </w:rPr>
        <w:t xml:space="preserve"> on</w:t>
      </w:r>
      <w:r w:rsidR="00064C4A">
        <w:rPr>
          <w:rFonts w:ascii="Arial" w:hAnsi="Arial" w:cs="Arial"/>
          <w:szCs w:val="24"/>
        </w:rPr>
        <w:t xml:space="preserve"> </w:t>
      </w:r>
      <w:r w:rsidR="002D1C2A">
        <w:rPr>
          <w:rFonts w:ascii="Arial" w:hAnsi="Arial" w:cs="Arial"/>
          <w:szCs w:val="24"/>
        </w:rPr>
        <w:t>1 October 2024</w:t>
      </w:r>
      <w:r w:rsidRPr="00B91852">
        <w:rPr>
          <w:rFonts w:ascii="Arial" w:hAnsi="Arial" w:cs="Arial"/>
          <w:szCs w:val="24"/>
        </w:rPr>
        <w:t>.</w:t>
      </w:r>
    </w:p>
    <w:p w14:paraId="7FC1727C" w14:textId="77777777" w:rsidR="00440E4D" w:rsidRPr="00B91852" w:rsidRDefault="00440E4D" w:rsidP="00440E4D">
      <w:pPr>
        <w:jc w:val="both"/>
        <w:rPr>
          <w:rFonts w:ascii="Arial" w:hAnsi="Arial" w:cs="Arial"/>
          <w:szCs w:val="24"/>
        </w:rPr>
      </w:pPr>
    </w:p>
    <w:p w14:paraId="0DF6374C" w14:textId="287E7D1F" w:rsidR="00647255" w:rsidRPr="00B91852" w:rsidRDefault="00647255" w:rsidP="00647255">
      <w:pPr>
        <w:jc w:val="both"/>
        <w:rPr>
          <w:rFonts w:ascii="Arial" w:hAnsi="Arial" w:cs="Arial"/>
          <w:szCs w:val="24"/>
        </w:rPr>
      </w:pPr>
      <w:r w:rsidRPr="00B91852">
        <w:rPr>
          <w:rFonts w:ascii="Arial" w:hAnsi="Arial" w:cs="Arial"/>
          <w:szCs w:val="24"/>
        </w:rPr>
        <w:t xml:space="preserve">Dated: </w:t>
      </w:r>
      <w:r w:rsidR="00B47A29">
        <w:rPr>
          <w:rFonts w:ascii="Arial" w:hAnsi="Arial" w:cs="Arial"/>
          <w:szCs w:val="24"/>
        </w:rPr>
        <w:t>9 July 2024</w:t>
      </w:r>
    </w:p>
    <w:p w14:paraId="39B41B14" w14:textId="77777777" w:rsidR="00647255" w:rsidRPr="00B91852" w:rsidRDefault="00647255" w:rsidP="00647255">
      <w:pPr>
        <w:jc w:val="both"/>
        <w:rPr>
          <w:rFonts w:ascii="Arial" w:hAnsi="Arial" w:cs="Arial"/>
          <w:szCs w:val="24"/>
        </w:rPr>
      </w:pPr>
    </w:p>
    <w:p w14:paraId="24426D71" w14:textId="167BECB8" w:rsidR="00064C4A" w:rsidRPr="00B91852" w:rsidRDefault="00064C4A" w:rsidP="00647255">
      <w:pPr>
        <w:jc w:val="both"/>
        <w:rPr>
          <w:rFonts w:ascii="Arial" w:hAnsi="Arial" w:cs="Arial"/>
          <w:szCs w:val="24"/>
        </w:rPr>
      </w:pPr>
    </w:p>
    <w:p w14:paraId="28C2E0F1" w14:textId="2D5D90C7" w:rsidR="00647255" w:rsidRPr="00B91852" w:rsidRDefault="00647255" w:rsidP="00647255">
      <w:pPr>
        <w:jc w:val="both"/>
        <w:rPr>
          <w:rFonts w:ascii="Arial" w:hAnsi="Arial" w:cs="Arial"/>
          <w:szCs w:val="24"/>
        </w:rPr>
      </w:pPr>
    </w:p>
    <w:p w14:paraId="3825609A" w14:textId="5BD0BE9E" w:rsidR="00741B37" w:rsidRDefault="00064C4A" w:rsidP="00647255">
      <w:pPr>
        <w:jc w:val="both"/>
        <w:rPr>
          <w:rFonts w:ascii="Arial" w:hAnsi="Arial" w:cs="Arial"/>
          <w:szCs w:val="24"/>
        </w:rPr>
      </w:pPr>
      <w:r>
        <w:rPr>
          <w:rFonts w:ascii="Arial" w:hAnsi="Arial" w:cs="Arial"/>
          <w:szCs w:val="24"/>
        </w:rPr>
        <w:t>Clare Gibney</w:t>
      </w:r>
    </w:p>
    <w:p w14:paraId="67A381FB" w14:textId="28E70E9F" w:rsidR="00647255" w:rsidRPr="00B91852" w:rsidRDefault="00647255" w:rsidP="00647255">
      <w:pPr>
        <w:jc w:val="both"/>
        <w:rPr>
          <w:rFonts w:ascii="Arial" w:hAnsi="Arial" w:cs="Arial"/>
          <w:szCs w:val="24"/>
        </w:rPr>
      </w:pPr>
      <w:r w:rsidRPr="00B91852">
        <w:rPr>
          <w:rFonts w:ascii="Arial" w:hAnsi="Arial" w:cs="Arial"/>
          <w:szCs w:val="24"/>
        </w:rPr>
        <w:t xml:space="preserve">Executive </w:t>
      </w:r>
      <w:r w:rsidR="004C5DD5">
        <w:rPr>
          <w:rFonts w:ascii="Arial" w:hAnsi="Arial" w:cs="Arial"/>
          <w:szCs w:val="24"/>
        </w:rPr>
        <w:t>Director</w:t>
      </w:r>
    </w:p>
    <w:p w14:paraId="06BE6C01" w14:textId="77777777" w:rsidR="00647255" w:rsidRPr="00B91852" w:rsidRDefault="00647255" w:rsidP="00647255">
      <w:pPr>
        <w:jc w:val="both"/>
        <w:rPr>
          <w:rFonts w:ascii="Arial" w:hAnsi="Arial" w:cs="Arial"/>
          <w:szCs w:val="24"/>
        </w:rPr>
      </w:pPr>
      <w:r w:rsidRPr="00B91852">
        <w:rPr>
          <w:rFonts w:ascii="Arial" w:hAnsi="Arial" w:cs="Arial"/>
          <w:szCs w:val="24"/>
        </w:rPr>
        <w:t xml:space="preserve">Policy and Advice Division </w:t>
      </w:r>
    </w:p>
    <w:p w14:paraId="52421277" w14:textId="77777777" w:rsidR="00647255" w:rsidRPr="00B91852" w:rsidRDefault="00647255" w:rsidP="00647255">
      <w:pPr>
        <w:jc w:val="both"/>
        <w:rPr>
          <w:rFonts w:ascii="Arial" w:hAnsi="Arial" w:cs="Arial"/>
          <w:szCs w:val="24"/>
        </w:rPr>
      </w:pPr>
    </w:p>
    <w:p w14:paraId="7A73D03C" w14:textId="77777777" w:rsidR="00440E4D" w:rsidRPr="00B91852" w:rsidRDefault="00440E4D" w:rsidP="00440E4D">
      <w:pPr>
        <w:jc w:val="both"/>
        <w:rPr>
          <w:rFonts w:ascii="Arial" w:hAnsi="Arial" w:cs="Arial"/>
          <w:color w:val="000000"/>
          <w:szCs w:val="24"/>
        </w:rPr>
      </w:pPr>
    </w:p>
    <w:p w14:paraId="0ADD8C18" w14:textId="77777777" w:rsidR="00440E4D" w:rsidRPr="00B91852" w:rsidRDefault="00440E4D" w:rsidP="00440E4D">
      <w:pPr>
        <w:pStyle w:val="IH"/>
        <w:spacing w:before="0"/>
        <w:ind w:left="0" w:firstLine="0"/>
        <w:rPr>
          <w:rFonts w:cs="Arial"/>
          <w:color w:val="000000"/>
        </w:rPr>
      </w:pPr>
      <w:r w:rsidRPr="00B91852">
        <w:rPr>
          <w:rFonts w:cs="Arial"/>
          <w:color w:val="000000"/>
        </w:rPr>
        <w:t>Interpretation</w:t>
      </w:r>
    </w:p>
    <w:p w14:paraId="70542438" w14:textId="600A050E" w:rsidR="00440E4D" w:rsidRDefault="00440E4D" w:rsidP="00440E4D">
      <w:pPr>
        <w:pStyle w:val="IP"/>
        <w:rPr>
          <w:rFonts w:ascii="Arial" w:hAnsi="Arial" w:cs="Arial"/>
          <w:color w:val="000000"/>
        </w:rPr>
      </w:pPr>
      <w:r w:rsidRPr="00B91852">
        <w:rPr>
          <w:rFonts w:ascii="Arial" w:hAnsi="Arial" w:cs="Arial"/>
          <w:color w:val="000000"/>
        </w:rPr>
        <w:t xml:space="preserve">In this </w:t>
      </w:r>
      <w:r w:rsidR="00DB4AE8">
        <w:rPr>
          <w:rFonts w:ascii="Arial" w:hAnsi="Arial" w:cs="Arial"/>
          <w:color w:val="000000"/>
        </w:rPr>
        <w:t>instrument</w:t>
      </w:r>
      <w:r w:rsidRPr="00B91852">
        <w:rPr>
          <w:rFonts w:ascii="Arial" w:hAnsi="Arial" w:cs="Arial"/>
          <w:color w:val="000000"/>
        </w:rPr>
        <w:t>:</w:t>
      </w:r>
    </w:p>
    <w:p w14:paraId="2FD42FE0" w14:textId="77777777" w:rsidR="00DB4AE8" w:rsidRPr="00DB4AE8" w:rsidRDefault="00DB4AE8" w:rsidP="00DB4AE8">
      <w:pPr>
        <w:rPr>
          <w:lang w:eastAsia="en-US"/>
        </w:rPr>
      </w:pPr>
    </w:p>
    <w:p w14:paraId="66FE7EB0" w14:textId="77777777" w:rsidR="00440E4D" w:rsidRPr="00B91852"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t>APRA</w:t>
      </w:r>
      <w:r w:rsidRPr="00B91852">
        <w:rPr>
          <w:rFonts w:ascii="Arial" w:hAnsi="Arial" w:cs="Arial"/>
          <w:color w:val="000000"/>
          <w:szCs w:val="24"/>
        </w:rPr>
        <w:t xml:space="preserve"> means the Australian Prudential Regulation Authority.</w:t>
      </w:r>
    </w:p>
    <w:p w14:paraId="4C4F1A00" w14:textId="77777777" w:rsidR="00440E4D" w:rsidRPr="00B91852"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t>authorised NOHC</w:t>
      </w:r>
      <w:r w:rsidRPr="00B91852">
        <w:rPr>
          <w:rFonts w:ascii="Arial" w:hAnsi="Arial" w:cs="Arial"/>
          <w:color w:val="000000"/>
          <w:szCs w:val="24"/>
        </w:rPr>
        <w:t xml:space="preserve"> has the meaning given in section 3 of the Act.</w:t>
      </w:r>
    </w:p>
    <w:p w14:paraId="11A559B4" w14:textId="77777777" w:rsidR="00440E4D" w:rsidRPr="00B91852"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t xml:space="preserve">general insurer </w:t>
      </w:r>
      <w:r w:rsidRPr="00B91852">
        <w:rPr>
          <w:rFonts w:ascii="Arial" w:hAnsi="Arial" w:cs="Arial"/>
          <w:color w:val="000000"/>
          <w:szCs w:val="24"/>
        </w:rPr>
        <w:t>has the meaning given in section 11 of the Act.</w:t>
      </w:r>
    </w:p>
    <w:p w14:paraId="0F6F10DB" w14:textId="1E213160" w:rsidR="00440E4D" w:rsidRPr="00B91852"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t>Level 2 insurance group</w:t>
      </w:r>
      <w:r w:rsidRPr="00B91852">
        <w:rPr>
          <w:rFonts w:ascii="Arial" w:hAnsi="Arial" w:cs="Arial"/>
          <w:color w:val="000000"/>
          <w:szCs w:val="24"/>
        </w:rPr>
        <w:t xml:space="preserve"> has the meaning given in </w:t>
      </w:r>
      <w:r w:rsidRPr="00B91852">
        <w:rPr>
          <w:rFonts w:ascii="Arial" w:hAnsi="Arial" w:cs="Arial"/>
          <w:i/>
          <w:color w:val="000000"/>
          <w:szCs w:val="24"/>
        </w:rPr>
        <w:t>Prudential Standard GPS 001 Definitions</w:t>
      </w:r>
      <w:r w:rsidRPr="00B91852">
        <w:rPr>
          <w:rFonts w:ascii="Arial" w:hAnsi="Arial" w:cs="Arial"/>
          <w:color w:val="000000"/>
          <w:szCs w:val="24"/>
        </w:rPr>
        <w:t>.</w:t>
      </w:r>
    </w:p>
    <w:p w14:paraId="32E65975" w14:textId="7A6FFABA" w:rsidR="00440E4D" w:rsidRPr="00B91852"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lastRenderedPageBreak/>
        <w:t>parent entity</w:t>
      </w:r>
      <w:r w:rsidRPr="00B91852">
        <w:rPr>
          <w:rFonts w:ascii="Arial" w:hAnsi="Arial" w:cs="Arial"/>
          <w:color w:val="000000"/>
          <w:szCs w:val="24"/>
        </w:rPr>
        <w:t xml:space="preserve"> has the meaning given in </w:t>
      </w:r>
      <w:r w:rsidRPr="00B91852">
        <w:rPr>
          <w:rFonts w:ascii="Arial" w:hAnsi="Arial" w:cs="Arial"/>
          <w:i/>
          <w:color w:val="000000"/>
          <w:szCs w:val="24"/>
        </w:rPr>
        <w:t>Prudential Standard GPS 001 Definitions</w:t>
      </w:r>
      <w:r w:rsidRPr="00B91852">
        <w:rPr>
          <w:rFonts w:ascii="Arial" w:hAnsi="Arial" w:cs="Arial"/>
          <w:color w:val="000000"/>
          <w:szCs w:val="24"/>
        </w:rPr>
        <w:t>.</w:t>
      </w:r>
    </w:p>
    <w:p w14:paraId="62665D7D" w14:textId="6DC73AF6" w:rsidR="00440E4D" w:rsidRDefault="00440E4D" w:rsidP="00440E4D">
      <w:pPr>
        <w:pStyle w:val="IntroTo"/>
        <w:spacing w:before="120"/>
        <w:ind w:left="0" w:firstLine="0"/>
        <w:jc w:val="both"/>
        <w:rPr>
          <w:rFonts w:ascii="Arial" w:hAnsi="Arial" w:cs="Arial"/>
          <w:color w:val="000000"/>
          <w:szCs w:val="24"/>
        </w:rPr>
      </w:pPr>
      <w:r w:rsidRPr="00B91852">
        <w:rPr>
          <w:rFonts w:ascii="Arial" w:hAnsi="Arial" w:cs="Arial"/>
          <w:b/>
          <w:i/>
          <w:color w:val="000000"/>
          <w:szCs w:val="24"/>
        </w:rPr>
        <w:t>subsidiary</w:t>
      </w:r>
      <w:r w:rsidRPr="00B91852">
        <w:rPr>
          <w:rFonts w:ascii="Arial" w:hAnsi="Arial" w:cs="Arial"/>
          <w:color w:val="000000"/>
          <w:szCs w:val="24"/>
        </w:rPr>
        <w:t xml:space="preserve"> has the meaning given in </w:t>
      </w:r>
      <w:r w:rsidRPr="00B91852">
        <w:rPr>
          <w:rFonts w:ascii="Arial" w:hAnsi="Arial" w:cs="Arial"/>
          <w:i/>
          <w:color w:val="000000"/>
          <w:szCs w:val="24"/>
        </w:rPr>
        <w:t>Prudential Standard GPS 001 Definitions</w:t>
      </w:r>
      <w:r w:rsidRPr="00B91852">
        <w:rPr>
          <w:rFonts w:ascii="Arial" w:hAnsi="Arial" w:cs="Arial"/>
          <w:color w:val="000000"/>
          <w:szCs w:val="24"/>
        </w:rPr>
        <w:t>.</w:t>
      </w:r>
    </w:p>
    <w:p w14:paraId="57A18551" w14:textId="77777777" w:rsidR="0080297F" w:rsidRPr="00B91852" w:rsidRDefault="0080297F" w:rsidP="00440E4D">
      <w:pPr>
        <w:pStyle w:val="IntroTo"/>
        <w:spacing w:before="120"/>
        <w:ind w:left="0" w:firstLine="0"/>
        <w:jc w:val="both"/>
        <w:rPr>
          <w:rFonts w:ascii="Arial" w:hAnsi="Arial" w:cs="Arial"/>
          <w:color w:val="000000"/>
          <w:szCs w:val="24"/>
        </w:rPr>
      </w:pPr>
    </w:p>
    <w:p w14:paraId="2D507CA5" w14:textId="77777777" w:rsidR="0080297F" w:rsidRPr="00B91852" w:rsidRDefault="0080297F" w:rsidP="0080297F">
      <w:pPr>
        <w:rPr>
          <w:rStyle w:val="CharSchText"/>
          <w:color w:val="000000"/>
          <w:szCs w:val="24"/>
        </w:rPr>
      </w:pPr>
      <w:r w:rsidRPr="00EA0A28">
        <w:rPr>
          <w:rFonts w:ascii="Arial" w:hAnsi="Arial" w:cs="Arial"/>
          <w:b/>
          <w:sz w:val="32"/>
          <w:szCs w:val="32"/>
        </w:rPr>
        <w:t xml:space="preserve">Schedule </w:t>
      </w:r>
    </w:p>
    <w:p w14:paraId="5F47FCD1" w14:textId="77777777" w:rsidR="00440E4D" w:rsidRPr="00B91852" w:rsidRDefault="00440E4D" w:rsidP="00440E4D">
      <w:pPr>
        <w:pStyle w:val="ASref"/>
        <w:rPr>
          <w:color w:val="000000"/>
          <w:sz w:val="24"/>
          <w:szCs w:val="24"/>
        </w:rPr>
      </w:pPr>
    </w:p>
    <w:p w14:paraId="67BAB5D1" w14:textId="21C89B67" w:rsidR="00440E4D" w:rsidRPr="00B91852" w:rsidRDefault="00440E4D" w:rsidP="00440E4D">
      <w:pPr>
        <w:pStyle w:val="Header"/>
        <w:jc w:val="both"/>
        <w:rPr>
          <w:rFonts w:ascii="Arial" w:hAnsi="Arial" w:cs="Arial"/>
          <w:bCs/>
          <w:szCs w:val="24"/>
        </w:rPr>
        <w:sectPr w:rsidR="00440E4D" w:rsidRPr="00B91852" w:rsidSect="00BD7736">
          <w:headerReference w:type="default" r:id="rId12"/>
          <w:headerReference w:type="first" r:id="rId13"/>
          <w:pgSz w:w="11906" w:h="16838" w:code="9"/>
          <w:pgMar w:top="1440" w:right="1440" w:bottom="1440" w:left="1440" w:header="567" w:footer="567" w:gutter="0"/>
          <w:cols w:space="708"/>
          <w:titlePg/>
          <w:docGrid w:linePitch="360"/>
        </w:sectPr>
      </w:pPr>
      <w:r w:rsidRPr="00B91852">
        <w:rPr>
          <w:rFonts w:ascii="Arial" w:hAnsi="Arial" w:cs="Arial"/>
          <w:i/>
          <w:color w:val="000000"/>
          <w:szCs w:val="24"/>
        </w:rPr>
        <w:t>Prudential Standard GPS 310</w:t>
      </w:r>
      <w:r w:rsidRPr="00B91852">
        <w:rPr>
          <w:rFonts w:ascii="Arial" w:hAnsi="Arial" w:cs="Arial"/>
          <w:color w:val="000000"/>
          <w:szCs w:val="24"/>
        </w:rPr>
        <w:t xml:space="preserve"> </w:t>
      </w:r>
      <w:r w:rsidRPr="00B91852">
        <w:rPr>
          <w:rFonts w:ascii="Arial" w:hAnsi="Arial" w:cs="Arial"/>
          <w:i/>
          <w:color w:val="000000"/>
          <w:szCs w:val="24"/>
        </w:rPr>
        <w:t xml:space="preserve">Audit and Related Matters </w:t>
      </w:r>
      <w:r w:rsidRPr="00B91852">
        <w:rPr>
          <w:rFonts w:ascii="Arial" w:hAnsi="Arial" w:cs="Arial"/>
          <w:bCs/>
          <w:szCs w:val="24"/>
        </w:rPr>
        <w:t xml:space="preserve">comprises the </w:t>
      </w:r>
      <w:r w:rsidR="002D1C2A">
        <w:rPr>
          <w:rFonts w:ascii="Arial" w:hAnsi="Arial" w:cs="Arial"/>
          <w:bCs/>
          <w:szCs w:val="24"/>
        </w:rPr>
        <w:t xml:space="preserve">document </w:t>
      </w:r>
      <w:r w:rsidRPr="00B91852">
        <w:rPr>
          <w:rFonts w:ascii="Arial" w:hAnsi="Arial" w:cs="Arial"/>
          <w:bCs/>
          <w:szCs w:val="24"/>
        </w:rPr>
        <w:t>commencing on the following page</w:t>
      </w:r>
      <w:bookmarkEnd w:id="0"/>
      <w:r w:rsidR="00A0128F">
        <w:rPr>
          <w:rFonts w:ascii="Arial" w:hAnsi="Arial" w:cs="Arial"/>
          <w:bCs/>
          <w:szCs w:val="24"/>
        </w:rPr>
        <w:t>.</w:t>
      </w:r>
    </w:p>
    <w:p w14:paraId="077885BC" w14:textId="0C467F42" w:rsidR="006B4587" w:rsidRPr="00B91852" w:rsidRDefault="00BD2D9B" w:rsidP="006B4587">
      <w:pPr>
        <w:pStyle w:val="Heading5"/>
        <w:spacing w:after="600"/>
        <w:jc w:val="both"/>
        <w:rPr>
          <w:rFonts w:ascii="Arial" w:hAnsi="Arial" w:cs="Arial"/>
          <w:noProof/>
          <w:sz w:val="24"/>
          <w:szCs w:val="24"/>
        </w:rPr>
      </w:pPr>
      <w:r w:rsidRPr="00B91852">
        <w:rPr>
          <w:rFonts w:ascii="Arial" w:hAnsi="Arial" w:cs="Arial"/>
          <w:noProof/>
          <w:sz w:val="24"/>
          <w:szCs w:val="24"/>
        </w:rPr>
        <w:lastRenderedPageBreak/>
        <w:drawing>
          <wp:inline distT="0" distB="0" distL="0" distR="0" wp14:anchorId="07788692" wp14:editId="048C9563">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77885BD" w14:textId="77777777" w:rsidR="006B4587" w:rsidRPr="00A9132F" w:rsidRDefault="006B4587" w:rsidP="00A9132F">
      <w:pPr>
        <w:pStyle w:val="Heading1"/>
        <w:rPr>
          <w:sz w:val="40"/>
          <w:szCs w:val="40"/>
        </w:rPr>
      </w:pPr>
      <w:bookmarkStart w:id="1" w:name="_Toc158623598"/>
      <w:bookmarkStart w:id="2" w:name="_Toc158624394"/>
      <w:bookmarkStart w:id="3" w:name="_Toc171678063"/>
      <w:r w:rsidRPr="00A9132F">
        <w:rPr>
          <w:sz w:val="40"/>
          <w:szCs w:val="40"/>
        </w:rPr>
        <w:t>Prudential Standard GPS 310</w:t>
      </w:r>
      <w:bookmarkEnd w:id="1"/>
      <w:bookmarkEnd w:id="2"/>
      <w:bookmarkEnd w:id="3"/>
    </w:p>
    <w:p w14:paraId="077885BE" w14:textId="77777777" w:rsidR="006B4587" w:rsidRPr="00A9132F" w:rsidRDefault="006B4587" w:rsidP="00A9132F">
      <w:pPr>
        <w:pStyle w:val="Heading1"/>
        <w:rPr>
          <w:sz w:val="40"/>
          <w:szCs w:val="40"/>
        </w:rPr>
      </w:pPr>
      <w:bookmarkStart w:id="4" w:name="_Toc182214718"/>
      <w:bookmarkStart w:id="5" w:name="_Toc183939120"/>
      <w:bookmarkStart w:id="6" w:name="_Toc183939204"/>
      <w:bookmarkStart w:id="7" w:name="_Toc201983612"/>
      <w:bookmarkStart w:id="8" w:name="_Toc264640500"/>
      <w:bookmarkStart w:id="9" w:name="_Toc158622787"/>
      <w:bookmarkStart w:id="10" w:name="_Toc158623599"/>
      <w:bookmarkStart w:id="11" w:name="_Toc158624395"/>
      <w:bookmarkStart w:id="12" w:name="_Toc171678064"/>
      <w:r w:rsidRPr="00A9132F">
        <w:rPr>
          <w:sz w:val="40"/>
          <w:szCs w:val="40"/>
        </w:rPr>
        <w:t xml:space="preserve">Audit and </w:t>
      </w:r>
      <w:bookmarkEnd w:id="4"/>
      <w:bookmarkEnd w:id="5"/>
      <w:bookmarkEnd w:id="6"/>
      <w:bookmarkEnd w:id="7"/>
      <w:bookmarkEnd w:id="8"/>
      <w:r w:rsidR="00D62FE7" w:rsidRPr="00A9132F">
        <w:rPr>
          <w:sz w:val="40"/>
          <w:szCs w:val="40"/>
        </w:rPr>
        <w:t>Related Matters</w:t>
      </w:r>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3"/>
      </w:tblGrid>
      <w:tr w:rsidR="00E42271" w:rsidRPr="00B91852" w14:paraId="077885D2" w14:textId="77777777" w:rsidTr="000678E9">
        <w:tc>
          <w:tcPr>
            <w:tcW w:w="8523" w:type="dxa"/>
            <w:shd w:val="pct10" w:color="auto" w:fill="FFFFFF"/>
          </w:tcPr>
          <w:p w14:paraId="077885BF" w14:textId="77777777" w:rsidR="00E42271" w:rsidRPr="00DD56D2" w:rsidRDefault="00E42271" w:rsidP="00F54D5B">
            <w:pPr>
              <w:pStyle w:val="Heading2"/>
              <w:spacing w:before="0" w:after="240"/>
              <w:rPr>
                <w:i w:val="0"/>
                <w:sz w:val="32"/>
                <w:szCs w:val="32"/>
              </w:rPr>
            </w:pPr>
            <w:bookmarkStart w:id="13" w:name="_Toc158622788"/>
            <w:bookmarkStart w:id="14" w:name="_Toc158623600"/>
            <w:bookmarkStart w:id="15" w:name="_Toc158624396"/>
            <w:bookmarkStart w:id="16" w:name="_Toc171678065"/>
            <w:r w:rsidRPr="00DD56D2">
              <w:rPr>
                <w:i w:val="0"/>
                <w:sz w:val="32"/>
                <w:szCs w:val="32"/>
              </w:rPr>
              <w:t>Objective and key requirements of this Prudential Standard</w:t>
            </w:r>
            <w:bookmarkEnd w:id="13"/>
            <w:bookmarkEnd w:id="14"/>
            <w:bookmarkEnd w:id="15"/>
            <w:bookmarkEnd w:id="16"/>
          </w:p>
          <w:p w14:paraId="077885C1" w14:textId="24A7F4FA" w:rsidR="00E42271" w:rsidRPr="00C60079" w:rsidRDefault="00E42271" w:rsidP="00F54D5B">
            <w:pPr>
              <w:spacing w:after="240"/>
              <w:jc w:val="both"/>
              <w:rPr>
                <w:szCs w:val="24"/>
              </w:rPr>
            </w:pPr>
            <w:r w:rsidRPr="00C60079">
              <w:rPr>
                <w:szCs w:val="24"/>
              </w:rPr>
              <w:t xml:space="preserve">This Prudential Standard sets out the roles and responsibilities of a general </w:t>
            </w:r>
            <w:proofErr w:type="gramStart"/>
            <w:r w:rsidRPr="00C60079">
              <w:rPr>
                <w:szCs w:val="24"/>
              </w:rPr>
              <w:t>insurer’s</w:t>
            </w:r>
            <w:proofErr w:type="gramEnd"/>
            <w:r w:rsidRPr="00C60079">
              <w:rPr>
                <w:szCs w:val="24"/>
              </w:rPr>
              <w:t xml:space="preserve"> and Level 2 insurance group’s Appointed Auditor and Group Auditor (Auditor). It also sets out the obligations of a general insurer or Level 2 insurance group to </w:t>
            </w:r>
            <w:proofErr w:type="gramStart"/>
            <w:r w:rsidRPr="00C60079">
              <w:rPr>
                <w:szCs w:val="24"/>
              </w:rPr>
              <w:t>make arrangements</w:t>
            </w:r>
            <w:proofErr w:type="gramEnd"/>
            <w:r w:rsidRPr="00C60079">
              <w:rPr>
                <w:szCs w:val="24"/>
              </w:rPr>
              <w:t xml:space="preserve"> to enable its Auditor to fulfil their responsibilities. </w:t>
            </w:r>
          </w:p>
          <w:p w14:paraId="077885C3" w14:textId="0E4665F1" w:rsidR="00E42271" w:rsidRPr="00C60079" w:rsidRDefault="00E42271" w:rsidP="00F54D5B">
            <w:pPr>
              <w:spacing w:after="240"/>
              <w:jc w:val="both"/>
              <w:rPr>
                <w:szCs w:val="24"/>
              </w:rPr>
            </w:pPr>
            <w:r w:rsidRPr="00C60079">
              <w:rPr>
                <w:szCs w:val="24"/>
              </w:rPr>
              <w:t xml:space="preserve">The ultimate responsibility for providing impartial advice in relation to the operations, financial condition and internal controls of a general insurer or Level 2 insurance group rests with the Auditor. This advice is designed to assist the Board and senior management in carrying out their responsibility for the sound and prudent management of the general insurer or Level 2 insurance group. </w:t>
            </w:r>
          </w:p>
          <w:p w14:paraId="077885C5" w14:textId="1F266332" w:rsidR="00E42271" w:rsidRPr="00C60079" w:rsidRDefault="00E42271" w:rsidP="00F54D5B">
            <w:pPr>
              <w:spacing w:after="240"/>
              <w:jc w:val="both"/>
              <w:rPr>
                <w:szCs w:val="24"/>
              </w:rPr>
            </w:pPr>
            <w:r w:rsidRPr="00C60079">
              <w:rPr>
                <w:szCs w:val="24"/>
              </w:rPr>
              <w:t xml:space="preserve">The key requirements of this Prudential Standard are that: </w:t>
            </w:r>
          </w:p>
          <w:p w14:paraId="077885C7" w14:textId="42C32CA6" w:rsidR="00E42271" w:rsidRPr="00F54D5B" w:rsidRDefault="00ED740A" w:rsidP="00F54D5B">
            <w:pPr>
              <w:numPr>
                <w:ilvl w:val="0"/>
                <w:numId w:val="38"/>
              </w:numPr>
              <w:spacing w:after="240"/>
              <w:jc w:val="both"/>
              <w:rPr>
                <w:szCs w:val="24"/>
              </w:rPr>
            </w:pPr>
            <w:r w:rsidRPr="00C60079">
              <w:rPr>
                <w:szCs w:val="24"/>
              </w:rPr>
              <w:t xml:space="preserve">the general insurer or Level 2 insurance group must make arrangements to enable the Auditor to undertake their roles and </w:t>
            </w:r>
            <w:proofErr w:type="gramStart"/>
            <w:r w:rsidRPr="00C60079">
              <w:rPr>
                <w:szCs w:val="24"/>
              </w:rPr>
              <w:t>responsibilities;</w:t>
            </w:r>
            <w:proofErr w:type="gramEnd"/>
          </w:p>
          <w:p w14:paraId="077885C9" w14:textId="7A89F682" w:rsidR="00E42271" w:rsidRPr="00F54D5B" w:rsidRDefault="00ED740A" w:rsidP="00F54D5B">
            <w:pPr>
              <w:numPr>
                <w:ilvl w:val="0"/>
                <w:numId w:val="38"/>
              </w:numPr>
              <w:spacing w:after="240"/>
              <w:jc w:val="both"/>
              <w:rPr>
                <w:szCs w:val="24"/>
              </w:rPr>
            </w:pPr>
            <w:r w:rsidRPr="00C60079">
              <w:rPr>
                <w:szCs w:val="24"/>
              </w:rPr>
              <w:t xml:space="preserve">the Auditor must prepare the certificates and reports required in accordance with the requirements of and timeframes specified in this Prudential </w:t>
            </w:r>
            <w:proofErr w:type="gramStart"/>
            <w:r w:rsidRPr="00C60079">
              <w:rPr>
                <w:szCs w:val="24"/>
              </w:rPr>
              <w:t>Standard;</w:t>
            </w:r>
            <w:proofErr w:type="gramEnd"/>
          </w:p>
          <w:p w14:paraId="077885CB" w14:textId="7B72014E" w:rsidR="00E42271" w:rsidRPr="00F54D5B" w:rsidRDefault="00ED740A" w:rsidP="00F54D5B">
            <w:pPr>
              <w:numPr>
                <w:ilvl w:val="0"/>
                <w:numId w:val="38"/>
              </w:numPr>
              <w:spacing w:after="240"/>
              <w:jc w:val="both"/>
              <w:rPr>
                <w:szCs w:val="24"/>
              </w:rPr>
            </w:pPr>
            <w:r w:rsidRPr="00C60079">
              <w:rPr>
                <w:szCs w:val="24"/>
              </w:rPr>
              <w:t xml:space="preserve">the general insurer or Level 2 insurance group must submit to APRA all certificates and reports to be prepared by the </w:t>
            </w:r>
            <w:proofErr w:type="gramStart"/>
            <w:r w:rsidRPr="00C60079">
              <w:rPr>
                <w:szCs w:val="24"/>
              </w:rPr>
              <w:t>Auditor;</w:t>
            </w:r>
            <w:proofErr w:type="gramEnd"/>
            <w:r w:rsidR="00E42271" w:rsidRPr="00C60079">
              <w:rPr>
                <w:szCs w:val="24"/>
              </w:rPr>
              <w:t xml:space="preserve"> </w:t>
            </w:r>
          </w:p>
          <w:p w14:paraId="077885CD" w14:textId="43160393" w:rsidR="00E42271" w:rsidRPr="00F54D5B" w:rsidRDefault="00ED740A" w:rsidP="00F54D5B">
            <w:pPr>
              <w:numPr>
                <w:ilvl w:val="0"/>
                <w:numId w:val="38"/>
              </w:numPr>
              <w:spacing w:after="240"/>
              <w:jc w:val="both"/>
              <w:rPr>
                <w:szCs w:val="24"/>
              </w:rPr>
            </w:pPr>
            <w:r w:rsidRPr="00C60079">
              <w:rPr>
                <w:szCs w:val="24"/>
              </w:rPr>
              <w:t xml:space="preserve">the Appointed Auditor must audit the yearly statutory accounts of the general insurer and review other aspects of their operations on an annual basis. The Appointed Auditor must prepare a certificate and report on these matters and provide them to the </w:t>
            </w:r>
            <w:proofErr w:type="gramStart"/>
            <w:r w:rsidRPr="00C60079">
              <w:rPr>
                <w:szCs w:val="24"/>
              </w:rPr>
              <w:t>Board;</w:t>
            </w:r>
            <w:proofErr w:type="gramEnd"/>
          </w:p>
          <w:p w14:paraId="077885CF" w14:textId="29EAB519" w:rsidR="004E042E" w:rsidRPr="00F54D5B" w:rsidRDefault="00ED740A" w:rsidP="00F54D5B">
            <w:pPr>
              <w:numPr>
                <w:ilvl w:val="0"/>
                <w:numId w:val="38"/>
              </w:numPr>
              <w:spacing w:after="240"/>
              <w:jc w:val="both"/>
              <w:rPr>
                <w:szCs w:val="24"/>
              </w:rPr>
            </w:pPr>
            <w:r w:rsidRPr="00C60079">
              <w:rPr>
                <w:szCs w:val="24"/>
              </w:rPr>
              <w:t>the Group Auditor must conduct a limited assurance review of the annual accounts of the Level 2 insurance group on an annual basis and review other aspects of the group’s operations</w:t>
            </w:r>
            <w:r w:rsidR="004B6407" w:rsidRPr="00C60079">
              <w:rPr>
                <w:szCs w:val="24"/>
              </w:rPr>
              <w:t>; and</w:t>
            </w:r>
          </w:p>
          <w:p w14:paraId="077885D1" w14:textId="05CBDB63" w:rsidR="00E42271" w:rsidRPr="00F54D5B" w:rsidRDefault="004E042E" w:rsidP="00E14FF4">
            <w:pPr>
              <w:numPr>
                <w:ilvl w:val="0"/>
                <w:numId w:val="38"/>
              </w:numPr>
              <w:spacing w:after="240"/>
              <w:jc w:val="both"/>
              <w:rPr>
                <w:szCs w:val="24"/>
              </w:rPr>
            </w:pPr>
            <w:r w:rsidRPr="00C60079">
              <w:rPr>
                <w:szCs w:val="24"/>
              </w:rPr>
              <w:t>the general insurer or Level 2 insurance group must submit a Financial Information Declaration to APRA on an annual basis.</w:t>
            </w:r>
          </w:p>
        </w:tc>
      </w:tr>
    </w:tbl>
    <w:bookmarkStart w:id="17" w:name="_Toc264640502" w:displacedByCustomXml="next"/>
    <w:sdt>
      <w:sdtPr>
        <w:rPr>
          <w:rFonts w:ascii="Arial" w:hAnsi="Arial" w:cs="Arial"/>
        </w:rPr>
        <w:id w:val="-1417392459"/>
        <w:docPartObj>
          <w:docPartGallery w:val="Table of Contents"/>
          <w:docPartUnique/>
        </w:docPartObj>
      </w:sdtPr>
      <w:sdtEndPr>
        <w:rPr>
          <w:b/>
          <w:bCs/>
          <w:noProof/>
        </w:rPr>
      </w:sdtEndPr>
      <w:sdtContent>
        <w:p w14:paraId="4F71531C" w14:textId="53D75B01" w:rsidR="00D5448E" w:rsidRPr="00A03BC8" w:rsidRDefault="000F13FC" w:rsidP="00A03BC8">
          <w:pPr>
            <w:pStyle w:val="TOC1"/>
            <w:spacing w:after="240"/>
            <w:rPr>
              <w:noProof/>
            </w:rPr>
          </w:pPr>
          <w:r w:rsidRPr="00600BD8">
            <w:rPr>
              <w:rFonts w:ascii="Arial" w:hAnsi="Arial" w:cs="Arial"/>
              <w:b/>
              <w:szCs w:val="24"/>
            </w:rPr>
            <w:t>Table of Contents</w:t>
          </w:r>
          <w:r w:rsidR="006F2F40" w:rsidRPr="00B91852">
            <w:fldChar w:fldCharType="begin"/>
          </w:r>
          <w:r w:rsidR="006F2F40" w:rsidRPr="00B91852">
            <w:instrText xml:space="preserve"> TOC \o "1-3" \z \u </w:instrText>
          </w:r>
          <w:r w:rsidR="006F2F40" w:rsidRPr="00B91852">
            <w:fldChar w:fldCharType="separate"/>
          </w:r>
        </w:p>
        <w:p w14:paraId="498E4A63" w14:textId="6D18B78E" w:rsidR="00D5448E" w:rsidRDefault="00D5448E">
          <w:pPr>
            <w:pStyle w:val="TOC2"/>
            <w:rPr>
              <w:rFonts w:asciiTheme="minorHAnsi" w:eastAsiaTheme="minorEastAsia" w:hAnsiTheme="minorHAnsi" w:cstheme="minorBidi"/>
              <w:b w:val="0"/>
              <w:kern w:val="2"/>
              <w14:ligatures w14:val="standardContextual"/>
            </w:rPr>
          </w:pPr>
          <w:r w:rsidRPr="006078EA">
            <w:t>Objective and key requirements of this Prudential Standard</w:t>
          </w:r>
          <w:r>
            <w:rPr>
              <w:webHidden/>
            </w:rPr>
            <w:tab/>
          </w:r>
          <w:r>
            <w:rPr>
              <w:webHidden/>
            </w:rPr>
            <w:fldChar w:fldCharType="begin"/>
          </w:r>
          <w:r>
            <w:rPr>
              <w:webHidden/>
            </w:rPr>
            <w:instrText xml:space="preserve"> PAGEREF _Toc171678065 \h </w:instrText>
          </w:r>
          <w:r>
            <w:rPr>
              <w:webHidden/>
            </w:rPr>
          </w:r>
          <w:r>
            <w:rPr>
              <w:webHidden/>
            </w:rPr>
            <w:fldChar w:fldCharType="separate"/>
          </w:r>
          <w:r>
            <w:rPr>
              <w:webHidden/>
            </w:rPr>
            <w:t>1</w:t>
          </w:r>
          <w:r>
            <w:rPr>
              <w:webHidden/>
            </w:rPr>
            <w:fldChar w:fldCharType="end"/>
          </w:r>
        </w:p>
        <w:p w14:paraId="72C8A369" w14:textId="79364786"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Authority</w:t>
          </w:r>
          <w:r>
            <w:rPr>
              <w:noProof/>
              <w:webHidden/>
            </w:rPr>
            <w:tab/>
          </w:r>
          <w:r>
            <w:rPr>
              <w:noProof/>
              <w:webHidden/>
            </w:rPr>
            <w:fldChar w:fldCharType="begin"/>
          </w:r>
          <w:r>
            <w:rPr>
              <w:noProof/>
              <w:webHidden/>
            </w:rPr>
            <w:instrText xml:space="preserve"> PAGEREF _Toc171678066 \h </w:instrText>
          </w:r>
          <w:r>
            <w:rPr>
              <w:noProof/>
              <w:webHidden/>
            </w:rPr>
          </w:r>
          <w:r>
            <w:rPr>
              <w:noProof/>
              <w:webHidden/>
            </w:rPr>
            <w:fldChar w:fldCharType="separate"/>
          </w:r>
          <w:r>
            <w:rPr>
              <w:noProof/>
              <w:webHidden/>
            </w:rPr>
            <w:t>3</w:t>
          </w:r>
          <w:r>
            <w:rPr>
              <w:noProof/>
              <w:webHidden/>
            </w:rPr>
            <w:fldChar w:fldCharType="end"/>
          </w:r>
        </w:p>
        <w:p w14:paraId="1631DF1E" w14:textId="15487EE2"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Application</w:t>
          </w:r>
          <w:r>
            <w:rPr>
              <w:noProof/>
              <w:webHidden/>
            </w:rPr>
            <w:tab/>
          </w:r>
          <w:r>
            <w:rPr>
              <w:noProof/>
              <w:webHidden/>
            </w:rPr>
            <w:fldChar w:fldCharType="begin"/>
          </w:r>
          <w:r>
            <w:rPr>
              <w:noProof/>
              <w:webHidden/>
            </w:rPr>
            <w:instrText xml:space="preserve"> PAGEREF _Toc171678067 \h </w:instrText>
          </w:r>
          <w:r>
            <w:rPr>
              <w:noProof/>
              <w:webHidden/>
            </w:rPr>
          </w:r>
          <w:r>
            <w:rPr>
              <w:noProof/>
              <w:webHidden/>
            </w:rPr>
            <w:fldChar w:fldCharType="separate"/>
          </w:r>
          <w:r>
            <w:rPr>
              <w:noProof/>
              <w:webHidden/>
            </w:rPr>
            <w:t>3</w:t>
          </w:r>
          <w:r>
            <w:rPr>
              <w:noProof/>
              <w:webHidden/>
            </w:rPr>
            <w:fldChar w:fldCharType="end"/>
          </w:r>
        </w:p>
        <w:p w14:paraId="12495200" w14:textId="31E7E57E"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Level 2 insurance groups</w:t>
          </w:r>
          <w:r>
            <w:rPr>
              <w:noProof/>
              <w:webHidden/>
            </w:rPr>
            <w:tab/>
          </w:r>
          <w:r>
            <w:rPr>
              <w:noProof/>
              <w:webHidden/>
            </w:rPr>
            <w:fldChar w:fldCharType="begin"/>
          </w:r>
          <w:r>
            <w:rPr>
              <w:noProof/>
              <w:webHidden/>
            </w:rPr>
            <w:instrText xml:space="preserve"> PAGEREF _Toc171678068 \h </w:instrText>
          </w:r>
          <w:r>
            <w:rPr>
              <w:noProof/>
              <w:webHidden/>
            </w:rPr>
          </w:r>
          <w:r>
            <w:rPr>
              <w:noProof/>
              <w:webHidden/>
            </w:rPr>
            <w:fldChar w:fldCharType="separate"/>
          </w:r>
          <w:r>
            <w:rPr>
              <w:noProof/>
              <w:webHidden/>
            </w:rPr>
            <w:t>3</w:t>
          </w:r>
          <w:r>
            <w:rPr>
              <w:noProof/>
              <w:webHidden/>
            </w:rPr>
            <w:fldChar w:fldCharType="end"/>
          </w:r>
        </w:p>
        <w:p w14:paraId="21DB8426" w14:textId="4556271D"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Interpretation</w:t>
          </w:r>
          <w:r>
            <w:rPr>
              <w:noProof/>
              <w:webHidden/>
            </w:rPr>
            <w:tab/>
          </w:r>
          <w:r>
            <w:rPr>
              <w:noProof/>
              <w:webHidden/>
            </w:rPr>
            <w:fldChar w:fldCharType="begin"/>
          </w:r>
          <w:r>
            <w:rPr>
              <w:noProof/>
              <w:webHidden/>
            </w:rPr>
            <w:instrText xml:space="preserve"> PAGEREF _Toc171678069 \h </w:instrText>
          </w:r>
          <w:r>
            <w:rPr>
              <w:noProof/>
              <w:webHidden/>
            </w:rPr>
          </w:r>
          <w:r>
            <w:rPr>
              <w:noProof/>
              <w:webHidden/>
            </w:rPr>
            <w:fldChar w:fldCharType="separate"/>
          </w:r>
          <w:r>
            <w:rPr>
              <w:noProof/>
              <w:webHidden/>
            </w:rPr>
            <w:t>3</w:t>
          </w:r>
          <w:r>
            <w:rPr>
              <w:noProof/>
              <w:webHidden/>
            </w:rPr>
            <w:fldChar w:fldCharType="end"/>
          </w:r>
        </w:p>
        <w:p w14:paraId="7D69577B" w14:textId="60835222"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Obligations of an insurer</w:t>
          </w:r>
          <w:r>
            <w:rPr>
              <w:noProof/>
              <w:webHidden/>
            </w:rPr>
            <w:tab/>
          </w:r>
          <w:r>
            <w:rPr>
              <w:noProof/>
              <w:webHidden/>
            </w:rPr>
            <w:fldChar w:fldCharType="begin"/>
          </w:r>
          <w:r>
            <w:rPr>
              <w:noProof/>
              <w:webHidden/>
            </w:rPr>
            <w:instrText xml:space="preserve"> PAGEREF _Toc171678070 \h </w:instrText>
          </w:r>
          <w:r>
            <w:rPr>
              <w:noProof/>
              <w:webHidden/>
            </w:rPr>
          </w:r>
          <w:r>
            <w:rPr>
              <w:noProof/>
              <w:webHidden/>
            </w:rPr>
            <w:fldChar w:fldCharType="separate"/>
          </w:r>
          <w:r>
            <w:rPr>
              <w:noProof/>
              <w:webHidden/>
            </w:rPr>
            <w:t>3</w:t>
          </w:r>
          <w:r>
            <w:rPr>
              <w:noProof/>
              <w:webHidden/>
            </w:rPr>
            <w:fldChar w:fldCharType="end"/>
          </w:r>
        </w:p>
        <w:p w14:paraId="4D4DF3EE" w14:textId="55B0B7AD"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Roles and responsibilities of the Appointed Auditor</w:t>
          </w:r>
          <w:r>
            <w:rPr>
              <w:noProof/>
              <w:webHidden/>
            </w:rPr>
            <w:tab/>
          </w:r>
          <w:r>
            <w:rPr>
              <w:noProof/>
              <w:webHidden/>
            </w:rPr>
            <w:fldChar w:fldCharType="begin"/>
          </w:r>
          <w:r>
            <w:rPr>
              <w:noProof/>
              <w:webHidden/>
            </w:rPr>
            <w:instrText xml:space="preserve"> PAGEREF _Toc171678071 \h </w:instrText>
          </w:r>
          <w:r>
            <w:rPr>
              <w:noProof/>
              <w:webHidden/>
            </w:rPr>
          </w:r>
          <w:r>
            <w:rPr>
              <w:noProof/>
              <w:webHidden/>
            </w:rPr>
            <w:fldChar w:fldCharType="separate"/>
          </w:r>
          <w:r>
            <w:rPr>
              <w:noProof/>
              <w:webHidden/>
            </w:rPr>
            <w:t>4</w:t>
          </w:r>
          <w:r>
            <w:rPr>
              <w:noProof/>
              <w:webHidden/>
            </w:rPr>
            <w:fldChar w:fldCharType="end"/>
          </w:r>
        </w:p>
        <w:p w14:paraId="4293E12E" w14:textId="22F41BAA"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Special purpose review</w:t>
          </w:r>
          <w:r>
            <w:rPr>
              <w:noProof/>
              <w:webHidden/>
            </w:rPr>
            <w:tab/>
          </w:r>
          <w:r>
            <w:rPr>
              <w:noProof/>
              <w:webHidden/>
            </w:rPr>
            <w:fldChar w:fldCharType="begin"/>
          </w:r>
          <w:r>
            <w:rPr>
              <w:noProof/>
              <w:webHidden/>
            </w:rPr>
            <w:instrText xml:space="preserve"> PAGEREF _Toc171678072 \h </w:instrText>
          </w:r>
          <w:r>
            <w:rPr>
              <w:noProof/>
              <w:webHidden/>
            </w:rPr>
          </w:r>
          <w:r>
            <w:rPr>
              <w:noProof/>
              <w:webHidden/>
            </w:rPr>
            <w:fldChar w:fldCharType="separate"/>
          </w:r>
          <w:r>
            <w:rPr>
              <w:noProof/>
              <w:webHidden/>
            </w:rPr>
            <w:t>5</w:t>
          </w:r>
          <w:r>
            <w:rPr>
              <w:noProof/>
              <w:webHidden/>
            </w:rPr>
            <w:fldChar w:fldCharType="end"/>
          </w:r>
        </w:p>
        <w:p w14:paraId="3E3274E2" w14:textId="2B1AB135"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Non-routine reporting by Appointed Auditors</w:t>
          </w:r>
          <w:r>
            <w:rPr>
              <w:noProof/>
              <w:webHidden/>
            </w:rPr>
            <w:tab/>
          </w:r>
          <w:r>
            <w:rPr>
              <w:noProof/>
              <w:webHidden/>
            </w:rPr>
            <w:fldChar w:fldCharType="begin"/>
          </w:r>
          <w:r>
            <w:rPr>
              <w:noProof/>
              <w:webHidden/>
            </w:rPr>
            <w:instrText xml:space="preserve"> PAGEREF _Toc171678073 \h </w:instrText>
          </w:r>
          <w:r>
            <w:rPr>
              <w:noProof/>
              <w:webHidden/>
            </w:rPr>
          </w:r>
          <w:r>
            <w:rPr>
              <w:noProof/>
              <w:webHidden/>
            </w:rPr>
            <w:fldChar w:fldCharType="separate"/>
          </w:r>
          <w:r>
            <w:rPr>
              <w:noProof/>
              <w:webHidden/>
            </w:rPr>
            <w:t>6</w:t>
          </w:r>
          <w:r>
            <w:rPr>
              <w:noProof/>
              <w:webHidden/>
            </w:rPr>
            <w:fldChar w:fldCharType="end"/>
          </w:r>
        </w:p>
        <w:p w14:paraId="30BACD68" w14:textId="24CAE9F6"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Meetings with Appointed Auditors</w:t>
          </w:r>
          <w:r>
            <w:rPr>
              <w:noProof/>
              <w:webHidden/>
            </w:rPr>
            <w:tab/>
          </w:r>
          <w:r>
            <w:rPr>
              <w:noProof/>
              <w:webHidden/>
            </w:rPr>
            <w:fldChar w:fldCharType="begin"/>
          </w:r>
          <w:r>
            <w:rPr>
              <w:noProof/>
              <w:webHidden/>
            </w:rPr>
            <w:instrText xml:space="preserve"> PAGEREF _Toc171678074 \h </w:instrText>
          </w:r>
          <w:r>
            <w:rPr>
              <w:noProof/>
              <w:webHidden/>
            </w:rPr>
          </w:r>
          <w:r>
            <w:rPr>
              <w:noProof/>
              <w:webHidden/>
            </w:rPr>
            <w:fldChar w:fldCharType="separate"/>
          </w:r>
          <w:r>
            <w:rPr>
              <w:noProof/>
              <w:webHidden/>
            </w:rPr>
            <w:t>7</w:t>
          </w:r>
          <w:r>
            <w:rPr>
              <w:noProof/>
              <w:webHidden/>
            </w:rPr>
            <w:fldChar w:fldCharType="end"/>
          </w:r>
        </w:p>
        <w:p w14:paraId="0966D751" w14:textId="519E29AD" w:rsidR="00D5448E" w:rsidRDefault="00D5448E">
          <w:pPr>
            <w:pStyle w:val="TOC3"/>
            <w:rPr>
              <w:rFonts w:asciiTheme="minorHAnsi" w:eastAsiaTheme="minorEastAsia" w:hAnsiTheme="minorHAnsi" w:cstheme="minorBidi"/>
              <w:noProof/>
              <w:kern w:val="2"/>
              <w:szCs w:val="24"/>
              <w14:ligatures w14:val="standardContextual"/>
            </w:rPr>
          </w:pPr>
          <w:r w:rsidRPr="006078EA">
            <w:rPr>
              <w:rFonts w:ascii="Times New Roman" w:hAnsi="Times New Roman" w:cs="Times New Roman"/>
              <w:noProof/>
              <w:snapToGrid w:val="0"/>
              <w:lang w:eastAsia="en-US"/>
            </w:rPr>
            <w:t>Audit certificate and report</w:t>
          </w:r>
          <w:r>
            <w:rPr>
              <w:noProof/>
              <w:webHidden/>
            </w:rPr>
            <w:tab/>
          </w:r>
          <w:r>
            <w:rPr>
              <w:noProof/>
              <w:webHidden/>
            </w:rPr>
            <w:fldChar w:fldCharType="begin"/>
          </w:r>
          <w:r>
            <w:rPr>
              <w:noProof/>
              <w:webHidden/>
            </w:rPr>
            <w:instrText xml:space="preserve"> PAGEREF _Toc171678075 \h </w:instrText>
          </w:r>
          <w:r>
            <w:rPr>
              <w:noProof/>
              <w:webHidden/>
            </w:rPr>
          </w:r>
          <w:r>
            <w:rPr>
              <w:noProof/>
              <w:webHidden/>
            </w:rPr>
            <w:fldChar w:fldCharType="separate"/>
          </w:r>
          <w:r>
            <w:rPr>
              <w:noProof/>
              <w:webHidden/>
            </w:rPr>
            <w:t>7</w:t>
          </w:r>
          <w:r>
            <w:rPr>
              <w:noProof/>
              <w:webHidden/>
            </w:rPr>
            <w:fldChar w:fldCharType="end"/>
          </w:r>
        </w:p>
        <w:p w14:paraId="495EEB4F" w14:textId="6DDBBC09" w:rsidR="00D5448E" w:rsidRDefault="00D5448E">
          <w:pPr>
            <w:pStyle w:val="TOC1"/>
            <w:rPr>
              <w:rFonts w:asciiTheme="minorHAnsi" w:eastAsiaTheme="minorEastAsia" w:hAnsiTheme="minorHAnsi" w:cstheme="minorBidi"/>
              <w:noProof/>
              <w:kern w:val="2"/>
              <w:szCs w:val="24"/>
              <w14:ligatures w14:val="standardContextual"/>
            </w:rPr>
          </w:pPr>
          <w:r w:rsidRPr="006078EA">
            <w:rPr>
              <w:noProof/>
              <w:snapToGrid w:val="0"/>
              <w:lang w:eastAsia="en-US"/>
            </w:rPr>
            <w:t>Adjustments and exclusions</w:t>
          </w:r>
          <w:r>
            <w:rPr>
              <w:noProof/>
              <w:webHidden/>
            </w:rPr>
            <w:tab/>
          </w:r>
          <w:r>
            <w:rPr>
              <w:noProof/>
              <w:webHidden/>
            </w:rPr>
            <w:fldChar w:fldCharType="begin"/>
          </w:r>
          <w:r>
            <w:rPr>
              <w:noProof/>
              <w:webHidden/>
            </w:rPr>
            <w:instrText xml:space="preserve"> PAGEREF _Toc171678076 \h </w:instrText>
          </w:r>
          <w:r>
            <w:rPr>
              <w:noProof/>
              <w:webHidden/>
            </w:rPr>
          </w:r>
          <w:r>
            <w:rPr>
              <w:noProof/>
              <w:webHidden/>
            </w:rPr>
            <w:fldChar w:fldCharType="separate"/>
          </w:r>
          <w:r>
            <w:rPr>
              <w:noProof/>
              <w:webHidden/>
            </w:rPr>
            <w:t>8</w:t>
          </w:r>
          <w:r>
            <w:rPr>
              <w:noProof/>
              <w:webHidden/>
            </w:rPr>
            <w:fldChar w:fldCharType="end"/>
          </w:r>
        </w:p>
        <w:p w14:paraId="597607F8" w14:textId="4BA51A6A" w:rsidR="00D5448E" w:rsidRDefault="00D5448E">
          <w:pPr>
            <w:pStyle w:val="TOC1"/>
            <w:rPr>
              <w:rFonts w:asciiTheme="minorHAnsi" w:eastAsiaTheme="minorEastAsia" w:hAnsiTheme="minorHAnsi" w:cstheme="minorBidi"/>
              <w:noProof/>
              <w:kern w:val="2"/>
              <w:szCs w:val="24"/>
              <w14:ligatures w14:val="standardContextual"/>
            </w:rPr>
          </w:pPr>
          <w:r w:rsidRPr="006078EA">
            <w:rPr>
              <w:noProof/>
            </w:rPr>
            <w:t>Reliance on previous exercises of discretion</w:t>
          </w:r>
          <w:r>
            <w:rPr>
              <w:noProof/>
              <w:webHidden/>
            </w:rPr>
            <w:tab/>
          </w:r>
          <w:r>
            <w:rPr>
              <w:noProof/>
              <w:webHidden/>
            </w:rPr>
            <w:fldChar w:fldCharType="begin"/>
          </w:r>
          <w:r>
            <w:rPr>
              <w:noProof/>
              <w:webHidden/>
            </w:rPr>
            <w:instrText xml:space="preserve"> PAGEREF _Toc171678077 \h </w:instrText>
          </w:r>
          <w:r>
            <w:rPr>
              <w:noProof/>
              <w:webHidden/>
            </w:rPr>
          </w:r>
          <w:r>
            <w:rPr>
              <w:noProof/>
              <w:webHidden/>
            </w:rPr>
            <w:fldChar w:fldCharType="separate"/>
          </w:r>
          <w:r>
            <w:rPr>
              <w:noProof/>
              <w:webHidden/>
            </w:rPr>
            <w:t>8</w:t>
          </w:r>
          <w:r>
            <w:rPr>
              <w:noProof/>
              <w:webHidden/>
            </w:rPr>
            <w:fldChar w:fldCharType="end"/>
          </w:r>
        </w:p>
        <w:p w14:paraId="201C9FDE" w14:textId="157390BC" w:rsidR="00D5448E" w:rsidRDefault="00D5448E">
          <w:pPr>
            <w:pStyle w:val="TOC2"/>
            <w:rPr>
              <w:rFonts w:asciiTheme="minorHAnsi" w:eastAsiaTheme="minorEastAsia" w:hAnsiTheme="minorHAnsi" w:cstheme="minorBidi"/>
              <w:b w:val="0"/>
              <w:kern w:val="2"/>
              <w14:ligatures w14:val="standardContextual"/>
            </w:rPr>
          </w:pPr>
          <w:r w:rsidRPr="006078EA">
            <w:rPr>
              <w:rFonts w:ascii="Times New Roman" w:hAnsi="Times New Roman" w:cs="Times New Roman"/>
            </w:rPr>
            <w:t xml:space="preserve">Attachment A </w:t>
          </w:r>
          <w:r w:rsidRPr="006078EA">
            <w:rPr>
              <w:rFonts w:ascii="Times New Roman" w:hAnsi="Times New Roman" w:cs="Times New Roman" w:hint="eastAsia"/>
            </w:rPr>
            <w:t>–</w:t>
          </w:r>
          <w:r w:rsidRPr="006078EA">
            <w:rPr>
              <w:rFonts w:ascii="Times New Roman" w:hAnsi="Times New Roman" w:cs="Times New Roman"/>
            </w:rPr>
            <w:t xml:space="preserve"> Matters to be addressed in an Appointed Auditor</w:t>
          </w:r>
          <w:r w:rsidRPr="006078EA">
            <w:rPr>
              <w:rFonts w:ascii="Times New Roman" w:hAnsi="Times New Roman" w:cs="Times New Roman" w:hint="eastAsia"/>
            </w:rPr>
            <w:t>’</w:t>
          </w:r>
          <w:r w:rsidRPr="006078EA">
            <w:rPr>
              <w:rFonts w:ascii="Times New Roman" w:hAnsi="Times New Roman" w:cs="Times New Roman"/>
            </w:rPr>
            <w:t>s report</w:t>
          </w:r>
          <w:r>
            <w:rPr>
              <w:webHidden/>
            </w:rPr>
            <w:tab/>
          </w:r>
          <w:r>
            <w:rPr>
              <w:webHidden/>
            </w:rPr>
            <w:fldChar w:fldCharType="begin"/>
          </w:r>
          <w:r>
            <w:rPr>
              <w:webHidden/>
            </w:rPr>
            <w:instrText xml:space="preserve"> PAGEREF _Toc171678078 \h </w:instrText>
          </w:r>
          <w:r>
            <w:rPr>
              <w:webHidden/>
            </w:rPr>
          </w:r>
          <w:r>
            <w:rPr>
              <w:webHidden/>
            </w:rPr>
            <w:fldChar w:fldCharType="separate"/>
          </w:r>
          <w:r>
            <w:rPr>
              <w:webHidden/>
            </w:rPr>
            <w:t>9</w:t>
          </w:r>
          <w:r>
            <w:rPr>
              <w:webHidden/>
            </w:rPr>
            <w:fldChar w:fldCharType="end"/>
          </w:r>
        </w:p>
        <w:p w14:paraId="76435B40" w14:textId="5D9CE011" w:rsidR="00D5448E" w:rsidRPr="00A03BC8" w:rsidRDefault="00D5448E" w:rsidP="00A03BC8">
          <w:pPr>
            <w:pStyle w:val="TOC2"/>
            <w:rPr>
              <w:rFonts w:asciiTheme="minorHAnsi" w:eastAsiaTheme="minorEastAsia" w:hAnsiTheme="minorHAnsi" w:cstheme="minorBidi"/>
              <w:b w:val="0"/>
              <w:kern w:val="2"/>
              <w14:ligatures w14:val="standardContextual"/>
            </w:rPr>
          </w:pPr>
          <w:r w:rsidRPr="006078EA">
            <w:rPr>
              <w:rFonts w:ascii="Times New Roman" w:hAnsi="Times New Roman" w:cs="Times New Roman"/>
            </w:rPr>
            <w:t xml:space="preserve">Attachment B </w:t>
          </w:r>
          <w:r w:rsidRPr="006078EA">
            <w:rPr>
              <w:rFonts w:ascii="Times New Roman" w:hAnsi="Times New Roman" w:cs="Times New Roman" w:hint="eastAsia"/>
            </w:rPr>
            <w:t>–</w:t>
          </w:r>
          <w:r w:rsidRPr="006078EA">
            <w:rPr>
              <w:rFonts w:ascii="Times New Roman" w:hAnsi="Times New Roman" w:cs="Times New Roman"/>
            </w:rPr>
            <w:t xml:space="preserve"> Level 2 insurance groups</w:t>
          </w:r>
          <w:r>
            <w:rPr>
              <w:webHidden/>
            </w:rPr>
            <w:tab/>
          </w:r>
          <w:r>
            <w:rPr>
              <w:webHidden/>
            </w:rPr>
            <w:fldChar w:fldCharType="begin"/>
          </w:r>
          <w:r>
            <w:rPr>
              <w:webHidden/>
            </w:rPr>
            <w:instrText xml:space="preserve"> PAGEREF _Toc171678079 \h </w:instrText>
          </w:r>
          <w:r>
            <w:rPr>
              <w:webHidden/>
            </w:rPr>
          </w:r>
          <w:r>
            <w:rPr>
              <w:webHidden/>
            </w:rPr>
            <w:fldChar w:fldCharType="separate"/>
          </w:r>
          <w:r>
            <w:rPr>
              <w:webHidden/>
            </w:rPr>
            <w:t>10</w:t>
          </w:r>
          <w:r>
            <w:rPr>
              <w:webHidden/>
            </w:rPr>
            <w:fldChar w:fldCharType="end"/>
          </w:r>
        </w:p>
        <w:p w14:paraId="11109299" w14:textId="2A34F907" w:rsidR="00D5448E" w:rsidRDefault="00D5448E">
          <w:pPr>
            <w:pStyle w:val="TOC2"/>
            <w:rPr>
              <w:rFonts w:asciiTheme="minorHAnsi" w:eastAsiaTheme="minorEastAsia" w:hAnsiTheme="minorHAnsi" w:cstheme="minorBidi"/>
              <w:b w:val="0"/>
              <w:kern w:val="2"/>
              <w14:ligatures w14:val="standardContextual"/>
            </w:rPr>
          </w:pPr>
          <w:r w:rsidRPr="006078EA">
            <w:rPr>
              <w:rFonts w:ascii="Times New Roman" w:hAnsi="Times New Roman" w:cs="Times New Roman"/>
            </w:rPr>
            <w:t xml:space="preserve">Attachment C </w:t>
          </w:r>
          <w:r w:rsidRPr="006078EA">
            <w:rPr>
              <w:rFonts w:ascii="Times New Roman" w:hAnsi="Times New Roman" w:cs="Times New Roman" w:hint="eastAsia"/>
            </w:rPr>
            <w:t>–</w:t>
          </w:r>
          <w:r w:rsidRPr="006078EA">
            <w:rPr>
              <w:rFonts w:ascii="Times New Roman" w:hAnsi="Times New Roman" w:cs="Times New Roman"/>
            </w:rPr>
            <w:t xml:space="preserve"> Matters to be addressed in a limited assurance review report</w:t>
          </w:r>
          <w:r>
            <w:rPr>
              <w:webHidden/>
            </w:rPr>
            <w:tab/>
          </w:r>
          <w:r>
            <w:rPr>
              <w:webHidden/>
            </w:rPr>
            <w:fldChar w:fldCharType="begin"/>
          </w:r>
          <w:r>
            <w:rPr>
              <w:webHidden/>
            </w:rPr>
            <w:instrText xml:space="preserve"> PAGEREF _Toc171678089 \h </w:instrText>
          </w:r>
          <w:r>
            <w:rPr>
              <w:webHidden/>
            </w:rPr>
          </w:r>
          <w:r>
            <w:rPr>
              <w:webHidden/>
            </w:rPr>
            <w:fldChar w:fldCharType="separate"/>
          </w:r>
          <w:r>
            <w:rPr>
              <w:webHidden/>
            </w:rPr>
            <w:t>15</w:t>
          </w:r>
          <w:r>
            <w:rPr>
              <w:webHidden/>
            </w:rPr>
            <w:fldChar w:fldCharType="end"/>
          </w:r>
        </w:p>
        <w:p w14:paraId="43D4C43C" w14:textId="14E0FE25" w:rsidR="00D5448E" w:rsidRDefault="00D5448E">
          <w:pPr>
            <w:pStyle w:val="TOC2"/>
            <w:rPr>
              <w:rFonts w:asciiTheme="minorHAnsi" w:eastAsiaTheme="minorEastAsia" w:hAnsiTheme="minorHAnsi" w:cstheme="minorBidi"/>
              <w:b w:val="0"/>
              <w:kern w:val="2"/>
              <w14:ligatures w14:val="standardContextual"/>
            </w:rPr>
          </w:pPr>
          <w:r w:rsidRPr="006078EA">
            <w:rPr>
              <w:rFonts w:ascii="Times New Roman" w:hAnsi="Times New Roman" w:cs="Times New Roman"/>
            </w:rPr>
            <w:t xml:space="preserve">Attachment D </w:t>
          </w:r>
          <w:r w:rsidRPr="006078EA">
            <w:rPr>
              <w:rFonts w:ascii="Times New Roman" w:hAnsi="Times New Roman" w:cs="Times New Roman" w:hint="eastAsia"/>
            </w:rPr>
            <w:t>–</w:t>
          </w:r>
          <w:r w:rsidRPr="006078EA">
            <w:rPr>
              <w:rFonts w:ascii="Times New Roman" w:hAnsi="Times New Roman" w:cs="Times New Roman"/>
            </w:rPr>
            <w:t xml:space="preserve"> Financial Information Declaration</w:t>
          </w:r>
          <w:r>
            <w:rPr>
              <w:webHidden/>
            </w:rPr>
            <w:tab/>
          </w:r>
          <w:r>
            <w:rPr>
              <w:webHidden/>
            </w:rPr>
            <w:fldChar w:fldCharType="begin"/>
          </w:r>
          <w:r>
            <w:rPr>
              <w:webHidden/>
            </w:rPr>
            <w:instrText xml:space="preserve"> PAGEREF _Toc171678090 \h </w:instrText>
          </w:r>
          <w:r>
            <w:rPr>
              <w:webHidden/>
            </w:rPr>
          </w:r>
          <w:r>
            <w:rPr>
              <w:webHidden/>
            </w:rPr>
            <w:fldChar w:fldCharType="separate"/>
          </w:r>
          <w:r>
            <w:rPr>
              <w:webHidden/>
            </w:rPr>
            <w:t>16</w:t>
          </w:r>
          <w:r>
            <w:rPr>
              <w:webHidden/>
            </w:rPr>
            <w:fldChar w:fldCharType="end"/>
          </w:r>
        </w:p>
        <w:p w14:paraId="547904AB" w14:textId="779D8FF9" w:rsidR="00D5448E" w:rsidRDefault="00D5448E">
          <w:pPr>
            <w:pStyle w:val="TOC2"/>
            <w:rPr>
              <w:rFonts w:asciiTheme="minorHAnsi" w:eastAsiaTheme="minorEastAsia" w:hAnsiTheme="minorHAnsi" w:cstheme="minorBidi"/>
              <w:b w:val="0"/>
              <w:kern w:val="2"/>
              <w14:ligatures w14:val="standardContextual"/>
            </w:rPr>
          </w:pPr>
          <w:r w:rsidRPr="006078EA">
            <w:rPr>
              <w:rFonts w:ascii="Times New Roman" w:hAnsi="Times New Roman" w:cs="Times New Roman"/>
            </w:rPr>
            <w:t xml:space="preserve">Attachment E </w:t>
          </w:r>
          <w:r w:rsidRPr="006078EA">
            <w:rPr>
              <w:rFonts w:ascii="Times New Roman" w:hAnsi="Times New Roman" w:cs="Times New Roman" w:hint="eastAsia"/>
            </w:rPr>
            <w:t>–</w:t>
          </w:r>
          <w:r w:rsidRPr="006078EA">
            <w:rPr>
              <w:rFonts w:ascii="Times New Roman" w:hAnsi="Times New Roman" w:cs="Times New Roman"/>
            </w:rPr>
            <w:t xml:space="preserve"> Auditable annual returns</w:t>
          </w:r>
          <w:r>
            <w:rPr>
              <w:webHidden/>
            </w:rPr>
            <w:tab/>
          </w:r>
          <w:r>
            <w:rPr>
              <w:webHidden/>
            </w:rPr>
            <w:fldChar w:fldCharType="begin"/>
          </w:r>
          <w:r>
            <w:rPr>
              <w:webHidden/>
            </w:rPr>
            <w:instrText xml:space="preserve"> PAGEREF _Toc171678091 \h </w:instrText>
          </w:r>
          <w:r>
            <w:rPr>
              <w:webHidden/>
            </w:rPr>
          </w:r>
          <w:r>
            <w:rPr>
              <w:webHidden/>
            </w:rPr>
            <w:fldChar w:fldCharType="separate"/>
          </w:r>
          <w:r>
            <w:rPr>
              <w:webHidden/>
            </w:rPr>
            <w:t>18</w:t>
          </w:r>
          <w:r>
            <w:rPr>
              <w:webHidden/>
            </w:rPr>
            <w:fldChar w:fldCharType="end"/>
          </w:r>
        </w:p>
        <w:p w14:paraId="3EFD458F" w14:textId="038AC2CB" w:rsidR="006F2F40" w:rsidRPr="00B91852" w:rsidRDefault="006F2F40" w:rsidP="00AB1D5D">
          <w:pPr>
            <w:spacing w:after="120"/>
            <w:rPr>
              <w:rFonts w:ascii="Arial" w:hAnsi="Arial" w:cs="Arial"/>
              <w:szCs w:val="24"/>
            </w:rPr>
          </w:pPr>
          <w:r w:rsidRPr="00B91852">
            <w:rPr>
              <w:rFonts w:ascii="Arial" w:hAnsi="Arial" w:cs="Arial"/>
              <w:b/>
              <w:bCs/>
              <w:noProof/>
              <w:szCs w:val="24"/>
            </w:rPr>
            <w:fldChar w:fldCharType="end"/>
          </w:r>
        </w:p>
      </w:sdtContent>
    </w:sdt>
    <w:p w14:paraId="36DD1682" w14:textId="77777777" w:rsidR="004B6297" w:rsidRPr="00B91852" w:rsidRDefault="004B6297" w:rsidP="00AB3620">
      <w:pPr>
        <w:pStyle w:val="Heading3"/>
        <w:keepLines/>
        <w:spacing w:before="120" w:after="240"/>
        <w:jc w:val="both"/>
        <w:rPr>
          <w:bCs w:val="0"/>
          <w:snapToGrid w:val="0"/>
          <w:sz w:val="24"/>
          <w:szCs w:val="24"/>
          <w:lang w:eastAsia="en-US"/>
        </w:rPr>
      </w:pPr>
    </w:p>
    <w:p w14:paraId="76AE4276" w14:textId="77777777" w:rsidR="004B6297" w:rsidRPr="00B91852" w:rsidRDefault="004B6297">
      <w:pPr>
        <w:rPr>
          <w:rFonts w:ascii="Arial" w:hAnsi="Arial" w:cs="Arial"/>
          <w:b/>
          <w:snapToGrid w:val="0"/>
          <w:szCs w:val="24"/>
          <w:lang w:eastAsia="en-US"/>
        </w:rPr>
      </w:pPr>
      <w:r w:rsidRPr="00B91852">
        <w:rPr>
          <w:rFonts w:ascii="Arial" w:hAnsi="Arial" w:cs="Arial"/>
          <w:bCs/>
          <w:snapToGrid w:val="0"/>
          <w:szCs w:val="24"/>
          <w:lang w:eastAsia="en-US"/>
        </w:rPr>
        <w:br w:type="page"/>
      </w:r>
    </w:p>
    <w:p w14:paraId="077885D3" w14:textId="5AB541E8" w:rsidR="006B4587" w:rsidRPr="00874D33" w:rsidRDefault="006B4587" w:rsidP="00AB3620">
      <w:pPr>
        <w:pStyle w:val="Heading3"/>
        <w:keepLines/>
        <w:spacing w:before="120" w:after="240"/>
        <w:jc w:val="both"/>
        <w:rPr>
          <w:rFonts w:ascii="Times New Roman" w:hAnsi="Times New Roman" w:cs="Times New Roman"/>
          <w:snapToGrid w:val="0"/>
          <w:sz w:val="24"/>
          <w:szCs w:val="24"/>
          <w:lang w:eastAsia="en-US"/>
        </w:rPr>
      </w:pPr>
      <w:bookmarkStart w:id="18" w:name="_Toc171678066"/>
      <w:r w:rsidRPr="00874D33">
        <w:rPr>
          <w:rFonts w:ascii="Times New Roman" w:hAnsi="Times New Roman" w:cs="Times New Roman"/>
          <w:snapToGrid w:val="0"/>
          <w:sz w:val="24"/>
          <w:szCs w:val="24"/>
          <w:lang w:eastAsia="en-US"/>
        </w:rPr>
        <w:lastRenderedPageBreak/>
        <w:t>Authority</w:t>
      </w:r>
      <w:bookmarkEnd w:id="18"/>
      <w:bookmarkEnd w:id="17"/>
      <w:r w:rsidRPr="00874D33">
        <w:rPr>
          <w:rFonts w:ascii="Times New Roman" w:hAnsi="Times New Roman" w:cs="Times New Roman"/>
          <w:snapToGrid w:val="0"/>
          <w:sz w:val="24"/>
          <w:szCs w:val="24"/>
          <w:lang w:eastAsia="en-US"/>
        </w:rPr>
        <w:t xml:space="preserve"> </w:t>
      </w:r>
    </w:p>
    <w:p w14:paraId="077885D4" w14:textId="77777777" w:rsidR="006B4587" w:rsidRPr="00874D33" w:rsidRDefault="006B4587" w:rsidP="009F6C65">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 xml:space="preserve">This Prudential Standard is made under section 32 of the </w:t>
      </w:r>
      <w:r w:rsidRPr="00874D33">
        <w:rPr>
          <w:b w:val="0"/>
          <w:i/>
          <w:szCs w:val="24"/>
          <w:lang w:val="en-AU"/>
        </w:rPr>
        <w:t>Insurance Act 1973</w:t>
      </w:r>
      <w:r w:rsidRPr="00874D33">
        <w:rPr>
          <w:b w:val="0"/>
          <w:szCs w:val="24"/>
          <w:lang w:val="en-AU"/>
        </w:rPr>
        <w:t xml:space="preserve"> (the Act) and includes a determination made under subsection 7(1) of the Act.  </w:t>
      </w:r>
    </w:p>
    <w:p w14:paraId="077885D5"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19" w:name="_Toc264640503"/>
      <w:bookmarkStart w:id="20" w:name="_Toc171678067"/>
      <w:r w:rsidRPr="00874D33">
        <w:rPr>
          <w:rFonts w:ascii="Times New Roman" w:hAnsi="Times New Roman" w:cs="Times New Roman"/>
          <w:snapToGrid w:val="0"/>
          <w:sz w:val="24"/>
          <w:szCs w:val="24"/>
          <w:lang w:eastAsia="en-US"/>
        </w:rPr>
        <w:t>Application</w:t>
      </w:r>
      <w:bookmarkEnd w:id="19"/>
      <w:bookmarkEnd w:id="20"/>
    </w:p>
    <w:p w14:paraId="077885D6" w14:textId="77777777" w:rsidR="00A978D7" w:rsidRPr="00874D33" w:rsidRDefault="00A978D7" w:rsidP="009F6C65">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This Prudential Standard applies to each:</w:t>
      </w:r>
    </w:p>
    <w:p w14:paraId="077885D7" w14:textId="77777777" w:rsidR="00A978D7" w:rsidRPr="00874D33" w:rsidRDefault="00A978D7" w:rsidP="009F6C65">
      <w:pPr>
        <w:pStyle w:val="BodyText"/>
        <w:numPr>
          <w:ilvl w:val="1"/>
          <w:numId w:val="3"/>
        </w:numPr>
        <w:spacing w:after="240"/>
        <w:jc w:val="both"/>
        <w:rPr>
          <w:b w:val="0"/>
          <w:szCs w:val="24"/>
          <w:lang w:val="en-AU"/>
        </w:rPr>
      </w:pPr>
      <w:r w:rsidRPr="00874D33">
        <w:rPr>
          <w:szCs w:val="24"/>
          <w:lang w:val="en-AU"/>
        </w:rPr>
        <w:t>general insurer</w:t>
      </w:r>
      <w:r w:rsidR="00342BEA" w:rsidRPr="00874D33">
        <w:rPr>
          <w:b w:val="0"/>
          <w:szCs w:val="24"/>
          <w:lang w:val="en-AU"/>
        </w:rPr>
        <w:t xml:space="preserve"> authorised under the Act (</w:t>
      </w:r>
      <w:r w:rsidR="00342BEA" w:rsidRPr="00874D33">
        <w:rPr>
          <w:szCs w:val="24"/>
          <w:lang w:val="en-AU"/>
        </w:rPr>
        <w:t>insurer</w:t>
      </w:r>
      <w:r w:rsidR="00342BEA" w:rsidRPr="00874D33">
        <w:rPr>
          <w:b w:val="0"/>
          <w:szCs w:val="24"/>
          <w:lang w:val="en-AU"/>
        </w:rPr>
        <w:t>); and</w:t>
      </w:r>
    </w:p>
    <w:p w14:paraId="077885D8" w14:textId="77777777" w:rsidR="00342BEA" w:rsidRPr="00874D33" w:rsidRDefault="00342BEA" w:rsidP="009F6C65">
      <w:pPr>
        <w:pStyle w:val="BodyText"/>
        <w:numPr>
          <w:ilvl w:val="1"/>
          <w:numId w:val="3"/>
        </w:numPr>
        <w:spacing w:after="240"/>
        <w:jc w:val="both"/>
        <w:rPr>
          <w:b w:val="0"/>
          <w:szCs w:val="24"/>
          <w:lang w:val="en-AU"/>
        </w:rPr>
      </w:pPr>
      <w:r w:rsidRPr="00874D33">
        <w:rPr>
          <w:szCs w:val="24"/>
          <w:lang w:val="en-AU"/>
        </w:rPr>
        <w:t>Level 2 insurance group</w:t>
      </w:r>
      <w:r w:rsidRPr="00874D33">
        <w:rPr>
          <w:b w:val="0"/>
          <w:szCs w:val="24"/>
          <w:lang w:val="en-AU"/>
        </w:rPr>
        <w:t xml:space="preserve"> as defined in </w:t>
      </w:r>
      <w:r w:rsidRPr="00874D33">
        <w:rPr>
          <w:b w:val="0"/>
          <w:i/>
          <w:szCs w:val="24"/>
          <w:lang w:val="en-AU"/>
        </w:rPr>
        <w:t xml:space="preserve">Prudential Standard GPS 001 Definitions </w:t>
      </w:r>
      <w:r w:rsidRPr="00874D33">
        <w:rPr>
          <w:b w:val="0"/>
          <w:szCs w:val="24"/>
          <w:lang w:val="en-AU"/>
        </w:rPr>
        <w:t>(GPS 001).</w:t>
      </w:r>
    </w:p>
    <w:p w14:paraId="077885D9" w14:textId="77777777" w:rsidR="00342BEA" w:rsidRPr="00874D33" w:rsidRDefault="00342BEA" w:rsidP="00AB3620">
      <w:pPr>
        <w:pStyle w:val="BodyText"/>
        <w:tabs>
          <w:tab w:val="clear" w:pos="567"/>
        </w:tabs>
        <w:spacing w:after="240"/>
        <w:ind w:firstLine="0"/>
        <w:jc w:val="both"/>
        <w:rPr>
          <w:b w:val="0"/>
          <w:szCs w:val="24"/>
          <w:lang w:val="en-AU"/>
        </w:rPr>
      </w:pPr>
      <w:r w:rsidRPr="00874D33">
        <w:rPr>
          <w:b w:val="0"/>
          <w:szCs w:val="24"/>
          <w:lang w:val="en-AU"/>
        </w:rPr>
        <w:t xml:space="preserve">Where a requirement applies to a Level 2 insurance group, the requirement is imposed on the </w:t>
      </w:r>
      <w:r w:rsidRPr="00874D33">
        <w:rPr>
          <w:szCs w:val="24"/>
          <w:lang w:val="en-AU"/>
        </w:rPr>
        <w:t>parent entity</w:t>
      </w:r>
      <w:r w:rsidRPr="00874D33">
        <w:rPr>
          <w:b w:val="0"/>
          <w:szCs w:val="24"/>
          <w:lang w:val="en-AU"/>
        </w:rPr>
        <w:t xml:space="preserve"> of the Level 2 insurance group.</w:t>
      </w:r>
    </w:p>
    <w:p w14:paraId="077885DA" w14:textId="77777777" w:rsidR="006B4587" w:rsidRPr="00874D33" w:rsidRDefault="00B35B07" w:rsidP="009F6C65">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 xml:space="preserve">This Prudential Standard includes requirements that apply to all auditors appointed under the Act. These requirements are functions of an auditor for the purposes of </w:t>
      </w:r>
      <w:r w:rsidR="008551FF" w:rsidRPr="00874D33">
        <w:rPr>
          <w:b w:val="0"/>
          <w:szCs w:val="24"/>
          <w:lang w:val="en-AU"/>
        </w:rPr>
        <w:t xml:space="preserve">paragraph </w:t>
      </w:r>
      <w:r w:rsidRPr="00874D33">
        <w:rPr>
          <w:b w:val="0"/>
          <w:szCs w:val="24"/>
          <w:lang w:val="en-AU"/>
        </w:rPr>
        <w:t>49J(</w:t>
      </w:r>
      <w:r w:rsidR="00FD00D8" w:rsidRPr="00874D33">
        <w:rPr>
          <w:b w:val="0"/>
          <w:szCs w:val="24"/>
          <w:lang w:val="en-AU"/>
        </w:rPr>
        <w:t>1</w:t>
      </w:r>
      <w:r w:rsidRPr="00874D33">
        <w:rPr>
          <w:b w:val="0"/>
          <w:szCs w:val="24"/>
          <w:lang w:val="en-AU"/>
        </w:rPr>
        <w:t>)</w:t>
      </w:r>
      <w:r w:rsidR="00720EE2" w:rsidRPr="00874D33">
        <w:rPr>
          <w:b w:val="0"/>
          <w:szCs w:val="24"/>
          <w:lang w:val="en-AU"/>
        </w:rPr>
        <w:t>(b)</w:t>
      </w:r>
      <w:r w:rsidRPr="00874D33">
        <w:rPr>
          <w:b w:val="0"/>
          <w:szCs w:val="24"/>
          <w:lang w:val="en-AU"/>
        </w:rPr>
        <w:t xml:space="preserve"> of the Act.</w:t>
      </w:r>
    </w:p>
    <w:p w14:paraId="077885DB" w14:textId="5D5A9BEE" w:rsidR="006B4587" w:rsidRPr="00874D33" w:rsidRDefault="00B35B07" w:rsidP="009F6C65">
      <w:pPr>
        <w:pStyle w:val="BodyText"/>
        <w:numPr>
          <w:ilvl w:val="0"/>
          <w:numId w:val="3"/>
        </w:numPr>
        <w:tabs>
          <w:tab w:val="clear" w:pos="720"/>
        </w:tabs>
        <w:spacing w:after="240"/>
        <w:ind w:left="567" w:hanging="567"/>
        <w:jc w:val="both"/>
        <w:rPr>
          <w:b w:val="0"/>
          <w:szCs w:val="24"/>
          <w:lang w:val="en-AU"/>
        </w:rPr>
      </w:pPr>
      <w:bookmarkStart w:id="21" w:name="_Ref90200254"/>
      <w:r w:rsidRPr="00874D33">
        <w:rPr>
          <w:rStyle w:val="StyleBodyText13ptCharCharChar0"/>
          <w:b w:val="0"/>
          <w:szCs w:val="24"/>
        </w:rPr>
        <w:t>This Prudential Standard applies to insurers and Level 2 insurance groups (</w:t>
      </w:r>
      <w:r w:rsidRPr="00874D33">
        <w:rPr>
          <w:rStyle w:val="StyleBodyText13ptCharCharChar0"/>
          <w:szCs w:val="24"/>
        </w:rPr>
        <w:t>regulated institutions</w:t>
      </w:r>
      <w:r w:rsidRPr="00874D33">
        <w:rPr>
          <w:rStyle w:val="StyleBodyText13ptCharCharChar0"/>
          <w:b w:val="0"/>
          <w:szCs w:val="24"/>
        </w:rPr>
        <w:t xml:space="preserve">) from </w:t>
      </w:r>
      <w:r w:rsidR="001A1664" w:rsidRPr="00874D33">
        <w:rPr>
          <w:rStyle w:val="StyleBodyText13ptCharCharChar0"/>
          <w:b w:val="0"/>
          <w:szCs w:val="24"/>
        </w:rPr>
        <w:t>1</w:t>
      </w:r>
      <w:r w:rsidR="00195F3B" w:rsidRPr="00874D33">
        <w:rPr>
          <w:rStyle w:val="StyleBodyText13ptCharCharChar0"/>
          <w:b w:val="0"/>
          <w:szCs w:val="24"/>
        </w:rPr>
        <w:t xml:space="preserve"> </w:t>
      </w:r>
      <w:r w:rsidR="00205F96" w:rsidRPr="00874D33">
        <w:rPr>
          <w:rStyle w:val="StyleBodyText13ptCharCharChar0"/>
          <w:b w:val="0"/>
          <w:szCs w:val="24"/>
        </w:rPr>
        <w:t xml:space="preserve">October </w:t>
      </w:r>
      <w:r w:rsidR="009C5FAF" w:rsidRPr="00874D33">
        <w:rPr>
          <w:rStyle w:val="StyleBodyText13ptCharCharChar0"/>
          <w:b w:val="0"/>
          <w:szCs w:val="24"/>
        </w:rPr>
        <w:t>20</w:t>
      </w:r>
      <w:r w:rsidR="00205F96" w:rsidRPr="00874D33">
        <w:rPr>
          <w:rStyle w:val="StyleBodyText13ptCharCharChar0"/>
          <w:b w:val="0"/>
          <w:szCs w:val="24"/>
        </w:rPr>
        <w:t>24</w:t>
      </w:r>
      <w:r w:rsidR="009C5FAF" w:rsidRPr="00874D33">
        <w:rPr>
          <w:rStyle w:val="StyleBodyText13ptCharCharChar0"/>
          <w:b w:val="0"/>
          <w:szCs w:val="24"/>
        </w:rPr>
        <w:t>.</w:t>
      </w:r>
    </w:p>
    <w:p w14:paraId="077885DC" w14:textId="77777777" w:rsidR="00F877B9" w:rsidRPr="00874D33" w:rsidRDefault="00F877B9" w:rsidP="00F877B9">
      <w:pPr>
        <w:pStyle w:val="Heading3"/>
        <w:keepLines/>
        <w:spacing w:before="120" w:after="240"/>
        <w:jc w:val="both"/>
        <w:rPr>
          <w:rFonts w:ascii="Times New Roman" w:hAnsi="Times New Roman" w:cs="Times New Roman"/>
          <w:snapToGrid w:val="0"/>
          <w:sz w:val="24"/>
          <w:szCs w:val="24"/>
          <w:lang w:eastAsia="en-US"/>
        </w:rPr>
      </w:pPr>
      <w:bookmarkStart w:id="22" w:name="_Toc171678068"/>
      <w:bookmarkStart w:id="23" w:name="_Toc264640504"/>
      <w:r w:rsidRPr="00874D33">
        <w:rPr>
          <w:rFonts w:ascii="Times New Roman" w:hAnsi="Times New Roman" w:cs="Times New Roman"/>
          <w:snapToGrid w:val="0"/>
          <w:sz w:val="24"/>
          <w:szCs w:val="24"/>
          <w:lang w:eastAsia="en-US"/>
        </w:rPr>
        <w:t>Level 2 insurance groups</w:t>
      </w:r>
      <w:bookmarkEnd w:id="22"/>
    </w:p>
    <w:p w14:paraId="077885DD" w14:textId="5EF30FA6" w:rsidR="00F877B9" w:rsidRPr="00874D33" w:rsidRDefault="00F877B9" w:rsidP="009F6C65">
      <w:pPr>
        <w:numPr>
          <w:ilvl w:val="0"/>
          <w:numId w:val="3"/>
        </w:numPr>
        <w:tabs>
          <w:tab w:val="clear" w:pos="720"/>
          <w:tab w:val="num" w:pos="567"/>
        </w:tabs>
        <w:spacing w:after="240"/>
        <w:ind w:left="567" w:hanging="567"/>
        <w:jc w:val="both"/>
        <w:rPr>
          <w:szCs w:val="24"/>
          <w:lang w:eastAsia="en-US"/>
        </w:rPr>
      </w:pPr>
      <w:r w:rsidRPr="00874D33">
        <w:rPr>
          <w:szCs w:val="24"/>
        </w:rPr>
        <w:t xml:space="preserve">Paragraphs </w:t>
      </w:r>
      <w:r w:rsidR="00D66492" w:rsidRPr="00874D33">
        <w:rPr>
          <w:szCs w:val="24"/>
        </w:rPr>
        <w:fldChar w:fldCharType="begin"/>
      </w:r>
      <w:r w:rsidR="00D66492" w:rsidRPr="00874D33">
        <w:rPr>
          <w:szCs w:val="24"/>
        </w:rPr>
        <w:instrText xml:space="preserve"> REF _Ref317594764 \r \h </w:instrText>
      </w:r>
      <w:r w:rsidR="00C04D7F" w:rsidRPr="00874D33">
        <w:rPr>
          <w:szCs w:val="24"/>
        </w:rPr>
        <w:instrText xml:space="preserve"> \* MERGEFORMAT </w:instrText>
      </w:r>
      <w:r w:rsidR="00D66492" w:rsidRPr="00874D33">
        <w:rPr>
          <w:szCs w:val="24"/>
        </w:rPr>
      </w:r>
      <w:r w:rsidR="00D66492" w:rsidRPr="00874D33">
        <w:rPr>
          <w:szCs w:val="24"/>
        </w:rPr>
        <w:fldChar w:fldCharType="separate"/>
      </w:r>
      <w:r w:rsidR="00D54771" w:rsidRPr="00874D33">
        <w:rPr>
          <w:szCs w:val="24"/>
        </w:rPr>
        <w:t>8</w:t>
      </w:r>
      <w:r w:rsidR="00D66492" w:rsidRPr="00874D33">
        <w:rPr>
          <w:szCs w:val="24"/>
        </w:rPr>
        <w:fldChar w:fldCharType="end"/>
      </w:r>
      <w:r w:rsidRPr="00874D33">
        <w:rPr>
          <w:szCs w:val="24"/>
        </w:rPr>
        <w:t xml:space="preserve"> to </w:t>
      </w:r>
      <w:r w:rsidR="002F7B58" w:rsidRPr="00874D33">
        <w:rPr>
          <w:szCs w:val="24"/>
        </w:rPr>
        <w:fldChar w:fldCharType="begin"/>
      </w:r>
      <w:r w:rsidR="002F7B58" w:rsidRPr="00874D33">
        <w:rPr>
          <w:szCs w:val="24"/>
        </w:rPr>
        <w:instrText xml:space="preserve"> REF _Ref86201184 \r \h </w:instrText>
      </w:r>
      <w:r w:rsidR="00B91852" w:rsidRPr="00874D33">
        <w:rPr>
          <w:szCs w:val="24"/>
        </w:rPr>
        <w:instrText xml:space="preserve"> \* MERGEFORMAT </w:instrText>
      </w:r>
      <w:r w:rsidR="002F7B58" w:rsidRPr="00874D33">
        <w:rPr>
          <w:szCs w:val="24"/>
        </w:rPr>
      </w:r>
      <w:r w:rsidR="002F7B58" w:rsidRPr="00874D33">
        <w:rPr>
          <w:szCs w:val="24"/>
        </w:rPr>
        <w:fldChar w:fldCharType="separate"/>
      </w:r>
      <w:r w:rsidR="00D54771" w:rsidRPr="00874D33">
        <w:rPr>
          <w:szCs w:val="24"/>
        </w:rPr>
        <w:t>36</w:t>
      </w:r>
      <w:r w:rsidR="002F7B58" w:rsidRPr="00874D33">
        <w:rPr>
          <w:szCs w:val="24"/>
        </w:rPr>
        <w:fldChar w:fldCharType="end"/>
      </w:r>
      <w:r w:rsidR="00E320EA" w:rsidRPr="00874D33">
        <w:rPr>
          <w:szCs w:val="24"/>
        </w:rPr>
        <w:t xml:space="preserve"> and Attachment </w:t>
      </w:r>
      <w:r w:rsidR="00723086" w:rsidRPr="00874D33">
        <w:rPr>
          <w:szCs w:val="24"/>
        </w:rPr>
        <w:t>A</w:t>
      </w:r>
      <w:r w:rsidRPr="00874D33">
        <w:rPr>
          <w:szCs w:val="24"/>
        </w:rPr>
        <w:t xml:space="preserve"> apply to insurers only. Paragraphs </w:t>
      </w:r>
      <w:r w:rsidR="002F7B58" w:rsidRPr="00874D33">
        <w:rPr>
          <w:szCs w:val="24"/>
        </w:rPr>
        <w:fldChar w:fldCharType="begin"/>
      </w:r>
      <w:r w:rsidR="002F7B58" w:rsidRPr="00874D33">
        <w:rPr>
          <w:szCs w:val="24"/>
        </w:rPr>
        <w:instrText xml:space="preserve"> REF _Ref324163804 \r \h </w:instrText>
      </w:r>
      <w:r w:rsidR="00B91852" w:rsidRPr="00874D33">
        <w:rPr>
          <w:szCs w:val="24"/>
        </w:rPr>
        <w:instrText xml:space="preserve"> \* MERGEFORMAT </w:instrText>
      </w:r>
      <w:r w:rsidR="002F7B58" w:rsidRPr="00874D33">
        <w:rPr>
          <w:szCs w:val="24"/>
        </w:rPr>
      </w:r>
      <w:r w:rsidR="002F7B58" w:rsidRPr="00874D33">
        <w:rPr>
          <w:szCs w:val="24"/>
        </w:rPr>
        <w:fldChar w:fldCharType="separate"/>
      </w:r>
      <w:r w:rsidR="00D54771" w:rsidRPr="00874D33">
        <w:rPr>
          <w:szCs w:val="24"/>
        </w:rPr>
        <w:t>37</w:t>
      </w:r>
      <w:r w:rsidR="002F7B58" w:rsidRPr="00874D33">
        <w:rPr>
          <w:szCs w:val="24"/>
        </w:rPr>
        <w:fldChar w:fldCharType="end"/>
      </w:r>
      <w:r w:rsidR="005A30B2" w:rsidRPr="00874D33">
        <w:rPr>
          <w:szCs w:val="24"/>
        </w:rPr>
        <w:t>,</w:t>
      </w:r>
      <w:r w:rsidRPr="00874D33">
        <w:rPr>
          <w:szCs w:val="24"/>
        </w:rPr>
        <w:t xml:space="preserve"> </w:t>
      </w:r>
      <w:r w:rsidR="002F7B58" w:rsidRPr="00874D33">
        <w:rPr>
          <w:szCs w:val="24"/>
        </w:rPr>
        <w:fldChar w:fldCharType="begin"/>
      </w:r>
      <w:r w:rsidR="002F7B58" w:rsidRPr="00874D33">
        <w:rPr>
          <w:szCs w:val="24"/>
        </w:rPr>
        <w:instrText xml:space="preserve"> REF _Ref324163811 \r \h </w:instrText>
      </w:r>
      <w:r w:rsidR="00B91852" w:rsidRPr="00874D33">
        <w:rPr>
          <w:szCs w:val="24"/>
        </w:rPr>
        <w:instrText xml:space="preserve"> \* MERGEFORMAT </w:instrText>
      </w:r>
      <w:r w:rsidR="002F7B58" w:rsidRPr="00874D33">
        <w:rPr>
          <w:szCs w:val="24"/>
        </w:rPr>
      </w:r>
      <w:r w:rsidR="002F7B58" w:rsidRPr="00874D33">
        <w:rPr>
          <w:szCs w:val="24"/>
        </w:rPr>
        <w:fldChar w:fldCharType="separate"/>
      </w:r>
      <w:r w:rsidR="00D54771" w:rsidRPr="00874D33">
        <w:rPr>
          <w:szCs w:val="24"/>
        </w:rPr>
        <w:t>38</w:t>
      </w:r>
      <w:r w:rsidR="002F7B58" w:rsidRPr="00874D33">
        <w:rPr>
          <w:szCs w:val="24"/>
        </w:rPr>
        <w:fldChar w:fldCharType="end"/>
      </w:r>
      <w:r w:rsidRPr="00874D33">
        <w:rPr>
          <w:szCs w:val="24"/>
        </w:rPr>
        <w:t xml:space="preserve"> </w:t>
      </w:r>
      <w:r w:rsidR="004E042E" w:rsidRPr="00874D33">
        <w:rPr>
          <w:szCs w:val="24"/>
        </w:rPr>
        <w:t xml:space="preserve">and Attachment D </w:t>
      </w:r>
      <w:r w:rsidRPr="00874D33">
        <w:rPr>
          <w:szCs w:val="24"/>
        </w:rPr>
        <w:t xml:space="preserve">apply to </w:t>
      </w:r>
      <w:r w:rsidR="00622551" w:rsidRPr="00874D33">
        <w:rPr>
          <w:szCs w:val="24"/>
        </w:rPr>
        <w:t xml:space="preserve">all </w:t>
      </w:r>
      <w:r w:rsidRPr="00874D33">
        <w:rPr>
          <w:szCs w:val="24"/>
        </w:rPr>
        <w:t xml:space="preserve">regulated institutions. Attachment </w:t>
      </w:r>
      <w:r w:rsidR="00723086" w:rsidRPr="00874D33">
        <w:rPr>
          <w:szCs w:val="24"/>
        </w:rPr>
        <w:t>B</w:t>
      </w:r>
      <w:r w:rsidR="00E320EA" w:rsidRPr="00874D33">
        <w:rPr>
          <w:szCs w:val="24"/>
        </w:rPr>
        <w:t xml:space="preserve"> (read in conjunction with Attachment C)</w:t>
      </w:r>
      <w:r w:rsidRPr="00874D33">
        <w:rPr>
          <w:szCs w:val="24"/>
        </w:rPr>
        <w:t xml:space="preserve"> sets out the requirements for Level 2 insurance groups, including the requirement to appoint a </w:t>
      </w:r>
      <w:r w:rsidRPr="00874D33">
        <w:rPr>
          <w:b/>
          <w:szCs w:val="24"/>
        </w:rPr>
        <w:t>Group Auditor</w:t>
      </w:r>
      <w:r w:rsidRPr="00874D33">
        <w:rPr>
          <w:szCs w:val="24"/>
        </w:rPr>
        <w:t>.</w:t>
      </w:r>
    </w:p>
    <w:p w14:paraId="077885DE"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24" w:name="_Toc171678069"/>
      <w:r w:rsidRPr="00874D33">
        <w:rPr>
          <w:rFonts w:ascii="Times New Roman" w:hAnsi="Times New Roman" w:cs="Times New Roman"/>
          <w:snapToGrid w:val="0"/>
          <w:sz w:val="24"/>
          <w:szCs w:val="24"/>
          <w:lang w:eastAsia="en-US"/>
        </w:rPr>
        <w:t>Interpretation</w:t>
      </w:r>
      <w:bookmarkEnd w:id="23"/>
      <w:bookmarkEnd w:id="24"/>
    </w:p>
    <w:p w14:paraId="077885DF" w14:textId="77777777" w:rsidR="00C121A1" w:rsidRPr="00874D33" w:rsidRDefault="009800FE" w:rsidP="009F6C65">
      <w:pPr>
        <w:pStyle w:val="BodyText"/>
        <w:numPr>
          <w:ilvl w:val="0"/>
          <w:numId w:val="3"/>
        </w:numPr>
        <w:tabs>
          <w:tab w:val="clear" w:pos="720"/>
        </w:tabs>
        <w:spacing w:after="240"/>
        <w:ind w:left="567" w:hanging="567"/>
        <w:jc w:val="both"/>
        <w:rPr>
          <w:b w:val="0"/>
          <w:szCs w:val="24"/>
        </w:rPr>
      </w:pPr>
      <w:r w:rsidRPr="00874D33">
        <w:rPr>
          <w:b w:val="0"/>
          <w:szCs w:val="24"/>
        </w:rPr>
        <w:t>Terms that</w:t>
      </w:r>
      <w:r w:rsidR="006B4587" w:rsidRPr="00874D33">
        <w:rPr>
          <w:b w:val="0"/>
          <w:szCs w:val="24"/>
        </w:rPr>
        <w:t xml:space="preserve"> are defined in GPS 001</w:t>
      </w:r>
      <w:r w:rsidRPr="00874D33">
        <w:rPr>
          <w:b w:val="0"/>
          <w:szCs w:val="24"/>
        </w:rPr>
        <w:t xml:space="preserve"> appear in bold the first time they are used in this Prudential Standard</w:t>
      </w:r>
      <w:r w:rsidR="006B4587" w:rsidRPr="00874D33">
        <w:rPr>
          <w:b w:val="0"/>
          <w:szCs w:val="24"/>
        </w:rPr>
        <w:t>.</w:t>
      </w:r>
    </w:p>
    <w:p w14:paraId="077885E0" w14:textId="77777777" w:rsidR="006B4587" w:rsidRPr="00874D33" w:rsidRDefault="00C121A1" w:rsidP="009F6C65">
      <w:pPr>
        <w:pStyle w:val="BodyText"/>
        <w:numPr>
          <w:ilvl w:val="0"/>
          <w:numId w:val="3"/>
        </w:numPr>
        <w:tabs>
          <w:tab w:val="clear" w:pos="720"/>
        </w:tabs>
        <w:spacing w:after="240"/>
        <w:ind w:left="567" w:hanging="567"/>
        <w:jc w:val="both"/>
        <w:rPr>
          <w:b w:val="0"/>
          <w:szCs w:val="24"/>
        </w:rPr>
      </w:pPr>
      <w:r w:rsidRPr="00874D33">
        <w:rPr>
          <w:b w:val="0"/>
          <w:szCs w:val="24"/>
          <w:lang w:val="en-AU"/>
        </w:rPr>
        <w:t xml:space="preserve">Where this Prudential Standard provides for APRA to exercise a power or discretion, this power or discretion is to be exercised in writing. </w:t>
      </w:r>
      <w:r w:rsidR="006B4587" w:rsidRPr="00874D33">
        <w:rPr>
          <w:b w:val="0"/>
          <w:szCs w:val="24"/>
        </w:rPr>
        <w:t xml:space="preserve"> </w:t>
      </w:r>
    </w:p>
    <w:p w14:paraId="077885E1" w14:textId="77777777" w:rsidR="006B4587" w:rsidRPr="00874D33" w:rsidRDefault="006B4587" w:rsidP="009C007A">
      <w:pPr>
        <w:pStyle w:val="Heading3"/>
        <w:keepLines/>
        <w:spacing w:before="120" w:after="120"/>
        <w:jc w:val="both"/>
        <w:rPr>
          <w:rFonts w:ascii="Times New Roman" w:hAnsi="Times New Roman" w:cs="Times New Roman"/>
          <w:snapToGrid w:val="0"/>
          <w:sz w:val="24"/>
          <w:szCs w:val="24"/>
          <w:lang w:eastAsia="en-US"/>
        </w:rPr>
      </w:pPr>
      <w:bookmarkStart w:id="25" w:name="_Toc86203566"/>
      <w:bookmarkStart w:id="26" w:name="_Toc86204862"/>
      <w:bookmarkStart w:id="27" w:name="_Toc264640505"/>
      <w:bookmarkStart w:id="28" w:name="_Toc171678070"/>
      <w:bookmarkEnd w:id="21"/>
      <w:r w:rsidRPr="00874D33">
        <w:rPr>
          <w:rFonts w:ascii="Times New Roman" w:hAnsi="Times New Roman" w:cs="Times New Roman"/>
          <w:snapToGrid w:val="0"/>
          <w:sz w:val="24"/>
          <w:szCs w:val="24"/>
          <w:lang w:eastAsia="en-US"/>
        </w:rPr>
        <w:t>Obligations of an insurer</w:t>
      </w:r>
      <w:bookmarkEnd w:id="25"/>
      <w:bookmarkEnd w:id="26"/>
      <w:bookmarkEnd w:id="27"/>
      <w:bookmarkEnd w:id="28"/>
    </w:p>
    <w:p w14:paraId="077885E2" w14:textId="77777777" w:rsidR="006B4587" w:rsidRPr="00874D33" w:rsidRDefault="006B4587" w:rsidP="23170610">
      <w:pPr>
        <w:pStyle w:val="BodyText"/>
        <w:numPr>
          <w:ilvl w:val="0"/>
          <w:numId w:val="3"/>
        </w:numPr>
        <w:tabs>
          <w:tab w:val="clear" w:pos="720"/>
        </w:tabs>
        <w:spacing w:after="240"/>
        <w:ind w:left="567" w:hanging="567"/>
        <w:jc w:val="both"/>
        <w:rPr>
          <w:b w:val="0"/>
        </w:rPr>
      </w:pPr>
      <w:bookmarkStart w:id="29" w:name="_Ref317594764"/>
      <w:r w:rsidRPr="00874D33">
        <w:rPr>
          <w:b w:val="0"/>
        </w:rPr>
        <w:t>Under the Act, an insurer must appoint an auditor (</w:t>
      </w:r>
      <w:r w:rsidRPr="00874D33">
        <w:t>Appointed Auditor</w:t>
      </w:r>
      <w:r w:rsidRPr="00874D33">
        <w:rPr>
          <w:b w:val="0"/>
        </w:rPr>
        <w:t>).</w:t>
      </w:r>
      <w:r w:rsidRPr="00874D33">
        <w:rPr>
          <w:rStyle w:val="FootnoteReference"/>
          <w:b w:val="0"/>
        </w:rPr>
        <w:footnoteReference w:id="2"/>
      </w:r>
      <w:bookmarkEnd w:id="29"/>
    </w:p>
    <w:p w14:paraId="077885E3" w14:textId="77777777" w:rsidR="006B4587" w:rsidRPr="00874D33" w:rsidRDefault="006B4587" w:rsidP="009F6C65">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Under the Act, APRA may exempt an insurer from the requirement to appoint an Appointed Auditor.</w:t>
      </w:r>
      <w:r w:rsidRPr="00874D33">
        <w:rPr>
          <w:rStyle w:val="FootnoteReference"/>
          <w:b w:val="0"/>
          <w:szCs w:val="24"/>
          <w:lang w:val="en-AU"/>
        </w:rPr>
        <w:footnoteReference w:id="3"/>
      </w:r>
    </w:p>
    <w:p w14:paraId="077885E4" w14:textId="77777777" w:rsidR="006B4587" w:rsidRPr="00874D33" w:rsidRDefault="007A6A69" w:rsidP="009F6C65">
      <w:pPr>
        <w:pStyle w:val="BodyText"/>
        <w:numPr>
          <w:ilvl w:val="0"/>
          <w:numId w:val="3"/>
        </w:numPr>
        <w:tabs>
          <w:tab w:val="clear" w:pos="720"/>
        </w:tabs>
        <w:spacing w:after="240"/>
        <w:ind w:left="567" w:hanging="567"/>
        <w:jc w:val="both"/>
        <w:rPr>
          <w:b w:val="0"/>
          <w:szCs w:val="24"/>
          <w:lang w:val="en-AU"/>
        </w:rPr>
      </w:pPr>
      <w:bookmarkStart w:id="30" w:name="_Ref86202346"/>
      <w:r w:rsidRPr="00874D33">
        <w:rPr>
          <w:b w:val="0"/>
          <w:szCs w:val="24"/>
          <w:lang w:val="en-AU"/>
        </w:rPr>
        <w:t>A</w:t>
      </w:r>
      <w:r w:rsidR="006B4587" w:rsidRPr="00874D33">
        <w:rPr>
          <w:b w:val="0"/>
          <w:szCs w:val="24"/>
          <w:lang w:val="en-AU"/>
        </w:rPr>
        <w:t>n insurer must make arrangements that are necessary to enable its Appointed Auditor to undertake their functions as required by the Act</w:t>
      </w:r>
      <w:r w:rsidRPr="00874D33">
        <w:rPr>
          <w:rStyle w:val="FootnoteReference"/>
          <w:b w:val="0"/>
          <w:szCs w:val="24"/>
          <w:lang w:val="en-AU"/>
        </w:rPr>
        <w:footnoteReference w:id="4"/>
      </w:r>
      <w:r w:rsidR="006B4587" w:rsidRPr="00874D33">
        <w:rPr>
          <w:b w:val="0"/>
          <w:szCs w:val="24"/>
          <w:lang w:val="en-AU"/>
        </w:rPr>
        <w:t xml:space="preserve"> and prudential standards made under the Act. These arrangements include ensuring that an </w:t>
      </w:r>
      <w:r w:rsidR="006B4587" w:rsidRPr="00874D33">
        <w:rPr>
          <w:b w:val="0"/>
          <w:szCs w:val="24"/>
          <w:lang w:val="en-AU"/>
        </w:rPr>
        <w:lastRenderedPageBreak/>
        <w:t xml:space="preserve">insurer’s Appointed Auditor </w:t>
      </w:r>
      <w:r w:rsidR="00AB3620" w:rsidRPr="00874D33">
        <w:rPr>
          <w:b w:val="0"/>
          <w:szCs w:val="24"/>
          <w:lang w:val="en-AU"/>
        </w:rPr>
        <w:t>is</w:t>
      </w:r>
      <w:r w:rsidR="006B4587" w:rsidRPr="00874D33">
        <w:rPr>
          <w:b w:val="0"/>
          <w:szCs w:val="24"/>
          <w:lang w:val="en-AU"/>
        </w:rPr>
        <w:t xml:space="preserve"> fully informed of all </w:t>
      </w:r>
      <w:r w:rsidR="006B4587" w:rsidRPr="00874D33">
        <w:rPr>
          <w:szCs w:val="24"/>
          <w:lang w:val="en-AU"/>
        </w:rPr>
        <w:t>prudential requirements</w:t>
      </w:r>
      <w:r w:rsidR="006B4587" w:rsidRPr="00874D33">
        <w:rPr>
          <w:b w:val="0"/>
          <w:szCs w:val="24"/>
          <w:lang w:val="en-AU"/>
        </w:rPr>
        <w:t xml:space="preserve"> applicable to the insurer. These arrangements also include ensuring that an insurer’s Appointed Auditor </w:t>
      </w:r>
      <w:r w:rsidR="00AB3620" w:rsidRPr="00874D33">
        <w:rPr>
          <w:b w:val="0"/>
          <w:szCs w:val="24"/>
          <w:lang w:val="en-AU"/>
        </w:rPr>
        <w:t>is</w:t>
      </w:r>
      <w:r w:rsidR="006B4587" w:rsidRPr="00874D33">
        <w:rPr>
          <w:b w:val="0"/>
          <w:szCs w:val="24"/>
          <w:lang w:val="en-AU"/>
        </w:rPr>
        <w:t xml:space="preserve"> provided with any other information that:</w:t>
      </w:r>
    </w:p>
    <w:p w14:paraId="077885E5" w14:textId="77777777" w:rsidR="006B4587" w:rsidRPr="00874D33" w:rsidRDefault="006B4587" w:rsidP="009F6C65">
      <w:pPr>
        <w:pStyle w:val="BodyText"/>
        <w:numPr>
          <w:ilvl w:val="0"/>
          <w:numId w:val="18"/>
        </w:numPr>
        <w:spacing w:after="240"/>
        <w:jc w:val="both"/>
        <w:rPr>
          <w:b w:val="0"/>
          <w:szCs w:val="24"/>
          <w:lang w:val="en-AU"/>
        </w:rPr>
      </w:pPr>
      <w:r w:rsidRPr="00874D33">
        <w:rPr>
          <w:b w:val="0"/>
          <w:szCs w:val="24"/>
          <w:lang w:val="en-AU"/>
        </w:rPr>
        <w:t xml:space="preserve">APRA has provided to the insurer and may assist </w:t>
      </w:r>
      <w:r w:rsidR="00CC258A" w:rsidRPr="00874D33">
        <w:rPr>
          <w:b w:val="0"/>
          <w:szCs w:val="24"/>
          <w:lang w:val="en-AU"/>
        </w:rPr>
        <w:t xml:space="preserve">the </w:t>
      </w:r>
      <w:r w:rsidRPr="00874D33">
        <w:rPr>
          <w:b w:val="0"/>
          <w:szCs w:val="24"/>
          <w:lang w:val="en-AU"/>
        </w:rPr>
        <w:t>Appointed Auditor in performing their duties; and</w:t>
      </w:r>
    </w:p>
    <w:p w14:paraId="077885E6" w14:textId="77777777" w:rsidR="006B4587" w:rsidRPr="00874D33" w:rsidRDefault="006B4587" w:rsidP="009F6C65">
      <w:pPr>
        <w:pStyle w:val="BodyText"/>
        <w:numPr>
          <w:ilvl w:val="0"/>
          <w:numId w:val="18"/>
        </w:numPr>
        <w:spacing w:after="240"/>
        <w:jc w:val="both"/>
        <w:rPr>
          <w:b w:val="0"/>
          <w:szCs w:val="24"/>
          <w:lang w:val="en-AU"/>
        </w:rPr>
      </w:pPr>
      <w:r w:rsidRPr="00874D33">
        <w:rPr>
          <w:b w:val="0"/>
          <w:szCs w:val="24"/>
          <w:lang w:val="en-AU"/>
        </w:rPr>
        <w:t>has been requested by the Appointed Auditor in performing their duties.</w:t>
      </w:r>
      <w:bookmarkEnd w:id="30"/>
    </w:p>
    <w:p w14:paraId="077885E7" w14:textId="77777777" w:rsidR="006B4587" w:rsidRPr="00874D33" w:rsidRDefault="006B4587" w:rsidP="009F6C65">
      <w:pPr>
        <w:pStyle w:val="BodyText"/>
        <w:numPr>
          <w:ilvl w:val="0"/>
          <w:numId w:val="3"/>
        </w:numPr>
        <w:tabs>
          <w:tab w:val="clear" w:pos="720"/>
        </w:tabs>
        <w:spacing w:after="240"/>
        <w:ind w:left="567" w:hanging="567"/>
        <w:jc w:val="both"/>
        <w:rPr>
          <w:b w:val="0"/>
          <w:szCs w:val="24"/>
          <w:lang w:val="en-AU"/>
        </w:rPr>
      </w:pPr>
      <w:bookmarkStart w:id="31" w:name="_Ref92708030"/>
      <w:r w:rsidRPr="00874D33">
        <w:rPr>
          <w:b w:val="0"/>
          <w:szCs w:val="24"/>
          <w:lang w:val="en-AU"/>
        </w:rPr>
        <w:t xml:space="preserve">An insurer must ensure that its Appointed Auditor </w:t>
      </w:r>
      <w:r w:rsidR="00D92A0D" w:rsidRPr="00874D33">
        <w:rPr>
          <w:b w:val="0"/>
          <w:szCs w:val="24"/>
          <w:lang w:val="en-AU"/>
        </w:rPr>
        <w:t xml:space="preserve">has </w:t>
      </w:r>
      <w:r w:rsidRPr="00874D33">
        <w:rPr>
          <w:b w:val="0"/>
          <w:szCs w:val="24"/>
          <w:lang w:val="en-AU"/>
        </w:rPr>
        <w:t xml:space="preserve">access to all relevant data, information, </w:t>
      </w:r>
      <w:proofErr w:type="gramStart"/>
      <w:r w:rsidRPr="00874D33">
        <w:rPr>
          <w:b w:val="0"/>
          <w:szCs w:val="24"/>
          <w:lang w:val="en-AU"/>
        </w:rPr>
        <w:t>reports</w:t>
      </w:r>
      <w:proofErr w:type="gramEnd"/>
      <w:r w:rsidRPr="00874D33">
        <w:rPr>
          <w:b w:val="0"/>
          <w:szCs w:val="24"/>
          <w:lang w:val="en-AU"/>
        </w:rPr>
        <w:t xml:space="preserve"> and staff of the insurer (and must take all reasonable steps to ensure access to contractors of the insurer) that its Appointed Auditor reasonably believe</w:t>
      </w:r>
      <w:r w:rsidR="00CC258A" w:rsidRPr="00874D33">
        <w:rPr>
          <w:b w:val="0"/>
          <w:szCs w:val="24"/>
          <w:lang w:val="en-AU"/>
        </w:rPr>
        <w:t>s</w:t>
      </w:r>
      <w:r w:rsidRPr="00874D33">
        <w:rPr>
          <w:b w:val="0"/>
          <w:szCs w:val="24"/>
          <w:lang w:val="en-AU"/>
        </w:rPr>
        <w:t xml:space="preserve"> are necessary to fulfil their responsibilities. This will include access to the insurer’s </w:t>
      </w:r>
      <w:r w:rsidRPr="00874D33">
        <w:rPr>
          <w:szCs w:val="24"/>
          <w:lang w:val="en-AU"/>
        </w:rPr>
        <w:t>Board</w:t>
      </w:r>
      <w:r w:rsidRPr="00874D33">
        <w:rPr>
          <w:b w:val="0"/>
          <w:szCs w:val="24"/>
          <w:lang w:val="en-AU"/>
        </w:rPr>
        <w:t xml:space="preserve"> and </w:t>
      </w:r>
      <w:r w:rsidR="005D66E2" w:rsidRPr="00874D33">
        <w:rPr>
          <w:b w:val="0"/>
          <w:szCs w:val="24"/>
          <w:lang w:val="en-AU"/>
        </w:rPr>
        <w:t>B</w:t>
      </w:r>
      <w:r w:rsidR="00FE095C" w:rsidRPr="00874D33">
        <w:rPr>
          <w:b w:val="0"/>
          <w:szCs w:val="24"/>
          <w:lang w:val="en-AU"/>
        </w:rPr>
        <w:t>oard committees, if any</w:t>
      </w:r>
      <w:r w:rsidRPr="00874D33">
        <w:rPr>
          <w:b w:val="0"/>
          <w:szCs w:val="24"/>
          <w:lang w:val="en-AU"/>
        </w:rPr>
        <w:t>.</w:t>
      </w:r>
      <w:bookmarkEnd w:id="31"/>
    </w:p>
    <w:p w14:paraId="077885E8" w14:textId="77777777" w:rsidR="006B4587" w:rsidRPr="00874D33" w:rsidRDefault="006B4587" w:rsidP="009F6C65">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Under the Act, an insurer must submit to APRA all certificates and reports required to be prepared by its Appointed Auditor.</w:t>
      </w:r>
      <w:r w:rsidRPr="00874D33">
        <w:rPr>
          <w:rStyle w:val="FootnoteReference"/>
          <w:b w:val="0"/>
          <w:szCs w:val="24"/>
          <w:lang w:val="en-AU"/>
        </w:rPr>
        <w:footnoteReference w:id="5"/>
      </w:r>
      <w:r w:rsidRPr="00874D33">
        <w:rPr>
          <w:b w:val="0"/>
          <w:szCs w:val="24"/>
          <w:lang w:val="en-AU"/>
        </w:rPr>
        <w:t xml:space="preserve"> An insurer must submit to APRA:</w:t>
      </w:r>
    </w:p>
    <w:p w14:paraId="077885E9" w14:textId="77777777" w:rsidR="006B4587" w:rsidRPr="00874D33" w:rsidRDefault="006B4587" w:rsidP="009F6C65">
      <w:pPr>
        <w:pStyle w:val="BodyText"/>
        <w:numPr>
          <w:ilvl w:val="0"/>
          <w:numId w:val="16"/>
        </w:numPr>
        <w:spacing w:after="240"/>
        <w:jc w:val="both"/>
        <w:rPr>
          <w:b w:val="0"/>
          <w:szCs w:val="24"/>
          <w:lang w:val="en-AU"/>
        </w:rPr>
      </w:pPr>
      <w:r w:rsidRPr="00874D33">
        <w:rPr>
          <w:b w:val="0"/>
          <w:szCs w:val="24"/>
          <w:lang w:val="en-AU"/>
        </w:rPr>
        <w:t xml:space="preserve">certificates and reports, other than those relating to a special purpose review, on or before the day that the insurer’s </w:t>
      </w:r>
      <w:r w:rsidRPr="00874D33">
        <w:rPr>
          <w:szCs w:val="24"/>
          <w:lang w:val="en-AU"/>
        </w:rPr>
        <w:t>yearly statutory accounts</w:t>
      </w:r>
      <w:r w:rsidRPr="00874D33">
        <w:rPr>
          <w:b w:val="0"/>
          <w:szCs w:val="24"/>
          <w:lang w:val="en-AU"/>
        </w:rPr>
        <w:t xml:space="preserve"> are submitted in accordance with reporting standards made under the </w:t>
      </w:r>
      <w:r w:rsidRPr="00874D33">
        <w:rPr>
          <w:b w:val="0"/>
          <w:i/>
          <w:szCs w:val="24"/>
          <w:lang w:val="en-AU"/>
        </w:rPr>
        <w:t>Financial Sector (Collection of Data) Act 2001</w:t>
      </w:r>
      <w:r w:rsidRPr="00874D33">
        <w:rPr>
          <w:b w:val="0"/>
          <w:szCs w:val="24"/>
          <w:lang w:val="en-AU"/>
        </w:rPr>
        <w:t xml:space="preserve"> (Collection of Data Act);</w:t>
      </w:r>
      <w:r w:rsidRPr="00874D33">
        <w:rPr>
          <w:rStyle w:val="FootnoteReference"/>
          <w:b w:val="0"/>
          <w:szCs w:val="24"/>
          <w:lang w:val="en-AU"/>
        </w:rPr>
        <w:footnoteReference w:id="6"/>
      </w:r>
      <w:r w:rsidRPr="00874D33">
        <w:rPr>
          <w:b w:val="0"/>
          <w:szCs w:val="24"/>
          <w:lang w:val="en-AU"/>
        </w:rPr>
        <w:t xml:space="preserve"> and</w:t>
      </w:r>
    </w:p>
    <w:p w14:paraId="077885EA" w14:textId="2DAC3B28" w:rsidR="006B4587" w:rsidRPr="00874D33" w:rsidRDefault="006B4587" w:rsidP="009F6C65">
      <w:pPr>
        <w:pStyle w:val="BodyText"/>
        <w:numPr>
          <w:ilvl w:val="0"/>
          <w:numId w:val="16"/>
        </w:numPr>
        <w:spacing w:after="240"/>
        <w:jc w:val="both"/>
        <w:rPr>
          <w:b w:val="0"/>
          <w:szCs w:val="24"/>
          <w:lang w:val="en-AU"/>
        </w:rPr>
      </w:pPr>
      <w:r w:rsidRPr="00874D33">
        <w:rPr>
          <w:b w:val="0"/>
          <w:szCs w:val="24"/>
          <w:lang w:val="en-AU"/>
        </w:rPr>
        <w:t>certificates and reports relating to a special purpose review with</w:t>
      </w:r>
      <w:r w:rsidR="00187512" w:rsidRPr="00874D33">
        <w:rPr>
          <w:b w:val="0"/>
          <w:szCs w:val="24"/>
          <w:lang w:val="en-AU"/>
        </w:rPr>
        <w:t>in</w:t>
      </w:r>
      <w:r w:rsidRPr="00874D33">
        <w:rPr>
          <w:b w:val="0"/>
          <w:szCs w:val="24"/>
          <w:lang w:val="en-AU"/>
        </w:rPr>
        <w:t xml:space="preserve"> the time specified in paragraph </w:t>
      </w:r>
      <w:r w:rsidR="00FF105D" w:rsidRPr="00874D33">
        <w:rPr>
          <w:b w:val="0"/>
          <w:szCs w:val="24"/>
          <w:lang w:val="en-AU"/>
        </w:rPr>
        <w:fldChar w:fldCharType="begin"/>
      </w:r>
      <w:r w:rsidR="00FF105D" w:rsidRPr="00874D33">
        <w:rPr>
          <w:b w:val="0"/>
          <w:szCs w:val="24"/>
          <w:lang w:val="en-AU"/>
        </w:rPr>
        <w:instrText xml:space="preserve"> REF _Ref317523933 \r \h </w:instrText>
      </w:r>
      <w:r w:rsidR="00B91852" w:rsidRPr="00874D33">
        <w:rPr>
          <w:b w:val="0"/>
          <w:szCs w:val="24"/>
          <w:lang w:val="en-AU"/>
        </w:rPr>
        <w:instrText xml:space="preserve"> \* MERGEFORMAT </w:instrText>
      </w:r>
      <w:r w:rsidR="00FF105D" w:rsidRPr="00874D33">
        <w:rPr>
          <w:b w:val="0"/>
          <w:szCs w:val="24"/>
          <w:lang w:val="en-AU"/>
        </w:rPr>
      </w:r>
      <w:r w:rsidR="00FF105D" w:rsidRPr="00874D33">
        <w:rPr>
          <w:b w:val="0"/>
          <w:szCs w:val="24"/>
          <w:lang w:val="en-AU"/>
        </w:rPr>
        <w:fldChar w:fldCharType="separate"/>
      </w:r>
      <w:r w:rsidR="00D54771" w:rsidRPr="00874D33">
        <w:rPr>
          <w:b w:val="0"/>
          <w:szCs w:val="24"/>
          <w:lang w:val="en-AU"/>
        </w:rPr>
        <w:t>21</w:t>
      </w:r>
      <w:r w:rsidR="00FF105D" w:rsidRPr="00874D33">
        <w:rPr>
          <w:b w:val="0"/>
          <w:szCs w:val="24"/>
          <w:lang w:val="en-AU"/>
        </w:rPr>
        <w:fldChar w:fldCharType="end"/>
      </w:r>
      <w:r w:rsidRPr="00874D33">
        <w:rPr>
          <w:b w:val="0"/>
          <w:szCs w:val="24"/>
          <w:lang w:val="en-AU"/>
        </w:rPr>
        <w:t>.</w:t>
      </w:r>
    </w:p>
    <w:p w14:paraId="077885EB" w14:textId="77777777" w:rsidR="002A360A" w:rsidRPr="00874D33" w:rsidRDefault="00E0221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An insurer must provide to APRA a</w:t>
      </w:r>
      <w:r w:rsidR="00995ED3" w:rsidRPr="00874D33">
        <w:rPr>
          <w:b w:val="0"/>
          <w:szCs w:val="24"/>
          <w:lang w:val="en-AU"/>
        </w:rPr>
        <w:t>n annual</w:t>
      </w:r>
      <w:r w:rsidRPr="00874D33">
        <w:rPr>
          <w:b w:val="0"/>
          <w:szCs w:val="24"/>
          <w:lang w:val="en-AU"/>
        </w:rPr>
        <w:t xml:space="preserve"> declaration on financial information</w:t>
      </w:r>
      <w:r w:rsidR="0005706A" w:rsidRPr="00874D33">
        <w:rPr>
          <w:b w:val="0"/>
          <w:szCs w:val="24"/>
          <w:lang w:val="en-AU"/>
        </w:rPr>
        <w:t xml:space="preserve"> (Financial Information Declaration)</w:t>
      </w:r>
      <w:r w:rsidRPr="00874D33">
        <w:rPr>
          <w:b w:val="0"/>
          <w:szCs w:val="24"/>
          <w:lang w:val="en-AU"/>
        </w:rPr>
        <w:t xml:space="preserve"> as set out in Attachment D</w:t>
      </w:r>
      <w:r w:rsidR="005479BB" w:rsidRPr="00874D33">
        <w:rPr>
          <w:b w:val="0"/>
          <w:szCs w:val="24"/>
          <w:lang w:val="en-AU"/>
        </w:rPr>
        <w:t>.</w:t>
      </w:r>
      <w:r w:rsidR="002A360A" w:rsidRPr="00874D33">
        <w:rPr>
          <w:b w:val="0"/>
          <w:szCs w:val="24"/>
          <w:lang w:val="en-AU"/>
        </w:rPr>
        <w:t xml:space="preserve"> </w:t>
      </w:r>
    </w:p>
    <w:p w14:paraId="077885EC"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32" w:name="_Toc86203567"/>
      <w:bookmarkStart w:id="33" w:name="_Toc86204863"/>
      <w:bookmarkStart w:id="34" w:name="_Toc264640507"/>
      <w:bookmarkStart w:id="35" w:name="_Toc171678071"/>
      <w:r w:rsidRPr="00874D33">
        <w:rPr>
          <w:rFonts w:ascii="Times New Roman" w:hAnsi="Times New Roman" w:cs="Times New Roman"/>
          <w:snapToGrid w:val="0"/>
          <w:sz w:val="24"/>
          <w:szCs w:val="24"/>
          <w:lang w:eastAsia="en-US"/>
        </w:rPr>
        <w:t>Roles and responsibilities of the Appointed Auditor</w:t>
      </w:r>
      <w:bookmarkEnd w:id="32"/>
      <w:bookmarkEnd w:id="33"/>
      <w:bookmarkEnd w:id="34"/>
      <w:bookmarkEnd w:id="35"/>
    </w:p>
    <w:p w14:paraId="077885ED"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In addition to and without derogation from the role of an Appointed Auditor as provided for under the Act,</w:t>
      </w:r>
      <w:r w:rsidRPr="00874D33">
        <w:rPr>
          <w:rStyle w:val="FootnoteReference"/>
          <w:b w:val="0"/>
          <w:szCs w:val="24"/>
          <w:lang w:val="en-AU"/>
        </w:rPr>
        <w:footnoteReference w:id="7"/>
      </w:r>
      <w:r w:rsidRPr="00874D33">
        <w:rPr>
          <w:b w:val="0"/>
          <w:szCs w:val="24"/>
          <w:lang w:val="en-AU"/>
        </w:rPr>
        <w:t xml:space="preserve"> an Appointed Auditor’s primary roles are to provide:</w:t>
      </w:r>
    </w:p>
    <w:p w14:paraId="077885EE" w14:textId="77777777" w:rsidR="006B4587" w:rsidRPr="00874D33" w:rsidRDefault="006B4587" w:rsidP="009F6C65">
      <w:pPr>
        <w:pStyle w:val="BodyText"/>
        <w:numPr>
          <w:ilvl w:val="0"/>
          <w:numId w:val="6"/>
        </w:numPr>
        <w:spacing w:after="240"/>
        <w:jc w:val="both"/>
        <w:rPr>
          <w:b w:val="0"/>
          <w:szCs w:val="24"/>
          <w:lang w:val="en-AU"/>
        </w:rPr>
      </w:pPr>
      <w:r w:rsidRPr="00874D33">
        <w:rPr>
          <w:b w:val="0"/>
          <w:szCs w:val="24"/>
          <w:lang w:val="en-AU"/>
        </w:rPr>
        <w:t>an independent and objective view on the truth and fairness of the insurer’s financial statements; and</w:t>
      </w:r>
    </w:p>
    <w:p w14:paraId="077885EF" w14:textId="77777777" w:rsidR="006B4587" w:rsidRPr="00874D33" w:rsidRDefault="006B4587" w:rsidP="009F6C65">
      <w:pPr>
        <w:pStyle w:val="BodyText"/>
        <w:numPr>
          <w:ilvl w:val="0"/>
          <w:numId w:val="6"/>
        </w:numPr>
        <w:spacing w:after="240"/>
        <w:jc w:val="both"/>
        <w:rPr>
          <w:b w:val="0"/>
          <w:szCs w:val="24"/>
          <w:lang w:val="en-AU"/>
        </w:rPr>
      </w:pPr>
      <w:r w:rsidRPr="00874D33">
        <w:rPr>
          <w:b w:val="0"/>
          <w:szCs w:val="24"/>
          <w:lang w:val="en-AU"/>
        </w:rPr>
        <w:t xml:space="preserve">an assessment of the insurer’s systems, procedures and controls used to address compliance with prudential requirements and for the purposes of producing reliable financial data.  </w:t>
      </w:r>
    </w:p>
    <w:p w14:paraId="077885F0" w14:textId="77777777" w:rsidR="006B4587" w:rsidRPr="00874D33" w:rsidRDefault="006B4587" w:rsidP="006B4587">
      <w:pPr>
        <w:pStyle w:val="BodyText"/>
        <w:tabs>
          <w:tab w:val="clear" w:pos="567"/>
        </w:tabs>
        <w:spacing w:after="240"/>
        <w:ind w:left="540" w:firstLine="0"/>
        <w:jc w:val="both"/>
        <w:rPr>
          <w:b w:val="0"/>
          <w:szCs w:val="24"/>
          <w:lang w:val="en-AU"/>
        </w:rPr>
      </w:pPr>
      <w:r w:rsidRPr="00874D33">
        <w:rPr>
          <w:b w:val="0"/>
          <w:szCs w:val="24"/>
          <w:lang w:val="en-AU"/>
        </w:rPr>
        <w:t xml:space="preserve">An insurer may also seek the advice of its Appointed Auditor in relation to other matters where the insurer considers this to be appropriate. </w:t>
      </w:r>
    </w:p>
    <w:p w14:paraId="077885F1"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36" w:name="_Ref86201115"/>
      <w:bookmarkStart w:id="37" w:name="_Ref92624292"/>
      <w:r w:rsidRPr="00874D33">
        <w:rPr>
          <w:b w:val="0"/>
          <w:szCs w:val="24"/>
          <w:lang w:val="en-AU"/>
        </w:rPr>
        <w:t>The Appointed Auditor must:</w:t>
      </w:r>
    </w:p>
    <w:p w14:paraId="077885F2" w14:textId="77777777" w:rsidR="006B4587" w:rsidRPr="00874D33" w:rsidRDefault="006B4587" w:rsidP="009F6C65">
      <w:pPr>
        <w:pStyle w:val="BodyText"/>
        <w:numPr>
          <w:ilvl w:val="0"/>
          <w:numId w:val="7"/>
        </w:numPr>
        <w:spacing w:after="240"/>
        <w:jc w:val="both"/>
        <w:rPr>
          <w:b w:val="0"/>
          <w:szCs w:val="24"/>
          <w:lang w:val="en-AU"/>
        </w:rPr>
      </w:pPr>
      <w:r w:rsidRPr="00874D33">
        <w:rPr>
          <w:b w:val="0"/>
          <w:szCs w:val="24"/>
          <w:lang w:val="en-AU"/>
        </w:rPr>
        <w:lastRenderedPageBreak/>
        <w:t>audit the yearly statutory accounts of the insurer; and</w:t>
      </w:r>
    </w:p>
    <w:p w14:paraId="077885F3" w14:textId="4462A97B" w:rsidR="006B4587" w:rsidRPr="00874D33" w:rsidRDefault="006B4587" w:rsidP="009F6C65">
      <w:pPr>
        <w:pStyle w:val="BodyText"/>
        <w:numPr>
          <w:ilvl w:val="0"/>
          <w:numId w:val="7"/>
        </w:numPr>
        <w:spacing w:after="240"/>
        <w:jc w:val="both"/>
        <w:rPr>
          <w:b w:val="0"/>
          <w:szCs w:val="24"/>
          <w:lang w:val="en-AU"/>
        </w:rPr>
      </w:pPr>
      <w:r w:rsidRPr="00874D33">
        <w:rPr>
          <w:b w:val="0"/>
          <w:szCs w:val="24"/>
          <w:lang w:val="en-AU"/>
        </w:rPr>
        <w:t>provide a certificate to the insurer relating to the yearly statutory accounts.</w:t>
      </w:r>
      <w:r w:rsidRPr="00874D33">
        <w:rPr>
          <w:rStyle w:val="FootnoteReference"/>
          <w:b w:val="0"/>
          <w:szCs w:val="24"/>
          <w:lang w:val="en-AU"/>
        </w:rPr>
        <w:footnoteReference w:id="8"/>
      </w:r>
      <w:r w:rsidR="00CC258A" w:rsidRPr="00874D33">
        <w:rPr>
          <w:b w:val="0"/>
          <w:szCs w:val="24"/>
          <w:lang w:val="en-AU"/>
        </w:rPr>
        <w:t xml:space="preserve"> </w:t>
      </w:r>
      <w:r w:rsidRPr="00874D33">
        <w:rPr>
          <w:b w:val="0"/>
          <w:szCs w:val="24"/>
          <w:lang w:val="en-AU"/>
        </w:rPr>
        <w:t xml:space="preserve">The certificate must fulfil the requirements set out in paragraphs </w:t>
      </w:r>
      <w:r w:rsidR="00FF105D" w:rsidRPr="00874D33">
        <w:rPr>
          <w:b w:val="0"/>
          <w:szCs w:val="24"/>
          <w:lang w:val="en-AU"/>
        </w:rPr>
        <w:fldChar w:fldCharType="begin"/>
      </w:r>
      <w:r w:rsidR="00FF105D" w:rsidRPr="00874D33">
        <w:rPr>
          <w:b w:val="0"/>
          <w:szCs w:val="24"/>
          <w:lang w:val="en-AU"/>
        </w:rPr>
        <w:instrText xml:space="preserve"> REF _Ref317523186 \r \h </w:instrText>
      </w:r>
      <w:r w:rsidR="00B91852" w:rsidRPr="00874D33">
        <w:rPr>
          <w:b w:val="0"/>
          <w:szCs w:val="24"/>
          <w:lang w:val="en-AU"/>
        </w:rPr>
        <w:instrText xml:space="preserve"> \* MERGEFORMAT </w:instrText>
      </w:r>
      <w:r w:rsidR="00FF105D" w:rsidRPr="00874D33">
        <w:rPr>
          <w:b w:val="0"/>
          <w:szCs w:val="24"/>
          <w:lang w:val="en-AU"/>
        </w:rPr>
      </w:r>
      <w:r w:rsidR="00FF105D" w:rsidRPr="00874D33">
        <w:rPr>
          <w:b w:val="0"/>
          <w:szCs w:val="24"/>
          <w:lang w:val="en-AU"/>
        </w:rPr>
        <w:fldChar w:fldCharType="separate"/>
      </w:r>
      <w:r w:rsidR="00D54771" w:rsidRPr="00874D33">
        <w:rPr>
          <w:b w:val="0"/>
          <w:szCs w:val="24"/>
          <w:lang w:val="en-AU"/>
        </w:rPr>
        <w:t>29</w:t>
      </w:r>
      <w:r w:rsidR="00FF105D" w:rsidRPr="00874D33">
        <w:rPr>
          <w:b w:val="0"/>
          <w:szCs w:val="24"/>
          <w:lang w:val="en-AU"/>
        </w:rPr>
        <w:fldChar w:fldCharType="end"/>
      </w:r>
      <w:r w:rsidRPr="00874D33">
        <w:rPr>
          <w:b w:val="0"/>
          <w:szCs w:val="24"/>
          <w:lang w:val="en-AU"/>
        </w:rPr>
        <w:t xml:space="preserve"> to </w:t>
      </w:r>
      <w:r w:rsidR="00FF105D" w:rsidRPr="00874D33">
        <w:rPr>
          <w:b w:val="0"/>
          <w:szCs w:val="24"/>
          <w:lang w:val="en-AU"/>
        </w:rPr>
        <w:fldChar w:fldCharType="begin"/>
      </w:r>
      <w:r w:rsidR="00FF105D" w:rsidRPr="00874D33">
        <w:rPr>
          <w:b w:val="0"/>
          <w:szCs w:val="24"/>
          <w:lang w:val="en-AU"/>
        </w:rPr>
        <w:instrText xml:space="preserve"> REF _Ref93377856 \r \h </w:instrText>
      </w:r>
      <w:r w:rsidR="00B91852" w:rsidRPr="00874D33">
        <w:rPr>
          <w:b w:val="0"/>
          <w:szCs w:val="24"/>
          <w:lang w:val="en-AU"/>
        </w:rPr>
        <w:instrText xml:space="preserve"> \* MERGEFORMAT </w:instrText>
      </w:r>
      <w:r w:rsidR="00FF105D" w:rsidRPr="00874D33">
        <w:rPr>
          <w:b w:val="0"/>
          <w:szCs w:val="24"/>
          <w:lang w:val="en-AU"/>
        </w:rPr>
      </w:r>
      <w:r w:rsidR="00FF105D" w:rsidRPr="00874D33">
        <w:rPr>
          <w:b w:val="0"/>
          <w:szCs w:val="24"/>
          <w:lang w:val="en-AU"/>
        </w:rPr>
        <w:fldChar w:fldCharType="separate"/>
      </w:r>
      <w:r w:rsidR="00D54771" w:rsidRPr="00874D33">
        <w:rPr>
          <w:b w:val="0"/>
          <w:szCs w:val="24"/>
          <w:lang w:val="en-AU"/>
        </w:rPr>
        <w:t>33</w:t>
      </w:r>
      <w:r w:rsidR="00FF105D" w:rsidRPr="00874D33">
        <w:rPr>
          <w:b w:val="0"/>
          <w:szCs w:val="24"/>
          <w:lang w:val="en-AU"/>
        </w:rPr>
        <w:fldChar w:fldCharType="end"/>
      </w:r>
      <w:r w:rsidRPr="00874D33">
        <w:rPr>
          <w:b w:val="0"/>
          <w:szCs w:val="24"/>
          <w:lang w:val="en-AU"/>
        </w:rPr>
        <w:t>.</w:t>
      </w:r>
      <w:r w:rsidRPr="00874D33">
        <w:rPr>
          <w:rStyle w:val="FootnoteReference"/>
          <w:b w:val="0"/>
          <w:szCs w:val="24"/>
          <w:lang w:val="en-AU"/>
        </w:rPr>
        <w:footnoteReference w:id="9"/>
      </w:r>
      <w:bookmarkEnd w:id="36"/>
      <w:bookmarkEnd w:id="37"/>
    </w:p>
    <w:p w14:paraId="077885F4"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38" w:name="_Ref86201135"/>
      <w:bookmarkStart w:id="39" w:name="_Ref92624337"/>
      <w:r w:rsidRPr="00874D33">
        <w:rPr>
          <w:b w:val="0"/>
          <w:szCs w:val="24"/>
          <w:lang w:val="en-AU"/>
        </w:rPr>
        <w:t>The Appointed Auditor must:</w:t>
      </w:r>
    </w:p>
    <w:p w14:paraId="077885F5" w14:textId="77777777" w:rsidR="006B4587" w:rsidRPr="00874D33" w:rsidRDefault="006B4587" w:rsidP="009F6C65">
      <w:pPr>
        <w:pStyle w:val="BodyText"/>
        <w:numPr>
          <w:ilvl w:val="0"/>
          <w:numId w:val="8"/>
        </w:numPr>
        <w:spacing w:after="240"/>
        <w:jc w:val="both"/>
        <w:rPr>
          <w:b w:val="0"/>
          <w:szCs w:val="24"/>
          <w:lang w:val="en-AU"/>
        </w:rPr>
      </w:pPr>
      <w:r w:rsidRPr="00874D33">
        <w:rPr>
          <w:b w:val="0"/>
          <w:szCs w:val="24"/>
          <w:lang w:val="en-AU"/>
        </w:rPr>
        <w:t xml:space="preserve">on an annual basis, review and test the insurer’s systems, processes, and controls designed to: </w:t>
      </w:r>
    </w:p>
    <w:p w14:paraId="077885F6" w14:textId="77777777" w:rsidR="006B4587" w:rsidRPr="00874D33" w:rsidRDefault="006B4587" w:rsidP="009F6C65">
      <w:pPr>
        <w:numPr>
          <w:ilvl w:val="1"/>
          <w:numId w:val="8"/>
        </w:numPr>
        <w:spacing w:after="240"/>
        <w:rPr>
          <w:szCs w:val="24"/>
        </w:rPr>
      </w:pPr>
      <w:r w:rsidRPr="00874D33">
        <w:rPr>
          <w:szCs w:val="24"/>
        </w:rPr>
        <w:t>address compliance with all prudential requirements; and</w:t>
      </w:r>
    </w:p>
    <w:p w14:paraId="077885F7" w14:textId="77777777" w:rsidR="006B4587" w:rsidRPr="00874D33" w:rsidRDefault="006B4587" w:rsidP="009F6C65">
      <w:pPr>
        <w:pStyle w:val="BodyText"/>
        <w:numPr>
          <w:ilvl w:val="1"/>
          <w:numId w:val="8"/>
        </w:numPr>
        <w:spacing w:after="240"/>
        <w:jc w:val="both"/>
        <w:rPr>
          <w:b w:val="0"/>
          <w:szCs w:val="24"/>
          <w:lang w:val="en-AU"/>
        </w:rPr>
      </w:pPr>
      <w:r w:rsidRPr="00874D33">
        <w:rPr>
          <w:b w:val="0"/>
          <w:szCs w:val="24"/>
          <w:lang w:val="en-AU"/>
        </w:rPr>
        <w:t>enable the insurer to report reliable financial information to APRA; and</w:t>
      </w:r>
    </w:p>
    <w:p w14:paraId="077885F8" w14:textId="77777777" w:rsidR="006B4587" w:rsidRPr="00874D33" w:rsidRDefault="006B4587" w:rsidP="009F6C65">
      <w:pPr>
        <w:pStyle w:val="BodyText"/>
        <w:numPr>
          <w:ilvl w:val="0"/>
          <w:numId w:val="8"/>
        </w:numPr>
        <w:spacing w:after="240"/>
        <w:jc w:val="both"/>
        <w:rPr>
          <w:b w:val="0"/>
          <w:szCs w:val="24"/>
          <w:lang w:val="en-AU"/>
        </w:rPr>
      </w:pPr>
      <w:r w:rsidRPr="00874D33">
        <w:rPr>
          <w:b w:val="0"/>
          <w:szCs w:val="24"/>
          <w:lang w:val="en-AU"/>
        </w:rPr>
        <w:t xml:space="preserve">perform such other work as necessary to fulfil the Appointed Auditor’s responsibilities under this Prudential Standard.  </w:t>
      </w:r>
    </w:p>
    <w:p w14:paraId="077885F9" w14:textId="36AC5EE8"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The Appointed Auditor must provide a report to the insurer relating to the findings of this review.</w:t>
      </w:r>
      <w:r w:rsidRPr="00874D33">
        <w:rPr>
          <w:rStyle w:val="FootnoteReference"/>
          <w:b w:val="0"/>
          <w:szCs w:val="24"/>
          <w:lang w:val="en-AU"/>
        </w:rPr>
        <w:footnoteReference w:id="10"/>
      </w:r>
      <w:r w:rsidRPr="00874D33">
        <w:rPr>
          <w:b w:val="0"/>
          <w:szCs w:val="24"/>
          <w:lang w:val="en-AU"/>
        </w:rPr>
        <w:t xml:space="preserve"> The report must meet the requirements set out in paragraphs </w:t>
      </w:r>
      <w:r w:rsidR="008B4D55" w:rsidRPr="00874D33">
        <w:rPr>
          <w:b w:val="0"/>
          <w:szCs w:val="24"/>
          <w:lang w:val="en-AU"/>
        </w:rPr>
        <w:fldChar w:fldCharType="begin"/>
      </w:r>
      <w:r w:rsidR="008B4D55" w:rsidRPr="00874D33">
        <w:rPr>
          <w:b w:val="0"/>
          <w:szCs w:val="24"/>
          <w:lang w:val="en-AU"/>
        </w:rPr>
        <w:instrText xml:space="preserve"> REF _Ref317523250 \r \h </w:instrText>
      </w:r>
      <w:r w:rsidR="00B91852" w:rsidRPr="00874D33">
        <w:rPr>
          <w:b w:val="0"/>
          <w:szCs w:val="24"/>
          <w:lang w:val="en-AU"/>
        </w:rPr>
        <w:instrText xml:space="preserve"> \* MERGEFORMAT </w:instrText>
      </w:r>
      <w:r w:rsidR="008B4D55" w:rsidRPr="00874D33">
        <w:rPr>
          <w:b w:val="0"/>
          <w:szCs w:val="24"/>
          <w:lang w:val="en-AU"/>
        </w:rPr>
      </w:r>
      <w:r w:rsidR="008B4D55" w:rsidRPr="00874D33">
        <w:rPr>
          <w:b w:val="0"/>
          <w:szCs w:val="24"/>
          <w:lang w:val="en-AU"/>
        </w:rPr>
        <w:fldChar w:fldCharType="separate"/>
      </w:r>
      <w:r w:rsidR="00D54771" w:rsidRPr="00874D33">
        <w:rPr>
          <w:b w:val="0"/>
          <w:szCs w:val="24"/>
          <w:lang w:val="en-AU"/>
        </w:rPr>
        <w:t>34</w:t>
      </w:r>
      <w:r w:rsidR="008B4D55" w:rsidRPr="00874D33">
        <w:rPr>
          <w:b w:val="0"/>
          <w:szCs w:val="24"/>
          <w:lang w:val="en-AU"/>
        </w:rPr>
        <w:fldChar w:fldCharType="end"/>
      </w:r>
      <w:r w:rsidRPr="00874D33">
        <w:rPr>
          <w:b w:val="0"/>
          <w:szCs w:val="24"/>
          <w:lang w:val="en-AU"/>
        </w:rPr>
        <w:t xml:space="preserve"> to </w:t>
      </w:r>
      <w:r w:rsidR="008B4D55" w:rsidRPr="00874D33">
        <w:rPr>
          <w:b w:val="0"/>
          <w:szCs w:val="24"/>
          <w:lang w:val="en-AU"/>
        </w:rPr>
        <w:fldChar w:fldCharType="begin"/>
      </w:r>
      <w:r w:rsidR="008B4D55" w:rsidRPr="00874D33">
        <w:rPr>
          <w:b w:val="0"/>
          <w:szCs w:val="24"/>
          <w:lang w:val="en-AU"/>
        </w:rPr>
        <w:instrText xml:space="preserve"> REF _Ref86201184 \r \h </w:instrText>
      </w:r>
      <w:r w:rsidR="00B91852" w:rsidRPr="00874D33">
        <w:rPr>
          <w:b w:val="0"/>
          <w:szCs w:val="24"/>
          <w:lang w:val="en-AU"/>
        </w:rPr>
        <w:instrText xml:space="preserve"> \* MERGEFORMAT </w:instrText>
      </w:r>
      <w:r w:rsidR="008B4D55" w:rsidRPr="00874D33">
        <w:rPr>
          <w:b w:val="0"/>
          <w:szCs w:val="24"/>
          <w:lang w:val="en-AU"/>
        </w:rPr>
      </w:r>
      <w:r w:rsidR="008B4D55" w:rsidRPr="00874D33">
        <w:rPr>
          <w:b w:val="0"/>
          <w:szCs w:val="24"/>
          <w:lang w:val="en-AU"/>
        </w:rPr>
        <w:fldChar w:fldCharType="separate"/>
      </w:r>
      <w:r w:rsidR="00D54771" w:rsidRPr="00874D33">
        <w:rPr>
          <w:b w:val="0"/>
          <w:szCs w:val="24"/>
          <w:lang w:val="en-AU"/>
        </w:rPr>
        <w:t>36</w:t>
      </w:r>
      <w:r w:rsidR="008B4D55" w:rsidRPr="00874D33">
        <w:rPr>
          <w:b w:val="0"/>
          <w:szCs w:val="24"/>
          <w:lang w:val="en-AU"/>
        </w:rPr>
        <w:fldChar w:fldCharType="end"/>
      </w:r>
      <w:r w:rsidRPr="00874D33">
        <w:rPr>
          <w:b w:val="0"/>
          <w:szCs w:val="24"/>
          <w:lang w:val="en-AU"/>
        </w:rPr>
        <w:t>.</w:t>
      </w:r>
      <w:bookmarkEnd w:id="38"/>
      <w:bookmarkEnd w:id="39"/>
      <w:r w:rsidRPr="00874D33">
        <w:rPr>
          <w:rStyle w:val="FootnoteReference"/>
          <w:b w:val="0"/>
          <w:szCs w:val="24"/>
          <w:lang w:val="en-AU"/>
        </w:rPr>
        <w:footnoteReference w:id="11"/>
      </w:r>
    </w:p>
    <w:p w14:paraId="077885FA"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40" w:name="_Ref92679235"/>
      <w:bookmarkStart w:id="41" w:name="_Ref317523370"/>
      <w:r w:rsidRPr="00874D33">
        <w:rPr>
          <w:b w:val="0"/>
          <w:szCs w:val="24"/>
          <w:lang w:val="en-AU"/>
        </w:rPr>
        <w:t>The Appointed Auditor must provide the certificate and the report to the insurer within such time as to enable the insurer to provide the certificate and the report to APRA on or before the day that the insurer’s yearly statutory accounts are required to be given to APRA in accordance with reporting standards made under the Collection of Data Act.</w:t>
      </w:r>
      <w:bookmarkEnd w:id="40"/>
      <w:r w:rsidRPr="00874D33">
        <w:rPr>
          <w:rStyle w:val="FootnoteReference"/>
          <w:b w:val="0"/>
          <w:szCs w:val="24"/>
          <w:lang w:val="en-AU"/>
        </w:rPr>
        <w:footnoteReference w:id="12"/>
      </w:r>
      <w:bookmarkEnd w:id="41"/>
    </w:p>
    <w:p w14:paraId="077885FB"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42" w:name="_Toc264640510"/>
      <w:bookmarkStart w:id="43" w:name="_Toc171678072"/>
      <w:bookmarkStart w:id="44" w:name="_Toc86203569"/>
      <w:bookmarkStart w:id="45" w:name="_Toc86204865"/>
      <w:r w:rsidRPr="00874D33">
        <w:rPr>
          <w:rFonts w:ascii="Times New Roman" w:hAnsi="Times New Roman" w:cs="Times New Roman"/>
          <w:snapToGrid w:val="0"/>
          <w:sz w:val="24"/>
          <w:szCs w:val="24"/>
          <w:lang w:eastAsia="en-US"/>
        </w:rPr>
        <w:t>Special purpose review</w:t>
      </w:r>
      <w:bookmarkEnd w:id="42"/>
      <w:bookmarkEnd w:id="43"/>
    </w:p>
    <w:p w14:paraId="077885FC"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46" w:name="_Ref317523925"/>
      <w:r w:rsidRPr="00874D33">
        <w:rPr>
          <w:b w:val="0"/>
          <w:szCs w:val="24"/>
          <w:lang w:val="en-AU"/>
        </w:rPr>
        <w:t>When APRA specifies in writing, an Appointed Auditor must:</w:t>
      </w:r>
      <w:bookmarkEnd w:id="46"/>
    </w:p>
    <w:p w14:paraId="077885FD" w14:textId="77777777" w:rsidR="006B4587" w:rsidRPr="00874D33" w:rsidRDefault="006B4587" w:rsidP="009F6C65">
      <w:pPr>
        <w:pStyle w:val="BodyText"/>
        <w:numPr>
          <w:ilvl w:val="0"/>
          <w:numId w:val="17"/>
        </w:numPr>
        <w:spacing w:after="240"/>
        <w:jc w:val="both"/>
        <w:rPr>
          <w:b w:val="0"/>
          <w:szCs w:val="24"/>
          <w:lang w:val="en-AU"/>
        </w:rPr>
      </w:pPr>
      <w:r w:rsidRPr="00874D33">
        <w:rPr>
          <w:b w:val="0"/>
          <w:szCs w:val="24"/>
          <w:lang w:val="en-AU"/>
        </w:rPr>
        <w:t>undertake a special purpose review of matters specified by APRA relating to the insurer’s operations, risk management or financial affairs; and</w:t>
      </w:r>
    </w:p>
    <w:p w14:paraId="077885FE" w14:textId="77777777" w:rsidR="006B4587" w:rsidRPr="00874D33" w:rsidRDefault="006B4587" w:rsidP="009F6C65">
      <w:pPr>
        <w:pStyle w:val="BodyText"/>
        <w:numPr>
          <w:ilvl w:val="0"/>
          <w:numId w:val="17"/>
        </w:numPr>
        <w:spacing w:after="240"/>
        <w:jc w:val="both"/>
        <w:rPr>
          <w:b w:val="0"/>
          <w:szCs w:val="24"/>
          <w:lang w:val="en-AU"/>
        </w:rPr>
      </w:pPr>
      <w:r w:rsidRPr="00874D33">
        <w:rPr>
          <w:b w:val="0"/>
          <w:szCs w:val="24"/>
          <w:lang w:val="en-AU"/>
        </w:rPr>
        <w:t>prepare a report in respect of that review.</w:t>
      </w:r>
      <w:r w:rsidRPr="00874D33">
        <w:rPr>
          <w:rStyle w:val="FootnoteReference"/>
          <w:b w:val="0"/>
          <w:szCs w:val="24"/>
          <w:lang w:val="en-AU"/>
        </w:rPr>
        <w:footnoteReference w:id="13"/>
      </w:r>
    </w:p>
    <w:p w14:paraId="077885FF"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The review must be completed in accordance with any relevant professional standards and guidance notes (as appropriate to the nature of the special purpose review), to the extent that they are not inconsistent with the requirements of this Prudential Standard. Where APRA considers, having regard to the nature of the insurer’s operations and the purpose of the special purpose review, that the review should not be completed in accordance with those professional standards and guidance notes, APRA may advise the insurer in writing that an alternative standard must be used.</w:t>
      </w:r>
    </w:p>
    <w:p w14:paraId="07788600"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47" w:name="_Ref317523933"/>
      <w:r w:rsidRPr="00874D33">
        <w:rPr>
          <w:b w:val="0"/>
          <w:szCs w:val="24"/>
          <w:lang w:val="en-AU"/>
        </w:rPr>
        <w:lastRenderedPageBreak/>
        <w:t>The cost of a special purpose review will be borne by the insurer. The Appointed Auditor must submit the report to APRA and the insurer simultaneously within three months of the review being commissioned</w:t>
      </w:r>
      <w:r w:rsidR="00C135AC" w:rsidRPr="00874D33">
        <w:rPr>
          <w:b w:val="0"/>
          <w:szCs w:val="24"/>
          <w:lang w:val="en-AU"/>
        </w:rPr>
        <w:t>,</w:t>
      </w:r>
      <w:r w:rsidRPr="00874D33">
        <w:rPr>
          <w:b w:val="0"/>
          <w:szCs w:val="24"/>
          <w:lang w:val="en-AU"/>
        </w:rPr>
        <w:t xml:space="preserve"> unless APRA grants an extension of time in writing.</w:t>
      </w:r>
      <w:bookmarkEnd w:id="47"/>
    </w:p>
    <w:p w14:paraId="07788601"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48" w:name="_Toc171678073"/>
      <w:bookmarkStart w:id="49" w:name="_Toc264640511"/>
      <w:r w:rsidRPr="00874D33">
        <w:rPr>
          <w:rFonts w:ascii="Times New Roman" w:hAnsi="Times New Roman" w:cs="Times New Roman"/>
          <w:snapToGrid w:val="0"/>
          <w:sz w:val="24"/>
          <w:szCs w:val="24"/>
          <w:lang w:eastAsia="en-US"/>
        </w:rPr>
        <w:t>Non-routine reporting by Appointed Auditors</w:t>
      </w:r>
      <w:bookmarkEnd w:id="48"/>
      <w:r w:rsidRPr="00874D33">
        <w:rPr>
          <w:rFonts w:ascii="Times New Roman" w:hAnsi="Times New Roman" w:cs="Times New Roman"/>
          <w:snapToGrid w:val="0"/>
          <w:sz w:val="24"/>
          <w:szCs w:val="24"/>
          <w:lang w:eastAsia="en-US"/>
        </w:rPr>
        <w:t xml:space="preserve"> </w:t>
      </w:r>
      <w:bookmarkEnd w:id="44"/>
      <w:bookmarkEnd w:id="45"/>
      <w:bookmarkEnd w:id="49"/>
    </w:p>
    <w:p w14:paraId="07788602"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The Act specifies certain circumstances where Appointed Auditors are required to report to APRA on a non-routine basis.</w:t>
      </w:r>
      <w:r w:rsidRPr="00874D33">
        <w:rPr>
          <w:rStyle w:val="FootnoteReference"/>
          <w:b w:val="0"/>
          <w:szCs w:val="24"/>
          <w:lang w:val="en-AU"/>
        </w:rPr>
        <w:footnoteReference w:id="14"/>
      </w:r>
      <w:r w:rsidRPr="00874D33">
        <w:rPr>
          <w:b w:val="0"/>
          <w:szCs w:val="24"/>
          <w:lang w:val="en-AU"/>
        </w:rPr>
        <w:t xml:space="preserve"> This may be where:</w:t>
      </w:r>
    </w:p>
    <w:p w14:paraId="07788603" w14:textId="77777777" w:rsidR="006B4587" w:rsidRPr="00874D33" w:rsidRDefault="006B4587" w:rsidP="009F6C65">
      <w:pPr>
        <w:pStyle w:val="BodyText"/>
        <w:numPr>
          <w:ilvl w:val="0"/>
          <w:numId w:val="9"/>
        </w:numPr>
        <w:spacing w:after="240"/>
        <w:jc w:val="both"/>
        <w:rPr>
          <w:b w:val="0"/>
          <w:szCs w:val="24"/>
          <w:lang w:val="en-AU"/>
        </w:rPr>
      </w:pPr>
      <w:r w:rsidRPr="00874D33">
        <w:rPr>
          <w:b w:val="0"/>
          <w:szCs w:val="24"/>
          <w:lang w:val="en-AU"/>
        </w:rPr>
        <w:t>APRA requests specific information; or</w:t>
      </w:r>
    </w:p>
    <w:p w14:paraId="07788604" w14:textId="77777777" w:rsidR="006B4587" w:rsidRPr="00874D33" w:rsidRDefault="006B4587" w:rsidP="009F6C65">
      <w:pPr>
        <w:pStyle w:val="BodyText"/>
        <w:numPr>
          <w:ilvl w:val="0"/>
          <w:numId w:val="9"/>
        </w:numPr>
        <w:spacing w:after="240"/>
        <w:jc w:val="both"/>
        <w:rPr>
          <w:b w:val="0"/>
          <w:szCs w:val="24"/>
          <w:lang w:val="en-AU"/>
        </w:rPr>
      </w:pPr>
      <w:r w:rsidRPr="00874D33">
        <w:rPr>
          <w:b w:val="0"/>
          <w:szCs w:val="24"/>
          <w:lang w:val="en-AU"/>
        </w:rPr>
        <w:t xml:space="preserve">where an Appointed Auditor has information that is specified in the Act or that they consider would assist APRA in performing its functions.  </w:t>
      </w:r>
    </w:p>
    <w:p w14:paraId="07788605"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APRA may require an Appointed Auditor to provide information, or to produce books, accounts or documents, about an insurer if it will assist APRA in performing its functions under the Act.</w:t>
      </w:r>
      <w:r w:rsidRPr="00874D33">
        <w:rPr>
          <w:rStyle w:val="FootnoteReference"/>
          <w:b w:val="0"/>
          <w:szCs w:val="24"/>
          <w:lang w:val="en-AU"/>
        </w:rPr>
        <w:footnoteReference w:id="15"/>
      </w:r>
      <w:r w:rsidRPr="00874D33">
        <w:rPr>
          <w:b w:val="0"/>
          <w:szCs w:val="24"/>
          <w:lang w:val="en-AU"/>
        </w:rPr>
        <w:t xml:space="preserve"> To ensure that an Appointed Auditor </w:t>
      </w:r>
      <w:r w:rsidR="00384EA6" w:rsidRPr="00874D33">
        <w:rPr>
          <w:b w:val="0"/>
          <w:szCs w:val="24"/>
          <w:lang w:val="en-AU"/>
        </w:rPr>
        <w:t>is</w:t>
      </w:r>
      <w:r w:rsidRPr="00874D33">
        <w:rPr>
          <w:b w:val="0"/>
          <w:szCs w:val="24"/>
          <w:lang w:val="en-AU"/>
        </w:rPr>
        <w:t xml:space="preserve"> able to comply with any such request from APRA, the Appointed Auditor must retain all working papers and other documentation in relation to the insurer for a period of seven years after the date of the report or certificate to which the working papers or documentation relate, as required under the </w:t>
      </w:r>
      <w:r w:rsidRPr="00874D33">
        <w:rPr>
          <w:b w:val="0"/>
          <w:i/>
          <w:szCs w:val="24"/>
          <w:lang w:val="en-AU"/>
        </w:rPr>
        <w:t>Corporations Act 2001</w:t>
      </w:r>
      <w:r w:rsidRPr="00874D33">
        <w:rPr>
          <w:b w:val="0"/>
          <w:szCs w:val="24"/>
          <w:lang w:val="en-AU"/>
        </w:rPr>
        <w:t>.</w:t>
      </w:r>
      <w:r w:rsidRPr="00874D33">
        <w:rPr>
          <w:rStyle w:val="FootnoteReference"/>
          <w:b w:val="0"/>
          <w:szCs w:val="24"/>
          <w:lang w:val="en-AU"/>
        </w:rPr>
        <w:footnoteReference w:id="16"/>
      </w:r>
    </w:p>
    <w:p w14:paraId="07788606"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In assessing whether the interests of policyholders may be materially prejudiced,</w:t>
      </w:r>
      <w:r w:rsidRPr="00874D33">
        <w:rPr>
          <w:rStyle w:val="FootnoteReference"/>
          <w:b w:val="0"/>
          <w:szCs w:val="24"/>
          <w:lang w:val="en-AU"/>
        </w:rPr>
        <w:footnoteReference w:id="17"/>
      </w:r>
      <w:r w:rsidRPr="00874D33">
        <w:rPr>
          <w:b w:val="0"/>
          <w:szCs w:val="24"/>
          <w:lang w:val="en-AU"/>
        </w:rPr>
        <w:t xml:space="preserve"> an Appointed Auditor must </w:t>
      </w:r>
      <w:r w:rsidR="00C135AC" w:rsidRPr="00874D33">
        <w:rPr>
          <w:b w:val="0"/>
          <w:szCs w:val="24"/>
          <w:lang w:val="en-AU"/>
        </w:rPr>
        <w:t xml:space="preserve">not </w:t>
      </w:r>
      <w:r w:rsidRPr="00874D33">
        <w:rPr>
          <w:b w:val="0"/>
          <w:szCs w:val="24"/>
          <w:lang w:val="en-AU"/>
        </w:rPr>
        <w:t xml:space="preserve">consider a single activity or a single deficiency </w:t>
      </w:r>
      <w:r w:rsidR="00936E8D" w:rsidRPr="00874D33">
        <w:rPr>
          <w:b w:val="0"/>
          <w:szCs w:val="24"/>
          <w:lang w:val="en-AU"/>
        </w:rPr>
        <w:t xml:space="preserve">only </w:t>
      </w:r>
      <w:r w:rsidRPr="00874D33">
        <w:rPr>
          <w:b w:val="0"/>
          <w:szCs w:val="24"/>
          <w:lang w:val="en-AU"/>
        </w:rPr>
        <w:t xml:space="preserve">in isolation. Policyholder interests may be materially prejudiced by </w:t>
      </w:r>
      <w:proofErr w:type="gramStart"/>
      <w:r w:rsidRPr="00874D33">
        <w:rPr>
          <w:b w:val="0"/>
          <w:szCs w:val="24"/>
          <w:lang w:val="en-AU"/>
        </w:rPr>
        <w:t>a number of</w:t>
      </w:r>
      <w:proofErr w:type="gramEnd"/>
      <w:r w:rsidRPr="00874D33">
        <w:rPr>
          <w:b w:val="0"/>
          <w:szCs w:val="24"/>
          <w:lang w:val="en-AU"/>
        </w:rPr>
        <w:t xml:space="preserve"> activities or deficiencies that may not individually result in a material threat to policyholder interests but, when considered in total, do amount to a material threat. In such cases, the Appointed Auditor must provide such information to APRA as required under the Act if they have reasonable grounds for believing that the interests of policyholders may be materially prejudiced.</w:t>
      </w:r>
      <w:r w:rsidRPr="00874D33">
        <w:rPr>
          <w:rStyle w:val="FootnoteReference"/>
          <w:b w:val="0"/>
          <w:szCs w:val="24"/>
          <w:lang w:val="en-AU"/>
        </w:rPr>
        <w:footnoteReference w:id="18"/>
      </w:r>
    </w:p>
    <w:p w14:paraId="07788607"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In most cases, matters reported to APRA by an Appointed Auditor should also be reported by that person to the insurer to which the matter relates.</w:t>
      </w:r>
      <w:r w:rsidRPr="00874D33">
        <w:rPr>
          <w:rStyle w:val="FootnoteReference"/>
          <w:b w:val="0"/>
          <w:szCs w:val="24"/>
          <w:lang w:val="en-AU"/>
        </w:rPr>
        <w:footnoteReference w:id="19"/>
      </w:r>
      <w:r w:rsidRPr="00874D33">
        <w:rPr>
          <w:b w:val="0"/>
          <w:szCs w:val="24"/>
          <w:lang w:val="en-AU"/>
        </w:rPr>
        <w:t xml:space="preserve"> An Appointed Auditor must not notify the insurer where:</w:t>
      </w:r>
    </w:p>
    <w:p w14:paraId="07788608" w14:textId="77777777" w:rsidR="006B4587" w:rsidRPr="00874D33" w:rsidRDefault="006B4587" w:rsidP="009F6C65">
      <w:pPr>
        <w:pStyle w:val="BodyText"/>
        <w:numPr>
          <w:ilvl w:val="0"/>
          <w:numId w:val="10"/>
        </w:numPr>
        <w:spacing w:after="240"/>
        <w:jc w:val="both"/>
        <w:rPr>
          <w:b w:val="0"/>
          <w:szCs w:val="24"/>
          <w:lang w:val="en-AU"/>
        </w:rPr>
      </w:pPr>
      <w:r w:rsidRPr="00874D33">
        <w:rPr>
          <w:b w:val="0"/>
          <w:szCs w:val="24"/>
          <w:lang w:val="en-AU"/>
        </w:rPr>
        <w:t>that person considers that, by doing so, the interests of policyholders would be jeopardised; or</w:t>
      </w:r>
    </w:p>
    <w:p w14:paraId="07788609" w14:textId="77777777" w:rsidR="006B4587" w:rsidRPr="00874D33" w:rsidRDefault="006B4587" w:rsidP="009F6C65">
      <w:pPr>
        <w:pStyle w:val="BodyText"/>
        <w:numPr>
          <w:ilvl w:val="0"/>
          <w:numId w:val="10"/>
        </w:numPr>
        <w:spacing w:after="240"/>
        <w:jc w:val="both"/>
        <w:rPr>
          <w:b w:val="0"/>
          <w:szCs w:val="24"/>
          <w:lang w:val="en-AU"/>
        </w:rPr>
      </w:pPr>
      <w:r w:rsidRPr="00874D33">
        <w:rPr>
          <w:b w:val="0"/>
          <w:szCs w:val="24"/>
          <w:lang w:val="en-AU"/>
        </w:rPr>
        <w:t>there is a situation of mistrust between the Appointed Auditor and the Board or senior management of the insurer.</w:t>
      </w:r>
    </w:p>
    <w:p w14:paraId="0778860A"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lastRenderedPageBreak/>
        <w:t>An Appointed Auditor who is required to provide information to APRA on a non-routine basis</w:t>
      </w:r>
      <w:r w:rsidRPr="00874D33">
        <w:rPr>
          <w:rStyle w:val="FootnoteReference"/>
          <w:b w:val="0"/>
          <w:szCs w:val="24"/>
          <w:lang w:val="en-AU"/>
        </w:rPr>
        <w:footnoteReference w:id="20"/>
      </w:r>
      <w:r w:rsidRPr="00874D33">
        <w:rPr>
          <w:b w:val="0"/>
          <w:szCs w:val="24"/>
          <w:lang w:val="en-AU"/>
        </w:rPr>
        <w:t xml:space="preserve"> is not excused from such a requirement on the ground that doing so would tend to incriminate them or make them liable to a penalty.</w:t>
      </w:r>
      <w:r w:rsidRPr="00874D33">
        <w:rPr>
          <w:rStyle w:val="FootnoteReference"/>
          <w:b w:val="0"/>
          <w:szCs w:val="24"/>
          <w:lang w:val="en-AU"/>
        </w:rPr>
        <w:footnoteReference w:id="21"/>
      </w:r>
      <w:r w:rsidRPr="00874D33">
        <w:rPr>
          <w:b w:val="0"/>
          <w:szCs w:val="24"/>
          <w:lang w:val="en-AU"/>
        </w:rPr>
        <w:t xml:space="preserve"> Certain protection is provided under the Act</w:t>
      </w:r>
      <w:r w:rsidRPr="00874D33">
        <w:rPr>
          <w:rStyle w:val="FootnoteReference"/>
          <w:b w:val="0"/>
          <w:szCs w:val="24"/>
          <w:lang w:val="en-AU"/>
        </w:rPr>
        <w:footnoteReference w:id="22"/>
      </w:r>
      <w:r w:rsidRPr="00874D33">
        <w:rPr>
          <w:b w:val="0"/>
          <w:szCs w:val="24"/>
          <w:lang w:val="en-AU"/>
        </w:rPr>
        <w:t xml:space="preserve"> to Appointed Auditors who supply information to APRA in these circumstances.</w:t>
      </w:r>
    </w:p>
    <w:p w14:paraId="0778860B"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50" w:name="_Toc171678074"/>
      <w:bookmarkStart w:id="51" w:name="_Toc86203570"/>
      <w:bookmarkStart w:id="52" w:name="_Toc86204866"/>
      <w:bookmarkStart w:id="53" w:name="_Toc264640512"/>
      <w:r w:rsidRPr="00874D33">
        <w:rPr>
          <w:rFonts w:ascii="Times New Roman" w:hAnsi="Times New Roman" w:cs="Times New Roman"/>
          <w:snapToGrid w:val="0"/>
          <w:sz w:val="24"/>
          <w:szCs w:val="24"/>
          <w:lang w:eastAsia="en-US"/>
        </w:rPr>
        <w:t>Meetings with Appointed Auditors</w:t>
      </w:r>
      <w:bookmarkEnd w:id="50"/>
      <w:r w:rsidRPr="00874D33">
        <w:rPr>
          <w:rFonts w:ascii="Times New Roman" w:hAnsi="Times New Roman" w:cs="Times New Roman"/>
          <w:snapToGrid w:val="0"/>
          <w:sz w:val="24"/>
          <w:szCs w:val="24"/>
          <w:lang w:eastAsia="en-US"/>
        </w:rPr>
        <w:t xml:space="preserve"> </w:t>
      </w:r>
      <w:bookmarkEnd w:id="51"/>
      <w:bookmarkEnd w:id="52"/>
      <w:bookmarkEnd w:id="53"/>
    </w:p>
    <w:p w14:paraId="0778860C"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APRA liaison with an Appointed Auditor will normally be conducted under trilateral arrangements involving:</w:t>
      </w:r>
    </w:p>
    <w:p w14:paraId="0778860D" w14:textId="77777777" w:rsidR="006B4587" w:rsidRPr="00874D33" w:rsidRDefault="006B4587" w:rsidP="009F6C65">
      <w:pPr>
        <w:pStyle w:val="BodyText"/>
        <w:numPr>
          <w:ilvl w:val="0"/>
          <w:numId w:val="11"/>
        </w:numPr>
        <w:spacing w:after="240"/>
        <w:jc w:val="both"/>
        <w:rPr>
          <w:b w:val="0"/>
          <w:szCs w:val="24"/>
          <w:lang w:val="en-AU"/>
        </w:rPr>
      </w:pPr>
      <w:proofErr w:type="gramStart"/>
      <w:r w:rsidRPr="00874D33">
        <w:rPr>
          <w:b w:val="0"/>
          <w:szCs w:val="24"/>
          <w:lang w:val="en-AU"/>
        </w:rPr>
        <w:t>APRA;</w:t>
      </w:r>
      <w:proofErr w:type="gramEnd"/>
    </w:p>
    <w:p w14:paraId="0778860E" w14:textId="77777777" w:rsidR="006B4587" w:rsidRPr="00874D33" w:rsidRDefault="007912DF" w:rsidP="009F6C65">
      <w:pPr>
        <w:pStyle w:val="BodyText"/>
        <w:numPr>
          <w:ilvl w:val="0"/>
          <w:numId w:val="11"/>
        </w:numPr>
        <w:spacing w:after="240"/>
        <w:jc w:val="both"/>
        <w:rPr>
          <w:b w:val="0"/>
          <w:szCs w:val="24"/>
          <w:lang w:val="en-AU"/>
        </w:rPr>
      </w:pPr>
      <w:r w:rsidRPr="00874D33">
        <w:rPr>
          <w:b w:val="0"/>
          <w:szCs w:val="24"/>
          <w:lang w:val="en-AU"/>
        </w:rPr>
        <w:t>the</w:t>
      </w:r>
      <w:r w:rsidR="006B4587" w:rsidRPr="00874D33">
        <w:rPr>
          <w:b w:val="0"/>
          <w:szCs w:val="24"/>
          <w:lang w:val="en-AU"/>
        </w:rPr>
        <w:t xml:space="preserve"> insurer; and</w:t>
      </w:r>
    </w:p>
    <w:p w14:paraId="0778860F" w14:textId="77777777" w:rsidR="006B4587" w:rsidRPr="00874D33" w:rsidRDefault="006B4587" w:rsidP="009F6C65">
      <w:pPr>
        <w:pStyle w:val="BodyText"/>
        <w:numPr>
          <w:ilvl w:val="0"/>
          <w:numId w:val="11"/>
        </w:numPr>
        <w:spacing w:after="240"/>
        <w:jc w:val="both"/>
        <w:rPr>
          <w:b w:val="0"/>
          <w:szCs w:val="24"/>
          <w:lang w:val="en-AU"/>
        </w:rPr>
      </w:pPr>
      <w:r w:rsidRPr="00874D33">
        <w:rPr>
          <w:b w:val="0"/>
          <w:szCs w:val="24"/>
          <w:lang w:val="en-AU"/>
        </w:rPr>
        <w:t>the insurer’s Appointed Auditor.</w:t>
      </w:r>
    </w:p>
    <w:p w14:paraId="07788610"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Any one of these parties may initiate a meeting or discussion when the party considers it necessary. Notwithstanding the trilateral relationship, APRA and an insurer’s Appointed Auditor may meet on a bilateral basis where either party considers this to be necessary.</w:t>
      </w:r>
    </w:p>
    <w:p w14:paraId="07788611" w14:textId="77777777" w:rsidR="006B4587" w:rsidRPr="00874D33" w:rsidRDefault="006B4587" w:rsidP="006B4587">
      <w:pPr>
        <w:pStyle w:val="Heading3"/>
        <w:keepLines/>
        <w:spacing w:before="120" w:after="240"/>
        <w:jc w:val="both"/>
        <w:rPr>
          <w:rFonts w:ascii="Times New Roman" w:hAnsi="Times New Roman" w:cs="Times New Roman"/>
          <w:snapToGrid w:val="0"/>
          <w:sz w:val="24"/>
          <w:szCs w:val="24"/>
          <w:lang w:eastAsia="en-US"/>
        </w:rPr>
      </w:pPr>
      <w:bookmarkStart w:id="54" w:name="_Toc264640513"/>
      <w:bookmarkStart w:id="55" w:name="_Toc171678075"/>
      <w:r w:rsidRPr="00874D33">
        <w:rPr>
          <w:rFonts w:ascii="Times New Roman" w:hAnsi="Times New Roman" w:cs="Times New Roman"/>
          <w:snapToGrid w:val="0"/>
          <w:sz w:val="24"/>
          <w:szCs w:val="24"/>
          <w:lang w:eastAsia="en-US"/>
        </w:rPr>
        <w:t xml:space="preserve">Audit certificate and </w:t>
      </w:r>
      <w:proofErr w:type="gramStart"/>
      <w:r w:rsidRPr="00874D33">
        <w:rPr>
          <w:rFonts w:ascii="Times New Roman" w:hAnsi="Times New Roman" w:cs="Times New Roman"/>
          <w:snapToGrid w:val="0"/>
          <w:sz w:val="24"/>
          <w:szCs w:val="24"/>
          <w:lang w:eastAsia="en-US"/>
        </w:rPr>
        <w:t>report</w:t>
      </w:r>
      <w:bookmarkEnd w:id="54"/>
      <w:bookmarkEnd w:id="55"/>
      <w:proofErr w:type="gramEnd"/>
    </w:p>
    <w:p w14:paraId="07788612"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56" w:name="_Ref317523186"/>
      <w:r w:rsidRPr="00874D33">
        <w:rPr>
          <w:b w:val="0"/>
          <w:szCs w:val="24"/>
          <w:lang w:val="en-AU"/>
        </w:rPr>
        <w:t>As required under the Act, an insurer’s Appointed Auditor must:</w:t>
      </w:r>
      <w:bookmarkEnd w:id="56"/>
    </w:p>
    <w:p w14:paraId="07788613" w14:textId="77777777" w:rsidR="006B4587" w:rsidRPr="00874D33" w:rsidRDefault="006B4587" w:rsidP="009F6C65">
      <w:pPr>
        <w:pStyle w:val="BodyText"/>
        <w:numPr>
          <w:ilvl w:val="0"/>
          <w:numId w:val="12"/>
        </w:numPr>
        <w:spacing w:after="240"/>
        <w:jc w:val="both"/>
        <w:rPr>
          <w:b w:val="0"/>
          <w:szCs w:val="24"/>
          <w:lang w:val="en-AU"/>
        </w:rPr>
      </w:pPr>
      <w:r w:rsidRPr="00874D33">
        <w:rPr>
          <w:b w:val="0"/>
          <w:szCs w:val="24"/>
          <w:lang w:val="en-AU"/>
        </w:rPr>
        <w:t xml:space="preserve">prepare a certificate relating to the insurer’s yearly statutory accounts on an annual basis; and </w:t>
      </w:r>
    </w:p>
    <w:p w14:paraId="07788614" w14:textId="0DC1CBC4" w:rsidR="006B4587" w:rsidRPr="00874D33" w:rsidRDefault="006B4587" w:rsidP="009F6C65">
      <w:pPr>
        <w:pStyle w:val="BodyText"/>
        <w:numPr>
          <w:ilvl w:val="0"/>
          <w:numId w:val="12"/>
        </w:numPr>
        <w:spacing w:after="240"/>
        <w:jc w:val="both"/>
        <w:rPr>
          <w:b w:val="0"/>
          <w:szCs w:val="24"/>
          <w:lang w:val="en-AU"/>
        </w:rPr>
      </w:pPr>
      <w:r w:rsidRPr="00874D33">
        <w:rPr>
          <w:b w:val="0"/>
          <w:szCs w:val="24"/>
          <w:lang w:val="en-AU"/>
        </w:rPr>
        <w:t xml:space="preserve">provide that certificate to the insurer within the time specified in paragraph </w:t>
      </w:r>
      <w:r w:rsidR="008B4D55" w:rsidRPr="00874D33">
        <w:rPr>
          <w:b w:val="0"/>
          <w:szCs w:val="24"/>
          <w:lang w:val="en-AU"/>
        </w:rPr>
        <w:fldChar w:fldCharType="begin"/>
      </w:r>
      <w:r w:rsidR="008B4D55" w:rsidRPr="00874D33">
        <w:rPr>
          <w:b w:val="0"/>
          <w:szCs w:val="24"/>
          <w:lang w:val="en-AU"/>
        </w:rPr>
        <w:instrText xml:space="preserve"> REF _Ref317523370 \r \h </w:instrText>
      </w:r>
      <w:r w:rsidR="00B91852" w:rsidRPr="00874D33">
        <w:rPr>
          <w:b w:val="0"/>
          <w:szCs w:val="24"/>
          <w:lang w:val="en-AU"/>
        </w:rPr>
        <w:instrText xml:space="preserve"> \* MERGEFORMAT </w:instrText>
      </w:r>
      <w:r w:rsidR="008B4D55" w:rsidRPr="00874D33">
        <w:rPr>
          <w:b w:val="0"/>
          <w:szCs w:val="24"/>
          <w:lang w:val="en-AU"/>
        </w:rPr>
      </w:r>
      <w:r w:rsidR="008B4D55" w:rsidRPr="00874D33">
        <w:rPr>
          <w:b w:val="0"/>
          <w:szCs w:val="24"/>
          <w:lang w:val="en-AU"/>
        </w:rPr>
        <w:fldChar w:fldCharType="separate"/>
      </w:r>
      <w:r w:rsidR="00D54771" w:rsidRPr="00874D33">
        <w:rPr>
          <w:b w:val="0"/>
          <w:szCs w:val="24"/>
          <w:lang w:val="en-AU"/>
        </w:rPr>
        <w:t>18</w:t>
      </w:r>
      <w:r w:rsidR="008B4D55" w:rsidRPr="00874D33">
        <w:rPr>
          <w:b w:val="0"/>
          <w:szCs w:val="24"/>
          <w:lang w:val="en-AU"/>
        </w:rPr>
        <w:fldChar w:fldCharType="end"/>
      </w:r>
      <w:r w:rsidRPr="00874D33">
        <w:rPr>
          <w:b w:val="0"/>
          <w:szCs w:val="24"/>
          <w:lang w:val="en-AU"/>
        </w:rPr>
        <w:t>.</w:t>
      </w:r>
      <w:r w:rsidRPr="00874D33">
        <w:rPr>
          <w:rStyle w:val="FootnoteReference"/>
          <w:b w:val="0"/>
          <w:szCs w:val="24"/>
          <w:lang w:val="en-AU"/>
        </w:rPr>
        <w:footnoteReference w:id="23"/>
      </w:r>
    </w:p>
    <w:p w14:paraId="07788615"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The certificate must be:</w:t>
      </w:r>
    </w:p>
    <w:p w14:paraId="07788616" w14:textId="77777777" w:rsidR="006B4587" w:rsidRPr="00874D33" w:rsidRDefault="006B4587" w:rsidP="009F6C65">
      <w:pPr>
        <w:pStyle w:val="BodyText"/>
        <w:numPr>
          <w:ilvl w:val="0"/>
          <w:numId w:val="13"/>
        </w:numPr>
        <w:spacing w:after="240"/>
        <w:jc w:val="both"/>
        <w:rPr>
          <w:b w:val="0"/>
          <w:szCs w:val="24"/>
          <w:lang w:val="en-AU"/>
        </w:rPr>
      </w:pPr>
      <w:r w:rsidRPr="00874D33">
        <w:rPr>
          <w:b w:val="0"/>
          <w:szCs w:val="24"/>
          <w:lang w:val="en-AU"/>
        </w:rPr>
        <w:t xml:space="preserve">addressed to the Board of the insurer; and </w:t>
      </w:r>
    </w:p>
    <w:p w14:paraId="07788617" w14:textId="77777777" w:rsidR="006B4587" w:rsidRPr="00874D33" w:rsidRDefault="006B4587" w:rsidP="009F6C65">
      <w:pPr>
        <w:pStyle w:val="BodyText"/>
        <w:numPr>
          <w:ilvl w:val="0"/>
          <w:numId w:val="13"/>
        </w:numPr>
        <w:spacing w:after="240"/>
        <w:jc w:val="both"/>
        <w:rPr>
          <w:b w:val="0"/>
          <w:szCs w:val="24"/>
          <w:lang w:val="en-AU"/>
        </w:rPr>
      </w:pPr>
      <w:r w:rsidRPr="00874D33">
        <w:rPr>
          <w:b w:val="0"/>
          <w:szCs w:val="24"/>
          <w:lang w:val="en-AU"/>
        </w:rPr>
        <w:t xml:space="preserve">provide the Appointed Auditor’s opinion in respect of the insurer’s yearly statutory accounts.  </w:t>
      </w:r>
    </w:p>
    <w:p w14:paraId="07788618"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In preparing the certificate, the Appointed Auditor must have regard to relevant professional standards and guidance notes issued by the Auditing and Assurance Standards Board (AUASB), to the extent that they are not inconsistent with the requirements of this Prudential Standard.</w:t>
      </w:r>
    </w:p>
    <w:p w14:paraId="07788619"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57" w:name="_Ref317523447"/>
      <w:bookmarkStart w:id="58" w:name="_Ref86200833"/>
      <w:r w:rsidRPr="00874D33">
        <w:rPr>
          <w:b w:val="0"/>
          <w:szCs w:val="24"/>
          <w:lang w:val="en-AU"/>
        </w:rPr>
        <w:t xml:space="preserve">The certificate must specify whether, in the Appointed Auditor’s opinion, the yearly statutory accounts of the insurer present a true and fair view of the results </w:t>
      </w:r>
      <w:r w:rsidRPr="00874D33">
        <w:rPr>
          <w:b w:val="0"/>
          <w:szCs w:val="24"/>
          <w:lang w:val="en-AU"/>
        </w:rPr>
        <w:lastRenderedPageBreak/>
        <w:t>of the insurer’s operations for the year and financial position at year end, in accordance with:</w:t>
      </w:r>
      <w:bookmarkEnd w:id="57"/>
      <w:r w:rsidRPr="00874D33">
        <w:rPr>
          <w:b w:val="0"/>
          <w:szCs w:val="24"/>
          <w:lang w:val="en-AU"/>
        </w:rPr>
        <w:t xml:space="preserve"> </w:t>
      </w:r>
    </w:p>
    <w:p w14:paraId="0778861A" w14:textId="77777777" w:rsidR="006B4587" w:rsidRPr="00874D33" w:rsidRDefault="006B4587" w:rsidP="00E02217">
      <w:pPr>
        <w:pStyle w:val="BodyText"/>
        <w:numPr>
          <w:ilvl w:val="1"/>
          <w:numId w:val="43"/>
        </w:numPr>
        <w:spacing w:after="240"/>
        <w:jc w:val="both"/>
        <w:rPr>
          <w:b w:val="0"/>
          <w:szCs w:val="24"/>
          <w:lang w:val="en-AU"/>
        </w:rPr>
      </w:pPr>
      <w:r w:rsidRPr="00874D33">
        <w:rPr>
          <w:b w:val="0"/>
          <w:szCs w:val="24"/>
          <w:lang w:val="en-AU"/>
        </w:rPr>
        <w:t>the provisions of the Act and prudential standards, the Collection of Data Act and reporting standards; and</w:t>
      </w:r>
    </w:p>
    <w:p w14:paraId="0778861B" w14:textId="77777777" w:rsidR="006B4587" w:rsidRPr="00874D33" w:rsidRDefault="006B4587" w:rsidP="00E02217">
      <w:pPr>
        <w:pStyle w:val="BodyText"/>
        <w:numPr>
          <w:ilvl w:val="1"/>
          <w:numId w:val="43"/>
        </w:numPr>
        <w:spacing w:after="240"/>
        <w:jc w:val="both"/>
        <w:rPr>
          <w:b w:val="0"/>
          <w:szCs w:val="24"/>
          <w:lang w:val="en-AU"/>
        </w:rPr>
      </w:pPr>
      <w:r w:rsidRPr="00874D33">
        <w:rPr>
          <w:b w:val="0"/>
          <w:szCs w:val="24"/>
          <w:lang w:val="en-AU"/>
        </w:rPr>
        <w:t>to the extent that they do not specify any requirements that conflict with the aforementioned:</w:t>
      </w:r>
    </w:p>
    <w:p w14:paraId="0778861C" w14:textId="77777777" w:rsidR="006B4587" w:rsidRPr="00874D33" w:rsidRDefault="006B4587" w:rsidP="009F6C65">
      <w:pPr>
        <w:pStyle w:val="BodyText"/>
        <w:numPr>
          <w:ilvl w:val="0"/>
          <w:numId w:val="14"/>
        </w:numPr>
        <w:spacing w:after="240"/>
        <w:jc w:val="both"/>
        <w:rPr>
          <w:b w:val="0"/>
          <w:szCs w:val="24"/>
          <w:lang w:val="en-AU"/>
        </w:rPr>
      </w:pPr>
      <w:r w:rsidRPr="00874D33">
        <w:rPr>
          <w:szCs w:val="24"/>
          <w:lang w:val="en-AU"/>
        </w:rPr>
        <w:t>Australian Accounting Standards</w:t>
      </w:r>
      <w:r w:rsidRPr="00874D33">
        <w:rPr>
          <w:b w:val="0"/>
          <w:szCs w:val="24"/>
          <w:lang w:val="en-AU"/>
        </w:rPr>
        <w:t>; and</w:t>
      </w:r>
    </w:p>
    <w:p w14:paraId="0778861D" w14:textId="77777777" w:rsidR="006B4587" w:rsidRPr="00874D33" w:rsidRDefault="006B4587" w:rsidP="009F6C65">
      <w:pPr>
        <w:pStyle w:val="BodyText"/>
        <w:numPr>
          <w:ilvl w:val="0"/>
          <w:numId w:val="14"/>
        </w:numPr>
        <w:spacing w:after="240"/>
        <w:jc w:val="both"/>
        <w:rPr>
          <w:b w:val="0"/>
          <w:szCs w:val="24"/>
          <w:lang w:val="en-AU"/>
        </w:rPr>
      </w:pPr>
      <w:r w:rsidRPr="00874D33">
        <w:rPr>
          <w:b w:val="0"/>
          <w:szCs w:val="24"/>
          <w:lang w:val="en-AU"/>
        </w:rPr>
        <w:t>other mandatory professional reporting requirements in Australia.</w:t>
      </w:r>
      <w:bookmarkEnd w:id="58"/>
      <w:r w:rsidRPr="00874D33">
        <w:rPr>
          <w:b w:val="0"/>
          <w:szCs w:val="24"/>
          <w:lang w:val="en-AU"/>
        </w:rPr>
        <w:t xml:space="preserve">  </w:t>
      </w:r>
    </w:p>
    <w:p w14:paraId="0778861E" w14:textId="5EB2DDBE"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59" w:name="_Ref93377856"/>
      <w:bookmarkStart w:id="60" w:name="_Ref86200852"/>
      <w:r w:rsidRPr="00874D33">
        <w:rPr>
          <w:b w:val="0"/>
          <w:szCs w:val="24"/>
          <w:lang w:val="en-AU"/>
        </w:rPr>
        <w:t xml:space="preserve">Where, for reasons beyond their control, the Appointed Auditor is unable to provide a certificate that complies with paragraph </w:t>
      </w:r>
      <w:r w:rsidR="008B4D55" w:rsidRPr="00874D33">
        <w:rPr>
          <w:b w:val="0"/>
          <w:szCs w:val="24"/>
          <w:lang w:val="en-AU"/>
        </w:rPr>
        <w:fldChar w:fldCharType="begin"/>
      </w:r>
      <w:r w:rsidR="008B4D55" w:rsidRPr="00874D33">
        <w:rPr>
          <w:b w:val="0"/>
          <w:szCs w:val="24"/>
          <w:lang w:val="en-AU"/>
        </w:rPr>
        <w:instrText xml:space="preserve"> REF _Ref317523447 \r \h </w:instrText>
      </w:r>
      <w:r w:rsidR="00B91852" w:rsidRPr="00874D33">
        <w:rPr>
          <w:b w:val="0"/>
          <w:szCs w:val="24"/>
          <w:lang w:val="en-AU"/>
        </w:rPr>
        <w:instrText xml:space="preserve"> \* MERGEFORMAT </w:instrText>
      </w:r>
      <w:r w:rsidR="008B4D55" w:rsidRPr="00874D33">
        <w:rPr>
          <w:b w:val="0"/>
          <w:szCs w:val="24"/>
          <w:lang w:val="en-AU"/>
        </w:rPr>
      </w:r>
      <w:r w:rsidR="008B4D55" w:rsidRPr="00874D33">
        <w:rPr>
          <w:b w:val="0"/>
          <w:szCs w:val="24"/>
          <w:lang w:val="en-AU"/>
        </w:rPr>
        <w:fldChar w:fldCharType="separate"/>
      </w:r>
      <w:r w:rsidR="00D54771" w:rsidRPr="00874D33">
        <w:rPr>
          <w:b w:val="0"/>
          <w:szCs w:val="24"/>
          <w:lang w:val="en-AU"/>
        </w:rPr>
        <w:t>32</w:t>
      </w:r>
      <w:r w:rsidR="008B4D55" w:rsidRPr="00874D33">
        <w:rPr>
          <w:b w:val="0"/>
          <w:szCs w:val="24"/>
          <w:lang w:val="en-AU"/>
        </w:rPr>
        <w:fldChar w:fldCharType="end"/>
      </w:r>
      <w:r w:rsidRPr="00874D33">
        <w:rPr>
          <w:b w:val="0"/>
          <w:szCs w:val="24"/>
          <w:lang w:val="en-AU"/>
        </w:rPr>
        <w:t xml:space="preserve"> (for example, if there are accounting records that have not been appropriately kept, transactions that appear irregular or that have not been accurately or properly recorded, requests for information and explanation that have not been met, or aspects of the accounts that do not represent a true and fair view of the transactions and financial position), the certificate must be qualified and contain details of these matters.</w:t>
      </w:r>
      <w:bookmarkEnd w:id="59"/>
    </w:p>
    <w:p w14:paraId="0778861F" w14:textId="0EF19D11"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61" w:name="_Ref317523250"/>
      <w:bookmarkStart w:id="62" w:name="_Ref93378853"/>
      <w:r w:rsidRPr="00874D33">
        <w:rPr>
          <w:b w:val="0"/>
          <w:szCs w:val="24"/>
          <w:lang w:val="en-AU"/>
        </w:rPr>
        <w:t xml:space="preserve">An Appointed Auditor must prepare a report on an annual basis and provide that report to the insurer by the time specified in paragraph </w:t>
      </w:r>
      <w:r w:rsidR="008B4D55" w:rsidRPr="00874D33">
        <w:rPr>
          <w:b w:val="0"/>
          <w:szCs w:val="24"/>
          <w:lang w:val="en-AU"/>
        </w:rPr>
        <w:fldChar w:fldCharType="begin"/>
      </w:r>
      <w:r w:rsidR="008B4D55" w:rsidRPr="00874D33">
        <w:rPr>
          <w:b w:val="0"/>
          <w:szCs w:val="24"/>
          <w:lang w:val="en-AU"/>
        </w:rPr>
        <w:instrText xml:space="preserve"> REF _Ref317523370 \r \h </w:instrText>
      </w:r>
      <w:r w:rsidR="00B91852" w:rsidRPr="00874D33">
        <w:rPr>
          <w:b w:val="0"/>
          <w:szCs w:val="24"/>
          <w:lang w:val="en-AU"/>
        </w:rPr>
        <w:instrText xml:space="preserve"> \* MERGEFORMAT </w:instrText>
      </w:r>
      <w:r w:rsidR="008B4D55" w:rsidRPr="00874D33">
        <w:rPr>
          <w:b w:val="0"/>
          <w:szCs w:val="24"/>
          <w:lang w:val="en-AU"/>
        </w:rPr>
      </w:r>
      <w:r w:rsidR="008B4D55" w:rsidRPr="00874D33">
        <w:rPr>
          <w:b w:val="0"/>
          <w:szCs w:val="24"/>
          <w:lang w:val="en-AU"/>
        </w:rPr>
        <w:fldChar w:fldCharType="separate"/>
      </w:r>
      <w:r w:rsidR="00D54771" w:rsidRPr="00874D33">
        <w:rPr>
          <w:b w:val="0"/>
          <w:szCs w:val="24"/>
          <w:lang w:val="en-AU"/>
        </w:rPr>
        <w:t>18</w:t>
      </w:r>
      <w:r w:rsidR="008B4D55" w:rsidRPr="00874D33">
        <w:rPr>
          <w:b w:val="0"/>
          <w:szCs w:val="24"/>
          <w:lang w:val="en-AU"/>
        </w:rPr>
        <w:fldChar w:fldCharType="end"/>
      </w:r>
      <w:r w:rsidRPr="00874D33">
        <w:rPr>
          <w:b w:val="0"/>
          <w:szCs w:val="24"/>
          <w:lang w:val="en-AU"/>
        </w:rPr>
        <w:t>.</w:t>
      </w:r>
      <w:r w:rsidRPr="00874D33">
        <w:rPr>
          <w:rStyle w:val="FootnoteReference"/>
          <w:b w:val="0"/>
          <w:szCs w:val="24"/>
          <w:lang w:val="en-AU"/>
        </w:rPr>
        <w:footnoteReference w:id="24"/>
      </w:r>
      <w:r w:rsidRPr="00874D33">
        <w:rPr>
          <w:b w:val="0"/>
          <w:szCs w:val="24"/>
          <w:lang w:val="en-AU"/>
        </w:rPr>
        <w:t xml:space="preserve"> The report must:</w:t>
      </w:r>
      <w:bookmarkEnd w:id="61"/>
    </w:p>
    <w:p w14:paraId="07788620" w14:textId="77777777" w:rsidR="006B4587" w:rsidRPr="00874D33" w:rsidRDefault="006B4587" w:rsidP="009F6C65">
      <w:pPr>
        <w:pStyle w:val="BodyText"/>
        <w:numPr>
          <w:ilvl w:val="0"/>
          <w:numId w:val="15"/>
        </w:numPr>
        <w:spacing w:after="240"/>
        <w:jc w:val="both"/>
        <w:rPr>
          <w:b w:val="0"/>
          <w:szCs w:val="24"/>
          <w:lang w:val="en-AU"/>
        </w:rPr>
      </w:pPr>
      <w:r w:rsidRPr="00874D33">
        <w:rPr>
          <w:b w:val="0"/>
          <w:szCs w:val="24"/>
          <w:lang w:val="en-AU"/>
        </w:rPr>
        <w:t>be addressed to the Board of the insurer; and</w:t>
      </w:r>
    </w:p>
    <w:p w14:paraId="07788621" w14:textId="77777777" w:rsidR="006B4587" w:rsidRPr="00874D33" w:rsidRDefault="006B4587" w:rsidP="009F6C65">
      <w:pPr>
        <w:pStyle w:val="BodyText"/>
        <w:numPr>
          <w:ilvl w:val="0"/>
          <w:numId w:val="15"/>
        </w:numPr>
        <w:spacing w:after="240"/>
        <w:jc w:val="both"/>
        <w:rPr>
          <w:b w:val="0"/>
          <w:szCs w:val="24"/>
          <w:lang w:val="en-AU"/>
        </w:rPr>
      </w:pPr>
      <w:r w:rsidRPr="00874D33">
        <w:rPr>
          <w:b w:val="0"/>
          <w:szCs w:val="24"/>
          <w:lang w:val="en-AU"/>
        </w:rPr>
        <w:t>provide the Appointed Auditor’s opinion on a range of matters.</w:t>
      </w:r>
    </w:p>
    <w:p w14:paraId="07788622"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r w:rsidRPr="00874D33">
        <w:rPr>
          <w:b w:val="0"/>
          <w:szCs w:val="24"/>
          <w:lang w:val="en-AU"/>
        </w:rPr>
        <w:t xml:space="preserve">In preparing the report, the Appointed Auditor must have regard to professional standards and guidance notes issued by the AUASB, to the extent that they are not inconsistent with the requirements of this Prudential Standard. The Appointed Auditor must base this report on at least a </w:t>
      </w:r>
      <w:r w:rsidRPr="00874D33">
        <w:rPr>
          <w:szCs w:val="24"/>
          <w:lang w:val="en-AU"/>
        </w:rPr>
        <w:t>limited assurance</w:t>
      </w:r>
      <w:r w:rsidRPr="00874D33">
        <w:rPr>
          <w:b w:val="0"/>
          <w:szCs w:val="24"/>
          <w:lang w:val="en-AU"/>
        </w:rPr>
        <w:t xml:space="preserve"> engagement.  </w:t>
      </w:r>
      <w:bookmarkEnd w:id="60"/>
      <w:bookmarkEnd w:id="62"/>
    </w:p>
    <w:p w14:paraId="07788623" w14:textId="77777777" w:rsidR="006B4587" w:rsidRPr="00874D33" w:rsidRDefault="006B4587" w:rsidP="00FE095C">
      <w:pPr>
        <w:pStyle w:val="BodyText"/>
        <w:numPr>
          <w:ilvl w:val="0"/>
          <w:numId w:val="3"/>
        </w:numPr>
        <w:tabs>
          <w:tab w:val="clear" w:pos="720"/>
        </w:tabs>
        <w:spacing w:after="240"/>
        <w:ind w:left="567" w:hanging="567"/>
        <w:jc w:val="both"/>
        <w:rPr>
          <w:b w:val="0"/>
          <w:szCs w:val="24"/>
          <w:lang w:val="en-AU"/>
        </w:rPr>
      </w:pPr>
      <w:bookmarkStart w:id="63" w:name="_Ref86201184"/>
      <w:bookmarkStart w:id="64" w:name="_Ref93378867"/>
      <w:r w:rsidRPr="00874D33">
        <w:rPr>
          <w:b w:val="0"/>
          <w:szCs w:val="24"/>
          <w:lang w:val="en-AU"/>
        </w:rPr>
        <w:t xml:space="preserve">The Appointed Auditor must specify in the report the results of their investigations, including the matters listed </w:t>
      </w:r>
      <w:r w:rsidR="003D409D" w:rsidRPr="00874D33">
        <w:rPr>
          <w:b w:val="0"/>
          <w:szCs w:val="24"/>
          <w:lang w:val="en-AU"/>
        </w:rPr>
        <w:t>in</w:t>
      </w:r>
      <w:r w:rsidRPr="00874D33">
        <w:rPr>
          <w:b w:val="0"/>
          <w:szCs w:val="24"/>
          <w:lang w:val="en-AU"/>
        </w:rPr>
        <w:t xml:space="preserve"> Attachment </w:t>
      </w:r>
      <w:r w:rsidR="00723086" w:rsidRPr="00874D33">
        <w:rPr>
          <w:b w:val="0"/>
          <w:szCs w:val="24"/>
          <w:lang w:val="en-AU"/>
        </w:rPr>
        <w:t>A</w:t>
      </w:r>
      <w:r w:rsidRPr="00874D33">
        <w:rPr>
          <w:b w:val="0"/>
          <w:szCs w:val="24"/>
          <w:lang w:val="en-AU"/>
        </w:rPr>
        <w:t>.</w:t>
      </w:r>
      <w:bookmarkEnd w:id="63"/>
      <w:bookmarkEnd w:id="64"/>
      <w:r w:rsidRPr="00874D33">
        <w:rPr>
          <w:b w:val="0"/>
          <w:szCs w:val="24"/>
          <w:lang w:val="en-AU"/>
        </w:rPr>
        <w:t xml:space="preserve"> </w:t>
      </w:r>
    </w:p>
    <w:p w14:paraId="07788624" w14:textId="77777777" w:rsidR="00DF2135" w:rsidRPr="00874D33" w:rsidRDefault="00DF2135" w:rsidP="00B42249">
      <w:pPr>
        <w:pStyle w:val="Heading"/>
        <w:keepLines/>
        <w:spacing w:before="120" w:after="240"/>
        <w:rPr>
          <w:rFonts w:cs="Times New Roman"/>
          <w:snapToGrid w:val="0"/>
          <w:kern w:val="0"/>
          <w:sz w:val="24"/>
          <w:szCs w:val="24"/>
          <w:lang w:eastAsia="en-US"/>
        </w:rPr>
      </w:pPr>
      <w:bookmarkStart w:id="65" w:name="_Toc171678076"/>
      <w:bookmarkStart w:id="66" w:name="_Ref86201071"/>
      <w:bookmarkStart w:id="67" w:name="_Toc264640514"/>
      <w:r w:rsidRPr="00874D33">
        <w:rPr>
          <w:rFonts w:cs="Times New Roman"/>
          <w:snapToGrid w:val="0"/>
          <w:kern w:val="0"/>
          <w:sz w:val="24"/>
          <w:szCs w:val="24"/>
          <w:lang w:eastAsia="en-US"/>
        </w:rPr>
        <w:t>Adjustments and exclusions</w:t>
      </w:r>
      <w:bookmarkEnd w:id="65"/>
    </w:p>
    <w:p w14:paraId="07788625" w14:textId="77777777" w:rsidR="00DF2135" w:rsidRPr="00874D33" w:rsidRDefault="00DF2135" w:rsidP="00FE095C">
      <w:pPr>
        <w:pStyle w:val="BodyText"/>
        <w:numPr>
          <w:ilvl w:val="0"/>
          <w:numId w:val="3"/>
        </w:numPr>
        <w:tabs>
          <w:tab w:val="clear" w:pos="720"/>
        </w:tabs>
        <w:spacing w:after="240"/>
        <w:ind w:left="567" w:hanging="567"/>
        <w:jc w:val="both"/>
        <w:rPr>
          <w:b w:val="0"/>
          <w:szCs w:val="24"/>
          <w:lang w:val="en-AU"/>
        </w:rPr>
      </w:pPr>
      <w:bookmarkStart w:id="68" w:name="_Ref324163804"/>
      <w:r w:rsidRPr="00874D33">
        <w:rPr>
          <w:b w:val="0"/>
          <w:szCs w:val="24"/>
          <w:lang w:val="en-AU"/>
        </w:rPr>
        <w:t>APRA may</w:t>
      </w:r>
      <w:r w:rsidR="00934146" w:rsidRPr="00874D33">
        <w:rPr>
          <w:b w:val="0"/>
          <w:szCs w:val="24"/>
          <w:lang w:val="en-AU"/>
        </w:rPr>
        <w:t xml:space="preserve"> </w:t>
      </w:r>
      <w:r w:rsidRPr="00874D33">
        <w:rPr>
          <w:b w:val="0"/>
          <w:szCs w:val="24"/>
          <w:lang w:val="en-AU"/>
        </w:rPr>
        <w:t xml:space="preserve">adjust or exclude a specific requirement in this Prudential Standard in relation to </w:t>
      </w:r>
      <w:r w:rsidR="00934146" w:rsidRPr="00874D33">
        <w:rPr>
          <w:b w:val="0"/>
          <w:szCs w:val="24"/>
          <w:lang w:val="en-AU"/>
        </w:rPr>
        <w:t xml:space="preserve">a </w:t>
      </w:r>
      <w:r w:rsidRPr="00874D33">
        <w:rPr>
          <w:b w:val="0"/>
          <w:szCs w:val="24"/>
          <w:lang w:val="en-AU"/>
        </w:rPr>
        <w:t>regulated institution.</w:t>
      </w:r>
      <w:bookmarkEnd w:id="68"/>
    </w:p>
    <w:p w14:paraId="07788626" w14:textId="46FF2D92" w:rsidR="006B4587" w:rsidRPr="00874D33" w:rsidRDefault="00504D52" w:rsidP="00B42249">
      <w:pPr>
        <w:pStyle w:val="Heading"/>
        <w:keepLines/>
        <w:spacing w:before="120" w:after="240"/>
        <w:rPr>
          <w:rFonts w:cs="Times New Roman"/>
          <w:sz w:val="24"/>
          <w:szCs w:val="24"/>
        </w:rPr>
      </w:pPr>
      <w:bookmarkStart w:id="69" w:name="_Toc171678077"/>
      <w:bookmarkEnd w:id="66"/>
      <w:bookmarkEnd w:id="67"/>
      <w:r w:rsidRPr="00874D33">
        <w:rPr>
          <w:rFonts w:cs="Times New Roman"/>
          <w:sz w:val="24"/>
          <w:szCs w:val="24"/>
        </w:rPr>
        <w:t xml:space="preserve">Reliance on previous exercises of </w:t>
      </w:r>
      <w:r w:rsidR="00E95798" w:rsidRPr="00874D33">
        <w:rPr>
          <w:rFonts w:cs="Times New Roman"/>
          <w:sz w:val="24"/>
          <w:szCs w:val="24"/>
        </w:rPr>
        <w:t>discretion</w:t>
      </w:r>
      <w:bookmarkEnd w:id="69"/>
    </w:p>
    <w:p w14:paraId="07788627" w14:textId="020C7EAB" w:rsidR="006B4587" w:rsidRPr="00874D33" w:rsidRDefault="009B5466" w:rsidP="00C061B3">
      <w:pPr>
        <w:pStyle w:val="BodyText"/>
        <w:keepNext/>
        <w:keepLines/>
        <w:numPr>
          <w:ilvl w:val="0"/>
          <w:numId w:val="3"/>
        </w:numPr>
        <w:tabs>
          <w:tab w:val="clear" w:pos="720"/>
        </w:tabs>
        <w:spacing w:after="240"/>
        <w:ind w:left="567" w:hanging="567"/>
        <w:jc w:val="both"/>
        <w:rPr>
          <w:b w:val="0"/>
          <w:szCs w:val="24"/>
        </w:rPr>
      </w:pPr>
      <w:bookmarkStart w:id="70" w:name="_Ref324163811"/>
      <w:r w:rsidRPr="00874D33">
        <w:rPr>
          <w:b w:val="0"/>
          <w:szCs w:val="24"/>
        </w:rPr>
        <w:t xml:space="preserve">An exercise of APRA’s discretion (such as an approval, </w:t>
      </w:r>
      <w:proofErr w:type="gramStart"/>
      <w:r w:rsidRPr="00874D33">
        <w:rPr>
          <w:b w:val="0"/>
          <w:szCs w:val="24"/>
        </w:rPr>
        <w:t>waiver</w:t>
      </w:r>
      <w:proofErr w:type="gramEnd"/>
      <w:r w:rsidRPr="00874D33">
        <w:rPr>
          <w:b w:val="0"/>
          <w:szCs w:val="24"/>
        </w:rPr>
        <w:t xml:space="preserve"> or direction) under a previous version of this Prudential Standard continues to have effect as though exercised pursuant to a corresponding power (if any) exercisable by APRA under this Prudential Standard.</w:t>
      </w:r>
      <w:r w:rsidR="00B12082" w:rsidRPr="00874D33">
        <w:rPr>
          <w:rStyle w:val="FootnoteReference"/>
          <w:b w:val="0"/>
          <w:szCs w:val="24"/>
        </w:rPr>
        <w:footnoteReference w:id="25"/>
      </w:r>
      <w:r w:rsidR="003C74DA" w:rsidRPr="00874D33">
        <w:rPr>
          <w:b w:val="0"/>
          <w:szCs w:val="24"/>
        </w:rPr>
        <w:t xml:space="preserve">  </w:t>
      </w:r>
      <w:bookmarkEnd w:id="70"/>
    </w:p>
    <w:p w14:paraId="07788629" w14:textId="7CA94772" w:rsidR="006B4587" w:rsidRPr="00874D33" w:rsidRDefault="006B4587" w:rsidP="00F25B19">
      <w:pPr>
        <w:pStyle w:val="Heading2"/>
        <w:spacing w:before="0" w:after="240"/>
        <w:rPr>
          <w:rFonts w:ascii="Times New Roman" w:hAnsi="Times New Roman" w:cs="Times New Roman"/>
          <w:i w:val="0"/>
          <w:sz w:val="24"/>
          <w:szCs w:val="24"/>
        </w:rPr>
      </w:pPr>
      <w:r w:rsidRPr="00874D33">
        <w:rPr>
          <w:rFonts w:ascii="Times New Roman" w:hAnsi="Times New Roman" w:cs="Times New Roman"/>
          <w:i w:val="0"/>
          <w:sz w:val="24"/>
          <w:szCs w:val="24"/>
        </w:rPr>
        <w:br w:type="page"/>
      </w:r>
      <w:bookmarkStart w:id="71" w:name="_Toc264640539"/>
      <w:bookmarkStart w:id="72" w:name="_Toc171678078"/>
      <w:r w:rsidRPr="00874D33">
        <w:rPr>
          <w:rFonts w:ascii="Times New Roman" w:hAnsi="Times New Roman" w:cs="Times New Roman"/>
          <w:i w:val="0"/>
          <w:sz w:val="24"/>
          <w:szCs w:val="24"/>
        </w:rPr>
        <w:lastRenderedPageBreak/>
        <w:t xml:space="preserve">Attachment </w:t>
      </w:r>
      <w:bookmarkEnd w:id="71"/>
      <w:r w:rsidR="00723086" w:rsidRPr="00874D33">
        <w:rPr>
          <w:rFonts w:ascii="Times New Roman" w:hAnsi="Times New Roman" w:cs="Times New Roman"/>
          <w:i w:val="0"/>
          <w:sz w:val="24"/>
          <w:szCs w:val="24"/>
        </w:rPr>
        <w:t>A</w:t>
      </w:r>
      <w:r w:rsidR="00EA3B52" w:rsidRPr="00874D33">
        <w:rPr>
          <w:rFonts w:ascii="Times New Roman" w:hAnsi="Times New Roman" w:cs="Times New Roman"/>
          <w:i w:val="0"/>
          <w:sz w:val="24"/>
          <w:szCs w:val="24"/>
        </w:rPr>
        <w:t xml:space="preserve"> – </w:t>
      </w:r>
      <w:bookmarkStart w:id="73" w:name="_Toc264640540"/>
      <w:bookmarkStart w:id="74" w:name="_Toc158622802"/>
      <w:bookmarkStart w:id="75" w:name="_Toc158623614"/>
      <w:r w:rsidRPr="00874D33">
        <w:rPr>
          <w:rFonts w:ascii="Times New Roman" w:hAnsi="Times New Roman" w:cs="Times New Roman"/>
          <w:i w:val="0"/>
          <w:sz w:val="24"/>
          <w:szCs w:val="24"/>
        </w:rPr>
        <w:t xml:space="preserve">Matters to be addressed in an Appointed Auditor’s </w:t>
      </w:r>
      <w:proofErr w:type="gramStart"/>
      <w:r w:rsidRPr="00874D33">
        <w:rPr>
          <w:rFonts w:ascii="Times New Roman" w:hAnsi="Times New Roman" w:cs="Times New Roman"/>
          <w:i w:val="0"/>
          <w:sz w:val="24"/>
          <w:szCs w:val="24"/>
        </w:rPr>
        <w:t>report</w:t>
      </w:r>
      <w:bookmarkEnd w:id="73"/>
      <w:bookmarkEnd w:id="74"/>
      <w:bookmarkEnd w:id="75"/>
      <w:bookmarkEnd w:id="72"/>
      <w:proofErr w:type="gramEnd"/>
    </w:p>
    <w:p w14:paraId="0778862A" w14:textId="66233CE3" w:rsidR="006B4587" w:rsidRPr="00874D33" w:rsidRDefault="006B4587" w:rsidP="006B4587">
      <w:pPr>
        <w:pStyle w:val="BodyText"/>
        <w:tabs>
          <w:tab w:val="clear" w:pos="567"/>
        </w:tabs>
        <w:spacing w:after="240"/>
        <w:ind w:left="0" w:firstLine="0"/>
        <w:jc w:val="both"/>
        <w:rPr>
          <w:b w:val="0"/>
          <w:szCs w:val="24"/>
          <w:lang w:val="en-AU"/>
        </w:rPr>
      </w:pPr>
      <w:r w:rsidRPr="00874D33">
        <w:rPr>
          <w:b w:val="0"/>
          <w:szCs w:val="24"/>
          <w:lang w:val="en-AU"/>
        </w:rPr>
        <w:t xml:space="preserve">For the purposes of paragraph </w:t>
      </w:r>
      <w:r w:rsidR="008808DD" w:rsidRPr="00874D33">
        <w:rPr>
          <w:b w:val="0"/>
          <w:szCs w:val="24"/>
          <w:lang w:val="en-AU"/>
        </w:rPr>
        <w:fldChar w:fldCharType="begin"/>
      </w:r>
      <w:r w:rsidR="008808DD" w:rsidRPr="00874D33">
        <w:rPr>
          <w:b w:val="0"/>
          <w:szCs w:val="24"/>
          <w:lang w:val="en-AU"/>
        </w:rPr>
        <w:instrText xml:space="preserve"> REF _Ref86201184 \r \h </w:instrText>
      </w:r>
      <w:r w:rsidR="00B91852" w:rsidRPr="00874D33">
        <w:rPr>
          <w:b w:val="0"/>
          <w:szCs w:val="24"/>
          <w:lang w:val="en-AU"/>
        </w:rPr>
        <w:instrText xml:space="preserve"> \* MERGEFORMAT </w:instrText>
      </w:r>
      <w:r w:rsidR="008808DD" w:rsidRPr="00874D33">
        <w:rPr>
          <w:b w:val="0"/>
          <w:szCs w:val="24"/>
          <w:lang w:val="en-AU"/>
        </w:rPr>
      </w:r>
      <w:r w:rsidR="008808DD" w:rsidRPr="00874D33">
        <w:rPr>
          <w:b w:val="0"/>
          <w:szCs w:val="24"/>
          <w:lang w:val="en-AU"/>
        </w:rPr>
        <w:fldChar w:fldCharType="separate"/>
      </w:r>
      <w:r w:rsidR="00D54771" w:rsidRPr="00874D33">
        <w:rPr>
          <w:b w:val="0"/>
          <w:szCs w:val="24"/>
          <w:lang w:val="en-AU"/>
        </w:rPr>
        <w:t>36</w:t>
      </w:r>
      <w:r w:rsidR="008808DD" w:rsidRPr="00874D33">
        <w:rPr>
          <w:b w:val="0"/>
          <w:szCs w:val="24"/>
          <w:lang w:val="en-AU"/>
        </w:rPr>
        <w:fldChar w:fldCharType="end"/>
      </w:r>
      <w:r w:rsidRPr="00874D33">
        <w:rPr>
          <w:b w:val="0"/>
          <w:szCs w:val="24"/>
          <w:lang w:val="en-AU"/>
        </w:rPr>
        <w:t xml:space="preserve"> of this Prudential Standard, the Appointed Auditor’s report must address whether:</w:t>
      </w:r>
    </w:p>
    <w:p w14:paraId="0778862B" w14:textId="77777777" w:rsidR="006B4587" w:rsidRPr="00874D33" w:rsidRDefault="006B4587" w:rsidP="009F6C65">
      <w:pPr>
        <w:pStyle w:val="BodyText"/>
        <w:numPr>
          <w:ilvl w:val="0"/>
          <w:numId w:val="20"/>
        </w:numPr>
        <w:spacing w:after="240"/>
        <w:jc w:val="both"/>
        <w:rPr>
          <w:b w:val="0"/>
          <w:szCs w:val="24"/>
          <w:lang w:val="en-AU"/>
        </w:rPr>
      </w:pPr>
      <w:r w:rsidRPr="00874D33">
        <w:rPr>
          <w:b w:val="0"/>
          <w:szCs w:val="24"/>
          <w:lang w:val="en-AU"/>
        </w:rPr>
        <w:t>there exist systems, procedures and controls that are kept up</w:t>
      </w:r>
      <w:r w:rsidR="00E05923" w:rsidRPr="00874D33">
        <w:rPr>
          <w:b w:val="0"/>
          <w:szCs w:val="24"/>
          <w:lang w:val="en-AU"/>
        </w:rPr>
        <w:t>-</w:t>
      </w:r>
      <w:r w:rsidRPr="00874D33">
        <w:rPr>
          <w:b w:val="0"/>
          <w:szCs w:val="24"/>
          <w:lang w:val="en-AU"/>
        </w:rPr>
        <w:t>to</w:t>
      </w:r>
      <w:r w:rsidR="00E05923" w:rsidRPr="00874D33">
        <w:rPr>
          <w:b w:val="0"/>
          <w:szCs w:val="24"/>
          <w:lang w:val="en-AU"/>
        </w:rPr>
        <w:t>-</w:t>
      </w:r>
      <w:r w:rsidRPr="00874D33">
        <w:rPr>
          <w:b w:val="0"/>
          <w:szCs w:val="24"/>
          <w:lang w:val="en-AU"/>
        </w:rPr>
        <w:t xml:space="preserve">date and address compliance with all prudential requirements. If the Appointed Auditor is of the opinion that the insurer does not have such systems, procedures and controls, it must specify in the report the reasons for this </w:t>
      </w:r>
      <w:proofErr w:type="gramStart"/>
      <w:r w:rsidRPr="00874D33">
        <w:rPr>
          <w:b w:val="0"/>
          <w:szCs w:val="24"/>
          <w:lang w:val="en-AU"/>
        </w:rPr>
        <w:t>opinion;</w:t>
      </w:r>
      <w:proofErr w:type="gramEnd"/>
      <w:r w:rsidRPr="00874D33">
        <w:rPr>
          <w:b w:val="0"/>
          <w:szCs w:val="24"/>
          <w:lang w:val="en-AU"/>
        </w:rPr>
        <w:t xml:space="preserve"> </w:t>
      </w:r>
    </w:p>
    <w:p w14:paraId="0778862C" w14:textId="77777777" w:rsidR="006B4587" w:rsidRPr="00874D33" w:rsidRDefault="006B4587" w:rsidP="009F6C65">
      <w:pPr>
        <w:pStyle w:val="BodyText"/>
        <w:numPr>
          <w:ilvl w:val="0"/>
          <w:numId w:val="20"/>
        </w:numPr>
        <w:spacing w:after="240"/>
        <w:jc w:val="both"/>
        <w:rPr>
          <w:b w:val="0"/>
          <w:szCs w:val="24"/>
          <w:lang w:val="en-AU"/>
        </w:rPr>
      </w:pPr>
      <w:r w:rsidRPr="00874D33">
        <w:rPr>
          <w:b w:val="0"/>
          <w:szCs w:val="24"/>
          <w:lang w:val="en-AU"/>
        </w:rPr>
        <w:t>systems, procedures and controls relating to actuarial data integrity and financial reporting risks (the risks that incorrect source data will be used in completing returns to APRA in accordance with the Collection of Data Act)</w:t>
      </w:r>
      <w:r w:rsidRPr="00874D33">
        <w:rPr>
          <w:b w:val="0"/>
          <w:i/>
          <w:szCs w:val="24"/>
          <w:lang w:val="en-AU"/>
        </w:rPr>
        <w:t xml:space="preserve"> </w:t>
      </w:r>
      <w:r w:rsidRPr="00874D33">
        <w:rPr>
          <w:b w:val="0"/>
          <w:szCs w:val="24"/>
          <w:lang w:val="en-AU"/>
        </w:rPr>
        <w:t xml:space="preserve">are adequate and </w:t>
      </w:r>
      <w:proofErr w:type="gramStart"/>
      <w:r w:rsidRPr="00874D33">
        <w:rPr>
          <w:b w:val="0"/>
          <w:szCs w:val="24"/>
          <w:lang w:val="en-AU"/>
        </w:rPr>
        <w:t>effective;</w:t>
      </w:r>
      <w:proofErr w:type="gramEnd"/>
    </w:p>
    <w:p w14:paraId="0778862D" w14:textId="77777777" w:rsidR="006B4587" w:rsidRPr="00874D33" w:rsidRDefault="006B4587" w:rsidP="009F6C65">
      <w:pPr>
        <w:pStyle w:val="BodyText"/>
        <w:numPr>
          <w:ilvl w:val="0"/>
          <w:numId w:val="20"/>
        </w:numPr>
        <w:spacing w:after="240"/>
        <w:jc w:val="both"/>
        <w:rPr>
          <w:b w:val="0"/>
          <w:szCs w:val="24"/>
          <w:lang w:val="en-AU"/>
        </w:rPr>
      </w:pPr>
      <w:proofErr w:type="gramStart"/>
      <w:r w:rsidRPr="00874D33">
        <w:rPr>
          <w:b w:val="0"/>
          <w:szCs w:val="24"/>
          <w:lang w:val="en-AU"/>
        </w:rPr>
        <w:t>during the course of</w:t>
      </w:r>
      <w:proofErr w:type="gramEnd"/>
      <w:r w:rsidRPr="00874D33">
        <w:rPr>
          <w:b w:val="0"/>
          <w:szCs w:val="24"/>
          <w:lang w:val="en-AU"/>
        </w:rPr>
        <w:t xml:space="preserve"> testing the insurer’s systems, procedures and controls, instances of non-compliance with prudential requirements have been identified.  If so, details are to be </w:t>
      </w:r>
      <w:proofErr w:type="gramStart"/>
      <w:r w:rsidRPr="00874D33">
        <w:rPr>
          <w:b w:val="0"/>
          <w:szCs w:val="24"/>
          <w:lang w:val="en-AU"/>
        </w:rPr>
        <w:t>provided;</w:t>
      </w:r>
      <w:proofErr w:type="gramEnd"/>
      <w:r w:rsidRPr="00874D33">
        <w:rPr>
          <w:b w:val="0"/>
          <w:szCs w:val="24"/>
          <w:lang w:val="en-AU"/>
        </w:rPr>
        <w:t xml:space="preserve"> </w:t>
      </w:r>
    </w:p>
    <w:p w14:paraId="0778862E" w14:textId="77777777" w:rsidR="006B4587" w:rsidRPr="00874D33" w:rsidRDefault="006B4587" w:rsidP="009F6C65">
      <w:pPr>
        <w:pStyle w:val="BodyText"/>
        <w:numPr>
          <w:ilvl w:val="0"/>
          <w:numId w:val="20"/>
        </w:numPr>
        <w:tabs>
          <w:tab w:val="left" w:pos="6663"/>
        </w:tabs>
        <w:spacing w:after="240"/>
        <w:jc w:val="both"/>
        <w:rPr>
          <w:b w:val="0"/>
          <w:szCs w:val="24"/>
          <w:lang w:val="en-AU"/>
        </w:rPr>
      </w:pPr>
      <w:r w:rsidRPr="00874D33">
        <w:rPr>
          <w:b w:val="0"/>
          <w:szCs w:val="24"/>
          <w:lang w:val="en-AU"/>
        </w:rPr>
        <w:t xml:space="preserve">the insurer has complied, in all significant respects, with its </w:t>
      </w:r>
      <w:r w:rsidRPr="00874D33">
        <w:rPr>
          <w:szCs w:val="24"/>
          <w:lang w:val="en-AU"/>
        </w:rPr>
        <w:t xml:space="preserve">Risk Management Strategy </w:t>
      </w:r>
      <w:r w:rsidRPr="00874D33">
        <w:rPr>
          <w:b w:val="0"/>
          <w:szCs w:val="24"/>
          <w:lang w:val="en-AU"/>
        </w:rPr>
        <w:t xml:space="preserve">(RMS) and </w:t>
      </w:r>
      <w:r w:rsidRPr="00874D33">
        <w:rPr>
          <w:szCs w:val="24"/>
          <w:lang w:val="en-AU"/>
        </w:rPr>
        <w:t>Reinsurance Management Strategy</w:t>
      </w:r>
      <w:r w:rsidRPr="00874D33">
        <w:rPr>
          <w:b w:val="0"/>
          <w:szCs w:val="24"/>
          <w:lang w:val="en-AU"/>
        </w:rPr>
        <w:t xml:space="preserve"> (</w:t>
      </w:r>
      <w:proofErr w:type="spellStart"/>
      <w:r w:rsidR="00CC258A" w:rsidRPr="00874D33">
        <w:rPr>
          <w:b w:val="0"/>
          <w:szCs w:val="24"/>
          <w:lang w:val="en-AU"/>
        </w:rPr>
        <w:t>ReMS</w:t>
      </w:r>
      <w:proofErr w:type="spellEnd"/>
      <w:r w:rsidRPr="00874D33">
        <w:rPr>
          <w:b w:val="0"/>
          <w:szCs w:val="24"/>
          <w:lang w:val="en-AU"/>
        </w:rPr>
        <w:t xml:space="preserve">). If the Appointed Auditor is of the opinion that the insurer has not complied with its RMS and </w:t>
      </w:r>
      <w:proofErr w:type="spellStart"/>
      <w:r w:rsidR="00CC258A" w:rsidRPr="00874D33">
        <w:rPr>
          <w:b w:val="0"/>
          <w:szCs w:val="24"/>
          <w:lang w:val="en-AU"/>
        </w:rPr>
        <w:t>ReMS</w:t>
      </w:r>
      <w:proofErr w:type="spellEnd"/>
      <w:r w:rsidRPr="00874D33">
        <w:rPr>
          <w:b w:val="0"/>
          <w:szCs w:val="24"/>
          <w:lang w:val="en-AU"/>
        </w:rPr>
        <w:t xml:space="preserve">, it must specify in the report the reasons for this </w:t>
      </w:r>
      <w:proofErr w:type="gramStart"/>
      <w:r w:rsidRPr="00874D33">
        <w:rPr>
          <w:b w:val="0"/>
          <w:szCs w:val="24"/>
          <w:lang w:val="en-AU"/>
        </w:rPr>
        <w:t>opinion;</w:t>
      </w:r>
      <w:proofErr w:type="gramEnd"/>
    </w:p>
    <w:p w14:paraId="0778862F" w14:textId="77777777" w:rsidR="006B4587" w:rsidRPr="00874D33" w:rsidRDefault="006B4587" w:rsidP="009F6C65">
      <w:pPr>
        <w:pStyle w:val="BodyText"/>
        <w:numPr>
          <w:ilvl w:val="0"/>
          <w:numId w:val="20"/>
        </w:numPr>
        <w:spacing w:after="240"/>
        <w:jc w:val="both"/>
        <w:rPr>
          <w:b w:val="0"/>
          <w:szCs w:val="24"/>
          <w:lang w:val="en-AU"/>
        </w:rPr>
      </w:pPr>
      <w:r w:rsidRPr="00874D33">
        <w:rPr>
          <w:b w:val="0"/>
          <w:szCs w:val="24"/>
          <w:lang w:val="en-AU"/>
        </w:rPr>
        <w:t xml:space="preserve">the insurer has systems, </w:t>
      </w:r>
      <w:proofErr w:type="gramStart"/>
      <w:r w:rsidRPr="00874D33">
        <w:rPr>
          <w:b w:val="0"/>
          <w:szCs w:val="24"/>
          <w:lang w:val="en-AU"/>
        </w:rPr>
        <w:t>procedures</w:t>
      </w:r>
      <w:proofErr w:type="gramEnd"/>
      <w:r w:rsidRPr="00874D33">
        <w:rPr>
          <w:b w:val="0"/>
          <w:szCs w:val="24"/>
          <w:lang w:val="en-AU"/>
        </w:rPr>
        <w:t xml:space="preserve"> and controls in place to ensure that reliable statistical and financial data are provided to APRA in the quarterly returns required by reporting standards made under the Collection of Data Act. If the Appointed Auditor is of the opinion that the insurer does not have such systems, </w:t>
      </w:r>
      <w:proofErr w:type="gramStart"/>
      <w:r w:rsidRPr="00874D33">
        <w:rPr>
          <w:b w:val="0"/>
          <w:szCs w:val="24"/>
          <w:lang w:val="en-AU"/>
        </w:rPr>
        <w:t>procedures</w:t>
      </w:r>
      <w:proofErr w:type="gramEnd"/>
      <w:r w:rsidRPr="00874D33">
        <w:rPr>
          <w:b w:val="0"/>
          <w:szCs w:val="24"/>
          <w:lang w:val="en-AU"/>
        </w:rPr>
        <w:t xml:space="preserve"> and controls, it must specify in the report the reasons for this opinion; and</w:t>
      </w:r>
    </w:p>
    <w:p w14:paraId="07788630" w14:textId="77777777" w:rsidR="006B4587" w:rsidRPr="00874D33" w:rsidRDefault="006B4587" w:rsidP="009F6C65">
      <w:pPr>
        <w:pStyle w:val="BodyText"/>
        <w:numPr>
          <w:ilvl w:val="0"/>
          <w:numId w:val="20"/>
        </w:numPr>
        <w:spacing w:after="240"/>
        <w:jc w:val="both"/>
        <w:rPr>
          <w:b w:val="0"/>
          <w:szCs w:val="24"/>
          <w:lang w:val="en-AU"/>
        </w:rPr>
      </w:pPr>
      <w:r w:rsidRPr="00874D33">
        <w:rPr>
          <w:b w:val="0"/>
          <w:szCs w:val="24"/>
          <w:lang w:val="en-AU"/>
        </w:rPr>
        <w:t xml:space="preserve">there are matters </w:t>
      </w:r>
      <w:r w:rsidR="00E320EA" w:rsidRPr="00874D33">
        <w:rPr>
          <w:b w:val="0"/>
          <w:szCs w:val="24"/>
          <w:lang w:val="en-AU"/>
        </w:rPr>
        <w:t xml:space="preserve">that </w:t>
      </w:r>
      <w:r w:rsidRPr="00874D33">
        <w:rPr>
          <w:b w:val="0"/>
          <w:szCs w:val="24"/>
          <w:lang w:val="en-AU"/>
        </w:rPr>
        <w:t xml:space="preserve">have come to the Appointed Auditor’s attention that will, or are likely to, adversely affect the interests of policyholders of the insurer. If so, the Appointed Auditor must provide details in the report. </w:t>
      </w:r>
    </w:p>
    <w:p w14:paraId="07788632" w14:textId="7537D266" w:rsidR="00723086" w:rsidRPr="00874D33" w:rsidRDefault="006B4587" w:rsidP="00E922FC">
      <w:pPr>
        <w:pStyle w:val="Heading2"/>
        <w:spacing w:before="0" w:after="240"/>
        <w:rPr>
          <w:rFonts w:ascii="Times New Roman" w:hAnsi="Times New Roman" w:cs="Times New Roman"/>
          <w:i w:val="0"/>
          <w:sz w:val="24"/>
          <w:szCs w:val="24"/>
        </w:rPr>
      </w:pPr>
      <w:r w:rsidRPr="00874D33">
        <w:rPr>
          <w:rFonts w:ascii="Times New Roman" w:hAnsi="Times New Roman" w:cs="Times New Roman"/>
          <w:i w:val="0"/>
          <w:sz w:val="24"/>
          <w:szCs w:val="24"/>
        </w:rPr>
        <w:br w:type="page"/>
      </w:r>
      <w:bookmarkStart w:id="76" w:name="_Toc264640520"/>
      <w:bookmarkStart w:id="77" w:name="_Toc171678079"/>
      <w:bookmarkStart w:id="78" w:name="_Toc217201548"/>
      <w:bookmarkStart w:id="79" w:name="_Toc264640541"/>
      <w:r w:rsidR="00723086" w:rsidRPr="00874D33">
        <w:rPr>
          <w:rFonts w:ascii="Times New Roman" w:hAnsi="Times New Roman" w:cs="Times New Roman"/>
          <w:i w:val="0"/>
          <w:sz w:val="24"/>
          <w:szCs w:val="24"/>
        </w:rPr>
        <w:lastRenderedPageBreak/>
        <w:t xml:space="preserve">Attachment </w:t>
      </w:r>
      <w:bookmarkEnd w:id="76"/>
      <w:r w:rsidR="00723086" w:rsidRPr="00874D33">
        <w:rPr>
          <w:rFonts w:ascii="Times New Roman" w:hAnsi="Times New Roman" w:cs="Times New Roman"/>
          <w:i w:val="0"/>
          <w:sz w:val="24"/>
          <w:szCs w:val="24"/>
        </w:rPr>
        <w:t>B</w:t>
      </w:r>
      <w:r w:rsidR="00705F9C" w:rsidRPr="00874D33">
        <w:rPr>
          <w:rFonts w:ascii="Times New Roman" w:hAnsi="Times New Roman" w:cs="Times New Roman"/>
          <w:i w:val="0"/>
          <w:sz w:val="24"/>
          <w:szCs w:val="24"/>
        </w:rPr>
        <w:t xml:space="preserve"> – </w:t>
      </w:r>
      <w:r w:rsidR="00723086" w:rsidRPr="00874D33">
        <w:rPr>
          <w:rFonts w:ascii="Times New Roman" w:hAnsi="Times New Roman" w:cs="Times New Roman"/>
          <w:i w:val="0"/>
          <w:sz w:val="24"/>
          <w:szCs w:val="24"/>
        </w:rPr>
        <w:t xml:space="preserve">Level 2 </w:t>
      </w:r>
      <w:r w:rsidR="001A6596" w:rsidRPr="00874D33">
        <w:rPr>
          <w:rFonts w:ascii="Times New Roman" w:hAnsi="Times New Roman" w:cs="Times New Roman"/>
          <w:i w:val="0"/>
          <w:sz w:val="24"/>
          <w:szCs w:val="24"/>
        </w:rPr>
        <w:t>i</w:t>
      </w:r>
      <w:r w:rsidR="00723086" w:rsidRPr="00874D33">
        <w:rPr>
          <w:rFonts w:ascii="Times New Roman" w:hAnsi="Times New Roman" w:cs="Times New Roman"/>
          <w:i w:val="0"/>
          <w:sz w:val="24"/>
          <w:szCs w:val="24"/>
        </w:rPr>
        <w:t xml:space="preserve">nsurance </w:t>
      </w:r>
      <w:r w:rsidR="001A6596" w:rsidRPr="00874D33">
        <w:rPr>
          <w:rFonts w:ascii="Times New Roman" w:hAnsi="Times New Roman" w:cs="Times New Roman"/>
          <w:i w:val="0"/>
          <w:sz w:val="24"/>
          <w:szCs w:val="24"/>
        </w:rPr>
        <w:t>g</w:t>
      </w:r>
      <w:r w:rsidR="00723086" w:rsidRPr="00874D33">
        <w:rPr>
          <w:rFonts w:ascii="Times New Roman" w:hAnsi="Times New Roman" w:cs="Times New Roman"/>
          <w:i w:val="0"/>
          <w:sz w:val="24"/>
          <w:szCs w:val="24"/>
        </w:rPr>
        <w:t>roups</w:t>
      </w:r>
      <w:bookmarkEnd w:id="77"/>
    </w:p>
    <w:p w14:paraId="07788633" w14:textId="77777777" w:rsidR="00723086" w:rsidRPr="00874D33" w:rsidRDefault="00723086" w:rsidP="00723086">
      <w:pPr>
        <w:pStyle w:val="Heading3"/>
        <w:keepLines/>
        <w:spacing w:before="120" w:after="240"/>
        <w:jc w:val="both"/>
        <w:rPr>
          <w:rFonts w:ascii="Times New Roman" w:hAnsi="Times New Roman" w:cs="Times New Roman"/>
          <w:sz w:val="24"/>
          <w:szCs w:val="24"/>
        </w:rPr>
      </w:pPr>
      <w:bookmarkStart w:id="80" w:name="_Toc217201533"/>
      <w:bookmarkStart w:id="81" w:name="_Toc158624411"/>
      <w:bookmarkStart w:id="82" w:name="_Toc171678080"/>
      <w:r w:rsidRPr="00874D33">
        <w:rPr>
          <w:rFonts w:ascii="Times New Roman" w:hAnsi="Times New Roman" w:cs="Times New Roman"/>
          <w:sz w:val="24"/>
          <w:szCs w:val="24"/>
        </w:rPr>
        <w:t>Appointment of a Group Auditor</w:t>
      </w:r>
      <w:bookmarkEnd w:id="80"/>
      <w:bookmarkEnd w:id="81"/>
      <w:bookmarkEnd w:id="82"/>
    </w:p>
    <w:p w14:paraId="07788634" w14:textId="77777777" w:rsidR="00723086" w:rsidRPr="00874D33" w:rsidRDefault="00723086" w:rsidP="009F6C65">
      <w:pPr>
        <w:pStyle w:val="BodyText"/>
        <w:numPr>
          <w:ilvl w:val="0"/>
          <w:numId w:val="24"/>
        </w:numPr>
        <w:tabs>
          <w:tab w:val="clear" w:pos="720"/>
          <w:tab w:val="num" w:pos="567"/>
        </w:tabs>
        <w:autoSpaceDE w:val="0"/>
        <w:autoSpaceDN w:val="0"/>
        <w:spacing w:after="240"/>
        <w:ind w:left="567" w:hanging="567"/>
        <w:jc w:val="both"/>
        <w:rPr>
          <w:szCs w:val="24"/>
        </w:rPr>
      </w:pPr>
      <w:bookmarkStart w:id="83" w:name="_Ref194310826"/>
      <w:r w:rsidRPr="00874D33">
        <w:rPr>
          <w:b w:val="0"/>
          <w:szCs w:val="24"/>
        </w:rPr>
        <w:t>The parent entity of a Level 2 insurance group must appoint a Group Auditor.  The Group Auditor of a Level 2 insurance group must be one of the following persons:</w:t>
      </w:r>
      <w:bookmarkEnd w:id="83"/>
    </w:p>
    <w:p w14:paraId="07788635" w14:textId="77777777" w:rsidR="00723086" w:rsidRPr="00874D33" w:rsidRDefault="00723086" w:rsidP="009F6C65">
      <w:pPr>
        <w:pStyle w:val="NormaltextCharCharCharCharChar"/>
        <w:numPr>
          <w:ilvl w:val="0"/>
          <w:numId w:val="21"/>
        </w:numPr>
        <w:autoSpaceDE w:val="0"/>
        <w:autoSpaceDN w:val="0"/>
        <w:rPr>
          <w:szCs w:val="24"/>
        </w:rPr>
      </w:pPr>
      <w:r w:rsidRPr="00874D33">
        <w:rPr>
          <w:szCs w:val="24"/>
        </w:rPr>
        <w:t>the Appointed Auditor</w:t>
      </w:r>
      <w:r w:rsidRPr="00874D33">
        <w:rPr>
          <w:rStyle w:val="FootnoteReference"/>
          <w:szCs w:val="24"/>
        </w:rPr>
        <w:footnoteReference w:id="26"/>
      </w:r>
      <w:r w:rsidRPr="00874D33">
        <w:rPr>
          <w:szCs w:val="24"/>
        </w:rPr>
        <w:t xml:space="preserve"> of the parent entity where the parent entity is an </w:t>
      </w:r>
      <w:proofErr w:type="gramStart"/>
      <w:r w:rsidRPr="00874D33">
        <w:rPr>
          <w:szCs w:val="24"/>
        </w:rPr>
        <w:t>insurer;</w:t>
      </w:r>
      <w:proofErr w:type="gramEnd"/>
    </w:p>
    <w:p w14:paraId="07788636" w14:textId="77777777" w:rsidR="00723086" w:rsidRPr="00874D33" w:rsidRDefault="00723086" w:rsidP="009F6C65">
      <w:pPr>
        <w:pStyle w:val="NormaltextCharCharCharCharChar"/>
        <w:numPr>
          <w:ilvl w:val="0"/>
          <w:numId w:val="21"/>
        </w:numPr>
        <w:autoSpaceDE w:val="0"/>
        <w:autoSpaceDN w:val="0"/>
        <w:rPr>
          <w:szCs w:val="24"/>
        </w:rPr>
      </w:pPr>
      <w:r w:rsidRPr="00874D33">
        <w:rPr>
          <w:szCs w:val="24"/>
        </w:rPr>
        <w:t>the Appointed Auditor</w:t>
      </w:r>
      <w:r w:rsidRPr="00874D33">
        <w:rPr>
          <w:rStyle w:val="FootnoteReference"/>
          <w:szCs w:val="24"/>
        </w:rPr>
        <w:footnoteReference w:id="27"/>
      </w:r>
      <w:r w:rsidRPr="00874D33">
        <w:rPr>
          <w:szCs w:val="24"/>
        </w:rPr>
        <w:t xml:space="preserve"> of an APRA-authorised insurer within the group; or</w:t>
      </w:r>
    </w:p>
    <w:p w14:paraId="07788637" w14:textId="77777777" w:rsidR="00723086" w:rsidRPr="00874D33" w:rsidRDefault="00723086" w:rsidP="009F6C65">
      <w:pPr>
        <w:pStyle w:val="NormaltextCharCharCharCharChar"/>
        <w:numPr>
          <w:ilvl w:val="0"/>
          <w:numId w:val="21"/>
        </w:numPr>
        <w:autoSpaceDE w:val="0"/>
        <w:autoSpaceDN w:val="0"/>
        <w:rPr>
          <w:szCs w:val="24"/>
        </w:rPr>
      </w:pPr>
      <w:r w:rsidRPr="00874D33">
        <w:rPr>
          <w:szCs w:val="24"/>
        </w:rPr>
        <w:t>a responsible auditor</w:t>
      </w:r>
      <w:r w:rsidRPr="00874D33">
        <w:rPr>
          <w:rStyle w:val="FootnoteReference"/>
          <w:szCs w:val="24"/>
        </w:rPr>
        <w:footnoteReference w:id="28"/>
      </w:r>
      <w:r w:rsidRPr="00874D33">
        <w:rPr>
          <w:szCs w:val="24"/>
        </w:rPr>
        <w:t xml:space="preserve"> of the parent entity where the parent entity is an </w:t>
      </w:r>
      <w:r w:rsidRPr="00874D33">
        <w:rPr>
          <w:b/>
          <w:szCs w:val="24"/>
        </w:rPr>
        <w:t>authorised NOHC</w:t>
      </w:r>
      <w:r w:rsidRPr="00874D33">
        <w:rPr>
          <w:szCs w:val="24"/>
        </w:rPr>
        <w:t>.</w:t>
      </w:r>
    </w:p>
    <w:p w14:paraId="07788638" w14:textId="77777777" w:rsidR="00723086" w:rsidRPr="00874D33" w:rsidRDefault="00723086" w:rsidP="009F6C65">
      <w:pPr>
        <w:pStyle w:val="BodyText"/>
        <w:numPr>
          <w:ilvl w:val="0"/>
          <w:numId w:val="24"/>
        </w:numPr>
        <w:tabs>
          <w:tab w:val="clear" w:pos="720"/>
          <w:tab w:val="num" w:pos="567"/>
        </w:tabs>
        <w:autoSpaceDE w:val="0"/>
        <w:autoSpaceDN w:val="0"/>
        <w:spacing w:after="240"/>
        <w:ind w:left="567" w:hanging="567"/>
        <w:jc w:val="both"/>
        <w:rPr>
          <w:b w:val="0"/>
          <w:szCs w:val="24"/>
        </w:rPr>
      </w:pPr>
      <w:bookmarkStart w:id="84" w:name="_Ref194310900"/>
      <w:r w:rsidRPr="00874D33">
        <w:rPr>
          <w:b w:val="0"/>
          <w:szCs w:val="24"/>
        </w:rPr>
        <w:t xml:space="preserve">In addition to the fit and proper criteria that the Group Auditor is required to meet under </w:t>
      </w:r>
      <w:r w:rsidRPr="00874D33">
        <w:rPr>
          <w:b w:val="0"/>
          <w:i/>
          <w:szCs w:val="24"/>
        </w:rPr>
        <w:t>Prudential Standard CPS 520 Fit and Proper</w:t>
      </w:r>
      <w:r w:rsidRPr="00874D33">
        <w:rPr>
          <w:b w:val="0"/>
          <w:szCs w:val="24"/>
        </w:rPr>
        <w:t xml:space="preserve"> (CPS 520), the parent entity of a Level 2 insurance group must ensure that the Group Auditor is not:</w:t>
      </w:r>
    </w:p>
    <w:p w14:paraId="07788639" w14:textId="77777777" w:rsidR="00723086" w:rsidRPr="00874D33" w:rsidRDefault="00723086" w:rsidP="009F6C65">
      <w:pPr>
        <w:pStyle w:val="NormaltextCharCharCharCharChar"/>
        <w:numPr>
          <w:ilvl w:val="0"/>
          <w:numId w:val="32"/>
        </w:numPr>
        <w:autoSpaceDE w:val="0"/>
        <w:autoSpaceDN w:val="0"/>
        <w:rPr>
          <w:szCs w:val="24"/>
        </w:rPr>
      </w:pPr>
      <w:r w:rsidRPr="00874D33">
        <w:rPr>
          <w:szCs w:val="24"/>
        </w:rPr>
        <w:t xml:space="preserve">the </w:t>
      </w:r>
      <w:r w:rsidRPr="00874D33">
        <w:rPr>
          <w:b/>
          <w:szCs w:val="24"/>
        </w:rPr>
        <w:t xml:space="preserve">Group </w:t>
      </w:r>
      <w:proofErr w:type="gramStart"/>
      <w:r w:rsidRPr="00874D33">
        <w:rPr>
          <w:b/>
          <w:szCs w:val="24"/>
        </w:rPr>
        <w:t>Actuary</w:t>
      </w:r>
      <w:r w:rsidRPr="00874D33">
        <w:rPr>
          <w:szCs w:val="24"/>
        </w:rPr>
        <w:t>;</w:t>
      </w:r>
      <w:proofErr w:type="gramEnd"/>
    </w:p>
    <w:p w14:paraId="0778863A" w14:textId="77777777" w:rsidR="00723086" w:rsidRPr="00874D33" w:rsidRDefault="00723086" w:rsidP="009F6C65">
      <w:pPr>
        <w:pStyle w:val="NormaltextCharCharCharCharChar"/>
        <w:numPr>
          <w:ilvl w:val="0"/>
          <w:numId w:val="32"/>
        </w:numPr>
        <w:autoSpaceDE w:val="0"/>
        <w:autoSpaceDN w:val="0"/>
        <w:rPr>
          <w:szCs w:val="24"/>
        </w:rPr>
      </w:pPr>
      <w:r w:rsidRPr="00874D33">
        <w:rPr>
          <w:szCs w:val="24"/>
        </w:rPr>
        <w:t xml:space="preserve">the actuary of an entity within the group carrying on insurance </w:t>
      </w:r>
      <w:proofErr w:type="gramStart"/>
      <w:r w:rsidRPr="00874D33">
        <w:rPr>
          <w:szCs w:val="24"/>
        </w:rPr>
        <w:t>business;</w:t>
      </w:r>
      <w:proofErr w:type="gramEnd"/>
    </w:p>
    <w:p w14:paraId="0778863B" w14:textId="77777777" w:rsidR="00723086" w:rsidRPr="00874D33" w:rsidRDefault="00723086" w:rsidP="009F6C65">
      <w:pPr>
        <w:pStyle w:val="NormaltextCharCharCharCharChar"/>
        <w:numPr>
          <w:ilvl w:val="0"/>
          <w:numId w:val="32"/>
        </w:numPr>
        <w:autoSpaceDE w:val="0"/>
        <w:autoSpaceDN w:val="0"/>
        <w:rPr>
          <w:szCs w:val="24"/>
        </w:rPr>
      </w:pPr>
      <w:r w:rsidRPr="00874D33">
        <w:rPr>
          <w:szCs w:val="24"/>
        </w:rPr>
        <w:t xml:space="preserve">an employee or </w:t>
      </w:r>
      <w:r w:rsidRPr="00874D33">
        <w:rPr>
          <w:b/>
          <w:szCs w:val="24"/>
        </w:rPr>
        <w:t>director</w:t>
      </w:r>
      <w:r w:rsidRPr="00874D33">
        <w:rPr>
          <w:szCs w:val="24"/>
        </w:rPr>
        <w:t xml:space="preserve"> of the entity of which a person referred to in sub- paragraph (a) or (b) is an employee or director; or</w:t>
      </w:r>
    </w:p>
    <w:p w14:paraId="0778863C" w14:textId="77777777" w:rsidR="00723086" w:rsidRPr="00874D33" w:rsidRDefault="00723086" w:rsidP="009F6C65">
      <w:pPr>
        <w:pStyle w:val="NormaltextCharCharCharCharChar"/>
        <w:numPr>
          <w:ilvl w:val="0"/>
          <w:numId w:val="32"/>
        </w:numPr>
        <w:autoSpaceDE w:val="0"/>
        <w:autoSpaceDN w:val="0"/>
        <w:rPr>
          <w:szCs w:val="24"/>
        </w:rPr>
      </w:pPr>
      <w:r w:rsidRPr="00874D33">
        <w:rPr>
          <w:szCs w:val="24"/>
        </w:rPr>
        <w:t>a partner of a person referred to in sub-paragraph (a) or (b).</w:t>
      </w:r>
    </w:p>
    <w:p w14:paraId="0778863D" w14:textId="77777777" w:rsidR="00723086" w:rsidRPr="00874D33" w:rsidRDefault="00723086" w:rsidP="009F6C65">
      <w:pPr>
        <w:pStyle w:val="BodyText"/>
        <w:numPr>
          <w:ilvl w:val="0"/>
          <w:numId w:val="24"/>
        </w:numPr>
        <w:tabs>
          <w:tab w:val="clear" w:pos="720"/>
          <w:tab w:val="num" w:pos="567"/>
        </w:tabs>
        <w:autoSpaceDE w:val="0"/>
        <w:autoSpaceDN w:val="0"/>
        <w:spacing w:after="240"/>
        <w:ind w:left="567" w:hanging="567"/>
        <w:jc w:val="both"/>
        <w:rPr>
          <w:b w:val="0"/>
          <w:szCs w:val="24"/>
        </w:rPr>
      </w:pPr>
      <w:r w:rsidRPr="00874D33">
        <w:rPr>
          <w:b w:val="0"/>
          <w:szCs w:val="24"/>
        </w:rPr>
        <w:t xml:space="preserve">The parent entity of a Level 2 insurance group must also ensure that its Group Auditor meets the independence requirements applicable to an Appointed Auditor under </w:t>
      </w:r>
      <w:r w:rsidRPr="00874D33">
        <w:rPr>
          <w:b w:val="0"/>
          <w:i/>
          <w:szCs w:val="24"/>
        </w:rPr>
        <w:t xml:space="preserve">Prudential Standard CPS 510 Governance </w:t>
      </w:r>
      <w:r w:rsidRPr="00874D33">
        <w:rPr>
          <w:b w:val="0"/>
          <w:szCs w:val="24"/>
        </w:rPr>
        <w:t>(CPS 510).</w:t>
      </w:r>
      <w:r w:rsidRPr="00874D33">
        <w:rPr>
          <w:rStyle w:val="FootnoteReference"/>
          <w:b w:val="0"/>
          <w:szCs w:val="24"/>
        </w:rPr>
        <w:footnoteReference w:id="29"/>
      </w:r>
      <w:r w:rsidRPr="00874D33">
        <w:rPr>
          <w:b w:val="0"/>
          <w:szCs w:val="24"/>
        </w:rPr>
        <w:t xml:space="preserve"> </w:t>
      </w:r>
    </w:p>
    <w:p w14:paraId="0778863E" w14:textId="77777777" w:rsidR="001719E5" w:rsidRPr="00874D33" w:rsidRDefault="001719E5">
      <w:pPr>
        <w:rPr>
          <w:b/>
          <w:szCs w:val="24"/>
        </w:rPr>
      </w:pPr>
      <w:bookmarkStart w:id="85" w:name="_Toc217201534"/>
      <w:bookmarkEnd w:id="84"/>
      <w:r w:rsidRPr="00874D33">
        <w:rPr>
          <w:szCs w:val="24"/>
        </w:rPr>
        <w:br w:type="page"/>
      </w:r>
    </w:p>
    <w:p w14:paraId="0778863F" w14:textId="77777777" w:rsidR="00723086" w:rsidRPr="00874D33" w:rsidRDefault="00723086" w:rsidP="00723086">
      <w:pPr>
        <w:pStyle w:val="Heading3"/>
        <w:keepLines/>
        <w:spacing w:before="120" w:after="240"/>
        <w:jc w:val="both"/>
        <w:rPr>
          <w:rFonts w:ascii="Times New Roman" w:hAnsi="Times New Roman" w:cs="Times New Roman"/>
          <w:sz w:val="24"/>
          <w:szCs w:val="24"/>
        </w:rPr>
      </w:pPr>
      <w:bookmarkStart w:id="86" w:name="_Toc158624412"/>
      <w:bookmarkStart w:id="87" w:name="_Toc171678081"/>
      <w:r w:rsidRPr="00874D33">
        <w:rPr>
          <w:rFonts w:ascii="Times New Roman" w:hAnsi="Times New Roman" w:cs="Times New Roman"/>
          <w:sz w:val="24"/>
          <w:szCs w:val="24"/>
        </w:rPr>
        <w:lastRenderedPageBreak/>
        <w:t>Role of Group Auditor</w:t>
      </w:r>
      <w:bookmarkEnd w:id="85"/>
      <w:bookmarkEnd w:id="86"/>
      <w:bookmarkEnd w:id="87"/>
    </w:p>
    <w:p w14:paraId="07788640" w14:textId="77777777" w:rsidR="00723086" w:rsidRPr="00874D33" w:rsidRDefault="00723086" w:rsidP="009F6C65">
      <w:pPr>
        <w:pStyle w:val="BodyText"/>
        <w:numPr>
          <w:ilvl w:val="0"/>
          <w:numId w:val="24"/>
        </w:numPr>
        <w:tabs>
          <w:tab w:val="clear" w:pos="720"/>
          <w:tab w:val="num" w:pos="567"/>
        </w:tabs>
        <w:autoSpaceDE w:val="0"/>
        <w:autoSpaceDN w:val="0"/>
        <w:spacing w:after="240"/>
        <w:ind w:left="567" w:hanging="567"/>
        <w:jc w:val="both"/>
        <w:rPr>
          <w:szCs w:val="24"/>
        </w:rPr>
      </w:pPr>
      <w:r w:rsidRPr="00874D33">
        <w:rPr>
          <w:b w:val="0"/>
          <w:szCs w:val="24"/>
        </w:rPr>
        <w:t>The parent entity of a Level 2 insurance group must ensure that its Group Auditor:</w:t>
      </w:r>
    </w:p>
    <w:p w14:paraId="07788641" w14:textId="77777777" w:rsidR="00723086" w:rsidRPr="00874D33" w:rsidRDefault="00723086" w:rsidP="009F6C65">
      <w:pPr>
        <w:pStyle w:val="BodyText"/>
        <w:numPr>
          <w:ilvl w:val="0"/>
          <w:numId w:val="22"/>
        </w:numPr>
        <w:autoSpaceDE w:val="0"/>
        <w:autoSpaceDN w:val="0"/>
        <w:spacing w:after="240"/>
        <w:jc w:val="both"/>
        <w:rPr>
          <w:b w:val="0"/>
          <w:szCs w:val="24"/>
        </w:rPr>
      </w:pPr>
      <w:r w:rsidRPr="00874D33">
        <w:rPr>
          <w:b w:val="0"/>
          <w:szCs w:val="24"/>
        </w:rPr>
        <w:t xml:space="preserve">conducts a </w:t>
      </w:r>
      <w:r w:rsidRPr="00874D33">
        <w:rPr>
          <w:szCs w:val="24"/>
        </w:rPr>
        <w:t xml:space="preserve">limited assurance </w:t>
      </w:r>
      <w:r w:rsidRPr="00874D33">
        <w:rPr>
          <w:b w:val="0"/>
          <w:szCs w:val="24"/>
        </w:rPr>
        <w:t xml:space="preserve">review of the group’s </w:t>
      </w:r>
      <w:r w:rsidRPr="00874D33">
        <w:rPr>
          <w:szCs w:val="24"/>
        </w:rPr>
        <w:t>annual accounts</w:t>
      </w:r>
      <w:r w:rsidR="000B470C" w:rsidRPr="00874D33">
        <w:rPr>
          <w:rStyle w:val="FootnoteReference"/>
          <w:b w:val="0"/>
          <w:szCs w:val="24"/>
        </w:rPr>
        <w:footnoteReference w:id="30"/>
      </w:r>
      <w:r w:rsidRPr="00874D33">
        <w:rPr>
          <w:b w:val="0"/>
          <w:szCs w:val="24"/>
        </w:rPr>
        <w:t xml:space="preserve">; </w:t>
      </w:r>
    </w:p>
    <w:p w14:paraId="07788642" w14:textId="77777777" w:rsidR="00723086" w:rsidRPr="00874D33" w:rsidRDefault="00723086" w:rsidP="009F6C65">
      <w:pPr>
        <w:pStyle w:val="BodyText"/>
        <w:numPr>
          <w:ilvl w:val="0"/>
          <w:numId w:val="22"/>
        </w:numPr>
        <w:autoSpaceDE w:val="0"/>
        <w:autoSpaceDN w:val="0"/>
        <w:spacing w:after="240"/>
        <w:jc w:val="both"/>
        <w:rPr>
          <w:b w:val="0"/>
          <w:szCs w:val="24"/>
        </w:rPr>
      </w:pPr>
      <w:r w:rsidRPr="00874D33">
        <w:rPr>
          <w:b w:val="0"/>
          <w:szCs w:val="24"/>
        </w:rPr>
        <w:t>performs for the group the functions of a Group Auditor set out in this Prudential Standard and any other prudential standard; and</w:t>
      </w:r>
    </w:p>
    <w:p w14:paraId="07788643" w14:textId="77777777" w:rsidR="00723086" w:rsidRPr="00874D33" w:rsidRDefault="00723086" w:rsidP="009F6C65">
      <w:pPr>
        <w:pStyle w:val="BodyText"/>
        <w:numPr>
          <w:ilvl w:val="0"/>
          <w:numId w:val="22"/>
        </w:numPr>
        <w:autoSpaceDE w:val="0"/>
        <w:autoSpaceDN w:val="0"/>
        <w:spacing w:after="240"/>
        <w:jc w:val="both"/>
        <w:rPr>
          <w:szCs w:val="24"/>
        </w:rPr>
      </w:pPr>
      <w:r w:rsidRPr="00874D33">
        <w:rPr>
          <w:b w:val="0"/>
          <w:szCs w:val="24"/>
        </w:rPr>
        <w:t>prepares, and gives to the group, any reports required to be prepared by the Group Auditor under this Prudential Standard.</w:t>
      </w:r>
    </w:p>
    <w:p w14:paraId="07788644" w14:textId="77777777" w:rsidR="00723086" w:rsidRPr="00874D33" w:rsidRDefault="00723086" w:rsidP="009F6C65">
      <w:pPr>
        <w:pStyle w:val="BodyText"/>
        <w:numPr>
          <w:ilvl w:val="0"/>
          <w:numId w:val="24"/>
        </w:numPr>
        <w:tabs>
          <w:tab w:val="clear" w:pos="720"/>
          <w:tab w:val="num" w:pos="567"/>
        </w:tabs>
        <w:autoSpaceDE w:val="0"/>
        <w:autoSpaceDN w:val="0"/>
        <w:spacing w:after="240"/>
        <w:ind w:left="567" w:hanging="567"/>
        <w:jc w:val="both"/>
        <w:rPr>
          <w:b w:val="0"/>
          <w:szCs w:val="24"/>
        </w:rPr>
      </w:pPr>
      <w:r w:rsidRPr="00874D33">
        <w:rPr>
          <w:b w:val="0"/>
          <w:szCs w:val="24"/>
        </w:rPr>
        <w:t>The parent entity of a Level 2 insurance group must:</w:t>
      </w:r>
    </w:p>
    <w:p w14:paraId="07788645" w14:textId="77777777" w:rsidR="00723086" w:rsidRPr="00874D33" w:rsidRDefault="00723086" w:rsidP="009F6C65">
      <w:pPr>
        <w:pStyle w:val="BodyText"/>
        <w:numPr>
          <w:ilvl w:val="0"/>
          <w:numId w:val="23"/>
        </w:numPr>
        <w:autoSpaceDE w:val="0"/>
        <w:autoSpaceDN w:val="0"/>
        <w:spacing w:after="240"/>
        <w:jc w:val="both"/>
        <w:rPr>
          <w:b w:val="0"/>
          <w:szCs w:val="24"/>
        </w:rPr>
      </w:pPr>
      <w:r w:rsidRPr="00874D33">
        <w:rPr>
          <w:b w:val="0"/>
          <w:szCs w:val="24"/>
        </w:rPr>
        <w:t>ensure that the reports required to be prepared by the Group Auditor deal with all the matters required by this Prudential Standard to be dealt with in the reports; and</w:t>
      </w:r>
    </w:p>
    <w:p w14:paraId="07788646" w14:textId="77777777" w:rsidR="00723086" w:rsidRPr="00874D33" w:rsidRDefault="00723086" w:rsidP="009F6C65">
      <w:pPr>
        <w:pStyle w:val="BodyText"/>
        <w:numPr>
          <w:ilvl w:val="0"/>
          <w:numId w:val="23"/>
        </w:numPr>
        <w:autoSpaceDE w:val="0"/>
        <w:autoSpaceDN w:val="0"/>
        <w:spacing w:after="240"/>
        <w:jc w:val="both"/>
        <w:rPr>
          <w:b w:val="0"/>
          <w:szCs w:val="24"/>
        </w:rPr>
      </w:pPr>
      <w:r w:rsidRPr="00874D33">
        <w:rPr>
          <w:b w:val="0"/>
          <w:szCs w:val="24"/>
        </w:rPr>
        <w:t>lodge with APRA the reports required to be prepared by its Group Auditor under this Prudential Standard.</w:t>
      </w:r>
    </w:p>
    <w:p w14:paraId="07788647"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88" w:name="_Toc217201535"/>
      <w:bookmarkStart w:id="89" w:name="_Toc158624413"/>
      <w:bookmarkStart w:id="90" w:name="_Toc171678082"/>
      <w:r w:rsidRPr="00874D33">
        <w:rPr>
          <w:rFonts w:ascii="Times New Roman" w:hAnsi="Times New Roman" w:cs="Times New Roman"/>
          <w:snapToGrid w:val="0"/>
          <w:sz w:val="24"/>
          <w:szCs w:val="24"/>
          <w:lang w:eastAsia="en-US"/>
        </w:rPr>
        <w:t>Obligations of a Level 2 insurance group</w:t>
      </w:r>
      <w:bookmarkEnd w:id="88"/>
      <w:bookmarkEnd w:id="89"/>
      <w:bookmarkEnd w:id="90"/>
      <w:r w:rsidRPr="00874D33">
        <w:rPr>
          <w:rFonts w:ascii="Times New Roman" w:hAnsi="Times New Roman" w:cs="Times New Roman"/>
          <w:snapToGrid w:val="0"/>
          <w:sz w:val="24"/>
          <w:szCs w:val="24"/>
          <w:lang w:eastAsia="en-US"/>
        </w:rPr>
        <w:t xml:space="preserve"> </w:t>
      </w:r>
    </w:p>
    <w:p w14:paraId="07788648"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 xml:space="preserve">The parent entity of a Level 2 insurance group must make any arrangements necessary to enable its Group Auditor to undertake their functions as required by this Prudential Standard. These arrangements include ensuring that its Group Auditor is fully informed of material </w:t>
      </w:r>
      <w:r w:rsidRPr="00874D33">
        <w:rPr>
          <w:szCs w:val="24"/>
          <w:lang w:val="en-AU"/>
        </w:rPr>
        <w:t>prudential requirements</w:t>
      </w:r>
      <w:r w:rsidRPr="00874D33">
        <w:rPr>
          <w:b w:val="0"/>
          <w:szCs w:val="24"/>
          <w:lang w:val="en-AU"/>
        </w:rPr>
        <w:t xml:space="preserve"> applicable to the group. These arrangements also include ensuring that its Group Auditor is provided with any other information that:</w:t>
      </w:r>
    </w:p>
    <w:p w14:paraId="07788649" w14:textId="77777777" w:rsidR="00723086" w:rsidRPr="00874D33" w:rsidRDefault="00723086" w:rsidP="009F6C65">
      <w:pPr>
        <w:pStyle w:val="BodyText"/>
        <w:numPr>
          <w:ilvl w:val="0"/>
          <w:numId w:val="25"/>
        </w:numPr>
        <w:spacing w:after="240"/>
        <w:jc w:val="both"/>
        <w:rPr>
          <w:b w:val="0"/>
          <w:szCs w:val="24"/>
          <w:lang w:val="en-AU"/>
        </w:rPr>
      </w:pPr>
      <w:r w:rsidRPr="00874D33">
        <w:rPr>
          <w:b w:val="0"/>
          <w:szCs w:val="24"/>
          <w:lang w:val="en-AU"/>
        </w:rPr>
        <w:t>APRA has provided to the group and may assist the Group Auditor in performing their duties; and</w:t>
      </w:r>
    </w:p>
    <w:p w14:paraId="0778864A" w14:textId="77777777" w:rsidR="00723086" w:rsidRPr="00874D33" w:rsidRDefault="00723086" w:rsidP="009F6C65">
      <w:pPr>
        <w:pStyle w:val="BodyText"/>
        <w:numPr>
          <w:ilvl w:val="0"/>
          <w:numId w:val="25"/>
        </w:numPr>
        <w:spacing w:after="240"/>
        <w:jc w:val="both"/>
        <w:rPr>
          <w:b w:val="0"/>
          <w:szCs w:val="24"/>
          <w:lang w:val="en-AU"/>
        </w:rPr>
      </w:pPr>
      <w:r w:rsidRPr="00874D33">
        <w:rPr>
          <w:b w:val="0"/>
          <w:szCs w:val="24"/>
          <w:lang w:val="en-AU"/>
        </w:rPr>
        <w:t>has been requested by the Group Auditor in performing their duties.</w:t>
      </w:r>
    </w:p>
    <w:p w14:paraId="0778864B"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 xml:space="preserve">The parent entity of a Level 2 insurance group must ensure that its Group Auditor has access to all relevant data, information, </w:t>
      </w:r>
      <w:proofErr w:type="gramStart"/>
      <w:r w:rsidRPr="00874D33">
        <w:rPr>
          <w:b w:val="0"/>
          <w:szCs w:val="24"/>
          <w:lang w:val="en-AU"/>
        </w:rPr>
        <w:t>reports</w:t>
      </w:r>
      <w:proofErr w:type="gramEnd"/>
      <w:r w:rsidRPr="00874D33">
        <w:rPr>
          <w:b w:val="0"/>
          <w:szCs w:val="24"/>
          <w:lang w:val="en-AU"/>
        </w:rPr>
        <w:t xml:space="preserve"> and staff of the group (and must take all reasonable steps to ensure access to contractors of the group) that its Group Auditor reasonably believes are necessary to fulfil their responsibilities. This will include access to:</w:t>
      </w:r>
    </w:p>
    <w:p w14:paraId="0778864C" w14:textId="77777777" w:rsidR="00723086" w:rsidRPr="00874D33" w:rsidRDefault="00723086" w:rsidP="009F6C65">
      <w:pPr>
        <w:pStyle w:val="BodyText"/>
        <w:numPr>
          <w:ilvl w:val="0"/>
          <w:numId w:val="31"/>
        </w:numPr>
        <w:spacing w:after="240"/>
        <w:jc w:val="both"/>
        <w:rPr>
          <w:b w:val="0"/>
          <w:szCs w:val="24"/>
          <w:lang w:val="en-AU"/>
        </w:rPr>
      </w:pPr>
      <w:r w:rsidRPr="00874D33">
        <w:rPr>
          <w:b w:val="0"/>
          <w:szCs w:val="24"/>
          <w:lang w:val="en-AU"/>
        </w:rPr>
        <w:t xml:space="preserve">the </w:t>
      </w:r>
      <w:r w:rsidRPr="00874D33">
        <w:rPr>
          <w:szCs w:val="24"/>
          <w:lang w:val="en-AU"/>
        </w:rPr>
        <w:t>Board</w:t>
      </w:r>
      <w:r w:rsidRPr="00874D33">
        <w:rPr>
          <w:b w:val="0"/>
          <w:szCs w:val="24"/>
          <w:lang w:val="en-AU"/>
        </w:rPr>
        <w:t xml:space="preserve"> of the parent entity of the </w:t>
      </w:r>
      <w:proofErr w:type="gramStart"/>
      <w:r w:rsidRPr="00874D33">
        <w:rPr>
          <w:b w:val="0"/>
          <w:szCs w:val="24"/>
          <w:lang w:val="en-AU"/>
        </w:rPr>
        <w:t>group;</w:t>
      </w:r>
      <w:proofErr w:type="gramEnd"/>
    </w:p>
    <w:p w14:paraId="0778864D" w14:textId="77777777" w:rsidR="00035A62" w:rsidRPr="00874D33" w:rsidRDefault="00723086" w:rsidP="009F6C65">
      <w:pPr>
        <w:pStyle w:val="BodyText"/>
        <w:numPr>
          <w:ilvl w:val="0"/>
          <w:numId w:val="31"/>
        </w:numPr>
        <w:spacing w:after="240"/>
        <w:jc w:val="both"/>
        <w:rPr>
          <w:b w:val="0"/>
          <w:szCs w:val="24"/>
          <w:lang w:val="en-AU"/>
        </w:rPr>
      </w:pPr>
      <w:r w:rsidRPr="00874D33">
        <w:rPr>
          <w:b w:val="0"/>
          <w:szCs w:val="24"/>
          <w:lang w:val="en-AU"/>
        </w:rPr>
        <w:lastRenderedPageBreak/>
        <w:t xml:space="preserve">the Board </w:t>
      </w:r>
      <w:r w:rsidR="00D453D0" w:rsidRPr="00874D33">
        <w:rPr>
          <w:b w:val="0"/>
          <w:szCs w:val="24"/>
          <w:lang w:val="en-AU"/>
        </w:rPr>
        <w:t>committees</w:t>
      </w:r>
      <w:r w:rsidRPr="00874D33">
        <w:rPr>
          <w:b w:val="0"/>
          <w:szCs w:val="24"/>
          <w:lang w:val="en-AU"/>
        </w:rPr>
        <w:t xml:space="preserve"> of the parent entity, if </w:t>
      </w:r>
      <w:proofErr w:type="gramStart"/>
      <w:r w:rsidRPr="00874D33">
        <w:rPr>
          <w:b w:val="0"/>
          <w:szCs w:val="24"/>
          <w:lang w:val="en-AU"/>
        </w:rPr>
        <w:t>any;</w:t>
      </w:r>
      <w:proofErr w:type="gramEnd"/>
    </w:p>
    <w:p w14:paraId="0778864E" w14:textId="77777777" w:rsidR="00723086" w:rsidRPr="00874D33" w:rsidRDefault="00723086" w:rsidP="009F6C65">
      <w:pPr>
        <w:pStyle w:val="BodyText"/>
        <w:numPr>
          <w:ilvl w:val="0"/>
          <w:numId w:val="31"/>
        </w:numPr>
        <w:spacing w:after="240"/>
        <w:jc w:val="both"/>
        <w:rPr>
          <w:b w:val="0"/>
          <w:szCs w:val="24"/>
          <w:lang w:val="en-AU"/>
        </w:rPr>
      </w:pPr>
      <w:r w:rsidRPr="00874D33">
        <w:rPr>
          <w:b w:val="0"/>
          <w:szCs w:val="24"/>
          <w:lang w:val="en-AU"/>
        </w:rPr>
        <w:t>the Board of any other entity within the group; and</w:t>
      </w:r>
    </w:p>
    <w:p w14:paraId="0778864F" w14:textId="77777777" w:rsidR="00723086" w:rsidRPr="00874D33" w:rsidRDefault="00723086" w:rsidP="009F6C65">
      <w:pPr>
        <w:pStyle w:val="BodyText"/>
        <w:numPr>
          <w:ilvl w:val="0"/>
          <w:numId w:val="31"/>
        </w:numPr>
        <w:spacing w:after="240"/>
        <w:jc w:val="both"/>
        <w:rPr>
          <w:b w:val="0"/>
          <w:szCs w:val="24"/>
          <w:lang w:val="en-AU"/>
        </w:rPr>
      </w:pPr>
      <w:r w:rsidRPr="00874D33">
        <w:rPr>
          <w:b w:val="0"/>
          <w:szCs w:val="24"/>
          <w:lang w:val="en-AU"/>
        </w:rPr>
        <w:t xml:space="preserve">the Board </w:t>
      </w:r>
      <w:r w:rsidR="00D453D0" w:rsidRPr="00874D33">
        <w:rPr>
          <w:b w:val="0"/>
          <w:szCs w:val="24"/>
          <w:lang w:val="en-AU"/>
        </w:rPr>
        <w:t>committees</w:t>
      </w:r>
      <w:r w:rsidRPr="00874D33">
        <w:rPr>
          <w:b w:val="0"/>
          <w:szCs w:val="24"/>
          <w:lang w:val="en-AU"/>
        </w:rPr>
        <w:t>, if any, of any other entity within the group.</w:t>
      </w:r>
    </w:p>
    <w:p w14:paraId="07788650"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The parent entity of a Level 2 insurance group must submit to APRA:</w:t>
      </w:r>
    </w:p>
    <w:p w14:paraId="07788651" w14:textId="77777777" w:rsidR="00723086" w:rsidRPr="00874D33" w:rsidRDefault="00723086" w:rsidP="009F6C65">
      <w:pPr>
        <w:pStyle w:val="BodyText"/>
        <w:numPr>
          <w:ilvl w:val="0"/>
          <w:numId w:val="26"/>
        </w:numPr>
        <w:spacing w:after="240"/>
        <w:jc w:val="both"/>
        <w:rPr>
          <w:b w:val="0"/>
          <w:szCs w:val="24"/>
          <w:lang w:val="en-AU"/>
        </w:rPr>
      </w:pPr>
      <w:r w:rsidRPr="00874D33">
        <w:rPr>
          <w:b w:val="0"/>
          <w:szCs w:val="24"/>
          <w:lang w:val="en-AU"/>
        </w:rPr>
        <w:t>reports, other than those relating to a special purpose review, on or before the day that the group’s annual accounts are to be lodged in accordance with reporting standards made under the Collection of Data Act;</w:t>
      </w:r>
      <w:r w:rsidRPr="00874D33">
        <w:rPr>
          <w:rStyle w:val="FootnoteReference"/>
          <w:b w:val="0"/>
          <w:szCs w:val="24"/>
          <w:lang w:val="en-AU"/>
        </w:rPr>
        <w:footnoteReference w:id="31"/>
      </w:r>
      <w:r w:rsidRPr="00874D33">
        <w:rPr>
          <w:b w:val="0"/>
          <w:szCs w:val="24"/>
          <w:lang w:val="en-AU"/>
        </w:rPr>
        <w:t xml:space="preserve"> and</w:t>
      </w:r>
    </w:p>
    <w:p w14:paraId="07788652" w14:textId="70E3B4A4" w:rsidR="00723086" w:rsidRPr="00874D33" w:rsidRDefault="00723086" w:rsidP="009F6C65">
      <w:pPr>
        <w:pStyle w:val="BodyText"/>
        <w:numPr>
          <w:ilvl w:val="0"/>
          <w:numId w:val="26"/>
        </w:numPr>
        <w:spacing w:after="240"/>
        <w:jc w:val="both"/>
        <w:rPr>
          <w:b w:val="0"/>
          <w:szCs w:val="24"/>
          <w:lang w:val="en-AU"/>
        </w:rPr>
      </w:pPr>
      <w:r w:rsidRPr="00874D33">
        <w:rPr>
          <w:b w:val="0"/>
          <w:szCs w:val="24"/>
          <w:lang w:val="en-AU"/>
        </w:rPr>
        <w:t xml:space="preserve">reports relating to a special purpose review within the time specified in paragraph </w:t>
      </w:r>
      <w:r w:rsidR="00E52354" w:rsidRPr="00874D33">
        <w:rPr>
          <w:b w:val="0"/>
          <w:szCs w:val="24"/>
          <w:lang w:val="en-AU"/>
        </w:rPr>
        <w:fldChar w:fldCharType="begin"/>
      </w:r>
      <w:r w:rsidR="00E52354" w:rsidRPr="00874D33">
        <w:rPr>
          <w:b w:val="0"/>
          <w:szCs w:val="24"/>
          <w:lang w:val="en-AU"/>
        </w:rPr>
        <w:instrText xml:space="preserve"> REF _Ref388018375 \r \h </w:instrText>
      </w:r>
      <w:r w:rsidR="00B91852" w:rsidRPr="00874D33">
        <w:rPr>
          <w:b w:val="0"/>
          <w:szCs w:val="24"/>
          <w:lang w:val="en-AU"/>
        </w:rPr>
        <w:instrText xml:space="preserve"> \* MERGEFORMAT </w:instrText>
      </w:r>
      <w:r w:rsidR="00E52354" w:rsidRPr="00874D33">
        <w:rPr>
          <w:b w:val="0"/>
          <w:szCs w:val="24"/>
          <w:lang w:val="en-AU"/>
        </w:rPr>
      </w:r>
      <w:r w:rsidR="00E52354" w:rsidRPr="00874D33">
        <w:rPr>
          <w:b w:val="0"/>
          <w:szCs w:val="24"/>
          <w:lang w:val="en-AU"/>
        </w:rPr>
        <w:fldChar w:fldCharType="separate"/>
      </w:r>
      <w:r w:rsidR="00D54771" w:rsidRPr="00874D33">
        <w:rPr>
          <w:b w:val="0"/>
          <w:szCs w:val="24"/>
          <w:lang w:val="en-AU"/>
        </w:rPr>
        <w:t>16</w:t>
      </w:r>
      <w:r w:rsidR="00E52354" w:rsidRPr="00874D33">
        <w:rPr>
          <w:b w:val="0"/>
          <w:szCs w:val="24"/>
          <w:lang w:val="en-AU"/>
        </w:rPr>
        <w:fldChar w:fldCharType="end"/>
      </w:r>
      <w:r w:rsidRPr="00874D33">
        <w:rPr>
          <w:b w:val="0"/>
          <w:szCs w:val="24"/>
          <w:lang w:val="en-AU"/>
        </w:rPr>
        <w:t xml:space="preserve"> of this Attachment.</w:t>
      </w:r>
    </w:p>
    <w:p w14:paraId="07788653" w14:textId="77777777" w:rsidR="00E02217" w:rsidRPr="00874D33" w:rsidRDefault="000B11A0" w:rsidP="00D45502">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 xml:space="preserve">A Level 2 insurance group must provide to APRA </w:t>
      </w:r>
      <w:r w:rsidR="0005706A" w:rsidRPr="00874D33">
        <w:rPr>
          <w:b w:val="0"/>
          <w:szCs w:val="24"/>
          <w:lang w:val="en-AU"/>
        </w:rPr>
        <w:t>a</w:t>
      </w:r>
      <w:r w:rsidR="00BC551A" w:rsidRPr="00874D33">
        <w:rPr>
          <w:b w:val="0"/>
          <w:szCs w:val="24"/>
          <w:lang w:val="en-AU"/>
        </w:rPr>
        <w:t>n annual</w:t>
      </w:r>
      <w:r w:rsidR="0005706A" w:rsidRPr="00874D33">
        <w:rPr>
          <w:b w:val="0"/>
          <w:szCs w:val="24"/>
          <w:lang w:val="en-AU"/>
        </w:rPr>
        <w:t xml:space="preserve"> </w:t>
      </w:r>
      <w:r w:rsidRPr="00874D33">
        <w:rPr>
          <w:b w:val="0"/>
          <w:szCs w:val="24"/>
          <w:lang w:val="en-AU"/>
        </w:rPr>
        <w:t>declaration on financial information as set out in Attachment D.</w:t>
      </w:r>
    </w:p>
    <w:p w14:paraId="07788654"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91" w:name="_Toc158624414"/>
      <w:bookmarkStart w:id="92" w:name="_Toc171678083"/>
      <w:r w:rsidRPr="00874D33">
        <w:rPr>
          <w:rFonts w:ascii="Times New Roman" w:hAnsi="Times New Roman" w:cs="Times New Roman"/>
          <w:snapToGrid w:val="0"/>
          <w:sz w:val="24"/>
          <w:szCs w:val="24"/>
          <w:lang w:eastAsia="en-US"/>
        </w:rPr>
        <w:t>Roles and responsibilities of the Group Auditor</w:t>
      </w:r>
      <w:bookmarkEnd w:id="91"/>
      <w:bookmarkEnd w:id="92"/>
    </w:p>
    <w:p w14:paraId="07788655"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A Group Auditor’s primary roles are to provide:</w:t>
      </w:r>
    </w:p>
    <w:p w14:paraId="07788656" w14:textId="77777777" w:rsidR="00723086" w:rsidRPr="00874D33" w:rsidRDefault="00723086" w:rsidP="009F6C65">
      <w:pPr>
        <w:pStyle w:val="BodyText"/>
        <w:numPr>
          <w:ilvl w:val="0"/>
          <w:numId w:val="27"/>
        </w:numPr>
        <w:spacing w:after="240"/>
        <w:jc w:val="both"/>
        <w:rPr>
          <w:b w:val="0"/>
          <w:szCs w:val="24"/>
          <w:lang w:val="en-AU"/>
        </w:rPr>
      </w:pPr>
      <w:r w:rsidRPr="00874D33">
        <w:rPr>
          <w:b w:val="0"/>
          <w:szCs w:val="24"/>
          <w:lang w:val="en-AU"/>
        </w:rPr>
        <w:t>an independent and objective view of the truth and fairness of the group’s annual accounts required by reporting standards made under the Collection of Data Act; and</w:t>
      </w:r>
    </w:p>
    <w:p w14:paraId="07788657" w14:textId="77777777" w:rsidR="00723086" w:rsidRPr="00874D33" w:rsidRDefault="00723086" w:rsidP="009F6C65">
      <w:pPr>
        <w:pStyle w:val="BodyText"/>
        <w:numPr>
          <w:ilvl w:val="0"/>
          <w:numId w:val="27"/>
        </w:numPr>
        <w:spacing w:after="240"/>
        <w:jc w:val="both"/>
        <w:rPr>
          <w:b w:val="0"/>
          <w:szCs w:val="24"/>
          <w:lang w:val="en-AU"/>
        </w:rPr>
      </w:pPr>
      <w:r w:rsidRPr="00874D33">
        <w:rPr>
          <w:b w:val="0"/>
          <w:szCs w:val="24"/>
          <w:lang w:val="en-AU"/>
        </w:rPr>
        <w:t xml:space="preserve">an assessment of the group’s systems, procedures and controls used to address compliance with prudential requirements and for the purposes of producing reliable financial data.  </w:t>
      </w:r>
    </w:p>
    <w:p w14:paraId="07788658" w14:textId="77777777" w:rsidR="00723086" w:rsidRPr="00874D33" w:rsidRDefault="00723086" w:rsidP="00723086">
      <w:pPr>
        <w:pStyle w:val="BodyText"/>
        <w:tabs>
          <w:tab w:val="clear" w:pos="567"/>
        </w:tabs>
        <w:spacing w:after="240"/>
        <w:ind w:left="540" w:firstLine="0"/>
        <w:jc w:val="both"/>
        <w:rPr>
          <w:b w:val="0"/>
          <w:szCs w:val="24"/>
          <w:lang w:val="en-AU"/>
        </w:rPr>
      </w:pPr>
      <w:r w:rsidRPr="00874D33">
        <w:rPr>
          <w:b w:val="0"/>
          <w:szCs w:val="24"/>
          <w:lang w:val="en-AU"/>
        </w:rPr>
        <w:t xml:space="preserve">A Level 2 insurance group may also seek the advice of its Group Auditor in relation to other matters where the group considers this to be appropriate. </w:t>
      </w:r>
    </w:p>
    <w:p w14:paraId="07788659"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The parent entity of a Level 2 insurance group must ensure that its Group Auditor:</w:t>
      </w:r>
    </w:p>
    <w:p w14:paraId="0778865A" w14:textId="77777777" w:rsidR="00723086" w:rsidRPr="00874D33" w:rsidRDefault="00723086" w:rsidP="009F6C65">
      <w:pPr>
        <w:pStyle w:val="BodyText"/>
        <w:numPr>
          <w:ilvl w:val="0"/>
          <w:numId w:val="28"/>
        </w:numPr>
        <w:spacing w:after="240"/>
        <w:jc w:val="both"/>
        <w:rPr>
          <w:b w:val="0"/>
          <w:szCs w:val="24"/>
          <w:lang w:val="en-AU"/>
        </w:rPr>
      </w:pPr>
      <w:r w:rsidRPr="00874D33">
        <w:rPr>
          <w:b w:val="0"/>
          <w:szCs w:val="24"/>
          <w:lang w:val="en-AU"/>
        </w:rPr>
        <w:t xml:space="preserve">conducts a limited assurance review of the annual accounts of the </w:t>
      </w:r>
      <w:proofErr w:type="gramStart"/>
      <w:r w:rsidRPr="00874D33">
        <w:rPr>
          <w:b w:val="0"/>
          <w:szCs w:val="24"/>
          <w:lang w:val="en-AU"/>
        </w:rPr>
        <w:t>group;</w:t>
      </w:r>
      <w:proofErr w:type="gramEnd"/>
      <w:r w:rsidRPr="00874D33">
        <w:rPr>
          <w:b w:val="0"/>
          <w:szCs w:val="24"/>
          <w:lang w:val="en-AU"/>
        </w:rPr>
        <w:t xml:space="preserve"> </w:t>
      </w:r>
    </w:p>
    <w:p w14:paraId="0778865B" w14:textId="77777777" w:rsidR="00723086" w:rsidRPr="00874D33" w:rsidRDefault="00723086" w:rsidP="009F6C65">
      <w:pPr>
        <w:pStyle w:val="BodyText"/>
        <w:numPr>
          <w:ilvl w:val="0"/>
          <w:numId w:val="28"/>
        </w:numPr>
        <w:spacing w:after="240"/>
        <w:jc w:val="both"/>
        <w:rPr>
          <w:b w:val="0"/>
          <w:szCs w:val="24"/>
          <w:lang w:val="en-AU"/>
        </w:rPr>
      </w:pPr>
      <w:r w:rsidRPr="00874D33">
        <w:rPr>
          <w:b w:val="0"/>
          <w:szCs w:val="24"/>
          <w:lang w:val="en-AU"/>
        </w:rPr>
        <w:t xml:space="preserve">on an annual basis, reviews and tests the group’s systems, processes and controls designed to: </w:t>
      </w:r>
    </w:p>
    <w:p w14:paraId="0778865C" w14:textId="77777777" w:rsidR="00723086" w:rsidRPr="00874D33" w:rsidRDefault="00723086" w:rsidP="009F6C65">
      <w:pPr>
        <w:numPr>
          <w:ilvl w:val="1"/>
          <w:numId w:val="28"/>
        </w:numPr>
        <w:spacing w:after="240"/>
        <w:rPr>
          <w:szCs w:val="24"/>
        </w:rPr>
      </w:pPr>
      <w:r w:rsidRPr="00874D33">
        <w:rPr>
          <w:szCs w:val="24"/>
        </w:rPr>
        <w:t>address compliance with all prudential requirements; and</w:t>
      </w:r>
    </w:p>
    <w:p w14:paraId="0778865D" w14:textId="77777777" w:rsidR="00723086" w:rsidRPr="00874D33" w:rsidRDefault="00723086" w:rsidP="009F6C65">
      <w:pPr>
        <w:pStyle w:val="BodyText"/>
        <w:numPr>
          <w:ilvl w:val="1"/>
          <w:numId w:val="28"/>
        </w:numPr>
        <w:spacing w:after="240"/>
        <w:jc w:val="both"/>
        <w:rPr>
          <w:b w:val="0"/>
          <w:szCs w:val="24"/>
          <w:lang w:val="en-AU"/>
        </w:rPr>
      </w:pPr>
      <w:r w:rsidRPr="00874D33">
        <w:rPr>
          <w:b w:val="0"/>
          <w:szCs w:val="24"/>
          <w:lang w:val="en-AU"/>
        </w:rPr>
        <w:t>enable the group to report reliable financial information to APRA; and</w:t>
      </w:r>
    </w:p>
    <w:p w14:paraId="0778865F" w14:textId="6D3C244D" w:rsidR="00723086" w:rsidRPr="00874D33" w:rsidRDefault="00723086" w:rsidP="00742F86">
      <w:pPr>
        <w:pStyle w:val="BodyText"/>
        <w:numPr>
          <w:ilvl w:val="0"/>
          <w:numId w:val="28"/>
        </w:numPr>
        <w:spacing w:after="240"/>
        <w:jc w:val="both"/>
        <w:rPr>
          <w:b w:val="0"/>
          <w:szCs w:val="24"/>
          <w:lang w:val="en-AU"/>
        </w:rPr>
      </w:pPr>
      <w:r w:rsidRPr="00874D33">
        <w:rPr>
          <w:b w:val="0"/>
          <w:szCs w:val="24"/>
          <w:lang w:val="en-AU"/>
        </w:rPr>
        <w:t xml:space="preserve">performs such other work as necessary to fulfil the Group Auditor’s responsibilities under this Prudential Standard. </w:t>
      </w:r>
    </w:p>
    <w:p w14:paraId="07788660" w14:textId="1577EF08"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 xml:space="preserve">The parent entity of a Level 2 insurance group must ensure that its Group Auditor provides a report to the group relating to the findings of the limited assurance </w:t>
      </w:r>
      <w:r w:rsidRPr="00874D33">
        <w:rPr>
          <w:b w:val="0"/>
          <w:szCs w:val="24"/>
          <w:lang w:val="en-AU"/>
        </w:rPr>
        <w:lastRenderedPageBreak/>
        <w:t xml:space="preserve">review. This report must meet the requirements set out in paragraphs </w:t>
      </w:r>
      <w:r w:rsidR="00543F4E" w:rsidRPr="00874D33">
        <w:rPr>
          <w:b w:val="0"/>
          <w:szCs w:val="24"/>
          <w:lang w:val="en-AU"/>
        </w:rPr>
        <w:fldChar w:fldCharType="begin"/>
      </w:r>
      <w:r w:rsidR="00543F4E" w:rsidRPr="00874D33">
        <w:rPr>
          <w:b w:val="0"/>
          <w:szCs w:val="24"/>
          <w:lang w:val="en-AU"/>
        </w:rPr>
        <w:instrText xml:space="preserve"> REF _Ref188431976 \r \h </w:instrText>
      </w:r>
      <w:r w:rsidR="00B91852" w:rsidRPr="00874D33">
        <w:rPr>
          <w:b w:val="0"/>
          <w:szCs w:val="24"/>
          <w:lang w:val="en-AU"/>
        </w:rPr>
        <w:instrText xml:space="preserve"> \* MERGEFORMAT </w:instrText>
      </w:r>
      <w:r w:rsidR="00543F4E" w:rsidRPr="00874D33">
        <w:rPr>
          <w:b w:val="0"/>
          <w:szCs w:val="24"/>
          <w:lang w:val="en-AU"/>
        </w:rPr>
      </w:r>
      <w:r w:rsidR="00543F4E" w:rsidRPr="00874D33">
        <w:rPr>
          <w:b w:val="0"/>
          <w:szCs w:val="24"/>
          <w:lang w:val="en-AU"/>
        </w:rPr>
        <w:fldChar w:fldCharType="separate"/>
      </w:r>
      <w:r w:rsidR="00D54771" w:rsidRPr="00874D33">
        <w:rPr>
          <w:b w:val="0"/>
          <w:szCs w:val="24"/>
          <w:lang w:val="en-AU"/>
        </w:rPr>
        <w:t>21</w:t>
      </w:r>
      <w:r w:rsidR="00543F4E" w:rsidRPr="00874D33">
        <w:rPr>
          <w:b w:val="0"/>
          <w:szCs w:val="24"/>
          <w:lang w:val="en-AU"/>
        </w:rPr>
        <w:fldChar w:fldCharType="end"/>
      </w:r>
      <w:r w:rsidRPr="00874D33">
        <w:rPr>
          <w:b w:val="0"/>
          <w:szCs w:val="24"/>
          <w:lang w:val="en-AU"/>
        </w:rPr>
        <w:t xml:space="preserve"> to </w:t>
      </w:r>
      <w:r w:rsidR="00543F4E" w:rsidRPr="00874D33">
        <w:rPr>
          <w:b w:val="0"/>
          <w:szCs w:val="24"/>
          <w:lang w:val="en-AU"/>
        </w:rPr>
        <w:fldChar w:fldCharType="begin"/>
      </w:r>
      <w:r w:rsidR="00543F4E" w:rsidRPr="00874D33">
        <w:rPr>
          <w:b w:val="0"/>
          <w:szCs w:val="24"/>
          <w:lang w:val="en-AU"/>
        </w:rPr>
        <w:instrText xml:space="preserve"> REF _Ref317585369 \r \h </w:instrText>
      </w:r>
      <w:r w:rsidR="00B91852" w:rsidRPr="00874D33">
        <w:rPr>
          <w:b w:val="0"/>
          <w:szCs w:val="24"/>
          <w:lang w:val="en-AU"/>
        </w:rPr>
        <w:instrText xml:space="preserve"> \* MERGEFORMAT </w:instrText>
      </w:r>
      <w:r w:rsidR="00543F4E" w:rsidRPr="00874D33">
        <w:rPr>
          <w:b w:val="0"/>
          <w:szCs w:val="24"/>
          <w:lang w:val="en-AU"/>
        </w:rPr>
      </w:r>
      <w:r w:rsidR="00543F4E" w:rsidRPr="00874D33">
        <w:rPr>
          <w:b w:val="0"/>
          <w:szCs w:val="24"/>
          <w:lang w:val="en-AU"/>
        </w:rPr>
        <w:fldChar w:fldCharType="separate"/>
      </w:r>
      <w:r w:rsidR="00D54771" w:rsidRPr="00874D33">
        <w:rPr>
          <w:b w:val="0"/>
          <w:szCs w:val="24"/>
          <w:lang w:val="en-AU"/>
        </w:rPr>
        <w:t>23</w:t>
      </w:r>
      <w:r w:rsidR="00543F4E" w:rsidRPr="00874D33">
        <w:rPr>
          <w:b w:val="0"/>
          <w:szCs w:val="24"/>
          <w:lang w:val="en-AU"/>
        </w:rPr>
        <w:fldChar w:fldCharType="end"/>
      </w:r>
      <w:r w:rsidRPr="00874D33">
        <w:rPr>
          <w:b w:val="0"/>
          <w:szCs w:val="24"/>
          <w:lang w:val="en-AU"/>
        </w:rPr>
        <w:t xml:space="preserve"> of this Attachment.</w:t>
      </w:r>
    </w:p>
    <w:p w14:paraId="07788661"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bookmarkStart w:id="93" w:name="_Ref317523791"/>
      <w:r w:rsidRPr="00874D33">
        <w:rPr>
          <w:b w:val="0"/>
          <w:szCs w:val="24"/>
          <w:lang w:val="en-AU"/>
        </w:rPr>
        <w:t xml:space="preserve">The parent entity of a Level 2 insurance group must ensure that its Group Auditor provides the limited assurance review report to the group within such time as to enable the group to provide the report to APRA </w:t>
      </w:r>
      <w:r w:rsidR="007912DF" w:rsidRPr="00874D33">
        <w:rPr>
          <w:b w:val="0"/>
          <w:szCs w:val="24"/>
          <w:lang w:val="en-AU"/>
        </w:rPr>
        <w:t>on or before the day that the Level 2 insurance group’s annual accounts are submitted in accordance with the Collection of Data Act</w:t>
      </w:r>
      <w:r w:rsidRPr="00874D33">
        <w:rPr>
          <w:b w:val="0"/>
          <w:szCs w:val="24"/>
          <w:lang w:val="en-AU"/>
        </w:rPr>
        <w:t>.</w:t>
      </w:r>
      <w:bookmarkEnd w:id="93"/>
    </w:p>
    <w:p w14:paraId="07788662"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94" w:name="_Toc217201538"/>
      <w:bookmarkStart w:id="95" w:name="_Toc158624415"/>
      <w:bookmarkStart w:id="96" w:name="_Toc171678084"/>
      <w:r w:rsidRPr="00874D33">
        <w:rPr>
          <w:rFonts w:ascii="Times New Roman" w:hAnsi="Times New Roman" w:cs="Times New Roman"/>
          <w:snapToGrid w:val="0"/>
          <w:sz w:val="24"/>
          <w:szCs w:val="24"/>
          <w:lang w:eastAsia="en-US"/>
        </w:rPr>
        <w:t>Special purpose review</w:t>
      </w:r>
      <w:bookmarkEnd w:id="94"/>
      <w:bookmarkEnd w:id="95"/>
      <w:bookmarkEnd w:id="96"/>
    </w:p>
    <w:p w14:paraId="07788663"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bookmarkStart w:id="97" w:name="_Toc217201539"/>
      <w:r w:rsidRPr="00874D33">
        <w:rPr>
          <w:b w:val="0"/>
          <w:szCs w:val="24"/>
          <w:lang w:val="en-AU"/>
        </w:rPr>
        <w:t>When APRA specifies in writing, a Group Auditor must:</w:t>
      </w:r>
    </w:p>
    <w:p w14:paraId="07788664" w14:textId="77777777" w:rsidR="00723086" w:rsidRPr="00874D33" w:rsidRDefault="00723086" w:rsidP="009F6C65">
      <w:pPr>
        <w:pStyle w:val="BodyText"/>
        <w:numPr>
          <w:ilvl w:val="0"/>
          <w:numId w:val="33"/>
        </w:numPr>
        <w:spacing w:after="240"/>
        <w:jc w:val="both"/>
        <w:rPr>
          <w:b w:val="0"/>
          <w:szCs w:val="24"/>
          <w:lang w:val="en-AU"/>
        </w:rPr>
      </w:pPr>
      <w:r w:rsidRPr="00874D33">
        <w:rPr>
          <w:b w:val="0"/>
          <w:szCs w:val="24"/>
          <w:lang w:val="en-AU"/>
        </w:rPr>
        <w:t>undertake a special purpose review of matters specified by APRA relating to the Level 2 insurance group’s operations, risk management or financial affairs; and</w:t>
      </w:r>
    </w:p>
    <w:p w14:paraId="07788665" w14:textId="77777777" w:rsidR="00723086" w:rsidRPr="00874D33" w:rsidRDefault="00723086" w:rsidP="009F6C65">
      <w:pPr>
        <w:pStyle w:val="BodyText"/>
        <w:numPr>
          <w:ilvl w:val="0"/>
          <w:numId w:val="33"/>
        </w:numPr>
        <w:spacing w:after="240"/>
        <w:jc w:val="both"/>
        <w:rPr>
          <w:b w:val="0"/>
          <w:szCs w:val="24"/>
          <w:lang w:val="en-AU"/>
        </w:rPr>
      </w:pPr>
      <w:r w:rsidRPr="00874D33">
        <w:rPr>
          <w:b w:val="0"/>
          <w:szCs w:val="24"/>
          <w:lang w:val="en-AU"/>
        </w:rPr>
        <w:t>prepare a report in respect of that review.</w:t>
      </w:r>
      <w:r w:rsidRPr="00874D33">
        <w:rPr>
          <w:rStyle w:val="FootnoteReference"/>
          <w:b w:val="0"/>
          <w:szCs w:val="24"/>
          <w:lang w:val="en-AU"/>
        </w:rPr>
        <w:footnoteReference w:id="32"/>
      </w:r>
    </w:p>
    <w:p w14:paraId="07788666"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The review must be completed in accordance with any relevant professional standards and guidance notes (as appropriate to the nature of the special purpose review), to the extent that they are not inconsistent with the requirements of this Prudential Standard. Where APRA considers, having regard to the nature of the Level 2 insurance group’s operations and the purpose of the special purpose review, that the review should not be completed in accordance with those professional standards and guidance notes, APRA may advise the Level 2 insurance group in writing that an alternative standard must be used.</w:t>
      </w:r>
    </w:p>
    <w:p w14:paraId="07788667"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bookmarkStart w:id="98" w:name="_Ref388018375"/>
      <w:r w:rsidRPr="00874D33">
        <w:rPr>
          <w:b w:val="0"/>
          <w:szCs w:val="24"/>
          <w:lang w:val="en-AU"/>
        </w:rPr>
        <w:t>The cost of a special purpose review will be borne by the Level 2 insurance group. The Group Auditor must submit the report to APRA and the insurer simultaneously within three months of the review being commissioned, unless APRA grants an extension of time in writing.</w:t>
      </w:r>
      <w:bookmarkEnd w:id="98"/>
    </w:p>
    <w:p w14:paraId="07788668"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99" w:name="_Toc158624416"/>
      <w:bookmarkStart w:id="100" w:name="_Toc171678085"/>
      <w:r w:rsidRPr="00874D33">
        <w:rPr>
          <w:rFonts w:ascii="Times New Roman" w:hAnsi="Times New Roman" w:cs="Times New Roman"/>
          <w:snapToGrid w:val="0"/>
          <w:sz w:val="24"/>
          <w:szCs w:val="24"/>
          <w:lang w:eastAsia="en-US"/>
        </w:rPr>
        <w:t>Non-routine reporting by Group Auditors</w:t>
      </w:r>
      <w:bookmarkEnd w:id="97"/>
      <w:bookmarkEnd w:id="99"/>
      <w:bookmarkEnd w:id="100"/>
    </w:p>
    <w:p w14:paraId="07788669"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The parent entity of a Level 2 insurance group must ensure that its Group Auditor reports to APRA on a non-routine basis where APRA requests specific information or where the Group Auditor has information that they consider would assist APRA in performing its functions.</w:t>
      </w:r>
      <w:r w:rsidRPr="00874D33">
        <w:rPr>
          <w:rStyle w:val="FootnoteReference"/>
          <w:b w:val="0"/>
          <w:szCs w:val="24"/>
          <w:lang w:val="en-AU"/>
        </w:rPr>
        <w:footnoteReference w:id="33"/>
      </w:r>
    </w:p>
    <w:p w14:paraId="0778866A"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If APRA requests information or documents from the Group Auditor, the parent entity of the Level 2 insurance group must ensure that such information or documents are provided to APRA.</w:t>
      </w:r>
    </w:p>
    <w:p w14:paraId="0778866B"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101" w:name="_Toc217201540"/>
      <w:bookmarkStart w:id="102" w:name="_Toc158624417"/>
      <w:bookmarkStart w:id="103" w:name="_Toc171678086"/>
      <w:r w:rsidRPr="00874D33">
        <w:rPr>
          <w:rFonts w:ascii="Times New Roman" w:hAnsi="Times New Roman" w:cs="Times New Roman"/>
          <w:snapToGrid w:val="0"/>
          <w:sz w:val="24"/>
          <w:szCs w:val="24"/>
          <w:lang w:eastAsia="en-US"/>
        </w:rPr>
        <w:lastRenderedPageBreak/>
        <w:t>Meetings with Group Auditors</w:t>
      </w:r>
      <w:bookmarkEnd w:id="101"/>
      <w:bookmarkEnd w:id="102"/>
      <w:bookmarkEnd w:id="103"/>
    </w:p>
    <w:p w14:paraId="0778866C"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APRA liaison with a Group Auditor is normally conducted under trilateral arrangements involving:</w:t>
      </w:r>
    </w:p>
    <w:p w14:paraId="0778866D" w14:textId="77777777" w:rsidR="00723086" w:rsidRPr="00874D33" w:rsidRDefault="00723086" w:rsidP="009F6C65">
      <w:pPr>
        <w:pStyle w:val="BodyText"/>
        <w:numPr>
          <w:ilvl w:val="0"/>
          <w:numId w:val="29"/>
        </w:numPr>
        <w:spacing w:after="240"/>
        <w:jc w:val="both"/>
        <w:rPr>
          <w:b w:val="0"/>
          <w:szCs w:val="24"/>
          <w:lang w:val="en-AU"/>
        </w:rPr>
      </w:pPr>
      <w:proofErr w:type="gramStart"/>
      <w:r w:rsidRPr="00874D33">
        <w:rPr>
          <w:b w:val="0"/>
          <w:szCs w:val="24"/>
          <w:lang w:val="en-AU"/>
        </w:rPr>
        <w:t>APRA;</w:t>
      </w:r>
      <w:proofErr w:type="gramEnd"/>
    </w:p>
    <w:p w14:paraId="0778866E" w14:textId="77777777" w:rsidR="00723086" w:rsidRPr="00874D33" w:rsidRDefault="00723086" w:rsidP="009F6C65">
      <w:pPr>
        <w:pStyle w:val="BodyText"/>
        <w:numPr>
          <w:ilvl w:val="0"/>
          <w:numId w:val="29"/>
        </w:numPr>
        <w:spacing w:after="240"/>
        <w:jc w:val="both"/>
        <w:rPr>
          <w:b w:val="0"/>
          <w:szCs w:val="24"/>
          <w:lang w:val="en-AU"/>
        </w:rPr>
      </w:pPr>
      <w:r w:rsidRPr="00874D33">
        <w:rPr>
          <w:b w:val="0"/>
          <w:szCs w:val="24"/>
          <w:lang w:val="en-AU"/>
        </w:rPr>
        <w:t>the Level 2 insurance group; and</w:t>
      </w:r>
    </w:p>
    <w:p w14:paraId="0778866F" w14:textId="77777777" w:rsidR="00723086" w:rsidRPr="00874D33" w:rsidRDefault="00723086" w:rsidP="009F6C65">
      <w:pPr>
        <w:pStyle w:val="BodyText"/>
        <w:numPr>
          <w:ilvl w:val="0"/>
          <w:numId w:val="29"/>
        </w:numPr>
        <w:spacing w:after="240"/>
        <w:jc w:val="both"/>
        <w:rPr>
          <w:b w:val="0"/>
          <w:szCs w:val="24"/>
          <w:lang w:val="en-AU"/>
        </w:rPr>
      </w:pPr>
      <w:r w:rsidRPr="00874D33">
        <w:rPr>
          <w:b w:val="0"/>
          <w:szCs w:val="24"/>
          <w:lang w:val="en-AU"/>
        </w:rPr>
        <w:t>the Group Auditor.</w:t>
      </w:r>
    </w:p>
    <w:p w14:paraId="07788670"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Any one of these parties may initiate a meeting or discussion when the party considers it necessary. Notwithstanding the trilateral relationship, APRA and a Group Auditor may meet on a bilateral basis where either party considers this to be necessary.</w:t>
      </w:r>
    </w:p>
    <w:p w14:paraId="07788671"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104" w:name="_Toc217201541"/>
      <w:bookmarkStart w:id="105" w:name="_Toc158624418"/>
      <w:bookmarkStart w:id="106" w:name="_Toc171678087"/>
      <w:r w:rsidRPr="00874D33">
        <w:rPr>
          <w:rFonts w:ascii="Times New Roman" w:hAnsi="Times New Roman" w:cs="Times New Roman"/>
          <w:snapToGrid w:val="0"/>
          <w:sz w:val="24"/>
          <w:szCs w:val="24"/>
          <w:lang w:eastAsia="en-US"/>
        </w:rPr>
        <w:t>Limited assurance review report</w:t>
      </w:r>
      <w:bookmarkEnd w:id="104"/>
      <w:bookmarkEnd w:id="105"/>
      <w:bookmarkEnd w:id="106"/>
    </w:p>
    <w:p w14:paraId="07788672" w14:textId="3519BB1B"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bookmarkStart w:id="107" w:name="_Ref188431976"/>
      <w:r w:rsidRPr="00874D33">
        <w:rPr>
          <w:b w:val="0"/>
          <w:szCs w:val="24"/>
          <w:lang w:val="en-AU"/>
        </w:rPr>
        <w:t xml:space="preserve">The parent entity of a Level 2 insurance group must ensure that its Group Auditor prepares a report on an annual basis and provides that report to the group by the time specified in paragraph </w:t>
      </w:r>
      <w:r w:rsidR="00543F4E" w:rsidRPr="00874D33">
        <w:rPr>
          <w:b w:val="0"/>
          <w:szCs w:val="24"/>
          <w:lang w:val="en-AU"/>
        </w:rPr>
        <w:fldChar w:fldCharType="begin"/>
      </w:r>
      <w:r w:rsidR="00543F4E" w:rsidRPr="00874D33">
        <w:rPr>
          <w:b w:val="0"/>
          <w:szCs w:val="24"/>
          <w:lang w:val="en-AU"/>
        </w:rPr>
        <w:instrText xml:space="preserve"> REF _Ref317523791 \r \h </w:instrText>
      </w:r>
      <w:r w:rsidR="00B91852" w:rsidRPr="00874D33">
        <w:rPr>
          <w:b w:val="0"/>
          <w:szCs w:val="24"/>
          <w:lang w:val="en-AU"/>
        </w:rPr>
        <w:instrText xml:space="preserve"> \* MERGEFORMAT </w:instrText>
      </w:r>
      <w:r w:rsidR="00543F4E" w:rsidRPr="00874D33">
        <w:rPr>
          <w:b w:val="0"/>
          <w:szCs w:val="24"/>
          <w:lang w:val="en-AU"/>
        </w:rPr>
      </w:r>
      <w:r w:rsidR="00543F4E" w:rsidRPr="00874D33">
        <w:rPr>
          <w:b w:val="0"/>
          <w:szCs w:val="24"/>
          <w:lang w:val="en-AU"/>
        </w:rPr>
        <w:fldChar w:fldCharType="separate"/>
      </w:r>
      <w:r w:rsidR="00D54771" w:rsidRPr="00874D33">
        <w:rPr>
          <w:b w:val="0"/>
          <w:szCs w:val="24"/>
          <w:lang w:val="en-AU"/>
        </w:rPr>
        <w:t>13</w:t>
      </w:r>
      <w:r w:rsidR="00543F4E" w:rsidRPr="00874D33">
        <w:rPr>
          <w:b w:val="0"/>
          <w:szCs w:val="24"/>
          <w:lang w:val="en-AU"/>
        </w:rPr>
        <w:fldChar w:fldCharType="end"/>
      </w:r>
      <w:r w:rsidRPr="00874D33">
        <w:rPr>
          <w:b w:val="0"/>
          <w:szCs w:val="24"/>
          <w:lang w:val="en-AU"/>
        </w:rPr>
        <w:t xml:space="preserve"> of this Attachment. The report must:</w:t>
      </w:r>
      <w:bookmarkEnd w:id="107"/>
    </w:p>
    <w:p w14:paraId="07788673" w14:textId="77777777" w:rsidR="00723086" w:rsidRPr="00874D33" w:rsidRDefault="00723086" w:rsidP="009F6C65">
      <w:pPr>
        <w:pStyle w:val="BodyText"/>
        <w:numPr>
          <w:ilvl w:val="0"/>
          <w:numId w:val="30"/>
        </w:numPr>
        <w:spacing w:after="240"/>
        <w:jc w:val="both"/>
        <w:rPr>
          <w:b w:val="0"/>
          <w:szCs w:val="24"/>
          <w:lang w:val="en-AU"/>
        </w:rPr>
      </w:pPr>
      <w:r w:rsidRPr="00874D33">
        <w:rPr>
          <w:b w:val="0"/>
          <w:szCs w:val="24"/>
          <w:lang w:val="en-AU"/>
        </w:rPr>
        <w:t>be addressed to the Board of the parent entity of the group; and</w:t>
      </w:r>
    </w:p>
    <w:p w14:paraId="07788674" w14:textId="77777777" w:rsidR="00723086" w:rsidRPr="00874D33" w:rsidRDefault="00723086" w:rsidP="009F6C65">
      <w:pPr>
        <w:pStyle w:val="BodyText"/>
        <w:numPr>
          <w:ilvl w:val="0"/>
          <w:numId w:val="30"/>
        </w:numPr>
        <w:spacing w:after="240"/>
        <w:jc w:val="both"/>
        <w:rPr>
          <w:b w:val="0"/>
          <w:szCs w:val="24"/>
          <w:lang w:val="en-AU"/>
        </w:rPr>
      </w:pPr>
      <w:r w:rsidRPr="00874D33">
        <w:rPr>
          <w:b w:val="0"/>
          <w:szCs w:val="24"/>
          <w:lang w:val="en-AU"/>
        </w:rPr>
        <w:t>provide the Group Auditor’s opinion on a range of matters.</w:t>
      </w:r>
    </w:p>
    <w:p w14:paraId="07788675"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 xml:space="preserve">Preparation of the report must be consistent with professional standards and guidance notes issued by the </w:t>
      </w:r>
      <w:r w:rsidR="007912DF" w:rsidRPr="00874D33">
        <w:rPr>
          <w:b w:val="0"/>
          <w:szCs w:val="24"/>
          <w:lang w:val="en-AU"/>
        </w:rPr>
        <w:t>Auditing and Assurance Standards Board</w:t>
      </w:r>
      <w:r w:rsidRPr="00874D33">
        <w:rPr>
          <w:b w:val="0"/>
          <w:szCs w:val="24"/>
          <w:lang w:val="en-AU"/>
        </w:rPr>
        <w:t xml:space="preserve"> as may be amended from time to time, to the extent that they are not inconsistent with the requirements of this Prudential Standard. The parent entity of a Level 2 insurance group must ensure that its Group Auditor bases this report on at least a limited assurance engagement.  </w:t>
      </w:r>
    </w:p>
    <w:p w14:paraId="07788676"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bookmarkStart w:id="108" w:name="_Ref317585369"/>
      <w:r w:rsidRPr="00874D33">
        <w:rPr>
          <w:b w:val="0"/>
          <w:szCs w:val="24"/>
          <w:lang w:val="en-AU"/>
        </w:rPr>
        <w:t>The parent entity of a Level 2 insurance group must ensure that its Group Auditor specifies in the report the results of their investigations, including the matters listed at Attachment C.</w:t>
      </w:r>
      <w:bookmarkEnd w:id="108"/>
      <w:r w:rsidRPr="00874D33">
        <w:rPr>
          <w:b w:val="0"/>
          <w:szCs w:val="24"/>
          <w:lang w:val="en-AU"/>
        </w:rPr>
        <w:t xml:space="preserve"> </w:t>
      </w:r>
    </w:p>
    <w:p w14:paraId="07788677" w14:textId="77777777" w:rsidR="00723086" w:rsidRPr="00874D33" w:rsidRDefault="00723086" w:rsidP="00723086">
      <w:pPr>
        <w:pStyle w:val="Heading3"/>
        <w:keepLines/>
        <w:spacing w:before="120" w:after="240"/>
        <w:jc w:val="both"/>
        <w:rPr>
          <w:rFonts w:ascii="Times New Roman" w:hAnsi="Times New Roman" w:cs="Times New Roman"/>
          <w:snapToGrid w:val="0"/>
          <w:sz w:val="24"/>
          <w:szCs w:val="24"/>
          <w:lang w:eastAsia="en-US"/>
        </w:rPr>
      </w:pPr>
      <w:bookmarkStart w:id="109" w:name="_Toc217201545"/>
      <w:bookmarkStart w:id="110" w:name="_Toc158624419"/>
      <w:bookmarkStart w:id="111" w:name="_Toc171678088"/>
      <w:r w:rsidRPr="00874D33">
        <w:rPr>
          <w:rFonts w:ascii="Times New Roman" w:hAnsi="Times New Roman" w:cs="Times New Roman"/>
          <w:snapToGrid w:val="0"/>
          <w:sz w:val="24"/>
          <w:szCs w:val="24"/>
          <w:lang w:eastAsia="en-US"/>
        </w:rPr>
        <w:t>Engagement of the Group Auditor</w:t>
      </w:r>
      <w:bookmarkEnd w:id="109"/>
      <w:bookmarkEnd w:id="110"/>
      <w:bookmarkEnd w:id="111"/>
    </w:p>
    <w:p w14:paraId="07788678" w14:textId="77777777" w:rsidR="00723086" w:rsidRPr="00874D33" w:rsidRDefault="00723086" w:rsidP="009F6C65">
      <w:pPr>
        <w:pStyle w:val="BodyText"/>
        <w:numPr>
          <w:ilvl w:val="0"/>
          <w:numId w:val="24"/>
        </w:numPr>
        <w:tabs>
          <w:tab w:val="clear" w:pos="720"/>
          <w:tab w:val="num" w:pos="567"/>
        </w:tabs>
        <w:spacing w:after="240"/>
        <w:ind w:left="567" w:hanging="567"/>
        <w:jc w:val="both"/>
        <w:rPr>
          <w:b w:val="0"/>
          <w:szCs w:val="24"/>
          <w:lang w:val="en-AU"/>
        </w:rPr>
      </w:pPr>
      <w:r w:rsidRPr="00874D33">
        <w:rPr>
          <w:b w:val="0"/>
          <w:szCs w:val="24"/>
          <w:lang w:val="en-AU"/>
        </w:rPr>
        <w:t>Where this Prudential Standard requires the parent entity of a Level 2 insurance group to ensure that its Group Auditor performs a particular task or service or complies with a certain prudential requirement, the parent entity of a Level 2 insurance group must ensure that the contract engaging the Group Auditor includes a term requiring the Group Auditor to perform the task or service or comply with that requirement.</w:t>
      </w:r>
    </w:p>
    <w:p w14:paraId="0778867A" w14:textId="260CF360" w:rsidR="00C26CBE" w:rsidRPr="00874D33" w:rsidRDefault="00723086" w:rsidP="001F4AF7">
      <w:pPr>
        <w:pStyle w:val="Heading2"/>
        <w:rPr>
          <w:rFonts w:ascii="Times New Roman" w:hAnsi="Times New Roman" w:cs="Times New Roman"/>
          <w:i w:val="0"/>
          <w:sz w:val="24"/>
          <w:szCs w:val="24"/>
        </w:rPr>
      </w:pPr>
      <w:bookmarkStart w:id="112" w:name="_Toc217201546"/>
      <w:r w:rsidRPr="00874D33">
        <w:rPr>
          <w:rFonts w:ascii="Times New Roman" w:hAnsi="Times New Roman" w:cs="Times New Roman"/>
          <w:i w:val="0"/>
          <w:sz w:val="24"/>
          <w:szCs w:val="24"/>
        </w:rPr>
        <w:br w:type="page"/>
      </w:r>
      <w:bookmarkStart w:id="113" w:name="_Toc171678089"/>
      <w:bookmarkEnd w:id="112"/>
      <w:r w:rsidR="00C26CBE" w:rsidRPr="00874D33">
        <w:rPr>
          <w:rFonts w:ascii="Times New Roman" w:hAnsi="Times New Roman" w:cs="Times New Roman"/>
          <w:i w:val="0"/>
          <w:sz w:val="24"/>
          <w:szCs w:val="24"/>
        </w:rPr>
        <w:lastRenderedPageBreak/>
        <w:t xml:space="preserve">Attachment </w:t>
      </w:r>
      <w:bookmarkEnd w:id="78"/>
      <w:r w:rsidR="00C26CBE" w:rsidRPr="00874D33">
        <w:rPr>
          <w:rFonts w:ascii="Times New Roman" w:hAnsi="Times New Roman" w:cs="Times New Roman"/>
          <w:i w:val="0"/>
          <w:sz w:val="24"/>
          <w:szCs w:val="24"/>
        </w:rPr>
        <w:t xml:space="preserve">C </w:t>
      </w:r>
      <w:r w:rsidR="001F4AF7" w:rsidRPr="00874D33">
        <w:rPr>
          <w:rFonts w:ascii="Times New Roman" w:hAnsi="Times New Roman" w:cs="Times New Roman"/>
          <w:i w:val="0"/>
          <w:sz w:val="24"/>
          <w:szCs w:val="24"/>
        </w:rPr>
        <w:t xml:space="preserve">– </w:t>
      </w:r>
      <w:bookmarkStart w:id="114" w:name="_Toc217201549"/>
      <w:r w:rsidR="00C26CBE" w:rsidRPr="00874D33">
        <w:rPr>
          <w:rFonts w:ascii="Times New Roman" w:hAnsi="Times New Roman" w:cs="Times New Roman"/>
          <w:i w:val="0"/>
          <w:sz w:val="24"/>
          <w:szCs w:val="24"/>
        </w:rPr>
        <w:t xml:space="preserve">Matters to be addressed in a limited assurance review </w:t>
      </w:r>
      <w:proofErr w:type="gramStart"/>
      <w:r w:rsidR="00C26CBE" w:rsidRPr="00874D33">
        <w:rPr>
          <w:rFonts w:ascii="Times New Roman" w:hAnsi="Times New Roman" w:cs="Times New Roman"/>
          <w:i w:val="0"/>
          <w:sz w:val="24"/>
          <w:szCs w:val="24"/>
        </w:rPr>
        <w:t>report</w:t>
      </w:r>
      <w:bookmarkEnd w:id="114"/>
      <w:bookmarkEnd w:id="113"/>
      <w:proofErr w:type="gramEnd"/>
    </w:p>
    <w:p w14:paraId="0778867B" w14:textId="372BD34D" w:rsidR="00C26CBE" w:rsidRPr="00874D33" w:rsidRDefault="00C26CBE" w:rsidP="00C26CBE">
      <w:pPr>
        <w:pStyle w:val="BodyText"/>
        <w:tabs>
          <w:tab w:val="clear" w:pos="567"/>
        </w:tabs>
        <w:spacing w:after="240"/>
        <w:ind w:left="0" w:firstLine="0"/>
        <w:jc w:val="both"/>
        <w:rPr>
          <w:b w:val="0"/>
          <w:szCs w:val="24"/>
          <w:lang w:val="en-AU"/>
        </w:rPr>
      </w:pPr>
      <w:r w:rsidRPr="00874D33">
        <w:rPr>
          <w:b w:val="0"/>
          <w:szCs w:val="24"/>
          <w:lang w:val="en-AU"/>
        </w:rPr>
        <w:t xml:space="preserve">For the purposes of paragraph </w:t>
      </w:r>
      <w:r w:rsidR="00131544" w:rsidRPr="00874D33">
        <w:rPr>
          <w:b w:val="0"/>
          <w:szCs w:val="24"/>
          <w:lang w:val="en-AU"/>
        </w:rPr>
        <w:fldChar w:fldCharType="begin"/>
      </w:r>
      <w:r w:rsidR="00131544" w:rsidRPr="00874D33">
        <w:rPr>
          <w:b w:val="0"/>
          <w:szCs w:val="24"/>
          <w:lang w:val="en-AU"/>
        </w:rPr>
        <w:instrText xml:space="preserve"> REF _Ref317585369 \r \h </w:instrText>
      </w:r>
      <w:r w:rsidR="00B91852" w:rsidRPr="00874D33">
        <w:rPr>
          <w:b w:val="0"/>
          <w:szCs w:val="24"/>
          <w:lang w:val="en-AU"/>
        </w:rPr>
        <w:instrText xml:space="preserve"> \* MERGEFORMAT </w:instrText>
      </w:r>
      <w:r w:rsidR="00131544" w:rsidRPr="00874D33">
        <w:rPr>
          <w:b w:val="0"/>
          <w:szCs w:val="24"/>
          <w:lang w:val="en-AU"/>
        </w:rPr>
      </w:r>
      <w:r w:rsidR="00131544" w:rsidRPr="00874D33">
        <w:rPr>
          <w:b w:val="0"/>
          <w:szCs w:val="24"/>
          <w:lang w:val="en-AU"/>
        </w:rPr>
        <w:fldChar w:fldCharType="separate"/>
      </w:r>
      <w:r w:rsidR="00D54771" w:rsidRPr="00874D33">
        <w:rPr>
          <w:b w:val="0"/>
          <w:szCs w:val="24"/>
          <w:lang w:val="en-AU"/>
        </w:rPr>
        <w:t>23</w:t>
      </w:r>
      <w:r w:rsidR="00131544" w:rsidRPr="00874D33">
        <w:rPr>
          <w:b w:val="0"/>
          <w:szCs w:val="24"/>
          <w:lang w:val="en-AU"/>
        </w:rPr>
        <w:fldChar w:fldCharType="end"/>
      </w:r>
      <w:r w:rsidRPr="00874D33">
        <w:rPr>
          <w:b w:val="0"/>
          <w:szCs w:val="24"/>
          <w:lang w:val="en-AU"/>
        </w:rPr>
        <w:t xml:space="preserve"> of </w:t>
      </w:r>
      <w:r w:rsidR="004F51C4" w:rsidRPr="00874D33">
        <w:rPr>
          <w:b w:val="0"/>
          <w:szCs w:val="24"/>
          <w:lang w:val="en-AU"/>
        </w:rPr>
        <w:t xml:space="preserve">Attachment </w:t>
      </w:r>
      <w:r w:rsidR="00723086" w:rsidRPr="00874D33">
        <w:rPr>
          <w:b w:val="0"/>
          <w:szCs w:val="24"/>
          <w:lang w:val="en-AU"/>
        </w:rPr>
        <w:t>B</w:t>
      </w:r>
      <w:r w:rsidRPr="00874D33">
        <w:rPr>
          <w:b w:val="0"/>
          <w:szCs w:val="24"/>
          <w:lang w:val="en-AU"/>
        </w:rPr>
        <w:t>, the Group Auditor’s report must address whether:</w:t>
      </w:r>
    </w:p>
    <w:p w14:paraId="0778867C"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 xml:space="preserve">there is evidence to suggest that the returns provided to APRA in accordance with the Collection of Data Act do not present a fair view of the financial position of the Level 2 insurance </w:t>
      </w:r>
      <w:proofErr w:type="gramStart"/>
      <w:r w:rsidRPr="00874D33">
        <w:rPr>
          <w:b w:val="0"/>
          <w:szCs w:val="24"/>
          <w:lang w:val="en-AU"/>
        </w:rPr>
        <w:t>group;</w:t>
      </w:r>
      <w:proofErr w:type="gramEnd"/>
      <w:r w:rsidRPr="00874D33">
        <w:rPr>
          <w:b w:val="0"/>
          <w:szCs w:val="24"/>
          <w:lang w:val="en-AU"/>
        </w:rPr>
        <w:t xml:space="preserve"> </w:t>
      </w:r>
    </w:p>
    <w:p w14:paraId="0778867D"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 xml:space="preserve">there exist systems, procedures and controls that are kept up-to-date and address compliance with all prudential requirements. If the Group Auditor is of the opinion that the group does not have such systems, procedures and controls, it must specify in the report the reasons for this </w:t>
      </w:r>
      <w:proofErr w:type="gramStart"/>
      <w:r w:rsidRPr="00874D33">
        <w:rPr>
          <w:b w:val="0"/>
          <w:szCs w:val="24"/>
          <w:lang w:val="en-AU"/>
        </w:rPr>
        <w:t>opinion;</w:t>
      </w:r>
      <w:proofErr w:type="gramEnd"/>
      <w:r w:rsidRPr="00874D33">
        <w:rPr>
          <w:b w:val="0"/>
          <w:szCs w:val="24"/>
          <w:lang w:val="en-AU"/>
        </w:rPr>
        <w:t xml:space="preserve"> </w:t>
      </w:r>
    </w:p>
    <w:p w14:paraId="0778867E"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systems, procedures and controls relating to actuarial data integrity and financial reporting risks (the risks that incorrect source data will be used in completing returns to APRA in accordance with the Collection of Data Act)</w:t>
      </w:r>
      <w:r w:rsidRPr="00874D33">
        <w:rPr>
          <w:b w:val="0"/>
          <w:i/>
          <w:szCs w:val="24"/>
          <w:lang w:val="en-AU"/>
        </w:rPr>
        <w:t xml:space="preserve"> </w:t>
      </w:r>
      <w:r w:rsidRPr="00874D33">
        <w:rPr>
          <w:b w:val="0"/>
          <w:szCs w:val="24"/>
          <w:lang w:val="en-AU"/>
        </w:rPr>
        <w:t xml:space="preserve">are adequate and </w:t>
      </w:r>
      <w:proofErr w:type="gramStart"/>
      <w:r w:rsidRPr="00874D33">
        <w:rPr>
          <w:b w:val="0"/>
          <w:szCs w:val="24"/>
          <w:lang w:val="en-AU"/>
        </w:rPr>
        <w:t>effective;</w:t>
      </w:r>
      <w:proofErr w:type="gramEnd"/>
    </w:p>
    <w:p w14:paraId="0778867F"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proofErr w:type="gramStart"/>
      <w:r w:rsidRPr="00874D33">
        <w:rPr>
          <w:b w:val="0"/>
          <w:szCs w:val="24"/>
          <w:lang w:val="en-AU"/>
        </w:rPr>
        <w:t>during the course of</w:t>
      </w:r>
      <w:proofErr w:type="gramEnd"/>
      <w:r w:rsidRPr="00874D33">
        <w:rPr>
          <w:b w:val="0"/>
          <w:szCs w:val="24"/>
          <w:lang w:val="en-AU"/>
        </w:rPr>
        <w:t xml:space="preserve"> testing the group’s systems, procedures and controls, instances of non-compliance with prudential requirements have been identified.  If so, details are to be </w:t>
      </w:r>
      <w:proofErr w:type="gramStart"/>
      <w:r w:rsidRPr="00874D33">
        <w:rPr>
          <w:b w:val="0"/>
          <w:szCs w:val="24"/>
          <w:lang w:val="en-AU"/>
        </w:rPr>
        <w:t>provided;</w:t>
      </w:r>
      <w:proofErr w:type="gramEnd"/>
      <w:r w:rsidRPr="00874D33">
        <w:rPr>
          <w:b w:val="0"/>
          <w:szCs w:val="24"/>
          <w:lang w:val="en-AU"/>
        </w:rPr>
        <w:t xml:space="preserve"> </w:t>
      </w:r>
    </w:p>
    <w:p w14:paraId="07788680"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 xml:space="preserve">the group has complied, in all significant respects, with its </w:t>
      </w:r>
      <w:r w:rsidRPr="00874D33">
        <w:rPr>
          <w:szCs w:val="24"/>
          <w:lang w:val="en-AU"/>
        </w:rPr>
        <w:t>R</w:t>
      </w:r>
      <w:r w:rsidR="00DD0BC0" w:rsidRPr="00874D33">
        <w:rPr>
          <w:szCs w:val="24"/>
          <w:lang w:val="en-AU"/>
        </w:rPr>
        <w:t>isk Management Strategy</w:t>
      </w:r>
      <w:r w:rsidR="00DD0BC0" w:rsidRPr="00874D33">
        <w:rPr>
          <w:b w:val="0"/>
          <w:szCs w:val="24"/>
          <w:lang w:val="en-AU"/>
        </w:rPr>
        <w:t xml:space="preserve"> (R</w:t>
      </w:r>
      <w:r w:rsidRPr="00874D33">
        <w:rPr>
          <w:b w:val="0"/>
          <w:szCs w:val="24"/>
          <w:lang w:val="en-AU"/>
        </w:rPr>
        <w:t>MS</w:t>
      </w:r>
      <w:r w:rsidR="00DD0BC0" w:rsidRPr="00874D33">
        <w:rPr>
          <w:b w:val="0"/>
          <w:szCs w:val="24"/>
          <w:lang w:val="en-AU"/>
        </w:rPr>
        <w:t>)</w:t>
      </w:r>
      <w:r w:rsidRPr="00874D33">
        <w:rPr>
          <w:b w:val="0"/>
          <w:szCs w:val="24"/>
          <w:lang w:val="en-AU"/>
        </w:rPr>
        <w:t xml:space="preserve"> and </w:t>
      </w:r>
      <w:r w:rsidR="00CC258A" w:rsidRPr="00874D33">
        <w:rPr>
          <w:szCs w:val="24"/>
          <w:lang w:val="en-AU"/>
        </w:rPr>
        <w:t>Re</w:t>
      </w:r>
      <w:r w:rsidR="00DD0BC0" w:rsidRPr="00874D33">
        <w:rPr>
          <w:szCs w:val="24"/>
          <w:lang w:val="en-AU"/>
        </w:rPr>
        <w:t xml:space="preserve">insurance </w:t>
      </w:r>
      <w:r w:rsidR="00CC258A" w:rsidRPr="00874D33">
        <w:rPr>
          <w:szCs w:val="24"/>
          <w:lang w:val="en-AU"/>
        </w:rPr>
        <w:t>M</w:t>
      </w:r>
      <w:r w:rsidR="00DD0BC0" w:rsidRPr="00874D33">
        <w:rPr>
          <w:szCs w:val="24"/>
          <w:lang w:val="en-AU"/>
        </w:rPr>
        <w:t xml:space="preserve">anagement </w:t>
      </w:r>
      <w:r w:rsidR="00CC258A" w:rsidRPr="00874D33">
        <w:rPr>
          <w:szCs w:val="24"/>
          <w:lang w:val="en-AU"/>
        </w:rPr>
        <w:t>S</w:t>
      </w:r>
      <w:r w:rsidR="00DD0BC0" w:rsidRPr="00874D33">
        <w:rPr>
          <w:szCs w:val="24"/>
          <w:lang w:val="en-AU"/>
        </w:rPr>
        <w:t>trategy</w:t>
      </w:r>
      <w:r w:rsidR="00DD0BC0" w:rsidRPr="00874D33">
        <w:rPr>
          <w:b w:val="0"/>
          <w:szCs w:val="24"/>
          <w:lang w:val="en-AU"/>
        </w:rPr>
        <w:t xml:space="preserve"> (</w:t>
      </w:r>
      <w:proofErr w:type="spellStart"/>
      <w:r w:rsidR="00DD0BC0" w:rsidRPr="00874D33">
        <w:rPr>
          <w:b w:val="0"/>
          <w:szCs w:val="24"/>
          <w:lang w:val="en-AU"/>
        </w:rPr>
        <w:t>ReMS</w:t>
      </w:r>
      <w:proofErr w:type="spellEnd"/>
      <w:r w:rsidR="00DD0BC0" w:rsidRPr="00874D33">
        <w:rPr>
          <w:b w:val="0"/>
          <w:szCs w:val="24"/>
          <w:lang w:val="en-AU"/>
        </w:rPr>
        <w:t>)</w:t>
      </w:r>
      <w:r w:rsidRPr="00874D33">
        <w:rPr>
          <w:b w:val="0"/>
          <w:szCs w:val="24"/>
          <w:lang w:val="en-AU"/>
        </w:rPr>
        <w:t xml:space="preserve">. If the Group Auditor is of the opinion that the Level 2 insurance group has not complied with its RMS and </w:t>
      </w:r>
      <w:proofErr w:type="spellStart"/>
      <w:r w:rsidR="00CC258A" w:rsidRPr="00874D33">
        <w:rPr>
          <w:b w:val="0"/>
          <w:szCs w:val="24"/>
          <w:lang w:val="en-AU"/>
        </w:rPr>
        <w:t>ReMS</w:t>
      </w:r>
      <w:proofErr w:type="spellEnd"/>
      <w:r w:rsidRPr="00874D33">
        <w:rPr>
          <w:b w:val="0"/>
          <w:szCs w:val="24"/>
          <w:lang w:val="en-AU"/>
        </w:rPr>
        <w:t xml:space="preserve">, it must specify in the report the reasons for this </w:t>
      </w:r>
      <w:proofErr w:type="gramStart"/>
      <w:r w:rsidRPr="00874D33">
        <w:rPr>
          <w:b w:val="0"/>
          <w:szCs w:val="24"/>
          <w:lang w:val="en-AU"/>
        </w:rPr>
        <w:t>opinion;</w:t>
      </w:r>
      <w:proofErr w:type="gramEnd"/>
    </w:p>
    <w:p w14:paraId="07788681"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 xml:space="preserve">the group has systems, </w:t>
      </w:r>
      <w:proofErr w:type="gramStart"/>
      <w:r w:rsidRPr="00874D33">
        <w:rPr>
          <w:b w:val="0"/>
          <w:szCs w:val="24"/>
          <w:lang w:val="en-AU"/>
        </w:rPr>
        <w:t>procedures</w:t>
      </w:r>
      <w:proofErr w:type="gramEnd"/>
      <w:r w:rsidRPr="00874D33">
        <w:rPr>
          <w:b w:val="0"/>
          <w:szCs w:val="24"/>
          <w:lang w:val="en-AU"/>
        </w:rPr>
        <w:t xml:space="preserve"> and controls in place to ensure that reliable statistical and financial data are provided to APRA in the semi-annual returns required by reporting standards made under the Collection of Data Act. If the Group Auditor is of the opinion that the group does not have such systems, </w:t>
      </w:r>
      <w:proofErr w:type="gramStart"/>
      <w:r w:rsidRPr="00874D33">
        <w:rPr>
          <w:b w:val="0"/>
          <w:szCs w:val="24"/>
          <w:lang w:val="en-AU"/>
        </w:rPr>
        <w:t>procedures</w:t>
      </w:r>
      <w:proofErr w:type="gramEnd"/>
      <w:r w:rsidRPr="00874D33">
        <w:rPr>
          <w:b w:val="0"/>
          <w:szCs w:val="24"/>
          <w:lang w:val="en-AU"/>
        </w:rPr>
        <w:t xml:space="preserve"> and controls, it must specify in the report the reasons for this opinion; and</w:t>
      </w:r>
    </w:p>
    <w:p w14:paraId="07788682" w14:textId="77777777" w:rsidR="00C26CBE" w:rsidRPr="00874D33" w:rsidRDefault="00C26CBE" w:rsidP="00536EE4">
      <w:pPr>
        <w:pStyle w:val="BodyText"/>
        <w:numPr>
          <w:ilvl w:val="0"/>
          <w:numId w:val="1"/>
        </w:numPr>
        <w:tabs>
          <w:tab w:val="clear" w:pos="573"/>
          <w:tab w:val="num" w:pos="567"/>
        </w:tabs>
        <w:spacing w:after="240"/>
        <w:ind w:left="567" w:hanging="567"/>
        <w:jc w:val="both"/>
        <w:rPr>
          <w:b w:val="0"/>
          <w:szCs w:val="24"/>
          <w:lang w:val="en-AU"/>
        </w:rPr>
      </w:pPr>
      <w:r w:rsidRPr="00874D33">
        <w:rPr>
          <w:b w:val="0"/>
          <w:szCs w:val="24"/>
          <w:lang w:val="en-AU"/>
        </w:rPr>
        <w:t xml:space="preserve">there are matters which have come to the Group Auditor’s attention that will, or are likely to, adversely affect the interests of policyholders of the group. If so, the Group Auditor must provide details in the report. </w:t>
      </w:r>
    </w:p>
    <w:bookmarkEnd w:id="79"/>
    <w:p w14:paraId="07788683" w14:textId="77777777" w:rsidR="00D453D0" w:rsidRPr="00874D33" w:rsidRDefault="00D453D0">
      <w:pPr>
        <w:rPr>
          <w:b/>
          <w:szCs w:val="24"/>
        </w:rPr>
      </w:pPr>
      <w:r w:rsidRPr="00874D33">
        <w:rPr>
          <w:i/>
          <w:szCs w:val="24"/>
        </w:rPr>
        <w:br w:type="page"/>
      </w:r>
    </w:p>
    <w:p w14:paraId="07788685" w14:textId="7BA0A9EB" w:rsidR="004E042E" w:rsidRPr="00874D33" w:rsidRDefault="00D453D0" w:rsidP="00E922FC">
      <w:pPr>
        <w:pStyle w:val="Heading2"/>
        <w:spacing w:before="0" w:after="240"/>
        <w:rPr>
          <w:rFonts w:ascii="Times New Roman" w:hAnsi="Times New Roman" w:cs="Times New Roman"/>
          <w:i w:val="0"/>
          <w:sz w:val="24"/>
          <w:szCs w:val="24"/>
        </w:rPr>
      </w:pPr>
      <w:bookmarkStart w:id="115" w:name="_Toc171678090"/>
      <w:r w:rsidRPr="00874D33">
        <w:rPr>
          <w:rFonts w:ascii="Times New Roman" w:hAnsi="Times New Roman" w:cs="Times New Roman"/>
          <w:i w:val="0"/>
          <w:sz w:val="24"/>
          <w:szCs w:val="24"/>
        </w:rPr>
        <w:lastRenderedPageBreak/>
        <w:t>Attachment D</w:t>
      </w:r>
      <w:r w:rsidR="00742F86" w:rsidRPr="00874D33">
        <w:rPr>
          <w:rFonts w:ascii="Times New Roman" w:hAnsi="Times New Roman" w:cs="Times New Roman"/>
          <w:i w:val="0"/>
          <w:sz w:val="24"/>
          <w:szCs w:val="24"/>
        </w:rPr>
        <w:t xml:space="preserve"> – </w:t>
      </w:r>
      <w:r w:rsidR="004E042E" w:rsidRPr="00874D33">
        <w:rPr>
          <w:rFonts w:ascii="Times New Roman" w:hAnsi="Times New Roman" w:cs="Times New Roman"/>
          <w:i w:val="0"/>
          <w:sz w:val="24"/>
          <w:szCs w:val="24"/>
        </w:rPr>
        <w:t>Financial Information Declaration</w:t>
      </w:r>
      <w:bookmarkEnd w:id="115"/>
      <w:r w:rsidR="004E042E" w:rsidRPr="00874D33">
        <w:rPr>
          <w:rFonts w:ascii="Times New Roman" w:hAnsi="Times New Roman" w:cs="Times New Roman"/>
          <w:i w:val="0"/>
          <w:sz w:val="24"/>
          <w:szCs w:val="24"/>
        </w:rPr>
        <w:t xml:space="preserve"> </w:t>
      </w:r>
    </w:p>
    <w:p w14:paraId="07788686" w14:textId="77777777" w:rsidR="004E042E" w:rsidRPr="00874D33" w:rsidRDefault="004E042E" w:rsidP="002A360A">
      <w:pPr>
        <w:pStyle w:val="NormaltextCharCharCharCharChar"/>
        <w:numPr>
          <w:ilvl w:val="0"/>
          <w:numId w:val="34"/>
        </w:numPr>
        <w:rPr>
          <w:szCs w:val="24"/>
        </w:rPr>
      </w:pPr>
      <w:bookmarkStart w:id="116" w:name="_Ref362257178"/>
      <w:bookmarkStart w:id="117" w:name="_Ref88040754"/>
      <w:bookmarkStart w:id="118" w:name="_Ref91500649"/>
      <w:r w:rsidRPr="00874D33">
        <w:rPr>
          <w:szCs w:val="24"/>
        </w:rPr>
        <w:t>A regulated institution must provide to APRA a declaration on financial information (Financial Information Declaration) signed by:</w:t>
      </w:r>
      <w:bookmarkEnd w:id="116"/>
    </w:p>
    <w:p w14:paraId="07788687" w14:textId="77777777" w:rsidR="004E042E" w:rsidRPr="00874D33" w:rsidRDefault="004E042E" w:rsidP="002A360A">
      <w:pPr>
        <w:pStyle w:val="NormaltextCharCharCharCharChar"/>
        <w:numPr>
          <w:ilvl w:val="0"/>
          <w:numId w:val="35"/>
        </w:numPr>
        <w:rPr>
          <w:szCs w:val="24"/>
        </w:rPr>
      </w:pPr>
      <w:r w:rsidRPr="00874D33">
        <w:rPr>
          <w:szCs w:val="24"/>
        </w:rPr>
        <w:t xml:space="preserve">the chief executive officer (CEO) (by whatever name called, or for a Category C insurer, the local equivalent); and </w:t>
      </w:r>
    </w:p>
    <w:p w14:paraId="07788688" w14:textId="77777777" w:rsidR="004E042E" w:rsidRPr="00874D33" w:rsidRDefault="004E042E" w:rsidP="002A360A">
      <w:pPr>
        <w:pStyle w:val="NormaltextCharCharCharCharChar"/>
        <w:numPr>
          <w:ilvl w:val="0"/>
          <w:numId w:val="35"/>
        </w:numPr>
        <w:rPr>
          <w:szCs w:val="24"/>
        </w:rPr>
      </w:pPr>
      <w:r w:rsidRPr="00874D33">
        <w:rPr>
          <w:szCs w:val="24"/>
        </w:rPr>
        <w:t>the chief financial officer (CFO) (by whatever name called, or for a Category C insurer, the local equivalent).</w:t>
      </w:r>
    </w:p>
    <w:p w14:paraId="07788689" w14:textId="2755F84E" w:rsidR="004E042E" w:rsidRPr="00874D33" w:rsidRDefault="004E042E" w:rsidP="002A360A">
      <w:pPr>
        <w:pStyle w:val="NormaltextCharCharCharCharChar"/>
        <w:numPr>
          <w:ilvl w:val="0"/>
          <w:numId w:val="0"/>
        </w:numPr>
        <w:ind w:left="567"/>
        <w:rPr>
          <w:szCs w:val="24"/>
        </w:rPr>
      </w:pPr>
      <w:r w:rsidRPr="00874D33">
        <w:rPr>
          <w:szCs w:val="24"/>
        </w:rPr>
        <w:t xml:space="preserve">This declaration is set out in </w:t>
      </w:r>
      <w:r w:rsidR="00560408" w:rsidRPr="00874D33">
        <w:rPr>
          <w:szCs w:val="24"/>
        </w:rPr>
        <w:t xml:space="preserve">paragraph </w:t>
      </w:r>
      <w:r w:rsidR="004B6407" w:rsidRPr="00874D33">
        <w:rPr>
          <w:szCs w:val="24"/>
        </w:rPr>
        <w:fldChar w:fldCharType="begin"/>
      </w:r>
      <w:r w:rsidR="004B6407" w:rsidRPr="00874D33">
        <w:rPr>
          <w:szCs w:val="24"/>
        </w:rPr>
        <w:instrText xml:space="preserve"> REF _Ref362256909 \r \h </w:instrText>
      </w:r>
      <w:r w:rsidR="00B91852" w:rsidRPr="00874D33">
        <w:rPr>
          <w:szCs w:val="24"/>
        </w:rPr>
        <w:instrText xml:space="preserve"> \* MERGEFORMAT </w:instrText>
      </w:r>
      <w:r w:rsidR="004B6407" w:rsidRPr="00874D33">
        <w:rPr>
          <w:szCs w:val="24"/>
        </w:rPr>
      </w:r>
      <w:r w:rsidR="004B6407" w:rsidRPr="00874D33">
        <w:rPr>
          <w:szCs w:val="24"/>
        </w:rPr>
        <w:fldChar w:fldCharType="separate"/>
      </w:r>
      <w:r w:rsidR="00D54771" w:rsidRPr="00874D33">
        <w:rPr>
          <w:szCs w:val="24"/>
        </w:rPr>
        <w:t>2</w:t>
      </w:r>
      <w:r w:rsidR="004B6407" w:rsidRPr="00874D33">
        <w:rPr>
          <w:szCs w:val="24"/>
        </w:rPr>
        <w:fldChar w:fldCharType="end"/>
      </w:r>
      <w:r w:rsidR="00854E88" w:rsidRPr="00874D33">
        <w:rPr>
          <w:szCs w:val="24"/>
        </w:rPr>
        <w:t xml:space="preserve"> of this Attachment</w:t>
      </w:r>
      <w:r w:rsidRPr="00874D33">
        <w:rPr>
          <w:szCs w:val="24"/>
        </w:rPr>
        <w:t>. Where the CEO and the CFO are the same person, the Financial Information Declaration must be signed by that person and another person to be agreed upon with APRA.</w:t>
      </w:r>
    </w:p>
    <w:p w14:paraId="0778868A" w14:textId="28239F2E" w:rsidR="004E042E" w:rsidRPr="00874D33" w:rsidRDefault="004E042E" w:rsidP="002A360A">
      <w:pPr>
        <w:pStyle w:val="NormaltextCharCharCharCharChar"/>
        <w:numPr>
          <w:ilvl w:val="0"/>
          <w:numId w:val="34"/>
        </w:numPr>
        <w:rPr>
          <w:szCs w:val="24"/>
        </w:rPr>
      </w:pPr>
      <w:bookmarkStart w:id="119" w:name="_Ref362256909"/>
      <w:bookmarkEnd w:id="117"/>
      <w:bookmarkEnd w:id="118"/>
      <w:r w:rsidRPr="00874D33">
        <w:rPr>
          <w:szCs w:val="24"/>
        </w:rPr>
        <w:t xml:space="preserve">The CEO and the CFO must (by the time provided for in paragraph </w:t>
      </w:r>
      <w:r w:rsidR="00832A3E" w:rsidRPr="00874D33">
        <w:rPr>
          <w:szCs w:val="24"/>
        </w:rPr>
        <w:fldChar w:fldCharType="begin"/>
      </w:r>
      <w:r w:rsidR="00832A3E" w:rsidRPr="00874D33">
        <w:rPr>
          <w:szCs w:val="24"/>
        </w:rPr>
        <w:instrText xml:space="preserve"> REF _Ref316647876 \r \h </w:instrText>
      </w:r>
      <w:r w:rsidR="00B91852" w:rsidRPr="00874D33">
        <w:rPr>
          <w:szCs w:val="24"/>
        </w:rPr>
        <w:instrText xml:space="preserve"> \* MERGEFORMAT </w:instrText>
      </w:r>
      <w:r w:rsidR="00832A3E" w:rsidRPr="00874D33">
        <w:rPr>
          <w:szCs w:val="24"/>
        </w:rPr>
      </w:r>
      <w:r w:rsidR="00832A3E" w:rsidRPr="00874D33">
        <w:rPr>
          <w:szCs w:val="24"/>
        </w:rPr>
        <w:fldChar w:fldCharType="separate"/>
      </w:r>
      <w:r w:rsidR="00D54771" w:rsidRPr="00874D33">
        <w:rPr>
          <w:szCs w:val="24"/>
        </w:rPr>
        <w:t>3</w:t>
      </w:r>
      <w:r w:rsidR="00832A3E" w:rsidRPr="00874D33">
        <w:rPr>
          <w:szCs w:val="24"/>
        </w:rPr>
        <w:fldChar w:fldCharType="end"/>
      </w:r>
      <w:r w:rsidR="00832A3E" w:rsidRPr="00874D33">
        <w:rPr>
          <w:szCs w:val="24"/>
        </w:rPr>
        <w:t xml:space="preserve"> </w:t>
      </w:r>
      <w:r w:rsidRPr="00874D33">
        <w:rPr>
          <w:szCs w:val="24"/>
        </w:rPr>
        <w:t xml:space="preserve">of this </w:t>
      </w:r>
      <w:r w:rsidR="00560408" w:rsidRPr="00874D33">
        <w:rPr>
          <w:szCs w:val="24"/>
        </w:rPr>
        <w:t>Attachment</w:t>
      </w:r>
      <w:r w:rsidRPr="00874D33">
        <w:rPr>
          <w:szCs w:val="24"/>
        </w:rPr>
        <w:t>) provide APRA with a Financial Information Declaration, signed by both of them,</w:t>
      </w:r>
      <w:r w:rsidRPr="00874D33">
        <w:rPr>
          <w:rStyle w:val="FootnoteReference"/>
          <w:szCs w:val="24"/>
        </w:rPr>
        <w:footnoteReference w:id="34"/>
      </w:r>
      <w:r w:rsidRPr="00874D33">
        <w:rPr>
          <w:szCs w:val="24"/>
        </w:rPr>
        <w:t xml:space="preserve"> stating that for the last financial year, to the best of their knowledge and belief having made appropriate enquiries:</w:t>
      </w:r>
      <w:bookmarkEnd w:id="119"/>
      <w:r w:rsidRPr="00874D33">
        <w:rPr>
          <w:szCs w:val="24"/>
        </w:rPr>
        <w:t xml:space="preserve">  </w:t>
      </w:r>
    </w:p>
    <w:p w14:paraId="0778868B" w14:textId="77777777" w:rsidR="004E042E" w:rsidRPr="00874D33" w:rsidRDefault="004E042E" w:rsidP="002A360A">
      <w:pPr>
        <w:numPr>
          <w:ilvl w:val="0"/>
          <w:numId w:val="37"/>
        </w:numPr>
        <w:spacing w:after="240"/>
        <w:ind w:left="1134" w:hanging="567"/>
        <w:jc w:val="both"/>
        <w:rPr>
          <w:szCs w:val="24"/>
        </w:rPr>
      </w:pPr>
      <w:r w:rsidRPr="00874D33">
        <w:rPr>
          <w:szCs w:val="24"/>
        </w:rPr>
        <w:t xml:space="preserve">the financial information that the regulated institution has lodged with APRA has been prepared in accordance with the Act, Regulations, prudential standards, the Collection of Data Act, accounting standards and other mandatory professional reporting requirements in Australia, to the extent that the accounting standards and professional reporting requirements do not contain any requirements contrary to the aforementioned legislative and prudential </w:t>
      </w:r>
      <w:proofErr w:type="gramStart"/>
      <w:r w:rsidRPr="00874D33">
        <w:rPr>
          <w:szCs w:val="24"/>
        </w:rPr>
        <w:t>requirements;</w:t>
      </w:r>
      <w:proofErr w:type="gramEnd"/>
    </w:p>
    <w:p w14:paraId="0778868C" w14:textId="77777777" w:rsidR="004E042E" w:rsidRPr="00874D33" w:rsidRDefault="004E042E" w:rsidP="002A360A">
      <w:pPr>
        <w:numPr>
          <w:ilvl w:val="0"/>
          <w:numId w:val="37"/>
        </w:numPr>
        <w:spacing w:after="240"/>
        <w:ind w:left="1134" w:hanging="567"/>
        <w:jc w:val="both"/>
        <w:rPr>
          <w:szCs w:val="24"/>
        </w:rPr>
      </w:pPr>
      <w:r w:rsidRPr="00874D33">
        <w:rPr>
          <w:szCs w:val="24"/>
        </w:rPr>
        <w:t xml:space="preserve">the information provided to the auditor </w:t>
      </w:r>
      <w:r w:rsidR="00560408" w:rsidRPr="00874D33">
        <w:rPr>
          <w:szCs w:val="24"/>
        </w:rPr>
        <w:t xml:space="preserve">and </w:t>
      </w:r>
      <w:r w:rsidR="00560408" w:rsidRPr="00874D33">
        <w:rPr>
          <w:b/>
          <w:szCs w:val="24"/>
        </w:rPr>
        <w:t>Appointed Actuary</w:t>
      </w:r>
      <w:r w:rsidR="00560408" w:rsidRPr="00874D33">
        <w:rPr>
          <w:szCs w:val="24"/>
        </w:rPr>
        <w:t xml:space="preserve"> </w:t>
      </w:r>
      <w:r w:rsidRPr="00874D33">
        <w:rPr>
          <w:szCs w:val="24"/>
        </w:rPr>
        <w:t>for the purpose of enabling them to undertake their roles and responsibilities is accurate and complete, consistent with the accounting records of the regulated institution, and a true representation of the transactions for the year and the financial position of the regulated institution;</w:t>
      </w:r>
      <w:r w:rsidRPr="00874D33">
        <w:rPr>
          <w:rStyle w:val="FootnoteReference"/>
          <w:szCs w:val="24"/>
        </w:rPr>
        <w:footnoteReference w:id="35"/>
      </w:r>
      <w:r w:rsidRPr="00874D33">
        <w:rPr>
          <w:szCs w:val="24"/>
        </w:rPr>
        <w:t xml:space="preserve"> and</w:t>
      </w:r>
    </w:p>
    <w:p w14:paraId="0778868D" w14:textId="77777777" w:rsidR="004E042E" w:rsidRPr="00874D33" w:rsidRDefault="004E042E" w:rsidP="002A360A">
      <w:pPr>
        <w:numPr>
          <w:ilvl w:val="0"/>
          <w:numId w:val="37"/>
        </w:numPr>
        <w:spacing w:after="240"/>
        <w:ind w:left="1134" w:hanging="567"/>
        <w:jc w:val="both"/>
        <w:rPr>
          <w:szCs w:val="24"/>
        </w:rPr>
      </w:pPr>
      <w:r w:rsidRPr="00874D33">
        <w:rPr>
          <w:szCs w:val="24"/>
        </w:rPr>
        <w:t>the financial information lodged with APRA is accurate and complete, consistent with the accounting records of the regulated institution, and represents a true and fair view of the transactions for the year and the financial position of the regulated institution.</w:t>
      </w:r>
    </w:p>
    <w:p w14:paraId="0778868E" w14:textId="77777777" w:rsidR="000B11A0" w:rsidRPr="00874D33" w:rsidRDefault="000B11A0" w:rsidP="000B11A0">
      <w:pPr>
        <w:pStyle w:val="NormaltextCharCharCharCharChar"/>
        <w:numPr>
          <w:ilvl w:val="0"/>
          <w:numId w:val="42"/>
        </w:numPr>
        <w:ind w:left="567" w:hanging="567"/>
        <w:rPr>
          <w:szCs w:val="24"/>
        </w:rPr>
      </w:pPr>
      <w:bookmarkStart w:id="120" w:name="_Ref316647876"/>
      <w:r w:rsidRPr="00874D33">
        <w:rPr>
          <w:szCs w:val="24"/>
        </w:rPr>
        <w:t>The Financial Information Declaration must be submitted to APRA on, or before, the day that the insurer’s yearly statutory accounts or Level 2 insurance group’s annual accounts (as appropriate) are required to be submitted to APRA in accordance with reporting standards made under the Collection of Data Act.</w:t>
      </w:r>
      <w:bookmarkStart w:id="121" w:name="_Ref88040766"/>
      <w:bookmarkEnd w:id="120"/>
    </w:p>
    <w:bookmarkEnd w:id="121"/>
    <w:p w14:paraId="0778868F" w14:textId="6C278BB6" w:rsidR="00F34E11" w:rsidRPr="00874D33" w:rsidRDefault="004E042E" w:rsidP="002A360A">
      <w:pPr>
        <w:pStyle w:val="ListParagraph"/>
        <w:numPr>
          <w:ilvl w:val="0"/>
          <w:numId w:val="42"/>
        </w:numPr>
        <w:spacing w:before="120" w:after="240"/>
        <w:ind w:left="567" w:hanging="567"/>
        <w:jc w:val="both"/>
        <w:rPr>
          <w:szCs w:val="24"/>
        </w:rPr>
      </w:pPr>
      <w:r w:rsidRPr="00874D33">
        <w:rPr>
          <w:szCs w:val="24"/>
        </w:rPr>
        <w:lastRenderedPageBreak/>
        <w:t>If the CEO or CFO qualifies the Financial Information Declaration, the qualified Declaration must include a description of the cause and circumstances of the qualification, and steps taken, or proposed to be taken, to remedy the problem.</w:t>
      </w:r>
    </w:p>
    <w:p w14:paraId="394A22D8" w14:textId="36AC937C" w:rsidR="00F34E11" w:rsidRPr="00874D33" w:rsidRDefault="00F34E11">
      <w:pPr>
        <w:rPr>
          <w:szCs w:val="24"/>
        </w:rPr>
      </w:pPr>
      <w:r w:rsidRPr="00874D33">
        <w:rPr>
          <w:szCs w:val="24"/>
        </w:rPr>
        <w:br w:type="page"/>
      </w:r>
    </w:p>
    <w:p w14:paraId="61B0660E" w14:textId="5CF777D8" w:rsidR="00AA42B5" w:rsidRPr="00874D33" w:rsidRDefault="00F34E11" w:rsidP="689F78B4">
      <w:pPr>
        <w:pStyle w:val="Heading2"/>
        <w:spacing w:before="0" w:after="240"/>
        <w:rPr>
          <w:rFonts w:ascii="Times New Roman" w:hAnsi="Times New Roman" w:cs="Times New Roman"/>
          <w:i w:val="0"/>
          <w:sz w:val="24"/>
          <w:szCs w:val="24"/>
        </w:rPr>
      </w:pPr>
      <w:bookmarkStart w:id="122" w:name="_Toc171678091"/>
      <w:r w:rsidRPr="00874D33">
        <w:rPr>
          <w:rFonts w:ascii="Times New Roman" w:hAnsi="Times New Roman" w:cs="Times New Roman"/>
          <w:i w:val="0"/>
          <w:sz w:val="24"/>
          <w:szCs w:val="24"/>
        </w:rPr>
        <w:lastRenderedPageBreak/>
        <w:t>Attachment E</w:t>
      </w:r>
      <w:r w:rsidR="00742F86" w:rsidRPr="00874D33">
        <w:rPr>
          <w:rFonts w:ascii="Times New Roman" w:hAnsi="Times New Roman" w:cs="Times New Roman"/>
          <w:i w:val="0"/>
          <w:sz w:val="24"/>
          <w:szCs w:val="24"/>
        </w:rPr>
        <w:t xml:space="preserve"> – </w:t>
      </w:r>
      <w:r w:rsidR="002A1A9F" w:rsidRPr="00874D33">
        <w:rPr>
          <w:rFonts w:ascii="Times New Roman" w:hAnsi="Times New Roman" w:cs="Times New Roman"/>
          <w:i w:val="0"/>
          <w:sz w:val="24"/>
          <w:szCs w:val="24"/>
        </w:rPr>
        <w:t>Auditable annual returns</w:t>
      </w:r>
      <w:bookmarkEnd w:id="122"/>
    </w:p>
    <w:p w14:paraId="1AC5D3FD" w14:textId="25D4F532" w:rsidR="00304DBE" w:rsidRPr="00874D33" w:rsidRDefault="00304DBE" w:rsidP="689F78B4">
      <w:pPr>
        <w:pStyle w:val="paragraph"/>
        <w:spacing w:before="0" w:beforeAutospacing="0" w:after="240" w:afterAutospacing="0"/>
        <w:jc w:val="both"/>
        <w:textAlignment w:val="baseline"/>
        <w:rPr>
          <w:rStyle w:val="normaltextrun"/>
          <w:rFonts w:eastAsiaTheme="majorEastAsia"/>
        </w:rPr>
      </w:pPr>
      <w:r w:rsidRPr="689F78B4">
        <w:t xml:space="preserve">The Auditor must provide assurance on the annual data </w:t>
      </w:r>
      <w:r w:rsidR="006F5A8B" w:rsidRPr="689F78B4">
        <w:t xml:space="preserve">reported </w:t>
      </w:r>
      <w:r w:rsidRPr="689F78B4">
        <w:t xml:space="preserve">to APRA in </w:t>
      </w:r>
      <w:r w:rsidR="005359D4" w:rsidRPr="689F78B4">
        <w:t xml:space="preserve">relation </w:t>
      </w:r>
      <w:r w:rsidR="004B224A" w:rsidRPr="689F78B4">
        <w:t xml:space="preserve">to the </w:t>
      </w:r>
      <w:r w:rsidR="00E55475" w:rsidRPr="689F78B4">
        <w:t xml:space="preserve">below </w:t>
      </w:r>
      <w:r w:rsidR="004B224A" w:rsidRPr="689F78B4">
        <w:t xml:space="preserve">reporting standards made under the Collection of Data Act: </w:t>
      </w:r>
    </w:p>
    <w:p w14:paraId="32625792" w14:textId="77777777" w:rsidR="00304DBE" w:rsidRPr="00874D33" w:rsidRDefault="00304DBE" w:rsidP="689F78B4">
      <w:pPr>
        <w:pStyle w:val="paragraph"/>
        <w:spacing w:before="0" w:beforeAutospacing="0" w:after="240" w:afterAutospacing="0"/>
        <w:jc w:val="both"/>
        <w:textAlignment w:val="baseline"/>
        <w:rPr>
          <w:rStyle w:val="eop"/>
          <w:rFonts w:eastAsiaTheme="majorEastAsia"/>
        </w:rPr>
      </w:pPr>
      <w:r w:rsidRPr="689F78B4">
        <w:rPr>
          <w:rStyle w:val="normaltextrun"/>
          <w:rFonts w:eastAsiaTheme="majorEastAsia"/>
          <w:u w:val="single"/>
        </w:rPr>
        <w:t>Level 1 (or Licensed insurer)</w:t>
      </w:r>
      <w:r w:rsidRPr="689F78B4">
        <w:rPr>
          <w:rStyle w:val="normaltextrun"/>
          <w:rFonts w:eastAsiaTheme="majorEastAsia"/>
        </w:rPr>
        <w:t> </w:t>
      </w:r>
      <w:r w:rsidRPr="689F78B4">
        <w:rPr>
          <w:rStyle w:val="eop"/>
          <w:rFonts w:eastAsiaTheme="majorEastAsia"/>
        </w:rPr>
        <w:t> </w:t>
      </w:r>
    </w:p>
    <w:p w14:paraId="01C63A89" w14:textId="77777777" w:rsidR="00304DBE" w:rsidRPr="00874D33" w:rsidRDefault="00304DBE" w:rsidP="689F78B4">
      <w:pPr>
        <w:pStyle w:val="paragraph"/>
        <w:spacing w:before="0" w:beforeAutospacing="0" w:after="0" w:afterAutospacing="0"/>
        <w:jc w:val="both"/>
        <w:textAlignment w:val="baseline"/>
      </w:pPr>
    </w:p>
    <w:tbl>
      <w:tblPr>
        <w:tblW w:w="8618"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
        <w:gridCol w:w="5571"/>
        <w:gridCol w:w="1702"/>
      </w:tblGrid>
      <w:tr w:rsidR="00304DBE" w:rsidRPr="00B91852" w14:paraId="348D5901" w14:textId="77777777" w:rsidTr="689F78B4">
        <w:trPr>
          <w:trHeight w:val="225"/>
        </w:trPr>
        <w:tc>
          <w:tcPr>
            <w:tcW w:w="135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CC0399E" w14:textId="77777777" w:rsidR="00304DBE" w:rsidRPr="00874D33" w:rsidRDefault="00304DBE" w:rsidP="689F78B4">
            <w:pPr>
              <w:pStyle w:val="paragraph"/>
              <w:spacing w:before="0" w:beforeAutospacing="0" w:after="0" w:afterAutospacing="0"/>
              <w:jc w:val="center"/>
              <w:textAlignment w:val="baseline"/>
            </w:pPr>
            <w:r w:rsidRPr="689F78B4">
              <w:rPr>
                <w:rStyle w:val="normaltextrun"/>
                <w:rFonts w:eastAsiaTheme="majorEastAsia"/>
                <w:b/>
                <w:bCs/>
                <w:caps/>
              </w:rPr>
              <w:t>RETURN</w:t>
            </w:r>
            <w:r w:rsidRPr="689F78B4">
              <w:rPr>
                <w:rStyle w:val="eop"/>
                <w:rFonts w:eastAsiaTheme="majorEastAsia"/>
              </w:rPr>
              <w:t> </w:t>
            </w:r>
          </w:p>
        </w:tc>
        <w:tc>
          <w:tcPr>
            <w:tcW w:w="5700" w:type="dxa"/>
            <w:tcBorders>
              <w:top w:val="single" w:sz="6" w:space="0" w:color="auto"/>
              <w:left w:val="nil"/>
              <w:bottom w:val="single" w:sz="6" w:space="0" w:color="auto"/>
              <w:right w:val="single" w:sz="6" w:space="0" w:color="auto"/>
            </w:tcBorders>
            <w:shd w:val="clear" w:color="auto" w:fill="000000" w:themeFill="text1"/>
            <w:hideMark/>
          </w:tcPr>
          <w:p w14:paraId="656F1D71" w14:textId="77777777" w:rsidR="00304DBE" w:rsidRPr="00874D33" w:rsidRDefault="00304DBE" w:rsidP="689F78B4">
            <w:pPr>
              <w:pStyle w:val="paragraph"/>
              <w:spacing w:before="0" w:beforeAutospacing="0" w:after="0" w:afterAutospacing="0"/>
              <w:jc w:val="center"/>
              <w:textAlignment w:val="baseline"/>
            </w:pPr>
            <w:r w:rsidRPr="689F78B4">
              <w:rPr>
                <w:rStyle w:val="normaltextrun"/>
                <w:rFonts w:eastAsiaTheme="majorEastAsia"/>
                <w:b/>
                <w:bCs/>
                <w:caps/>
              </w:rPr>
              <w:t>REPORTING STANDARD</w:t>
            </w:r>
            <w:r w:rsidRPr="689F78B4">
              <w:rPr>
                <w:rStyle w:val="eop"/>
                <w:rFonts w:eastAsiaTheme="majorEastAsia"/>
              </w:rPr>
              <w:t> </w:t>
            </w:r>
          </w:p>
        </w:tc>
        <w:tc>
          <w:tcPr>
            <w:tcW w:w="1568" w:type="dxa"/>
            <w:tcBorders>
              <w:top w:val="single" w:sz="6" w:space="0" w:color="auto"/>
              <w:left w:val="nil"/>
              <w:bottom w:val="single" w:sz="6" w:space="0" w:color="auto"/>
              <w:right w:val="single" w:sz="6" w:space="0" w:color="auto"/>
            </w:tcBorders>
            <w:shd w:val="clear" w:color="auto" w:fill="000000" w:themeFill="text1"/>
            <w:hideMark/>
          </w:tcPr>
          <w:p w14:paraId="72C96DFC" w14:textId="77777777" w:rsidR="00304DBE" w:rsidRPr="00874D33" w:rsidRDefault="00304DBE" w:rsidP="689F78B4">
            <w:pPr>
              <w:pStyle w:val="paragraph"/>
              <w:spacing w:before="0" w:beforeAutospacing="0" w:after="0" w:afterAutospacing="0"/>
              <w:jc w:val="center"/>
              <w:textAlignment w:val="baseline"/>
            </w:pPr>
            <w:r w:rsidRPr="00874D33">
              <w:rPr>
                <w:rStyle w:val="normaltextrun"/>
                <w:rFonts w:eastAsiaTheme="majorEastAsia"/>
                <w:b/>
                <w:caps/>
                <w:color w:val="FFFFFF" w:themeColor="background1"/>
              </w:rPr>
              <w:t>LEVEL OF ASSURANCE</w:t>
            </w:r>
            <w:r w:rsidRPr="689F78B4">
              <w:rPr>
                <w:rStyle w:val="FootnoteReference"/>
                <w:rFonts w:eastAsiaTheme="majorEastAsia"/>
                <w:color w:val="FFFFFF" w:themeColor="background1"/>
              </w:rPr>
              <w:footnoteReference w:id="36"/>
            </w:r>
            <w:r w:rsidRPr="689F78B4">
              <w:rPr>
                <w:rStyle w:val="eop"/>
                <w:rFonts w:eastAsiaTheme="majorEastAsia"/>
                <w:color w:val="FFFFFF" w:themeColor="background1"/>
              </w:rPr>
              <w:t> </w:t>
            </w:r>
          </w:p>
        </w:tc>
      </w:tr>
      <w:tr w:rsidR="00304DBE" w:rsidRPr="00B91852" w14:paraId="17F08734"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2D9C49F7"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5FCE50F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Prescribed Capital Amount</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0904CB1B"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48DEEFB5"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17F98C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GRS_111.0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1715D22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Adjustment and Exclusions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3B2D032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30329551"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2B9ED091"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GRS_112.0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06B40E0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Determination of Capital Base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448B546C"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1D58AACE"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1F97155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GRS_112.3</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021AD7C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Related Party Exposures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5AD44B4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9ED3121"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6D9D5A4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GRS_114.0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489E486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Asset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7B4BE71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6927F808"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B827577"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GRS_114.1</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26E10BBB"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Assets by Counterparty Grade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228BD2F0"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11E94F18"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D63499C"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GRS_114.2</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250BC56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Derivatives Activity</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4FA1EC0B"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3409783E"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E8C112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GRS_114.3</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1E7BD3C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Off-balance Sheet Business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0F791AE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8DEA80E"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6A56AD1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GRS_114.4</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1A3AA7D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Details of Investment Assets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5745B93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1A309357"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0E1E25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GRS_115.0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74B5522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Outstanding Claims Liabilities – Insurance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6B1EDDD1"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6F020D77"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5491202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GRS_115.1</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5E8C920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Premiums Liabilities – Insurance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51CAE00C"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A91E805"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CCB77A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GRS_116.0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64BA316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Insurance Concentration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5605762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7E8E850A"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A7ED059"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GRS_116.1</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2E0BB994"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Probable Maximum Loss for LMIs – Standard Loans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12DB350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4ED67EF3"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C92CA9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GRS_116.2</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6673DE2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Probable Maximum Loss for LMIs – Non-Standard Loans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061E2DF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7B584857"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15D113C9"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GRF_116.3</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10F0C1E4"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Probable Maximum Loss for LMIs – Commercial Loans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7F4B005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47AE210A"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4DC29D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GRS_116.4</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0D3EF1A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LMI Concentration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42C982D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8792A90"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7E3664C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GRS_116.5</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07C538E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Probable Maximum Loss for LMIs – Additional Information</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3425C81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5FACE38D"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4B62AFD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GRS_117.0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24011A5C"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Asset Concentration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595CFEE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3A5F5EA"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6A27211"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GRS_118.0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20FEA17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Operational Risk Charge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hideMark/>
          </w:tcPr>
          <w:p w14:paraId="6385EB6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1E7678B9"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0D7DDC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GRS_300.0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64634DD1"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Statement of Financial Position</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50AD2BC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0B6B7FAB"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4202007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GRS_310.0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61D9867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Statement of profit or loss and other comprehensive income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7109436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569EBD11"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60D6DE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GRS_310.3</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3C3E2C4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Details of Income and Expenses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3834A4B0"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3B09C3F4"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22C819CE"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GRS_311.0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7192CB80"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Statement of Profit or Loss and Other Comprehensive Income by Product Group</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2795DB4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LIMITED</w:t>
            </w:r>
            <w:r w:rsidRPr="689F78B4">
              <w:rPr>
                <w:rStyle w:val="eop"/>
                <w:rFonts w:eastAsiaTheme="majorEastAsia"/>
              </w:rPr>
              <w:t> </w:t>
            </w:r>
          </w:p>
        </w:tc>
      </w:tr>
      <w:tr w:rsidR="00304DBE" w:rsidRPr="00B91852" w14:paraId="566DCC7E"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0AF31F9"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GRS_320.0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5C1CD820"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Liability Roll Forwards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599C261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327965DF"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4D4AE7F2"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GRS_400.0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4DB1178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Statement of Risk by Country</w:t>
            </w:r>
            <w:r w:rsidRPr="689F78B4">
              <w:rPr>
                <w:rStyle w:val="FootnoteReference"/>
                <w:rFonts w:eastAsiaTheme="majorEastAsia"/>
              </w:rPr>
              <w:footnoteReference w:id="37"/>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1DDFEC4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NONE</w:t>
            </w:r>
            <w:r w:rsidRPr="689F78B4">
              <w:rPr>
                <w:rStyle w:val="eop"/>
                <w:rFonts w:eastAsiaTheme="majorEastAsia"/>
              </w:rPr>
              <w:t> </w:t>
            </w:r>
          </w:p>
        </w:tc>
      </w:tr>
      <w:tr w:rsidR="00304DBE" w:rsidRPr="00B91852" w14:paraId="28769199"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7645E750"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GRF_410.0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72C7D6F4"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Movement in Outstanding Claims Liabilities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778E483F"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2397BAC8"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67BC6608"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GRS_420.0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41A33DBD" w14:textId="5693255C"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Insurance Revenue and Incurred Claims by State and Territory of Australia</w:t>
            </w:r>
            <w:r w:rsidR="005D58BF" w:rsidRPr="689F78B4">
              <w:rPr>
                <w:rStyle w:val="normaltextrun"/>
                <w:rFonts w:eastAsiaTheme="majorEastAsia"/>
                <w:vertAlign w:val="superscript"/>
              </w:rPr>
              <w:t>36</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2E8446AA"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NONE</w:t>
            </w:r>
            <w:r w:rsidRPr="689F78B4">
              <w:rPr>
                <w:rStyle w:val="eop"/>
                <w:rFonts w:eastAsiaTheme="majorEastAsia"/>
              </w:rPr>
              <w:t> </w:t>
            </w:r>
          </w:p>
        </w:tc>
      </w:tr>
      <w:tr w:rsidR="00304DBE" w:rsidRPr="00B91852" w14:paraId="3A915D08"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EE54807"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GRS_440.0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0D08DEF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Claims Development Table</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285E092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REASONABLE</w:t>
            </w:r>
            <w:r w:rsidRPr="689F78B4">
              <w:rPr>
                <w:rStyle w:val="eop"/>
                <w:rFonts w:eastAsiaTheme="majorEastAsia"/>
              </w:rPr>
              <w:t> </w:t>
            </w:r>
          </w:p>
        </w:tc>
      </w:tr>
      <w:tr w:rsidR="00304DBE" w:rsidRPr="00B91852" w14:paraId="0805ADCA"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75AAC329"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lastRenderedPageBreak/>
              <w:t>GRS_460.0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330DF222" w14:textId="660D30E2"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Reinsurance Assets by Counterparty</w:t>
            </w:r>
            <w:r w:rsidR="005D58BF" w:rsidRPr="689F78B4">
              <w:rPr>
                <w:rStyle w:val="normaltextrun"/>
                <w:rFonts w:eastAsiaTheme="majorEastAsia"/>
                <w:vertAlign w:val="superscript"/>
              </w:rPr>
              <w:t>36</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390ECE1B"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NONE</w:t>
            </w:r>
            <w:r w:rsidRPr="689F78B4">
              <w:rPr>
                <w:rStyle w:val="eop"/>
                <w:rFonts w:eastAsiaTheme="majorEastAsia"/>
              </w:rPr>
              <w:t> </w:t>
            </w:r>
          </w:p>
        </w:tc>
      </w:tr>
      <w:tr w:rsidR="00304DBE" w:rsidRPr="00B91852" w14:paraId="0906A809"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5CE8D8E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GRS_460.1</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6BD5EA6F" w14:textId="23192E9C"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Exposure Analysis by Reinsurance Counterparty</w:t>
            </w:r>
            <w:r w:rsidR="005D58BF" w:rsidRPr="689F78B4">
              <w:rPr>
                <w:rStyle w:val="normaltextrun"/>
                <w:rFonts w:eastAsiaTheme="majorEastAsia"/>
                <w:vertAlign w:val="superscript"/>
              </w:rPr>
              <w:t>36</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088FA056"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NONE</w:t>
            </w:r>
            <w:r w:rsidRPr="689F78B4">
              <w:rPr>
                <w:rStyle w:val="eop"/>
                <w:rFonts w:eastAsiaTheme="majorEastAsia"/>
              </w:rPr>
              <w:t> </w:t>
            </w:r>
          </w:p>
        </w:tc>
      </w:tr>
      <w:tr w:rsidR="00304DBE" w:rsidRPr="00B91852" w14:paraId="122E9E99" w14:textId="77777777" w:rsidTr="689F78B4">
        <w:trPr>
          <w:trHeight w:val="30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5F691BDD"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GRS_600.0</w:t>
            </w:r>
            <w:r w:rsidRPr="689F78B4">
              <w:rPr>
                <w:rStyle w:val="eop"/>
                <w:rFonts w:eastAsiaTheme="majorEastAsia"/>
              </w:rPr>
              <w:t> </w:t>
            </w:r>
          </w:p>
        </w:tc>
        <w:tc>
          <w:tcPr>
            <w:tcW w:w="5700" w:type="dxa"/>
            <w:tcBorders>
              <w:top w:val="nil"/>
              <w:left w:val="nil"/>
              <w:bottom w:val="single" w:sz="6" w:space="0" w:color="auto"/>
              <w:right w:val="single" w:sz="6" w:space="0" w:color="auto"/>
            </w:tcBorders>
            <w:shd w:val="clear" w:color="auto" w:fill="auto"/>
            <w:vAlign w:val="center"/>
            <w:hideMark/>
          </w:tcPr>
          <w:p w14:paraId="5E5EC8C5"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rPr>
              <w:t>Supplementary Capital Data: Premiums and Claims</w:t>
            </w:r>
            <w:r w:rsidRPr="689F78B4">
              <w:rPr>
                <w:rStyle w:val="eop"/>
                <w:rFonts w:eastAsiaTheme="majorEastAsia"/>
              </w:rPr>
              <w:t> </w:t>
            </w:r>
          </w:p>
        </w:tc>
        <w:tc>
          <w:tcPr>
            <w:tcW w:w="1568" w:type="dxa"/>
            <w:tcBorders>
              <w:top w:val="nil"/>
              <w:left w:val="nil"/>
              <w:bottom w:val="single" w:sz="6" w:space="0" w:color="auto"/>
              <w:right w:val="single" w:sz="6" w:space="0" w:color="auto"/>
            </w:tcBorders>
            <w:shd w:val="clear" w:color="auto" w:fill="auto"/>
            <w:vAlign w:val="center"/>
            <w:hideMark/>
          </w:tcPr>
          <w:p w14:paraId="75492573" w14:textId="77777777" w:rsidR="00304DBE" w:rsidRPr="00874D33" w:rsidRDefault="00304DBE" w:rsidP="689F78B4">
            <w:pPr>
              <w:pStyle w:val="paragraph"/>
              <w:spacing w:before="0" w:beforeAutospacing="0" w:after="0" w:afterAutospacing="0"/>
              <w:jc w:val="both"/>
              <w:textAlignment w:val="baseline"/>
            </w:pPr>
            <w:r w:rsidRPr="689F78B4">
              <w:rPr>
                <w:rStyle w:val="normaltextrun"/>
                <w:rFonts w:eastAsiaTheme="majorEastAsia"/>
                <w:caps/>
              </w:rPr>
              <w:t>LIMITED</w:t>
            </w:r>
            <w:r w:rsidRPr="689F78B4">
              <w:rPr>
                <w:rStyle w:val="eop"/>
                <w:rFonts w:eastAsiaTheme="majorEastAsia"/>
              </w:rPr>
              <w:t> </w:t>
            </w:r>
          </w:p>
        </w:tc>
      </w:tr>
    </w:tbl>
    <w:p w14:paraId="218703C3" w14:textId="77777777" w:rsidR="00304DBE" w:rsidRPr="00874D33" w:rsidRDefault="00304DBE" w:rsidP="689F78B4">
      <w:pPr>
        <w:pStyle w:val="paragraph"/>
        <w:spacing w:before="0" w:beforeAutospacing="0" w:after="0" w:afterAutospacing="0"/>
        <w:ind w:firstLine="420"/>
        <w:jc w:val="both"/>
        <w:textAlignment w:val="baseline"/>
      </w:pPr>
      <w:r w:rsidRPr="689F78B4">
        <w:rPr>
          <w:rStyle w:val="normaltextrun"/>
          <w:rFonts w:eastAsiaTheme="majorEastAsia"/>
        </w:rPr>
        <w:t> </w:t>
      </w:r>
      <w:r w:rsidRPr="689F78B4">
        <w:rPr>
          <w:rStyle w:val="eop"/>
          <w:rFonts w:eastAsiaTheme="majorEastAsia"/>
        </w:rPr>
        <w:t> </w:t>
      </w:r>
    </w:p>
    <w:p w14:paraId="422B134A" w14:textId="0ECB4ECD" w:rsidR="00304DBE" w:rsidRPr="00874D33" w:rsidRDefault="00304DBE" w:rsidP="689F78B4">
      <w:pPr>
        <w:pStyle w:val="paragraph"/>
        <w:spacing w:before="0" w:beforeAutospacing="0" w:after="240" w:afterAutospacing="0"/>
        <w:jc w:val="both"/>
        <w:textAlignment w:val="baseline"/>
        <w:rPr>
          <w:rStyle w:val="normaltextrun"/>
          <w:u w:val="single"/>
        </w:rPr>
      </w:pPr>
      <w:r w:rsidRPr="689F78B4">
        <w:rPr>
          <w:rStyle w:val="normaltextrun"/>
          <w:rFonts w:eastAsiaTheme="majorEastAsia"/>
          <w:u w:val="single"/>
        </w:rPr>
        <w:t>Level 2 (or Insurance Group)</w:t>
      </w:r>
      <w:r w:rsidRPr="689F78B4">
        <w:rPr>
          <w:rStyle w:val="eop"/>
          <w:rFonts w:eastAsiaTheme="majorEastAsia"/>
        </w:rPr>
        <w:t> </w:t>
      </w:r>
    </w:p>
    <w:p w14:paraId="7425F776" w14:textId="19019F54" w:rsidR="00304DBE" w:rsidRPr="00874D33" w:rsidRDefault="00304DBE" w:rsidP="689F78B4">
      <w:pPr>
        <w:pStyle w:val="paragraph"/>
        <w:spacing w:before="0" w:beforeAutospacing="0" w:after="240" w:afterAutospacing="0"/>
        <w:jc w:val="both"/>
        <w:textAlignment w:val="baseline"/>
        <w:rPr>
          <w:rStyle w:val="eop"/>
          <w:rFonts w:eastAsiaTheme="majorEastAsia"/>
        </w:rPr>
      </w:pPr>
      <w:r w:rsidRPr="689F78B4">
        <w:rPr>
          <w:rStyle w:val="normaltextrun"/>
          <w:rFonts w:eastAsiaTheme="majorEastAsia"/>
        </w:rPr>
        <w:t xml:space="preserve">Group Auditors </w:t>
      </w:r>
      <w:r w:rsidR="004F612C" w:rsidRPr="689F78B4">
        <w:rPr>
          <w:rStyle w:val="normaltextrun"/>
          <w:rFonts w:eastAsiaTheme="majorEastAsia"/>
        </w:rPr>
        <w:t xml:space="preserve">must </w:t>
      </w:r>
      <w:r w:rsidRPr="689F78B4">
        <w:rPr>
          <w:rStyle w:val="normaltextrun"/>
          <w:rFonts w:eastAsiaTheme="majorEastAsia"/>
        </w:rPr>
        <w:t xml:space="preserve">provide limited assurance on the annual data </w:t>
      </w:r>
      <w:r w:rsidR="00C61C95" w:rsidRPr="689F78B4">
        <w:rPr>
          <w:rStyle w:val="normaltextrun"/>
          <w:rFonts w:eastAsiaTheme="majorEastAsia"/>
        </w:rPr>
        <w:t xml:space="preserve">reported </w:t>
      </w:r>
      <w:r w:rsidRPr="689F78B4">
        <w:rPr>
          <w:rStyle w:val="normaltextrun"/>
          <w:rFonts w:eastAsiaTheme="majorEastAsia"/>
        </w:rPr>
        <w:t>by Level 2 insurers.</w:t>
      </w:r>
      <w:r w:rsidRPr="689F78B4">
        <w:rPr>
          <w:rStyle w:val="eop"/>
          <w:rFonts w:eastAsiaTheme="majorEastAsia"/>
        </w:rPr>
        <w:t> </w:t>
      </w:r>
    </w:p>
    <w:p w14:paraId="146FD355" w14:textId="77777777" w:rsidR="00AA42B5" w:rsidRPr="00874D33" w:rsidRDefault="00AA42B5" w:rsidP="00F34E11">
      <w:pPr>
        <w:rPr>
          <w:szCs w:val="24"/>
        </w:rPr>
      </w:pPr>
    </w:p>
    <w:sectPr w:rsidR="00AA42B5" w:rsidRPr="00874D33" w:rsidSect="00FA7A7A">
      <w:headerReference w:type="default" r:id="rId14"/>
      <w:footerReference w:type="default" r:id="rId15"/>
      <w:endnotePr>
        <w:numFmt w:val="decimal"/>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2383" w14:textId="77777777" w:rsidR="00F9072C" w:rsidRDefault="00F9072C" w:rsidP="002F0A8C">
      <w:r>
        <w:separator/>
      </w:r>
    </w:p>
  </w:endnote>
  <w:endnote w:type="continuationSeparator" w:id="0">
    <w:p w14:paraId="24933454" w14:textId="77777777" w:rsidR="00F9072C" w:rsidRDefault="00F9072C" w:rsidP="002F0A8C">
      <w:r>
        <w:continuationSeparator/>
      </w:r>
    </w:p>
  </w:endnote>
  <w:endnote w:type="continuationNotice" w:id="1">
    <w:p w14:paraId="68FEAF1A" w14:textId="77777777" w:rsidR="00F9072C" w:rsidRDefault="00F9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67692697"/>
      <w:docPartObj>
        <w:docPartGallery w:val="Page Numbers (Bottom of Page)"/>
        <w:docPartUnique/>
      </w:docPartObj>
    </w:sdtPr>
    <w:sdtEndPr/>
    <w:sdtContent>
      <w:sdt>
        <w:sdtPr>
          <w:rPr>
            <w:b/>
            <w:bCs/>
          </w:rPr>
          <w:id w:val="1590658296"/>
          <w:docPartObj>
            <w:docPartGallery w:val="Page Numbers (Top of Page)"/>
            <w:docPartUnique/>
          </w:docPartObj>
        </w:sdtPr>
        <w:sdtEndPr/>
        <w:sdtContent>
          <w:p w14:paraId="0778869B" w14:textId="77777777" w:rsidR="00587413" w:rsidRPr="00587413" w:rsidRDefault="00587413">
            <w:pPr>
              <w:pStyle w:val="Footer"/>
              <w:jc w:val="right"/>
              <w:rPr>
                <w:b/>
              </w:rPr>
            </w:pPr>
            <w:r w:rsidRPr="00587413">
              <w:rPr>
                <w:b/>
              </w:rPr>
              <w:t xml:space="preserve">GPS 310 - </w:t>
            </w:r>
            <w:r w:rsidRPr="00587413">
              <w:rPr>
                <w:b/>
                <w:bCs/>
                <w:szCs w:val="24"/>
              </w:rPr>
              <w:fldChar w:fldCharType="begin"/>
            </w:r>
            <w:r w:rsidRPr="00587413">
              <w:rPr>
                <w:b/>
                <w:bCs/>
              </w:rPr>
              <w:instrText xml:space="preserve"> PAGE </w:instrText>
            </w:r>
            <w:r w:rsidRPr="00587413">
              <w:rPr>
                <w:b/>
                <w:bCs/>
                <w:szCs w:val="24"/>
              </w:rPr>
              <w:fldChar w:fldCharType="separate"/>
            </w:r>
            <w:r w:rsidR="00F51B4E">
              <w:rPr>
                <w:b/>
                <w:bCs/>
                <w:noProof/>
              </w:rPr>
              <w:t>13</w:t>
            </w:r>
            <w:r w:rsidRPr="00587413">
              <w:rPr>
                <w:b/>
                <w:bCs/>
                <w:szCs w:val="24"/>
              </w:rPr>
              <w:fldChar w:fldCharType="end"/>
            </w:r>
          </w:p>
        </w:sdtContent>
      </w:sdt>
    </w:sdtContent>
  </w:sdt>
  <w:p w14:paraId="0778869C" w14:textId="77777777" w:rsidR="00587413" w:rsidRDefault="00587413" w:rsidP="00FA7A7A">
    <w:pPr>
      <w:pStyle w:val="Footer"/>
      <w:jc w:val="right"/>
      <w:rPr>
        <w:rStyle w:val="PageNumbe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F18F" w14:textId="77777777" w:rsidR="00F9072C" w:rsidRPr="002175A9" w:rsidRDefault="00F9072C" w:rsidP="00830643">
      <w:pPr>
        <w:pStyle w:val="StyleBodyText13ptCharChar"/>
        <w:tabs>
          <w:tab w:val="clear" w:pos="1134"/>
        </w:tabs>
        <w:spacing w:after="0" w:line="240" w:lineRule="auto"/>
        <w:ind w:left="567" w:firstLine="0"/>
      </w:pPr>
      <w:r>
        <w:separator/>
      </w:r>
    </w:p>
  </w:footnote>
  <w:footnote w:type="continuationSeparator" w:id="0">
    <w:p w14:paraId="4EA7628E" w14:textId="77777777" w:rsidR="00F9072C" w:rsidRDefault="00F9072C" w:rsidP="002F0A8C">
      <w:r>
        <w:continuationSeparator/>
      </w:r>
    </w:p>
  </w:footnote>
  <w:footnote w:type="continuationNotice" w:id="1">
    <w:p w14:paraId="7B7107C8" w14:textId="77777777" w:rsidR="00F9072C" w:rsidRDefault="00F9072C"/>
  </w:footnote>
  <w:footnote w:id="2">
    <w:p w14:paraId="0778869D"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section 39 of the Act.</w:t>
      </w:r>
    </w:p>
  </w:footnote>
  <w:footnote w:id="3">
    <w:p w14:paraId="0778869E"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paragraph 7(1)(c) of the Act.</w:t>
      </w:r>
    </w:p>
  </w:footnote>
  <w:footnote w:id="4">
    <w:p w14:paraId="0778869F"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section 49J of the Act.</w:t>
      </w:r>
    </w:p>
  </w:footnote>
  <w:footnote w:id="5">
    <w:p w14:paraId="077886A0"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section 49L of the Act.</w:t>
      </w:r>
    </w:p>
  </w:footnote>
  <w:footnote w:id="6">
    <w:p w14:paraId="077886A1"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This Prudential Standard sets out further detail regarding these certificates and reports.</w:t>
      </w:r>
    </w:p>
  </w:footnote>
  <w:footnote w:id="7">
    <w:p w14:paraId="077886A2"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section 49J of the Act.</w:t>
      </w:r>
    </w:p>
  </w:footnote>
  <w:footnote w:id="8">
    <w:p w14:paraId="077886A3"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 xml:space="preserve">Refer to paragraph 49J(1)(a) and subsection 49J(3) of the Act. </w:t>
      </w:r>
    </w:p>
  </w:footnote>
  <w:footnote w:id="9">
    <w:p w14:paraId="077886A4"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subsection 49(J)(3) of the Act.</w:t>
      </w:r>
    </w:p>
  </w:footnote>
  <w:footnote w:id="10">
    <w:p w14:paraId="077886A5"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paragraph 49J(1)(c) of the Act.</w:t>
      </w:r>
    </w:p>
  </w:footnote>
  <w:footnote w:id="11">
    <w:p w14:paraId="077886A6"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subsection 49J(4) of the Act.</w:t>
      </w:r>
    </w:p>
  </w:footnote>
  <w:footnote w:id="12">
    <w:p w14:paraId="077886A7"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paragraphs 49L(1)(a) and (aa) of the Act.</w:t>
      </w:r>
    </w:p>
  </w:footnote>
  <w:footnote w:id="13">
    <w:p w14:paraId="077886A8"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paragraphs 49J(1)(b) and (c),</w:t>
      </w:r>
      <w:r>
        <w:t xml:space="preserve"> and</w:t>
      </w:r>
      <w:r w:rsidRPr="00B8346C">
        <w:t xml:space="preserve"> subsection 49J(4) of the Act.</w:t>
      </w:r>
    </w:p>
  </w:footnote>
  <w:footnote w:id="14">
    <w:p w14:paraId="077886A9"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sections 49 and 49A of the Act for details of these requirements. See also section 49B of the Act in relation to voluntary reporting.</w:t>
      </w:r>
    </w:p>
  </w:footnote>
  <w:footnote w:id="15">
    <w:p w14:paraId="077886AA"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section 49 of the Act.</w:t>
      </w:r>
    </w:p>
  </w:footnote>
  <w:footnote w:id="16">
    <w:p w14:paraId="077886AB"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 xml:space="preserve">Refer to section 307B, </w:t>
      </w:r>
      <w:r w:rsidRPr="00B8346C">
        <w:rPr>
          <w:i/>
        </w:rPr>
        <w:t>Corporations Act 2001</w:t>
      </w:r>
      <w:r w:rsidRPr="00B8346C">
        <w:t xml:space="preserve"> for further requirements in relation to audit working papers.</w:t>
      </w:r>
    </w:p>
  </w:footnote>
  <w:footnote w:id="17">
    <w:p w14:paraId="077886AC"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Within the meaning of paragraph 49A(2)(d) of the Act.</w:t>
      </w:r>
    </w:p>
  </w:footnote>
  <w:footnote w:id="18">
    <w:p w14:paraId="077886AD"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subsection 49A(2) of the Act.</w:t>
      </w:r>
    </w:p>
  </w:footnote>
  <w:footnote w:id="19">
    <w:p w14:paraId="077886AE"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Note the operation of section 38E of the Act in relation to disclosure of certain information to directors and officers of the insurer.</w:t>
      </w:r>
    </w:p>
  </w:footnote>
  <w:footnote w:id="20">
    <w:p w14:paraId="077886AF" w14:textId="7E773B42"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sections 49 or 49A of the Act.</w:t>
      </w:r>
    </w:p>
  </w:footnote>
  <w:footnote w:id="21">
    <w:p w14:paraId="077886B0" w14:textId="77777777" w:rsidR="00B12082" w:rsidRPr="00B8346C" w:rsidRDefault="00B12082" w:rsidP="002A360A">
      <w:pPr>
        <w:pStyle w:val="FootnoteText"/>
        <w:ind w:left="567" w:hanging="567"/>
        <w:jc w:val="both"/>
      </w:pPr>
      <w:r w:rsidRPr="00B8346C">
        <w:rPr>
          <w:rStyle w:val="FootnoteReference"/>
        </w:rPr>
        <w:footnoteRef/>
      </w:r>
      <w:r w:rsidRPr="00B8346C">
        <w:t xml:space="preserve"> </w:t>
      </w:r>
      <w:r w:rsidRPr="00B8346C">
        <w:tab/>
        <w:t>Refer to subsection 38F(1) of the Act.</w:t>
      </w:r>
    </w:p>
  </w:footnote>
  <w:footnote w:id="22">
    <w:p w14:paraId="077886B1" w14:textId="6F80C41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section</w:t>
      </w:r>
      <w:r w:rsidR="003318D8">
        <w:t xml:space="preserve">127B </w:t>
      </w:r>
      <w:r w:rsidRPr="00B8346C">
        <w:t>of the Act.</w:t>
      </w:r>
    </w:p>
  </w:footnote>
  <w:footnote w:id="23">
    <w:p w14:paraId="077886B2"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subsection 49J(3) of the Act.</w:t>
      </w:r>
    </w:p>
  </w:footnote>
  <w:footnote w:id="24">
    <w:p w14:paraId="077886B3" w14:textId="77777777" w:rsidR="00B12082" w:rsidRPr="00B8346C" w:rsidRDefault="00B12082"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paragraph 49J(1)(c), subsection 49J(4) and paragraph 49L(1)(aa) of the Act.</w:t>
      </w:r>
    </w:p>
  </w:footnote>
  <w:footnote w:id="25">
    <w:p w14:paraId="077886B4" w14:textId="38C759DA" w:rsidR="00B12082" w:rsidRDefault="00B12082" w:rsidP="002A360A">
      <w:pPr>
        <w:pStyle w:val="FootnoteText"/>
        <w:ind w:left="567" w:hanging="567"/>
        <w:jc w:val="both"/>
      </w:pPr>
      <w:r>
        <w:rPr>
          <w:rStyle w:val="FootnoteReference"/>
        </w:rPr>
        <w:footnoteRef/>
      </w:r>
      <w:r>
        <w:t xml:space="preserve"> </w:t>
      </w:r>
      <w:r>
        <w:tab/>
      </w:r>
      <w:r w:rsidR="007D0F46">
        <w:t>Reliance on</w:t>
      </w:r>
      <w:r>
        <w:t xml:space="preserve"> an exercise of APRA’s discretion with respect to actuarial matters under a previous version of </w:t>
      </w:r>
      <w:r>
        <w:rPr>
          <w:i/>
        </w:rPr>
        <w:t xml:space="preserve">Prudential Standard GPS 310 Audit and Actuarial Valuation and Reporting </w:t>
      </w:r>
      <w:r>
        <w:t xml:space="preserve">is captured in </w:t>
      </w:r>
      <w:r>
        <w:rPr>
          <w:i/>
        </w:rPr>
        <w:t xml:space="preserve">Prudential Standard </w:t>
      </w:r>
      <w:r w:rsidR="00014C50">
        <w:rPr>
          <w:i/>
        </w:rPr>
        <w:t>C</w:t>
      </w:r>
      <w:r>
        <w:rPr>
          <w:i/>
        </w:rPr>
        <w:t>PS 320 Actuarial and Related Matters.</w:t>
      </w:r>
    </w:p>
  </w:footnote>
  <w:footnote w:id="26">
    <w:p w14:paraId="077886B5" w14:textId="77777777" w:rsidR="00723086" w:rsidRPr="00DA7358" w:rsidRDefault="00723086" w:rsidP="002A360A">
      <w:pPr>
        <w:pStyle w:val="FootnoteText"/>
        <w:ind w:left="567" w:hanging="567"/>
        <w:jc w:val="both"/>
        <w:rPr>
          <w:lang w:val="en-US"/>
        </w:rPr>
      </w:pPr>
      <w:r>
        <w:rPr>
          <w:rStyle w:val="FootnoteReference"/>
        </w:rPr>
        <w:footnoteRef/>
      </w:r>
      <w:r>
        <w:t xml:space="preserve"> </w:t>
      </w:r>
      <w:r>
        <w:rPr>
          <w:lang w:val="en-US"/>
        </w:rPr>
        <w:tab/>
        <w:t xml:space="preserve">Note that the Appointed Auditor must meet fit and proper criteria under </w:t>
      </w:r>
      <w:r>
        <w:rPr>
          <w:i/>
          <w:iCs/>
        </w:rPr>
        <w:t>Prudential Standard CPS 520 Fit and Proper</w:t>
      </w:r>
      <w:r>
        <w:rPr>
          <w:lang w:val="en-US"/>
        </w:rPr>
        <w:t xml:space="preserve"> </w:t>
      </w:r>
      <w:r w:rsidRPr="008472E3">
        <w:rPr>
          <w:lang w:val="en-US"/>
        </w:rPr>
        <w:t>(CPS 520</w:t>
      </w:r>
      <w:r>
        <w:rPr>
          <w:lang w:val="en-US"/>
        </w:rPr>
        <w:t>).</w:t>
      </w:r>
    </w:p>
  </w:footnote>
  <w:footnote w:id="27">
    <w:p w14:paraId="077886B6" w14:textId="77777777" w:rsidR="00723086" w:rsidRDefault="00723086" w:rsidP="002A360A">
      <w:pPr>
        <w:pStyle w:val="FootnoteText"/>
        <w:ind w:left="567" w:hanging="567"/>
        <w:jc w:val="both"/>
      </w:pPr>
      <w:r>
        <w:rPr>
          <w:rStyle w:val="FootnoteReference"/>
        </w:rPr>
        <w:footnoteRef/>
      </w:r>
      <w:r>
        <w:t xml:space="preserve"> </w:t>
      </w:r>
      <w:r>
        <w:tab/>
        <w:t>Note that the Appointed Auditor must meet fit and proper criteria under CPS 520.</w:t>
      </w:r>
    </w:p>
  </w:footnote>
  <w:footnote w:id="28">
    <w:p w14:paraId="077886B7" w14:textId="65E698F6" w:rsidR="00723086" w:rsidRDefault="00723086" w:rsidP="002A360A">
      <w:pPr>
        <w:pStyle w:val="FootnoteText"/>
        <w:ind w:left="567" w:hanging="567"/>
        <w:jc w:val="both"/>
      </w:pPr>
      <w:r>
        <w:rPr>
          <w:rStyle w:val="FootnoteReference"/>
        </w:rPr>
        <w:footnoteRef/>
      </w:r>
      <w:r>
        <w:t xml:space="preserve"> </w:t>
      </w:r>
      <w:r>
        <w:tab/>
        <w:t>As defined in CPS 520. Note that the responsible auditor must meet fit and proper criteria under CPS 520.</w:t>
      </w:r>
    </w:p>
  </w:footnote>
  <w:footnote w:id="29">
    <w:p w14:paraId="077886B8" w14:textId="77777777" w:rsidR="00723086" w:rsidRPr="0042350E" w:rsidRDefault="00723086" w:rsidP="002A360A">
      <w:pPr>
        <w:pStyle w:val="FootnoteText"/>
        <w:ind w:left="567" w:hanging="567"/>
        <w:jc w:val="both"/>
      </w:pPr>
      <w:r>
        <w:rPr>
          <w:rStyle w:val="FootnoteReference"/>
        </w:rPr>
        <w:footnoteRef/>
      </w:r>
      <w:r>
        <w:t xml:space="preserve"> </w:t>
      </w:r>
      <w:r>
        <w:tab/>
      </w:r>
      <w:r w:rsidRPr="004A25F7">
        <w:t>I</w:t>
      </w:r>
      <w:r>
        <w:t xml:space="preserve">n particular, under </w:t>
      </w:r>
      <w:r>
        <w:rPr>
          <w:iCs/>
        </w:rPr>
        <w:t>C</w:t>
      </w:r>
      <w:r w:rsidRPr="0046512C">
        <w:rPr>
          <w:iCs/>
        </w:rPr>
        <w:t>PS 510</w:t>
      </w:r>
      <w:r w:rsidRPr="0042350E">
        <w:rPr>
          <w:i/>
          <w:iCs/>
        </w:rPr>
        <w:t xml:space="preserve"> </w:t>
      </w:r>
      <w:r w:rsidRPr="0042350E">
        <w:t xml:space="preserve">read with this paragraph, </w:t>
      </w:r>
      <w:r w:rsidRPr="0042350E">
        <w:rPr>
          <w:bCs/>
        </w:rPr>
        <w:t xml:space="preserve">the Group Auditor of a Level 2 insurance group cannot </w:t>
      </w:r>
      <w:r>
        <w:rPr>
          <w:bCs/>
        </w:rPr>
        <w:t>also</w:t>
      </w:r>
      <w:r w:rsidRPr="0042350E">
        <w:rPr>
          <w:bCs/>
        </w:rPr>
        <w:t xml:space="preserve"> be employed by </w:t>
      </w:r>
      <w:r>
        <w:rPr>
          <w:bCs/>
        </w:rPr>
        <w:t xml:space="preserve">a </w:t>
      </w:r>
      <w:r w:rsidRPr="0042350E">
        <w:rPr>
          <w:b/>
          <w:bCs/>
        </w:rPr>
        <w:t>related bod</w:t>
      </w:r>
      <w:r>
        <w:rPr>
          <w:b/>
          <w:bCs/>
        </w:rPr>
        <w:t>y</w:t>
      </w:r>
      <w:r w:rsidRPr="0042350E">
        <w:rPr>
          <w:b/>
          <w:bCs/>
        </w:rPr>
        <w:t xml:space="preserve"> corporate</w:t>
      </w:r>
      <w:r w:rsidRPr="0042350E">
        <w:rPr>
          <w:bCs/>
        </w:rPr>
        <w:t xml:space="preserve"> or by </w:t>
      </w:r>
      <w:r w:rsidRPr="0042350E">
        <w:rPr>
          <w:b/>
          <w:bCs/>
        </w:rPr>
        <w:t>related firms</w:t>
      </w:r>
      <w:r w:rsidRPr="0042350E">
        <w:rPr>
          <w:bCs/>
        </w:rPr>
        <w:t>.</w:t>
      </w:r>
    </w:p>
  </w:footnote>
  <w:footnote w:id="30">
    <w:p w14:paraId="077886B9" w14:textId="77777777" w:rsidR="000B470C" w:rsidRDefault="000B470C" w:rsidP="002A360A">
      <w:pPr>
        <w:pStyle w:val="FootnoteText"/>
        <w:tabs>
          <w:tab w:val="left" w:pos="567"/>
        </w:tabs>
        <w:ind w:left="567" w:hanging="567"/>
        <w:jc w:val="both"/>
      </w:pPr>
      <w:r>
        <w:rPr>
          <w:rStyle w:val="FootnoteReference"/>
        </w:rPr>
        <w:footnoteRef/>
      </w:r>
      <w:r>
        <w:t xml:space="preserve"> </w:t>
      </w:r>
      <w:r w:rsidR="00EE4338">
        <w:tab/>
      </w:r>
      <w:r w:rsidR="00DA7F1A" w:rsidRPr="00DA7F1A">
        <w:t xml:space="preserve">For the purposes of the limited assurance review </w:t>
      </w:r>
      <w:r w:rsidR="00115B29">
        <w:t>in Attachment B and Attachment C of this Prudential Standard</w:t>
      </w:r>
      <w:r w:rsidR="00DA7F1A" w:rsidRPr="00DA7F1A">
        <w:t xml:space="preserve">, </w:t>
      </w:r>
      <w:r w:rsidR="00115B29">
        <w:t>a Level 2 insurance group’s annual accounts comprise the reporting documents in respect of the Level 2 insurance group’s financial year that are required to be prepared by the parent entity of the group in compliance with reporting standards made under the Collection of Data Act</w:t>
      </w:r>
      <w:r w:rsidR="00115B29">
        <w:rPr>
          <w:i/>
          <w:iCs/>
        </w:rPr>
        <w:t xml:space="preserve"> </w:t>
      </w:r>
      <w:r w:rsidR="00115B29">
        <w:t xml:space="preserve">but excluding the reporting documents required to be prepared under </w:t>
      </w:r>
      <w:r w:rsidR="00115B29">
        <w:rPr>
          <w:i/>
          <w:iCs/>
        </w:rPr>
        <w:t>Reporting Standard GRS 460.0_G Reinsurance Assets by Counterparty (Level 2 Insurance Group)</w:t>
      </w:r>
      <w:r w:rsidR="00115B29">
        <w:t xml:space="preserve"> and </w:t>
      </w:r>
      <w:r w:rsidR="00115B29">
        <w:rPr>
          <w:i/>
          <w:iCs/>
        </w:rPr>
        <w:t>Reporting Standard GRS 460.1_G Exposure Analysis by Reinsurance Counterparty (Level 2 Insurance Group)</w:t>
      </w:r>
      <w:r w:rsidR="00115B29">
        <w:t>.</w:t>
      </w:r>
    </w:p>
  </w:footnote>
  <w:footnote w:id="31">
    <w:p w14:paraId="077886BA" w14:textId="77777777" w:rsidR="00723086" w:rsidRDefault="00723086" w:rsidP="002A360A">
      <w:pPr>
        <w:pStyle w:val="FootnoteText"/>
        <w:ind w:left="567" w:hanging="567"/>
        <w:jc w:val="both"/>
      </w:pPr>
      <w:r>
        <w:rPr>
          <w:rStyle w:val="FootnoteReference"/>
        </w:rPr>
        <w:footnoteRef/>
      </w:r>
      <w:r>
        <w:t xml:space="preserve"> </w:t>
      </w:r>
      <w:r>
        <w:tab/>
        <w:t>This Prudential Standard sets out further detail regarding these reports.</w:t>
      </w:r>
    </w:p>
  </w:footnote>
  <w:footnote w:id="32">
    <w:p w14:paraId="077886BB" w14:textId="77777777" w:rsidR="00723086" w:rsidRPr="00B8346C" w:rsidRDefault="00723086" w:rsidP="002A360A">
      <w:pPr>
        <w:pStyle w:val="FootnoteText"/>
        <w:ind w:left="567" w:hanging="567"/>
        <w:jc w:val="both"/>
      </w:pPr>
      <w:r w:rsidRPr="00B8346C">
        <w:rPr>
          <w:rStyle w:val="FootnoteReference"/>
        </w:rPr>
        <w:footnoteRef/>
      </w:r>
      <w:r w:rsidRPr="00B8346C">
        <w:rPr>
          <w:rStyle w:val="FootnoteReference"/>
        </w:rPr>
        <w:t xml:space="preserve"> </w:t>
      </w:r>
      <w:r w:rsidRPr="00B8346C">
        <w:tab/>
        <w:t>Refer to paragraphs 49J(1)(b) and (c), subsection 49J(4), paragraphs 49K(1)(a) and (b)</w:t>
      </w:r>
      <w:r>
        <w:t>,</w:t>
      </w:r>
      <w:r w:rsidRPr="00B8346C">
        <w:t xml:space="preserve"> and subsection 49K(3) of the Act.</w:t>
      </w:r>
    </w:p>
  </w:footnote>
  <w:footnote w:id="33">
    <w:p w14:paraId="077886BC" w14:textId="77777777" w:rsidR="00723086" w:rsidRDefault="00723086" w:rsidP="002A360A">
      <w:pPr>
        <w:pStyle w:val="FootnoteText"/>
        <w:ind w:left="567" w:hanging="567"/>
        <w:jc w:val="both"/>
      </w:pPr>
      <w:r>
        <w:rPr>
          <w:rStyle w:val="FootnoteReference"/>
        </w:rPr>
        <w:footnoteRef/>
      </w:r>
      <w:r>
        <w:t xml:space="preserve"> </w:t>
      </w:r>
      <w:r>
        <w:tab/>
        <w:t xml:space="preserve">Also note that Part IV Division 2 of the Act sets out the duties of auditors and actuaries of insurers, authorised NOHCs or </w:t>
      </w:r>
      <w:r w:rsidRPr="004E5DDB">
        <w:t xml:space="preserve">subsidiaries </w:t>
      </w:r>
      <w:r>
        <w:t>to give information to APRA.</w:t>
      </w:r>
    </w:p>
  </w:footnote>
  <w:footnote w:id="34">
    <w:p w14:paraId="077886BD" w14:textId="77777777" w:rsidR="004E042E" w:rsidRPr="003954C1" w:rsidRDefault="004E042E" w:rsidP="002A360A">
      <w:pPr>
        <w:pStyle w:val="FootnoteText"/>
        <w:ind w:left="567" w:hanging="567"/>
        <w:jc w:val="both"/>
      </w:pPr>
      <w:r w:rsidRPr="003954C1">
        <w:rPr>
          <w:rStyle w:val="FootnoteReference"/>
        </w:rPr>
        <w:footnoteRef/>
      </w:r>
      <w:r w:rsidRPr="003954C1">
        <w:t xml:space="preserve"> </w:t>
      </w:r>
      <w:r w:rsidRPr="003954C1">
        <w:tab/>
        <w:t xml:space="preserve">As per </w:t>
      </w:r>
      <w:r w:rsidRPr="0019612A">
        <w:t xml:space="preserve">paragraph </w:t>
      </w:r>
      <w:r w:rsidR="00832A3E" w:rsidRPr="00C061B3">
        <w:fldChar w:fldCharType="begin"/>
      </w:r>
      <w:r w:rsidR="00832A3E" w:rsidRPr="00C061B3">
        <w:instrText xml:space="preserve"> REF _Ref362257178 \r \h </w:instrText>
      </w:r>
      <w:r w:rsidR="00832A3E" w:rsidRPr="00C061B3">
        <w:fldChar w:fldCharType="separate"/>
      </w:r>
      <w:r w:rsidR="00D54771">
        <w:t>1</w:t>
      </w:r>
      <w:r w:rsidR="00832A3E" w:rsidRPr="00C061B3">
        <w:fldChar w:fldCharType="end"/>
      </w:r>
      <w:r w:rsidRPr="00C061B3">
        <w:t xml:space="preserve"> </w:t>
      </w:r>
      <w:r w:rsidRPr="003954C1">
        <w:t xml:space="preserve">of this </w:t>
      </w:r>
      <w:r w:rsidR="00560408">
        <w:t>Attachment</w:t>
      </w:r>
      <w:r w:rsidRPr="003954C1">
        <w:t>, where the CEO and the CFO are the same person, the Financial Information Declaration must be signed by that person and another person to be agreed upon with APRA.</w:t>
      </w:r>
    </w:p>
  </w:footnote>
  <w:footnote w:id="35">
    <w:p w14:paraId="077886BE" w14:textId="52CEE44C" w:rsidR="004E042E" w:rsidRPr="008E18EB" w:rsidRDefault="004E042E" w:rsidP="002A360A">
      <w:pPr>
        <w:pStyle w:val="FootnoteText"/>
        <w:ind w:left="567" w:hanging="567"/>
        <w:jc w:val="both"/>
      </w:pPr>
      <w:r w:rsidRPr="003954C1">
        <w:rPr>
          <w:rStyle w:val="FootnoteReference"/>
        </w:rPr>
        <w:footnoteRef/>
      </w:r>
      <w:r w:rsidRPr="003954C1">
        <w:rPr>
          <w:rStyle w:val="FootnoteReference"/>
        </w:rPr>
        <w:t xml:space="preserve"> </w:t>
      </w:r>
      <w:r w:rsidRPr="003954C1">
        <w:tab/>
        <w:t xml:space="preserve">Refer to the Act </w:t>
      </w:r>
      <w:r w:rsidR="0058386E">
        <w:t xml:space="preserve">and </w:t>
      </w:r>
      <w:r w:rsidR="00560408">
        <w:t>this Prudential Standard</w:t>
      </w:r>
      <w:r w:rsidR="0058386E">
        <w:t xml:space="preserve"> </w:t>
      </w:r>
      <w:r w:rsidRPr="003954C1">
        <w:t>for the roles and responsibilities of auditors</w:t>
      </w:r>
      <w:r w:rsidR="00D453D0">
        <w:t>;</w:t>
      </w:r>
      <w:r w:rsidR="0058386E">
        <w:t xml:space="preserve"> and </w:t>
      </w:r>
      <w:r w:rsidR="0058386E" w:rsidRPr="00DE21EE">
        <w:rPr>
          <w:i/>
        </w:rPr>
        <w:t xml:space="preserve">Prudential Standard </w:t>
      </w:r>
      <w:r w:rsidR="00014C50">
        <w:rPr>
          <w:i/>
        </w:rPr>
        <w:t>C</w:t>
      </w:r>
      <w:r w:rsidR="0058386E" w:rsidRPr="00DE21EE">
        <w:rPr>
          <w:i/>
        </w:rPr>
        <w:t>PS 320 Actuarial and Related Matters</w:t>
      </w:r>
      <w:r w:rsidR="0058386E">
        <w:t xml:space="preserve"> for the roles and responsibilities of Appointed Actuaries</w:t>
      </w:r>
      <w:r w:rsidRPr="003954C1">
        <w:t>.</w:t>
      </w:r>
    </w:p>
  </w:footnote>
  <w:footnote w:id="36">
    <w:p w14:paraId="012316B6" w14:textId="77777777" w:rsidR="00304DBE" w:rsidRPr="00307BA0" w:rsidRDefault="00304DBE" w:rsidP="00304DBE">
      <w:pPr>
        <w:pStyle w:val="FootnoteText"/>
      </w:pPr>
      <w:r w:rsidRPr="00294984">
        <w:rPr>
          <w:rStyle w:val="FootnoteReference"/>
          <w:rFonts w:ascii="Arial" w:hAnsi="Arial" w:cs="Arial"/>
        </w:rPr>
        <w:footnoteRef/>
      </w:r>
      <w:r w:rsidRPr="00294984">
        <w:rPr>
          <w:rFonts w:ascii="Arial" w:hAnsi="Arial" w:cs="Arial"/>
        </w:rPr>
        <w:t xml:space="preserve"> </w:t>
      </w:r>
      <w:r w:rsidRPr="00307BA0">
        <w:t>Reasonable Assurance and Limited Assurance are defined in the Framework for Assurance Engagements issued by the AUASB.</w:t>
      </w:r>
    </w:p>
  </w:footnote>
  <w:footnote w:id="37">
    <w:p w14:paraId="3A2B0215" w14:textId="160CD4BC" w:rsidR="00304DBE" w:rsidRPr="00294984" w:rsidRDefault="00304DBE" w:rsidP="00304DBE">
      <w:pPr>
        <w:pStyle w:val="FootnoteText"/>
        <w:rPr>
          <w:rFonts w:ascii="Arial" w:hAnsi="Arial" w:cs="Arial"/>
        </w:rPr>
      </w:pPr>
      <w:r w:rsidRPr="00307BA0">
        <w:rPr>
          <w:rStyle w:val="FootnoteReference"/>
        </w:rPr>
        <w:footnoteRef/>
      </w:r>
      <w:r w:rsidR="004D271E" w:rsidRPr="00307BA0" w:rsidDel="00FA657E">
        <w:t xml:space="preserve"> </w:t>
      </w:r>
      <w:r w:rsidR="004D271E" w:rsidRPr="00307BA0">
        <w:t>In accordance with </w:t>
      </w:r>
      <w:hyperlink r:id="rId1" w:history="1">
        <w:r w:rsidR="004D271E" w:rsidRPr="00307BA0">
          <w:rPr>
            <w:rStyle w:val="Hyperlink"/>
          </w:rPr>
          <w:t>Insurance Exemption Determination no.1 of 2023</w:t>
        </w:r>
      </w:hyperlink>
      <w:r w:rsidR="004D271E" w:rsidRPr="00307BA0">
        <w:t>, these returns for insurers do not require an audit opinion.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5D95" w14:textId="77777777" w:rsidR="00440E4D" w:rsidRPr="00665727" w:rsidRDefault="00440E4D" w:rsidP="00BD77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FFB8" w14:textId="77777777" w:rsidR="00440E4D" w:rsidRDefault="00440E4D" w:rsidP="00BD773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869A" w14:textId="6BCD6CE5" w:rsidR="00587413" w:rsidRPr="005E38CF" w:rsidRDefault="00EE6BA0" w:rsidP="00785951">
    <w:pPr>
      <w:pStyle w:val="Header"/>
      <w:jc w:val="right"/>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1D3"/>
    <w:multiLevelType w:val="hybridMultilevel"/>
    <w:tmpl w:val="F44CBB38"/>
    <w:lvl w:ilvl="0" w:tplc="2D8CBB5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756611"/>
    <w:multiLevelType w:val="hybridMultilevel"/>
    <w:tmpl w:val="DCF09E18"/>
    <w:lvl w:ilvl="0" w:tplc="2BB4F88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952F64"/>
    <w:multiLevelType w:val="hybridMultilevel"/>
    <w:tmpl w:val="01D23552"/>
    <w:lvl w:ilvl="0" w:tplc="80D014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2D47222"/>
    <w:multiLevelType w:val="multilevel"/>
    <w:tmpl w:val="04D25A64"/>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3D04C11"/>
    <w:multiLevelType w:val="hybridMultilevel"/>
    <w:tmpl w:val="DFAC68C8"/>
    <w:lvl w:ilvl="0" w:tplc="F620F136">
      <w:start w:val="1"/>
      <w:numFmt w:val="lowerLetter"/>
      <w:pStyle w:val="NormaltextCharCharCharCharChar"/>
      <w:lvlText w:val="(%1)"/>
      <w:lvlJc w:val="left"/>
      <w:pPr>
        <w:tabs>
          <w:tab w:val="num" w:pos="1134"/>
        </w:tabs>
        <w:ind w:left="1134" w:hanging="567"/>
      </w:pPr>
      <w:rPr>
        <w:rFonts w:hint="default"/>
      </w:rPr>
    </w:lvl>
    <w:lvl w:ilvl="1" w:tplc="329CFC56" w:tentative="1">
      <w:start w:val="1"/>
      <w:numFmt w:val="lowerLetter"/>
      <w:lvlText w:val="%2."/>
      <w:lvlJc w:val="left"/>
      <w:pPr>
        <w:tabs>
          <w:tab w:val="num" w:pos="1440"/>
        </w:tabs>
        <w:ind w:left="1440" w:hanging="360"/>
      </w:pPr>
    </w:lvl>
    <w:lvl w:ilvl="2" w:tplc="0B10B4B6" w:tentative="1">
      <w:start w:val="1"/>
      <w:numFmt w:val="lowerRoman"/>
      <w:lvlText w:val="%3."/>
      <w:lvlJc w:val="right"/>
      <w:pPr>
        <w:tabs>
          <w:tab w:val="num" w:pos="2160"/>
        </w:tabs>
        <w:ind w:left="2160" w:hanging="180"/>
      </w:pPr>
    </w:lvl>
    <w:lvl w:ilvl="3" w:tplc="3C340AE8" w:tentative="1">
      <w:start w:val="1"/>
      <w:numFmt w:val="decimal"/>
      <w:lvlText w:val="%4."/>
      <w:lvlJc w:val="left"/>
      <w:pPr>
        <w:tabs>
          <w:tab w:val="num" w:pos="2880"/>
        </w:tabs>
        <w:ind w:left="2880" w:hanging="360"/>
      </w:pPr>
    </w:lvl>
    <w:lvl w:ilvl="4" w:tplc="C0E82FA0" w:tentative="1">
      <w:start w:val="1"/>
      <w:numFmt w:val="lowerLetter"/>
      <w:lvlText w:val="%5."/>
      <w:lvlJc w:val="left"/>
      <w:pPr>
        <w:tabs>
          <w:tab w:val="num" w:pos="3600"/>
        </w:tabs>
        <w:ind w:left="3600" w:hanging="360"/>
      </w:pPr>
    </w:lvl>
    <w:lvl w:ilvl="5" w:tplc="824E7B20" w:tentative="1">
      <w:start w:val="1"/>
      <w:numFmt w:val="lowerRoman"/>
      <w:lvlText w:val="%6."/>
      <w:lvlJc w:val="right"/>
      <w:pPr>
        <w:tabs>
          <w:tab w:val="num" w:pos="4320"/>
        </w:tabs>
        <w:ind w:left="4320" w:hanging="180"/>
      </w:pPr>
    </w:lvl>
    <w:lvl w:ilvl="6" w:tplc="D7F8D19A" w:tentative="1">
      <w:start w:val="1"/>
      <w:numFmt w:val="decimal"/>
      <w:lvlText w:val="%7."/>
      <w:lvlJc w:val="left"/>
      <w:pPr>
        <w:tabs>
          <w:tab w:val="num" w:pos="5040"/>
        </w:tabs>
        <w:ind w:left="5040" w:hanging="360"/>
      </w:pPr>
    </w:lvl>
    <w:lvl w:ilvl="7" w:tplc="A01CE782" w:tentative="1">
      <w:start w:val="1"/>
      <w:numFmt w:val="lowerLetter"/>
      <w:lvlText w:val="%8."/>
      <w:lvlJc w:val="left"/>
      <w:pPr>
        <w:tabs>
          <w:tab w:val="num" w:pos="5760"/>
        </w:tabs>
        <w:ind w:left="5760" w:hanging="360"/>
      </w:pPr>
    </w:lvl>
    <w:lvl w:ilvl="8" w:tplc="FEF0CA7C" w:tentative="1">
      <w:start w:val="1"/>
      <w:numFmt w:val="lowerRoman"/>
      <w:lvlText w:val="%9."/>
      <w:lvlJc w:val="right"/>
      <w:pPr>
        <w:tabs>
          <w:tab w:val="num" w:pos="6480"/>
        </w:tabs>
        <w:ind w:left="6480" w:hanging="180"/>
      </w:pPr>
    </w:lvl>
  </w:abstractNum>
  <w:abstractNum w:abstractNumId="5" w15:restartNumberingAfterBreak="0">
    <w:nsid w:val="15A103E5"/>
    <w:multiLevelType w:val="hybridMultilevel"/>
    <w:tmpl w:val="31667BB0"/>
    <w:lvl w:ilvl="0" w:tplc="1654098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E018F"/>
    <w:multiLevelType w:val="hybridMultilevel"/>
    <w:tmpl w:val="EC5AF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8D715E"/>
    <w:multiLevelType w:val="hybridMultilevel"/>
    <w:tmpl w:val="0038D6A2"/>
    <w:lvl w:ilvl="0" w:tplc="0EAE6C70">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A35133A"/>
    <w:multiLevelType w:val="hybridMultilevel"/>
    <w:tmpl w:val="AF9475FE"/>
    <w:lvl w:ilvl="0" w:tplc="6E8ED82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88492C2" w:tentative="1">
      <w:start w:val="1"/>
      <w:numFmt w:val="lowerLetter"/>
      <w:lvlText w:val="%2."/>
      <w:lvlJc w:val="left"/>
      <w:pPr>
        <w:tabs>
          <w:tab w:val="num" w:pos="1440"/>
        </w:tabs>
        <w:ind w:left="1440" w:hanging="360"/>
      </w:pPr>
    </w:lvl>
    <w:lvl w:ilvl="2" w:tplc="A33CBC94" w:tentative="1">
      <w:start w:val="1"/>
      <w:numFmt w:val="lowerRoman"/>
      <w:lvlText w:val="%3."/>
      <w:lvlJc w:val="right"/>
      <w:pPr>
        <w:tabs>
          <w:tab w:val="num" w:pos="2160"/>
        </w:tabs>
        <w:ind w:left="2160" w:hanging="180"/>
      </w:pPr>
    </w:lvl>
    <w:lvl w:ilvl="3" w:tplc="21006F76" w:tentative="1">
      <w:start w:val="1"/>
      <w:numFmt w:val="decimal"/>
      <w:lvlText w:val="%4."/>
      <w:lvlJc w:val="left"/>
      <w:pPr>
        <w:tabs>
          <w:tab w:val="num" w:pos="2880"/>
        </w:tabs>
        <w:ind w:left="2880" w:hanging="360"/>
      </w:pPr>
    </w:lvl>
    <w:lvl w:ilvl="4" w:tplc="70E0C77A" w:tentative="1">
      <w:start w:val="1"/>
      <w:numFmt w:val="lowerLetter"/>
      <w:lvlText w:val="%5."/>
      <w:lvlJc w:val="left"/>
      <w:pPr>
        <w:tabs>
          <w:tab w:val="num" w:pos="3600"/>
        </w:tabs>
        <w:ind w:left="3600" w:hanging="360"/>
      </w:pPr>
    </w:lvl>
    <w:lvl w:ilvl="5" w:tplc="19145440" w:tentative="1">
      <w:start w:val="1"/>
      <w:numFmt w:val="lowerRoman"/>
      <w:lvlText w:val="%6."/>
      <w:lvlJc w:val="right"/>
      <w:pPr>
        <w:tabs>
          <w:tab w:val="num" w:pos="4320"/>
        </w:tabs>
        <w:ind w:left="4320" w:hanging="180"/>
      </w:pPr>
    </w:lvl>
    <w:lvl w:ilvl="6" w:tplc="B290D784" w:tentative="1">
      <w:start w:val="1"/>
      <w:numFmt w:val="decimal"/>
      <w:lvlText w:val="%7."/>
      <w:lvlJc w:val="left"/>
      <w:pPr>
        <w:tabs>
          <w:tab w:val="num" w:pos="5040"/>
        </w:tabs>
        <w:ind w:left="5040" w:hanging="360"/>
      </w:pPr>
    </w:lvl>
    <w:lvl w:ilvl="7" w:tplc="9B5E0904" w:tentative="1">
      <w:start w:val="1"/>
      <w:numFmt w:val="lowerLetter"/>
      <w:lvlText w:val="%8."/>
      <w:lvlJc w:val="left"/>
      <w:pPr>
        <w:tabs>
          <w:tab w:val="num" w:pos="5760"/>
        </w:tabs>
        <w:ind w:left="5760" w:hanging="360"/>
      </w:pPr>
    </w:lvl>
    <w:lvl w:ilvl="8" w:tplc="21645CAE" w:tentative="1">
      <w:start w:val="1"/>
      <w:numFmt w:val="lowerRoman"/>
      <w:lvlText w:val="%9."/>
      <w:lvlJc w:val="right"/>
      <w:pPr>
        <w:tabs>
          <w:tab w:val="num" w:pos="6480"/>
        </w:tabs>
        <w:ind w:left="6480" w:hanging="180"/>
      </w:pPr>
    </w:lvl>
  </w:abstractNum>
  <w:abstractNum w:abstractNumId="9" w15:restartNumberingAfterBreak="0">
    <w:nsid w:val="1CC033EC"/>
    <w:multiLevelType w:val="hybridMultilevel"/>
    <w:tmpl w:val="0FFEED48"/>
    <w:lvl w:ilvl="0" w:tplc="1AD00A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4E1864E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CB5F9C"/>
    <w:multiLevelType w:val="hybridMultilevel"/>
    <w:tmpl w:val="46AE1260"/>
    <w:lvl w:ilvl="0" w:tplc="2D94035C">
      <w:start w:val="1"/>
      <w:numFmt w:val="decimal"/>
      <w:lvlText w:val="%1."/>
      <w:lvlJc w:val="left"/>
      <w:pPr>
        <w:tabs>
          <w:tab w:val="num" w:pos="720"/>
        </w:tabs>
        <w:ind w:left="720" w:hanging="360"/>
      </w:pPr>
      <w:rPr>
        <w:rFonts w:hint="default"/>
        <w:b w:val="0"/>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4069F2"/>
    <w:multiLevelType w:val="hybridMultilevel"/>
    <w:tmpl w:val="6C8CD59E"/>
    <w:lvl w:ilvl="0" w:tplc="D1AEA25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1A42C6DE" w:tentative="1">
      <w:start w:val="1"/>
      <w:numFmt w:val="lowerLetter"/>
      <w:lvlText w:val="%2."/>
      <w:lvlJc w:val="left"/>
      <w:pPr>
        <w:tabs>
          <w:tab w:val="num" w:pos="1440"/>
        </w:tabs>
        <w:ind w:left="1440" w:hanging="360"/>
      </w:pPr>
    </w:lvl>
    <w:lvl w:ilvl="2" w:tplc="B11AA1BC" w:tentative="1">
      <w:start w:val="1"/>
      <w:numFmt w:val="lowerRoman"/>
      <w:lvlText w:val="%3."/>
      <w:lvlJc w:val="right"/>
      <w:pPr>
        <w:tabs>
          <w:tab w:val="num" w:pos="2160"/>
        </w:tabs>
        <w:ind w:left="2160" w:hanging="180"/>
      </w:pPr>
    </w:lvl>
    <w:lvl w:ilvl="3" w:tplc="23328C04" w:tentative="1">
      <w:start w:val="1"/>
      <w:numFmt w:val="decimal"/>
      <w:lvlText w:val="%4."/>
      <w:lvlJc w:val="left"/>
      <w:pPr>
        <w:tabs>
          <w:tab w:val="num" w:pos="2880"/>
        </w:tabs>
        <w:ind w:left="2880" w:hanging="360"/>
      </w:pPr>
    </w:lvl>
    <w:lvl w:ilvl="4" w:tplc="19EEFFBA" w:tentative="1">
      <w:start w:val="1"/>
      <w:numFmt w:val="lowerLetter"/>
      <w:lvlText w:val="%5."/>
      <w:lvlJc w:val="left"/>
      <w:pPr>
        <w:tabs>
          <w:tab w:val="num" w:pos="3600"/>
        </w:tabs>
        <w:ind w:left="3600" w:hanging="360"/>
      </w:pPr>
    </w:lvl>
    <w:lvl w:ilvl="5" w:tplc="071AC958" w:tentative="1">
      <w:start w:val="1"/>
      <w:numFmt w:val="lowerRoman"/>
      <w:lvlText w:val="%6."/>
      <w:lvlJc w:val="right"/>
      <w:pPr>
        <w:tabs>
          <w:tab w:val="num" w:pos="4320"/>
        </w:tabs>
        <w:ind w:left="4320" w:hanging="180"/>
      </w:pPr>
    </w:lvl>
    <w:lvl w:ilvl="6" w:tplc="A976B38A" w:tentative="1">
      <w:start w:val="1"/>
      <w:numFmt w:val="decimal"/>
      <w:lvlText w:val="%7."/>
      <w:lvlJc w:val="left"/>
      <w:pPr>
        <w:tabs>
          <w:tab w:val="num" w:pos="5040"/>
        </w:tabs>
        <w:ind w:left="5040" w:hanging="360"/>
      </w:pPr>
    </w:lvl>
    <w:lvl w:ilvl="7" w:tplc="29B67ABC" w:tentative="1">
      <w:start w:val="1"/>
      <w:numFmt w:val="lowerLetter"/>
      <w:lvlText w:val="%8."/>
      <w:lvlJc w:val="left"/>
      <w:pPr>
        <w:tabs>
          <w:tab w:val="num" w:pos="5760"/>
        </w:tabs>
        <w:ind w:left="5760" w:hanging="360"/>
      </w:pPr>
    </w:lvl>
    <w:lvl w:ilvl="8" w:tplc="1E365102" w:tentative="1">
      <w:start w:val="1"/>
      <w:numFmt w:val="lowerRoman"/>
      <w:lvlText w:val="%9."/>
      <w:lvlJc w:val="right"/>
      <w:pPr>
        <w:tabs>
          <w:tab w:val="num" w:pos="6480"/>
        </w:tabs>
        <w:ind w:left="6480" w:hanging="180"/>
      </w:pPr>
    </w:lvl>
  </w:abstractNum>
  <w:abstractNum w:abstractNumId="12" w15:restartNumberingAfterBreak="0">
    <w:nsid w:val="1DE76C19"/>
    <w:multiLevelType w:val="hybridMultilevel"/>
    <w:tmpl w:val="B64C1964"/>
    <w:lvl w:ilvl="0" w:tplc="3B5A6B2A">
      <w:start w:val="1"/>
      <w:numFmt w:val="lowerLetter"/>
      <w:lvlText w:val="(%1)"/>
      <w:lvlJc w:val="left"/>
      <w:pPr>
        <w:tabs>
          <w:tab w:val="num" w:pos="567"/>
        </w:tabs>
        <w:ind w:left="567" w:hanging="567"/>
      </w:pPr>
      <w:rPr>
        <w:rFonts w:hint="default"/>
      </w:rPr>
    </w:lvl>
    <w:lvl w:ilvl="1" w:tplc="7C96F7C2"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BC415B"/>
    <w:multiLevelType w:val="hybridMultilevel"/>
    <w:tmpl w:val="0C2C5A82"/>
    <w:lvl w:ilvl="0" w:tplc="FC7CB6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60727BBC" w:tentative="1">
      <w:start w:val="1"/>
      <w:numFmt w:val="lowerLetter"/>
      <w:lvlText w:val="%2."/>
      <w:lvlJc w:val="left"/>
      <w:pPr>
        <w:tabs>
          <w:tab w:val="num" w:pos="1440"/>
        </w:tabs>
        <w:ind w:left="1440" w:hanging="360"/>
      </w:pPr>
    </w:lvl>
    <w:lvl w:ilvl="2" w:tplc="4BD0BFA4" w:tentative="1">
      <w:start w:val="1"/>
      <w:numFmt w:val="lowerRoman"/>
      <w:lvlText w:val="%3."/>
      <w:lvlJc w:val="right"/>
      <w:pPr>
        <w:tabs>
          <w:tab w:val="num" w:pos="2160"/>
        </w:tabs>
        <w:ind w:left="2160" w:hanging="180"/>
      </w:pPr>
    </w:lvl>
    <w:lvl w:ilvl="3" w:tplc="9800BAFA" w:tentative="1">
      <w:start w:val="1"/>
      <w:numFmt w:val="decimal"/>
      <w:lvlText w:val="%4."/>
      <w:lvlJc w:val="left"/>
      <w:pPr>
        <w:tabs>
          <w:tab w:val="num" w:pos="2880"/>
        </w:tabs>
        <w:ind w:left="2880" w:hanging="360"/>
      </w:pPr>
    </w:lvl>
    <w:lvl w:ilvl="4" w:tplc="A93AC344" w:tentative="1">
      <w:start w:val="1"/>
      <w:numFmt w:val="lowerLetter"/>
      <w:lvlText w:val="%5."/>
      <w:lvlJc w:val="left"/>
      <w:pPr>
        <w:tabs>
          <w:tab w:val="num" w:pos="3600"/>
        </w:tabs>
        <w:ind w:left="3600" w:hanging="360"/>
      </w:pPr>
    </w:lvl>
    <w:lvl w:ilvl="5" w:tplc="B5E6A566" w:tentative="1">
      <w:start w:val="1"/>
      <w:numFmt w:val="lowerRoman"/>
      <w:lvlText w:val="%6."/>
      <w:lvlJc w:val="right"/>
      <w:pPr>
        <w:tabs>
          <w:tab w:val="num" w:pos="4320"/>
        </w:tabs>
        <w:ind w:left="4320" w:hanging="180"/>
      </w:pPr>
    </w:lvl>
    <w:lvl w:ilvl="6" w:tplc="DA1E7178" w:tentative="1">
      <w:start w:val="1"/>
      <w:numFmt w:val="decimal"/>
      <w:lvlText w:val="%7."/>
      <w:lvlJc w:val="left"/>
      <w:pPr>
        <w:tabs>
          <w:tab w:val="num" w:pos="5040"/>
        </w:tabs>
        <w:ind w:left="5040" w:hanging="360"/>
      </w:pPr>
    </w:lvl>
    <w:lvl w:ilvl="7" w:tplc="6AB03B1E" w:tentative="1">
      <w:start w:val="1"/>
      <w:numFmt w:val="lowerLetter"/>
      <w:lvlText w:val="%8."/>
      <w:lvlJc w:val="left"/>
      <w:pPr>
        <w:tabs>
          <w:tab w:val="num" w:pos="5760"/>
        </w:tabs>
        <w:ind w:left="5760" w:hanging="360"/>
      </w:pPr>
    </w:lvl>
    <w:lvl w:ilvl="8" w:tplc="36BAE182" w:tentative="1">
      <w:start w:val="1"/>
      <w:numFmt w:val="lowerRoman"/>
      <w:lvlText w:val="%9."/>
      <w:lvlJc w:val="right"/>
      <w:pPr>
        <w:tabs>
          <w:tab w:val="num" w:pos="6480"/>
        </w:tabs>
        <w:ind w:left="6480" w:hanging="180"/>
      </w:pPr>
    </w:lvl>
  </w:abstractNum>
  <w:abstractNum w:abstractNumId="14" w15:restartNumberingAfterBreak="0">
    <w:nsid w:val="1F314389"/>
    <w:multiLevelType w:val="hybridMultilevel"/>
    <w:tmpl w:val="4CD4B93E"/>
    <w:lvl w:ilvl="0" w:tplc="2F4E28D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1B36320"/>
    <w:multiLevelType w:val="hybridMultilevel"/>
    <w:tmpl w:val="0038D6A2"/>
    <w:lvl w:ilvl="0" w:tplc="0EAE6C70">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4273EF"/>
    <w:multiLevelType w:val="hybridMultilevel"/>
    <w:tmpl w:val="B9B618E4"/>
    <w:lvl w:ilvl="0" w:tplc="9D4E53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B7ECD02">
      <w:start w:val="1"/>
      <w:numFmt w:val="lowerLetter"/>
      <w:lvlText w:val="%2."/>
      <w:lvlJc w:val="left"/>
      <w:pPr>
        <w:tabs>
          <w:tab w:val="num" w:pos="1440"/>
        </w:tabs>
        <w:ind w:left="1440" w:hanging="360"/>
      </w:pPr>
    </w:lvl>
    <w:lvl w:ilvl="2" w:tplc="757EC94A" w:tentative="1">
      <w:start w:val="1"/>
      <w:numFmt w:val="lowerRoman"/>
      <w:lvlText w:val="%3."/>
      <w:lvlJc w:val="right"/>
      <w:pPr>
        <w:tabs>
          <w:tab w:val="num" w:pos="2160"/>
        </w:tabs>
        <w:ind w:left="2160" w:hanging="180"/>
      </w:pPr>
    </w:lvl>
    <w:lvl w:ilvl="3" w:tplc="D6365068" w:tentative="1">
      <w:start w:val="1"/>
      <w:numFmt w:val="decimal"/>
      <w:lvlText w:val="%4."/>
      <w:lvlJc w:val="left"/>
      <w:pPr>
        <w:tabs>
          <w:tab w:val="num" w:pos="2880"/>
        </w:tabs>
        <w:ind w:left="2880" w:hanging="360"/>
      </w:pPr>
    </w:lvl>
    <w:lvl w:ilvl="4" w:tplc="0016C322" w:tentative="1">
      <w:start w:val="1"/>
      <w:numFmt w:val="lowerLetter"/>
      <w:lvlText w:val="%5."/>
      <w:lvlJc w:val="left"/>
      <w:pPr>
        <w:tabs>
          <w:tab w:val="num" w:pos="3600"/>
        </w:tabs>
        <w:ind w:left="3600" w:hanging="360"/>
      </w:pPr>
    </w:lvl>
    <w:lvl w:ilvl="5" w:tplc="8FE2751A" w:tentative="1">
      <w:start w:val="1"/>
      <w:numFmt w:val="lowerRoman"/>
      <w:lvlText w:val="%6."/>
      <w:lvlJc w:val="right"/>
      <w:pPr>
        <w:tabs>
          <w:tab w:val="num" w:pos="4320"/>
        </w:tabs>
        <w:ind w:left="4320" w:hanging="180"/>
      </w:pPr>
    </w:lvl>
    <w:lvl w:ilvl="6" w:tplc="F9582D7A" w:tentative="1">
      <w:start w:val="1"/>
      <w:numFmt w:val="decimal"/>
      <w:lvlText w:val="%7."/>
      <w:lvlJc w:val="left"/>
      <w:pPr>
        <w:tabs>
          <w:tab w:val="num" w:pos="5040"/>
        </w:tabs>
        <w:ind w:left="5040" w:hanging="360"/>
      </w:pPr>
    </w:lvl>
    <w:lvl w:ilvl="7" w:tplc="08447C1A" w:tentative="1">
      <w:start w:val="1"/>
      <w:numFmt w:val="lowerLetter"/>
      <w:lvlText w:val="%8."/>
      <w:lvlJc w:val="left"/>
      <w:pPr>
        <w:tabs>
          <w:tab w:val="num" w:pos="5760"/>
        </w:tabs>
        <w:ind w:left="5760" w:hanging="360"/>
      </w:pPr>
    </w:lvl>
    <w:lvl w:ilvl="8" w:tplc="5B08B238" w:tentative="1">
      <w:start w:val="1"/>
      <w:numFmt w:val="lowerRoman"/>
      <w:lvlText w:val="%9."/>
      <w:lvlJc w:val="right"/>
      <w:pPr>
        <w:tabs>
          <w:tab w:val="num" w:pos="6480"/>
        </w:tabs>
        <w:ind w:left="6480" w:hanging="180"/>
      </w:pPr>
    </w:lvl>
  </w:abstractNum>
  <w:abstractNum w:abstractNumId="17" w15:restartNumberingAfterBreak="0">
    <w:nsid w:val="34804AB6"/>
    <w:multiLevelType w:val="hybridMultilevel"/>
    <w:tmpl w:val="BDAAA0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89E5659"/>
    <w:multiLevelType w:val="hybridMultilevel"/>
    <w:tmpl w:val="B2CA9D7C"/>
    <w:lvl w:ilvl="0" w:tplc="0B60C66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95F2F9A"/>
    <w:multiLevelType w:val="hybridMultilevel"/>
    <w:tmpl w:val="B9B618E4"/>
    <w:lvl w:ilvl="0" w:tplc="AE86E75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BFBC2F68">
      <w:start w:val="1"/>
      <w:numFmt w:val="lowerLetter"/>
      <w:lvlText w:val="%2."/>
      <w:lvlJc w:val="left"/>
      <w:pPr>
        <w:tabs>
          <w:tab w:val="num" w:pos="1440"/>
        </w:tabs>
        <w:ind w:left="1440" w:hanging="360"/>
      </w:pPr>
    </w:lvl>
    <w:lvl w:ilvl="2" w:tplc="18C835C4" w:tentative="1">
      <w:start w:val="1"/>
      <w:numFmt w:val="lowerRoman"/>
      <w:lvlText w:val="%3."/>
      <w:lvlJc w:val="right"/>
      <w:pPr>
        <w:tabs>
          <w:tab w:val="num" w:pos="2160"/>
        </w:tabs>
        <w:ind w:left="2160" w:hanging="180"/>
      </w:pPr>
    </w:lvl>
    <w:lvl w:ilvl="3" w:tplc="1838837E" w:tentative="1">
      <w:start w:val="1"/>
      <w:numFmt w:val="decimal"/>
      <w:lvlText w:val="%4."/>
      <w:lvlJc w:val="left"/>
      <w:pPr>
        <w:tabs>
          <w:tab w:val="num" w:pos="2880"/>
        </w:tabs>
        <w:ind w:left="2880" w:hanging="360"/>
      </w:pPr>
    </w:lvl>
    <w:lvl w:ilvl="4" w:tplc="1B32B366" w:tentative="1">
      <w:start w:val="1"/>
      <w:numFmt w:val="lowerLetter"/>
      <w:lvlText w:val="%5."/>
      <w:lvlJc w:val="left"/>
      <w:pPr>
        <w:tabs>
          <w:tab w:val="num" w:pos="3600"/>
        </w:tabs>
        <w:ind w:left="3600" w:hanging="360"/>
      </w:pPr>
    </w:lvl>
    <w:lvl w:ilvl="5" w:tplc="F7B0AD3A" w:tentative="1">
      <w:start w:val="1"/>
      <w:numFmt w:val="lowerRoman"/>
      <w:lvlText w:val="%6."/>
      <w:lvlJc w:val="right"/>
      <w:pPr>
        <w:tabs>
          <w:tab w:val="num" w:pos="4320"/>
        </w:tabs>
        <w:ind w:left="4320" w:hanging="180"/>
      </w:pPr>
    </w:lvl>
    <w:lvl w:ilvl="6" w:tplc="0CE40168" w:tentative="1">
      <w:start w:val="1"/>
      <w:numFmt w:val="decimal"/>
      <w:lvlText w:val="%7."/>
      <w:lvlJc w:val="left"/>
      <w:pPr>
        <w:tabs>
          <w:tab w:val="num" w:pos="5040"/>
        </w:tabs>
        <w:ind w:left="5040" w:hanging="360"/>
      </w:pPr>
    </w:lvl>
    <w:lvl w:ilvl="7" w:tplc="2C984A48" w:tentative="1">
      <w:start w:val="1"/>
      <w:numFmt w:val="lowerLetter"/>
      <w:lvlText w:val="%8."/>
      <w:lvlJc w:val="left"/>
      <w:pPr>
        <w:tabs>
          <w:tab w:val="num" w:pos="5760"/>
        </w:tabs>
        <w:ind w:left="5760" w:hanging="360"/>
      </w:pPr>
    </w:lvl>
    <w:lvl w:ilvl="8" w:tplc="2AA8FE78" w:tentative="1">
      <w:start w:val="1"/>
      <w:numFmt w:val="lowerRoman"/>
      <w:lvlText w:val="%9."/>
      <w:lvlJc w:val="right"/>
      <w:pPr>
        <w:tabs>
          <w:tab w:val="num" w:pos="6480"/>
        </w:tabs>
        <w:ind w:left="6480" w:hanging="180"/>
      </w:pPr>
    </w:lvl>
  </w:abstractNum>
  <w:abstractNum w:abstractNumId="20" w15:restartNumberingAfterBreak="0">
    <w:nsid w:val="3CCF152C"/>
    <w:multiLevelType w:val="hybridMultilevel"/>
    <w:tmpl w:val="AFC24F60"/>
    <w:lvl w:ilvl="0" w:tplc="863043A0">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EC43299"/>
    <w:multiLevelType w:val="hybridMultilevel"/>
    <w:tmpl w:val="0C2C5A82"/>
    <w:lvl w:ilvl="0" w:tplc="B1FA642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E97488C0" w:tentative="1">
      <w:start w:val="1"/>
      <w:numFmt w:val="lowerLetter"/>
      <w:lvlText w:val="%2."/>
      <w:lvlJc w:val="left"/>
      <w:pPr>
        <w:tabs>
          <w:tab w:val="num" w:pos="1440"/>
        </w:tabs>
        <w:ind w:left="1440" w:hanging="360"/>
      </w:pPr>
    </w:lvl>
    <w:lvl w:ilvl="2" w:tplc="B5D68760" w:tentative="1">
      <w:start w:val="1"/>
      <w:numFmt w:val="lowerRoman"/>
      <w:lvlText w:val="%3."/>
      <w:lvlJc w:val="right"/>
      <w:pPr>
        <w:tabs>
          <w:tab w:val="num" w:pos="2160"/>
        </w:tabs>
        <w:ind w:left="2160" w:hanging="180"/>
      </w:pPr>
    </w:lvl>
    <w:lvl w:ilvl="3" w:tplc="D77E9B1C" w:tentative="1">
      <w:start w:val="1"/>
      <w:numFmt w:val="decimal"/>
      <w:lvlText w:val="%4."/>
      <w:lvlJc w:val="left"/>
      <w:pPr>
        <w:tabs>
          <w:tab w:val="num" w:pos="2880"/>
        </w:tabs>
        <w:ind w:left="2880" w:hanging="360"/>
      </w:pPr>
    </w:lvl>
    <w:lvl w:ilvl="4" w:tplc="1B60B52E" w:tentative="1">
      <w:start w:val="1"/>
      <w:numFmt w:val="lowerLetter"/>
      <w:lvlText w:val="%5."/>
      <w:lvlJc w:val="left"/>
      <w:pPr>
        <w:tabs>
          <w:tab w:val="num" w:pos="3600"/>
        </w:tabs>
        <w:ind w:left="3600" w:hanging="360"/>
      </w:pPr>
    </w:lvl>
    <w:lvl w:ilvl="5" w:tplc="5E14A9BE" w:tentative="1">
      <w:start w:val="1"/>
      <w:numFmt w:val="lowerRoman"/>
      <w:lvlText w:val="%6."/>
      <w:lvlJc w:val="right"/>
      <w:pPr>
        <w:tabs>
          <w:tab w:val="num" w:pos="4320"/>
        </w:tabs>
        <w:ind w:left="4320" w:hanging="180"/>
      </w:pPr>
    </w:lvl>
    <w:lvl w:ilvl="6" w:tplc="7BFACC6E" w:tentative="1">
      <w:start w:val="1"/>
      <w:numFmt w:val="decimal"/>
      <w:lvlText w:val="%7."/>
      <w:lvlJc w:val="left"/>
      <w:pPr>
        <w:tabs>
          <w:tab w:val="num" w:pos="5040"/>
        </w:tabs>
        <w:ind w:left="5040" w:hanging="360"/>
      </w:pPr>
    </w:lvl>
    <w:lvl w:ilvl="7" w:tplc="151C5C34" w:tentative="1">
      <w:start w:val="1"/>
      <w:numFmt w:val="lowerLetter"/>
      <w:lvlText w:val="%8."/>
      <w:lvlJc w:val="left"/>
      <w:pPr>
        <w:tabs>
          <w:tab w:val="num" w:pos="5760"/>
        </w:tabs>
        <w:ind w:left="5760" w:hanging="360"/>
      </w:pPr>
    </w:lvl>
    <w:lvl w:ilvl="8" w:tplc="AA0CF82A" w:tentative="1">
      <w:start w:val="1"/>
      <w:numFmt w:val="lowerRoman"/>
      <w:lvlText w:val="%9."/>
      <w:lvlJc w:val="right"/>
      <w:pPr>
        <w:tabs>
          <w:tab w:val="num" w:pos="6480"/>
        </w:tabs>
        <w:ind w:left="6480" w:hanging="180"/>
      </w:pPr>
    </w:lvl>
  </w:abstractNum>
  <w:abstractNum w:abstractNumId="22" w15:restartNumberingAfterBreak="0">
    <w:nsid w:val="4326536A"/>
    <w:multiLevelType w:val="multilevel"/>
    <w:tmpl w:val="4686172E"/>
    <w:lvl w:ilvl="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FA1970"/>
    <w:multiLevelType w:val="hybridMultilevel"/>
    <w:tmpl w:val="CCBCF732"/>
    <w:lvl w:ilvl="0" w:tplc="3334B45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FB5EFF70">
      <w:start w:val="1"/>
      <w:numFmt w:val="lowerRoman"/>
      <w:lvlText w:val="(%2)"/>
      <w:lvlJc w:val="left"/>
      <w:pPr>
        <w:tabs>
          <w:tab w:val="num" w:pos="1701"/>
        </w:tabs>
        <w:ind w:left="1701" w:hanging="567"/>
      </w:pPr>
      <w:rPr>
        <w:rFonts w:hint="default"/>
        <w:b w:val="0"/>
        <w:i w:val="0"/>
        <w:sz w:val="24"/>
        <w:szCs w:val="24"/>
      </w:rPr>
    </w:lvl>
    <w:lvl w:ilvl="2" w:tplc="53880042"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4F47C8D"/>
    <w:multiLevelType w:val="hybridMultilevel"/>
    <w:tmpl w:val="FAF89C1A"/>
    <w:lvl w:ilvl="0" w:tplc="1918FBB6">
      <w:start w:val="1"/>
      <w:numFmt w:val="decimal"/>
      <w:lvlText w:val="%1."/>
      <w:lvlJc w:val="left"/>
      <w:pPr>
        <w:tabs>
          <w:tab w:val="num" w:pos="720"/>
        </w:tabs>
        <w:ind w:left="720" w:hanging="360"/>
      </w:pPr>
      <w:rPr>
        <w:rFonts w:ascii="Times New Roman" w:hAnsi="Times New Roman" w:cs="Times New Roman" w:hint="default"/>
        <w:b w:val="0"/>
        <w:strike w:val="0"/>
        <w:color w:val="auto"/>
        <w:szCs w:val="24"/>
      </w:rPr>
    </w:lvl>
    <w:lvl w:ilvl="1" w:tplc="0C090019">
      <w:start w:val="1"/>
      <w:numFmt w:val="lowerLetter"/>
      <w:lvlText w:val="(%2)"/>
      <w:lvlJc w:val="left"/>
      <w:pPr>
        <w:tabs>
          <w:tab w:val="num" w:pos="1134"/>
        </w:tabs>
        <w:ind w:left="1134" w:hanging="567"/>
      </w:pPr>
      <w:rPr>
        <w:rFonts w:hint="default"/>
        <w:b w:val="0"/>
        <w:szCs w:val="24"/>
      </w:rPr>
    </w:lvl>
    <w:lvl w:ilvl="2" w:tplc="0C09001B">
      <w:start w:val="10"/>
      <w:numFmt w:val="lowerLetter"/>
      <w:lvlText w:val="(%3)"/>
      <w:lvlJc w:val="left"/>
      <w:pPr>
        <w:tabs>
          <w:tab w:val="num" w:pos="2547"/>
        </w:tabs>
        <w:ind w:left="2547" w:hanging="567"/>
      </w:pPr>
      <w:rPr>
        <w:rFonts w:hint="default"/>
        <w:b w:val="0"/>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5477F2"/>
    <w:multiLevelType w:val="hybridMultilevel"/>
    <w:tmpl w:val="B9B618E4"/>
    <w:lvl w:ilvl="0" w:tplc="9D4E534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B7ECD02">
      <w:start w:val="1"/>
      <w:numFmt w:val="lowerLetter"/>
      <w:lvlText w:val="%2."/>
      <w:lvlJc w:val="left"/>
      <w:pPr>
        <w:tabs>
          <w:tab w:val="num" w:pos="1440"/>
        </w:tabs>
        <w:ind w:left="1440" w:hanging="360"/>
      </w:pPr>
    </w:lvl>
    <w:lvl w:ilvl="2" w:tplc="757EC94A" w:tentative="1">
      <w:start w:val="1"/>
      <w:numFmt w:val="lowerRoman"/>
      <w:lvlText w:val="%3."/>
      <w:lvlJc w:val="right"/>
      <w:pPr>
        <w:tabs>
          <w:tab w:val="num" w:pos="2160"/>
        </w:tabs>
        <w:ind w:left="2160" w:hanging="180"/>
      </w:pPr>
    </w:lvl>
    <w:lvl w:ilvl="3" w:tplc="D6365068" w:tentative="1">
      <w:start w:val="1"/>
      <w:numFmt w:val="decimal"/>
      <w:lvlText w:val="%4."/>
      <w:lvlJc w:val="left"/>
      <w:pPr>
        <w:tabs>
          <w:tab w:val="num" w:pos="2880"/>
        </w:tabs>
        <w:ind w:left="2880" w:hanging="360"/>
      </w:pPr>
    </w:lvl>
    <w:lvl w:ilvl="4" w:tplc="0016C322" w:tentative="1">
      <w:start w:val="1"/>
      <w:numFmt w:val="lowerLetter"/>
      <w:lvlText w:val="%5."/>
      <w:lvlJc w:val="left"/>
      <w:pPr>
        <w:tabs>
          <w:tab w:val="num" w:pos="3600"/>
        </w:tabs>
        <w:ind w:left="3600" w:hanging="360"/>
      </w:pPr>
    </w:lvl>
    <w:lvl w:ilvl="5" w:tplc="8FE2751A" w:tentative="1">
      <w:start w:val="1"/>
      <w:numFmt w:val="lowerRoman"/>
      <w:lvlText w:val="%6."/>
      <w:lvlJc w:val="right"/>
      <w:pPr>
        <w:tabs>
          <w:tab w:val="num" w:pos="4320"/>
        </w:tabs>
        <w:ind w:left="4320" w:hanging="180"/>
      </w:pPr>
    </w:lvl>
    <w:lvl w:ilvl="6" w:tplc="F9582D7A" w:tentative="1">
      <w:start w:val="1"/>
      <w:numFmt w:val="decimal"/>
      <w:lvlText w:val="%7."/>
      <w:lvlJc w:val="left"/>
      <w:pPr>
        <w:tabs>
          <w:tab w:val="num" w:pos="5040"/>
        </w:tabs>
        <w:ind w:left="5040" w:hanging="360"/>
      </w:pPr>
    </w:lvl>
    <w:lvl w:ilvl="7" w:tplc="08447C1A" w:tentative="1">
      <w:start w:val="1"/>
      <w:numFmt w:val="lowerLetter"/>
      <w:lvlText w:val="%8."/>
      <w:lvlJc w:val="left"/>
      <w:pPr>
        <w:tabs>
          <w:tab w:val="num" w:pos="5760"/>
        </w:tabs>
        <w:ind w:left="5760" w:hanging="360"/>
      </w:pPr>
    </w:lvl>
    <w:lvl w:ilvl="8" w:tplc="5B08B238" w:tentative="1">
      <w:start w:val="1"/>
      <w:numFmt w:val="lowerRoman"/>
      <w:lvlText w:val="%9."/>
      <w:lvlJc w:val="right"/>
      <w:pPr>
        <w:tabs>
          <w:tab w:val="num" w:pos="6480"/>
        </w:tabs>
        <w:ind w:left="6480" w:hanging="180"/>
      </w:pPr>
    </w:lvl>
  </w:abstractNum>
  <w:abstractNum w:abstractNumId="26" w15:restartNumberingAfterBreak="0">
    <w:nsid w:val="4AEE43BC"/>
    <w:multiLevelType w:val="hybridMultilevel"/>
    <w:tmpl w:val="76A28A62"/>
    <w:lvl w:ilvl="0" w:tplc="0C09000F">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067861"/>
    <w:multiLevelType w:val="hybridMultilevel"/>
    <w:tmpl w:val="CCBCF732"/>
    <w:lvl w:ilvl="0" w:tplc="3334B45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FB5EFF70">
      <w:start w:val="1"/>
      <w:numFmt w:val="lowerRoman"/>
      <w:lvlText w:val="(%2)"/>
      <w:lvlJc w:val="left"/>
      <w:pPr>
        <w:tabs>
          <w:tab w:val="num" w:pos="1701"/>
        </w:tabs>
        <w:ind w:left="1701" w:hanging="567"/>
      </w:pPr>
      <w:rPr>
        <w:rFonts w:hint="default"/>
        <w:b w:val="0"/>
        <w:i w:val="0"/>
        <w:sz w:val="24"/>
        <w:szCs w:val="24"/>
      </w:rPr>
    </w:lvl>
    <w:lvl w:ilvl="2" w:tplc="53880042"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E0E7BEE"/>
    <w:multiLevelType w:val="hybridMultilevel"/>
    <w:tmpl w:val="57326FCA"/>
    <w:lvl w:ilvl="0" w:tplc="0B60C66E">
      <w:start w:val="1"/>
      <w:numFmt w:val="bullet"/>
      <w:lvlText w:val=""/>
      <w:lvlJc w:val="left"/>
      <w:pPr>
        <w:tabs>
          <w:tab w:val="num" w:pos="567"/>
        </w:tabs>
        <w:ind w:left="567" w:hanging="567"/>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E7927"/>
    <w:multiLevelType w:val="hybridMultilevel"/>
    <w:tmpl w:val="573C00BC"/>
    <w:lvl w:ilvl="0" w:tplc="3DA66748">
      <w:start w:val="3"/>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2" w15:restartNumberingAfterBreak="0">
    <w:nsid w:val="67365EEB"/>
    <w:multiLevelType w:val="multilevel"/>
    <w:tmpl w:val="71E8589A"/>
    <w:lvl w:ilvl="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643297"/>
    <w:multiLevelType w:val="hybridMultilevel"/>
    <w:tmpl w:val="24A09AF8"/>
    <w:lvl w:ilvl="0" w:tplc="DBBC771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8A55977"/>
    <w:multiLevelType w:val="hybridMultilevel"/>
    <w:tmpl w:val="01D23552"/>
    <w:lvl w:ilvl="0" w:tplc="80D014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62E76"/>
    <w:multiLevelType w:val="hybridMultilevel"/>
    <w:tmpl w:val="AF9475FE"/>
    <w:lvl w:ilvl="0" w:tplc="577A51D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98544ECE" w:tentative="1">
      <w:start w:val="1"/>
      <w:numFmt w:val="lowerLetter"/>
      <w:lvlText w:val="%2."/>
      <w:lvlJc w:val="left"/>
      <w:pPr>
        <w:tabs>
          <w:tab w:val="num" w:pos="1440"/>
        </w:tabs>
        <w:ind w:left="1440" w:hanging="360"/>
      </w:pPr>
    </w:lvl>
    <w:lvl w:ilvl="2" w:tplc="BD8A064C" w:tentative="1">
      <w:start w:val="1"/>
      <w:numFmt w:val="lowerRoman"/>
      <w:lvlText w:val="%3."/>
      <w:lvlJc w:val="right"/>
      <w:pPr>
        <w:tabs>
          <w:tab w:val="num" w:pos="2160"/>
        </w:tabs>
        <w:ind w:left="2160" w:hanging="180"/>
      </w:pPr>
    </w:lvl>
    <w:lvl w:ilvl="3" w:tplc="0FE64DF4" w:tentative="1">
      <w:start w:val="1"/>
      <w:numFmt w:val="decimal"/>
      <w:lvlText w:val="%4."/>
      <w:lvlJc w:val="left"/>
      <w:pPr>
        <w:tabs>
          <w:tab w:val="num" w:pos="2880"/>
        </w:tabs>
        <w:ind w:left="2880" w:hanging="360"/>
      </w:pPr>
    </w:lvl>
    <w:lvl w:ilvl="4" w:tplc="17BE45C0" w:tentative="1">
      <w:start w:val="1"/>
      <w:numFmt w:val="lowerLetter"/>
      <w:lvlText w:val="%5."/>
      <w:lvlJc w:val="left"/>
      <w:pPr>
        <w:tabs>
          <w:tab w:val="num" w:pos="3600"/>
        </w:tabs>
        <w:ind w:left="3600" w:hanging="360"/>
      </w:pPr>
    </w:lvl>
    <w:lvl w:ilvl="5" w:tplc="2D880524" w:tentative="1">
      <w:start w:val="1"/>
      <w:numFmt w:val="lowerRoman"/>
      <w:lvlText w:val="%6."/>
      <w:lvlJc w:val="right"/>
      <w:pPr>
        <w:tabs>
          <w:tab w:val="num" w:pos="4320"/>
        </w:tabs>
        <w:ind w:left="4320" w:hanging="180"/>
      </w:pPr>
    </w:lvl>
    <w:lvl w:ilvl="6" w:tplc="88C69AD8" w:tentative="1">
      <w:start w:val="1"/>
      <w:numFmt w:val="decimal"/>
      <w:lvlText w:val="%7."/>
      <w:lvlJc w:val="left"/>
      <w:pPr>
        <w:tabs>
          <w:tab w:val="num" w:pos="5040"/>
        </w:tabs>
        <w:ind w:left="5040" w:hanging="360"/>
      </w:pPr>
    </w:lvl>
    <w:lvl w:ilvl="7" w:tplc="D090A96E" w:tentative="1">
      <w:start w:val="1"/>
      <w:numFmt w:val="lowerLetter"/>
      <w:lvlText w:val="%8."/>
      <w:lvlJc w:val="left"/>
      <w:pPr>
        <w:tabs>
          <w:tab w:val="num" w:pos="5760"/>
        </w:tabs>
        <w:ind w:left="5760" w:hanging="360"/>
      </w:pPr>
    </w:lvl>
    <w:lvl w:ilvl="8" w:tplc="4B82440E" w:tentative="1">
      <w:start w:val="1"/>
      <w:numFmt w:val="lowerRoman"/>
      <w:lvlText w:val="%9."/>
      <w:lvlJc w:val="right"/>
      <w:pPr>
        <w:tabs>
          <w:tab w:val="num" w:pos="6480"/>
        </w:tabs>
        <w:ind w:left="6480" w:hanging="180"/>
      </w:pPr>
    </w:lvl>
  </w:abstractNum>
  <w:abstractNum w:abstractNumId="37"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127225B"/>
    <w:multiLevelType w:val="hybridMultilevel"/>
    <w:tmpl w:val="81169474"/>
    <w:lvl w:ilvl="0" w:tplc="28EEB670">
      <w:start w:val="1"/>
      <w:numFmt w:val="lowerLetter"/>
      <w:lvlText w:val="(%1)"/>
      <w:lvlJc w:val="left"/>
      <w:pPr>
        <w:tabs>
          <w:tab w:val="num" w:pos="573"/>
        </w:tabs>
        <w:ind w:left="573" w:hanging="573"/>
      </w:pPr>
      <w:rPr>
        <w:rFonts w:hint="default"/>
        <w:b w:val="0"/>
        <w:i w:val="0"/>
        <w:sz w:val="24"/>
        <w:szCs w:val="24"/>
      </w:rPr>
    </w:lvl>
    <w:lvl w:ilvl="1" w:tplc="0C090019">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39" w15:restartNumberingAfterBreak="0">
    <w:nsid w:val="74CA3FB7"/>
    <w:multiLevelType w:val="multilevel"/>
    <w:tmpl w:val="4686172E"/>
    <w:lvl w:ilvl="0">
      <w:start w:val="1"/>
      <w:numFmt w:val="lowerLetter"/>
      <w:lvlText w:val="(%1)"/>
      <w:lvlJc w:val="left"/>
      <w:pPr>
        <w:tabs>
          <w:tab w:val="num" w:pos="1134"/>
        </w:tabs>
        <w:ind w:left="1134" w:hanging="56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52C5EB0"/>
    <w:multiLevelType w:val="hybridMultilevel"/>
    <w:tmpl w:val="B2CA9D7C"/>
    <w:lvl w:ilvl="0" w:tplc="0B60C66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655ABB"/>
    <w:multiLevelType w:val="hybridMultilevel"/>
    <w:tmpl w:val="00785098"/>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D7D38"/>
    <w:multiLevelType w:val="hybridMultilevel"/>
    <w:tmpl w:val="62AC0018"/>
    <w:lvl w:ilvl="0" w:tplc="0F50CA3C">
      <w:start w:val="1"/>
      <w:numFmt w:val="decimal"/>
      <w:lvlText w:val="%1."/>
      <w:lvlJc w:val="left"/>
      <w:pPr>
        <w:tabs>
          <w:tab w:val="num" w:pos="720"/>
        </w:tabs>
        <w:ind w:left="720" w:hanging="360"/>
      </w:pPr>
      <w:rPr>
        <w:rFonts w:ascii="Times New Roman" w:hAnsi="Times New Roman" w:cs="Times New Roman" w:hint="default"/>
        <w:b w:val="0"/>
        <w:szCs w:val="24"/>
      </w:rPr>
    </w:lvl>
    <w:lvl w:ilvl="1" w:tplc="0C090019">
      <w:start w:val="1"/>
      <w:numFmt w:val="lowerLetter"/>
      <w:lvlText w:val="(%2)"/>
      <w:lvlJc w:val="left"/>
      <w:pPr>
        <w:tabs>
          <w:tab w:val="num" w:pos="1134"/>
        </w:tabs>
        <w:ind w:left="1134" w:hanging="567"/>
      </w:pPr>
      <w:rPr>
        <w:rFonts w:hint="default"/>
        <w:b w:val="0"/>
        <w:szCs w:val="24"/>
      </w:rPr>
    </w:lvl>
    <w:lvl w:ilvl="2" w:tplc="0C09001B">
      <w:start w:val="10"/>
      <w:numFmt w:val="lowerLetter"/>
      <w:lvlText w:val="(%3)"/>
      <w:lvlJc w:val="left"/>
      <w:pPr>
        <w:tabs>
          <w:tab w:val="num" w:pos="2547"/>
        </w:tabs>
        <w:ind w:left="2547" w:hanging="567"/>
      </w:pPr>
      <w:rPr>
        <w:rFonts w:hint="default"/>
        <w:b w:val="0"/>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16cid:durableId="1442990050">
    <w:abstractNumId w:val="38"/>
  </w:num>
  <w:num w:numId="2" w16cid:durableId="1874002616">
    <w:abstractNumId w:val="4"/>
  </w:num>
  <w:num w:numId="3" w16cid:durableId="1218123255">
    <w:abstractNumId w:val="24"/>
  </w:num>
  <w:num w:numId="4" w16cid:durableId="2035840423">
    <w:abstractNumId w:val="31"/>
  </w:num>
  <w:num w:numId="5" w16cid:durableId="1613978664">
    <w:abstractNumId w:val="35"/>
  </w:num>
  <w:num w:numId="6" w16cid:durableId="2052070514">
    <w:abstractNumId w:val="34"/>
  </w:num>
  <w:num w:numId="7" w16cid:durableId="563641005">
    <w:abstractNumId w:val="11"/>
  </w:num>
  <w:num w:numId="8" w16cid:durableId="1880120506">
    <w:abstractNumId w:val="28"/>
  </w:num>
  <w:num w:numId="9" w16cid:durableId="1938321210">
    <w:abstractNumId w:val="14"/>
  </w:num>
  <w:num w:numId="10" w16cid:durableId="452866579">
    <w:abstractNumId w:val="0"/>
  </w:num>
  <w:num w:numId="11" w16cid:durableId="696123967">
    <w:abstractNumId w:val="15"/>
  </w:num>
  <w:num w:numId="12" w16cid:durableId="1039744245">
    <w:abstractNumId w:val="1"/>
  </w:num>
  <w:num w:numId="13" w16cid:durableId="1337348583">
    <w:abstractNumId w:val="26"/>
  </w:num>
  <w:num w:numId="14" w16cid:durableId="90517573">
    <w:abstractNumId w:val="33"/>
  </w:num>
  <w:num w:numId="15" w16cid:durableId="1619556827">
    <w:abstractNumId w:val="18"/>
  </w:num>
  <w:num w:numId="16" w16cid:durableId="2049139801">
    <w:abstractNumId w:val="13"/>
  </w:num>
  <w:num w:numId="17" w16cid:durableId="1876578412">
    <w:abstractNumId w:val="8"/>
  </w:num>
  <w:num w:numId="18" w16cid:durableId="1670206698">
    <w:abstractNumId w:val="19"/>
  </w:num>
  <w:num w:numId="19" w16cid:durableId="491026540">
    <w:abstractNumId w:val="29"/>
  </w:num>
  <w:num w:numId="20" w16cid:durableId="1985623391">
    <w:abstractNumId w:val="12"/>
  </w:num>
  <w:num w:numId="21" w16cid:durableId="1213807797">
    <w:abstractNumId w:val="39"/>
  </w:num>
  <w:num w:numId="22" w16cid:durableId="611983082">
    <w:abstractNumId w:val="32"/>
  </w:num>
  <w:num w:numId="23" w16cid:durableId="1017852442">
    <w:abstractNumId w:val="9"/>
  </w:num>
  <w:num w:numId="24" w16cid:durableId="715668414">
    <w:abstractNumId w:val="10"/>
  </w:num>
  <w:num w:numId="25" w16cid:durableId="1549682255">
    <w:abstractNumId w:val="25"/>
  </w:num>
  <w:num w:numId="26" w16cid:durableId="1109857892">
    <w:abstractNumId w:val="21"/>
  </w:num>
  <w:num w:numId="27" w16cid:durableId="1610628073">
    <w:abstractNumId w:val="2"/>
  </w:num>
  <w:num w:numId="28" w16cid:durableId="552624423">
    <w:abstractNumId w:val="23"/>
  </w:num>
  <w:num w:numId="29" w16cid:durableId="565338159">
    <w:abstractNumId w:val="7"/>
  </w:num>
  <w:num w:numId="30" w16cid:durableId="1321810189">
    <w:abstractNumId w:val="40"/>
  </w:num>
  <w:num w:numId="31" w16cid:durableId="1940286910">
    <w:abstractNumId w:val="16"/>
  </w:num>
  <w:num w:numId="32" w16cid:durableId="975448732">
    <w:abstractNumId w:val="22"/>
  </w:num>
  <w:num w:numId="33" w16cid:durableId="535626046">
    <w:abstractNumId w:val="36"/>
  </w:num>
  <w:num w:numId="34" w16cid:durableId="1334454870">
    <w:abstractNumId w:val="3"/>
  </w:num>
  <w:num w:numId="35" w16cid:durableId="2013294605">
    <w:abstractNumId w:val="20"/>
  </w:num>
  <w:num w:numId="36" w16cid:durableId="1235121799">
    <w:abstractNumId w:val="43"/>
  </w:num>
  <w:num w:numId="37" w16cid:durableId="1117140450">
    <w:abstractNumId w:val="41"/>
  </w:num>
  <w:num w:numId="38" w16cid:durableId="639267216">
    <w:abstractNumId w:val="5"/>
  </w:num>
  <w:num w:numId="39" w16cid:durableId="874544190">
    <w:abstractNumId w:val="17"/>
  </w:num>
  <w:num w:numId="40" w16cid:durableId="1205679283">
    <w:abstractNumId w:val="27"/>
  </w:num>
  <w:num w:numId="41" w16cid:durableId="131095361">
    <w:abstractNumId w:val="6"/>
  </w:num>
  <w:num w:numId="42" w16cid:durableId="147406070">
    <w:abstractNumId w:val="30"/>
  </w:num>
  <w:num w:numId="43" w16cid:durableId="564142183">
    <w:abstractNumId w:val="42"/>
  </w:num>
  <w:num w:numId="44" w16cid:durableId="106583427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597"/>
    <w:rsid w:val="00000D76"/>
    <w:rsid w:val="00002276"/>
    <w:rsid w:val="00002278"/>
    <w:rsid w:val="00002307"/>
    <w:rsid w:val="0000273C"/>
    <w:rsid w:val="00004D9F"/>
    <w:rsid w:val="00005E43"/>
    <w:rsid w:val="00010C1E"/>
    <w:rsid w:val="00012C60"/>
    <w:rsid w:val="00013C41"/>
    <w:rsid w:val="00014187"/>
    <w:rsid w:val="00014C50"/>
    <w:rsid w:val="0001634E"/>
    <w:rsid w:val="00016C45"/>
    <w:rsid w:val="0002091D"/>
    <w:rsid w:val="000215BE"/>
    <w:rsid w:val="000227DA"/>
    <w:rsid w:val="00023007"/>
    <w:rsid w:val="00024343"/>
    <w:rsid w:val="00025394"/>
    <w:rsid w:val="00025A73"/>
    <w:rsid w:val="0002600C"/>
    <w:rsid w:val="00030176"/>
    <w:rsid w:val="00031603"/>
    <w:rsid w:val="00032313"/>
    <w:rsid w:val="000336F1"/>
    <w:rsid w:val="000345C1"/>
    <w:rsid w:val="0003519C"/>
    <w:rsid w:val="00035A62"/>
    <w:rsid w:val="00035D52"/>
    <w:rsid w:val="00041523"/>
    <w:rsid w:val="00042DAD"/>
    <w:rsid w:val="00043140"/>
    <w:rsid w:val="000436E7"/>
    <w:rsid w:val="00044ABB"/>
    <w:rsid w:val="00045880"/>
    <w:rsid w:val="000459CC"/>
    <w:rsid w:val="0004726D"/>
    <w:rsid w:val="00051327"/>
    <w:rsid w:val="00051829"/>
    <w:rsid w:val="00054CF0"/>
    <w:rsid w:val="00055478"/>
    <w:rsid w:val="0005611D"/>
    <w:rsid w:val="0005706A"/>
    <w:rsid w:val="00060D52"/>
    <w:rsid w:val="00061649"/>
    <w:rsid w:val="0006253E"/>
    <w:rsid w:val="00064C4A"/>
    <w:rsid w:val="000650C9"/>
    <w:rsid w:val="00066E44"/>
    <w:rsid w:val="000678E9"/>
    <w:rsid w:val="00070CEA"/>
    <w:rsid w:val="00074BB5"/>
    <w:rsid w:val="00077B94"/>
    <w:rsid w:val="00077E8F"/>
    <w:rsid w:val="000824CF"/>
    <w:rsid w:val="0008593E"/>
    <w:rsid w:val="00086966"/>
    <w:rsid w:val="00087EBA"/>
    <w:rsid w:val="00091635"/>
    <w:rsid w:val="000920F6"/>
    <w:rsid w:val="000928C4"/>
    <w:rsid w:val="000937CB"/>
    <w:rsid w:val="0009416A"/>
    <w:rsid w:val="00094CE6"/>
    <w:rsid w:val="0009656E"/>
    <w:rsid w:val="00096759"/>
    <w:rsid w:val="00097897"/>
    <w:rsid w:val="000A130B"/>
    <w:rsid w:val="000A15D8"/>
    <w:rsid w:val="000A1761"/>
    <w:rsid w:val="000A31CD"/>
    <w:rsid w:val="000A35D6"/>
    <w:rsid w:val="000A442C"/>
    <w:rsid w:val="000A4D98"/>
    <w:rsid w:val="000A5473"/>
    <w:rsid w:val="000A5A34"/>
    <w:rsid w:val="000A71A0"/>
    <w:rsid w:val="000A7394"/>
    <w:rsid w:val="000B03B6"/>
    <w:rsid w:val="000B047A"/>
    <w:rsid w:val="000B11A0"/>
    <w:rsid w:val="000B18B9"/>
    <w:rsid w:val="000B26ED"/>
    <w:rsid w:val="000B2B90"/>
    <w:rsid w:val="000B3E0E"/>
    <w:rsid w:val="000B470C"/>
    <w:rsid w:val="000B4948"/>
    <w:rsid w:val="000B5049"/>
    <w:rsid w:val="000B6273"/>
    <w:rsid w:val="000B6BD1"/>
    <w:rsid w:val="000C06E5"/>
    <w:rsid w:val="000C20EB"/>
    <w:rsid w:val="000C256D"/>
    <w:rsid w:val="000C267E"/>
    <w:rsid w:val="000C26DA"/>
    <w:rsid w:val="000C334B"/>
    <w:rsid w:val="000C35FE"/>
    <w:rsid w:val="000C3B61"/>
    <w:rsid w:val="000C4988"/>
    <w:rsid w:val="000C584D"/>
    <w:rsid w:val="000C5E3E"/>
    <w:rsid w:val="000D2A81"/>
    <w:rsid w:val="000D2DDD"/>
    <w:rsid w:val="000D5B4E"/>
    <w:rsid w:val="000D6CD3"/>
    <w:rsid w:val="000E23E0"/>
    <w:rsid w:val="000E4120"/>
    <w:rsid w:val="000E4B30"/>
    <w:rsid w:val="000E549C"/>
    <w:rsid w:val="000F1080"/>
    <w:rsid w:val="000F13FC"/>
    <w:rsid w:val="000F35FF"/>
    <w:rsid w:val="000F7D99"/>
    <w:rsid w:val="000F7F99"/>
    <w:rsid w:val="00100E4B"/>
    <w:rsid w:val="0010120B"/>
    <w:rsid w:val="00102302"/>
    <w:rsid w:val="001051F9"/>
    <w:rsid w:val="00105C22"/>
    <w:rsid w:val="001066BB"/>
    <w:rsid w:val="00106A91"/>
    <w:rsid w:val="00106D26"/>
    <w:rsid w:val="00106E88"/>
    <w:rsid w:val="00110636"/>
    <w:rsid w:val="0011286D"/>
    <w:rsid w:val="00113CF9"/>
    <w:rsid w:val="00114134"/>
    <w:rsid w:val="001153B3"/>
    <w:rsid w:val="00115B29"/>
    <w:rsid w:val="00117B43"/>
    <w:rsid w:val="00120334"/>
    <w:rsid w:val="00120CA6"/>
    <w:rsid w:val="001238FD"/>
    <w:rsid w:val="0012395E"/>
    <w:rsid w:val="001244EB"/>
    <w:rsid w:val="00124EFF"/>
    <w:rsid w:val="00125E01"/>
    <w:rsid w:val="00125E3F"/>
    <w:rsid w:val="00126AE3"/>
    <w:rsid w:val="00131544"/>
    <w:rsid w:val="001316F2"/>
    <w:rsid w:val="00133088"/>
    <w:rsid w:val="00136F2F"/>
    <w:rsid w:val="00143EA6"/>
    <w:rsid w:val="001453E9"/>
    <w:rsid w:val="0014602A"/>
    <w:rsid w:val="00146CE2"/>
    <w:rsid w:val="0014780F"/>
    <w:rsid w:val="00150C19"/>
    <w:rsid w:val="0015194E"/>
    <w:rsid w:val="0015378A"/>
    <w:rsid w:val="00154BA5"/>
    <w:rsid w:val="00155203"/>
    <w:rsid w:val="00155338"/>
    <w:rsid w:val="00156A9B"/>
    <w:rsid w:val="0015704F"/>
    <w:rsid w:val="00160EE4"/>
    <w:rsid w:val="001623FE"/>
    <w:rsid w:val="00162814"/>
    <w:rsid w:val="001674F0"/>
    <w:rsid w:val="00167AE0"/>
    <w:rsid w:val="001719E5"/>
    <w:rsid w:val="00172247"/>
    <w:rsid w:val="00173204"/>
    <w:rsid w:val="0017688E"/>
    <w:rsid w:val="001807E1"/>
    <w:rsid w:val="00181247"/>
    <w:rsid w:val="00184311"/>
    <w:rsid w:val="001869AE"/>
    <w:rsid w:val="00187512"/>
    <w:rsid w:val="00190310"/>
    <w:rsid w:val="00190B24"/>
    <w:rsid w:val="00191A87"/>
    <w:rsid w:val="0019392A"/>
    <w:rsid w:val="001942BC"/>
    <w:rsid w:val="00195711"/>
    <w:rsid w:val="00195F3B"/>
    <w:rsid w:val="0019612A"/>
    <w:rsid w:val="00196987"/>
    <w:rsid w:val="001970DF"/>
    <w:rsid w:val="00197D20"/>
    <w:rsid w:val="001A1664"/>
    <w:rsid w:val="001A291C"/>
    <w:rsid w:val="001A4E4B"/>
    <w:rsid w:val="001A63DA"/>
    <w:rsid w:val="001A6596"/>
    <w:rsid w:val="001B128E"/>
    <w:rsid w:val="001B1631"/>
    <w:rsid w:val="001B332F"/>
    <w:rsid w:val="001B3CE7"/>
    <w:rsid w:val="001B5918"/>
    <w:rsid w:val="001B7222"/>
    <w:rsid w:val="001B792D"/>
    <w:rsid w:val="001C03E0"/>
    <w:rsid w:val="001C0ECE"/>
    <w:rsid w:val="001C2195"/>
    <w:rsid w:val="001C4B03"/>
    <w:rsid w:val="001C611A"/>
    <w:rsid w:val="001C6EC7"/>
    <w:rsid w:val="001C72D7"/>
    <w:rsid w:val="001C79D8"/>
    <w:rsid w:val="001D01CF"/>
    <w:rsid w:val="001D273D"/>
    <w:rsid w:val="001D404D"/>
    <w:rsid w:val="001D4D48"/>
    <w:rsid w:val="001D5BD2"/>
    <w:rsid w:val="001E198F"/>
    <w:rsid w:val="001E20D2"/>
    <w:rsid w:val="001E249B"/>
    <w:rsid w:val="001E262D"/>
    <w:rsid w:val="001E2CB6"/>
    <w:rsid w:val="001E2E34"/>
    <w:rsid w:val="001E312E"/>
    <w:rsid w:val="001E3B2F"/>
    <w:rsid w:val="001E445A"/>
    <w:rsid w:val="001E46F2"/>
    <w:rsid w:val="001E4C03"/>
    <w:rsid w:val="001E65EE"/>
    <w:rsid w:val="001F1D85"/>
    <w:rsid w:val="001F283F"/>
    <w:rsid w:val="001F2C65"/>
    <w:rsid w:val="001F4AF7"/>
    <w:rsid w:val="001F7975"/>
    <w:rsid w:val="001F7F7C"/>
    <w:rsid w:val="00201C47"/>
    <w:rsid w:val="00202F3B"/>
    <w:rsid w:val="00203B9E"/>
    <w:rsid w:val="00203C21"/>
    <w:rsid w:val="00205F96"/>
    <w:rsid w:val="00206116"/>
    <w:rsid w:val="00206327"/>
    <w:rsid w:val="00207CFB"/>
    <w:rsid w:val="00211611"/>
    <w:rsid w:val="0021201F"/>
    <w:rsid w:val="00212F47"/>
    <w:rsid w:val="0021588A"/>
    <w:rsid w:val="00215905"/>
    <w:rsid w:val="0021626C"/>
    <w:rsid w:val="0022152A"/>
    <w:rsid w:val="0022386C"/>
    <w:rsid w:val="00224256"/>
    <w:rsid w:val="00225080"/>
    <w:rsid w:val="00225469"/>
    <w:rsid w:val="00226EC5"/>
    <w:rsid w:val="00227883"/>
    <w:rsid w:val="0023064E"/>
    <w:rsid w:val="002313F6"/>
    <w:rsid w:val="00232402"/>
    <w:rsid w:val="00232C10"/>
    <w:rsid w:val="0023384B"/>
    <w:rsid w:val="00233E77"/>
    <w:rsid w:val="00234A73"/>
    <w:rsid w:val="002354DB"/>
    <w:rsid w:val="00235A04"/>
    <w:rsid w:val="00235B57"/>
    <w:rsid w:val="00240FB0"/>
    <w:rsid w:val="002417F5"/>
    <w:rsid w:val="00241FF3"/>
    <w:rsid w:val="00242A3A"/>
    <w:rsid w:val="00243A09"/>
    <w:rsid w:val="0024490C"/>
    <w:rsid w:val="0024590F"/>
    <w:rsid w:val="0025096D"/>
    <w:rsid w:val="00251BDA"/>
    <w:rsid w:val="0025405E"/>
    <w:rsid w:val="00255783"/>
    <w:rsid w:val="00255E54"/>
    <w:rsid w:val="00256B91"/>
    <w:rsid w:val="00256C94"/>
    <w:rsid w:val="00256EA2"/>
    <w:rsid w:val="00257418"/>
    <w:rsid w:val="00257735"/>
    <w:rsid w:val="002579ED"/>
    <w:rsid w:val="00263A5F"/>
    <w:rsid w:val="00265355"/>
    <w:rsid w:val="0026634C"/>
    <w:rsid w:val="00266B3E"/>
    <w:rsid w:val="00266E87"/>
    <w:rsid w:val="00276A5A"/>
    <w:rsid w:val="002826D4"/>
    <w:rsid w:val="002829D1"/>
    <w:rsid w:val="00283772"/>
    <w:rsid w:val="00286243"/>
    <w:rsid w:val="002871A7"/>
    <w:rsid w:val="002877CC"/>
    <w:rsid w:val="00292D20"/>
    <w:rsid w:val="00293513"/>
    <w:rsid w:val="00294A86"/>
    <w:rsid w:val="002965D8"/>
    <w:rsid w:val="00297B7F"/>
    <w:rsid w:val="002A0BBA"/>
    <w:rsid w:val="002A1A9F"/>
    <w:rsid w:val="002A3491"/>
    <w:rsid w:val="002A360A"/>
    <w:rsid w:val="002A48E0"/>
    <w:rsid w:val="002A4FA4"/>
    <w:rsid w:val="002B3614"/>
    <w:rsid w:val="002B3995"/>
    <w:rsid w:val="002B446C"/>
    <w:rsid w:val="002B4F30"/>
    <w:rsid w:val="002C0187"/>
    <w:rsid w:val="002C2742"/>
    <w:rsid w:val="002C381F"/>
    <w:rsid w:val="002C3F59"/>
    <w:rsid w:val="002C522C"/>
    <w:rsid w:val="002C527F"/>
    <w:rsid w:val="002C64EC"/>
    <w:rsid w:val="002C6FC6"/>
    <w:rsid w:val="002C7811"/>
    <w:rsid w:val="002D1735"/>
    <w:rsid w:val="002D1C2A"/>
    <w:rsid w:val="002D24BF"/>
    <w:rsid w:val="002D59D6"/>
    <w:rsid w:val="002D6C4A"/>
    <w:rsid w:val="002D6F97"/>
    <w:rsid w:val="002E0F3E"/>
    <w:rsid w:val="002E52AB"/>
    <w:rsid w:val="002E7577"/>
    <w:rsid w:val="002E76BF"/>
    <w:rsid w:val="002F0A8C"/>
    <w:rsid w:val="002F0E4B"/>
    <w:rsid w:val="002F273F"/>
    <w:rsid w:val="002F3291"/>
    <w:rsid w:val="002F3ABD"/>
    <w:rsid w:val="002F3D64"/>
    <w:rsid w:val="002F503E"/>
    <w:rsid w:val="002F5288"/>
    <w:rsid w:val="002F5EBC"/>
    <w:rsid w:val="002F5F27"/>
    <w:rsid w:val="002F74C0"/>
    <w:rsid w:val="002F7834"/>
    <w:rsid w:val="002F7B58"/>
    <w:rsid w:val="00301429"/>
    <w:rsid w:val="00302879"/>
    <w:rsid w:val="00303639"/>
    <w:rsid w:val="00303C73"/>
    <w:rsid w:val="00304577"/>
    <w:rsid w:val="00304AC4"/>
    <w:rsid w:val="00304DBE"/>
    <w:rsid w:val="0030765D"/>
    <w:rsid w:val="003076ED"/>
    <w:rsid w:val="00307BA0"/>
    <w:rsid w:val="00312E28"/>
    <w:rsid w:val="003152D5"/>
    <w:rsid w:val="0031723F"/>
    <w:rsid w:val="00320BAA"/>
    <w:rsid w:val="0032183C"/>
    <w:rsid w:val="00321C60"/>
    <w:rsid w:val="00323383"/>
    <w:rsid w:val="0032460F"/>
    <w:rsid w:val="0032576E"/>
    <w:rsid w:val="003318D8"/>
    <w:rsid w:val="00332D7F"/>
    <w:rsid w:val="00333715"/>
    <w:rsid w:val="0033435E"/>
    <w:rsid w:val="00334E7F"/>
    <w:rsid w:val="00334EAF"/>
    <w:rsid w:val="003354FE"/>
    <w:rsid w:val="00336252"/>
    <w:rsid w:val="003407AF"/>
    <w:rsid w:val="00340B89"/>
    <w:rsid w:val="0034119E"/>
    <w:rsid w:val="003415F1"/>
    <w:rsid w:val="00342120"/>
    <w:rsid w:val="00342BEA"/>
    <w:rsid w:val="003436A9"/>
    <w:rsid w:val="00344D65"/>
    <w:rsid w:val="00346F9F"/>
    <w:rsid w:val="00347687"/>
    <w:rsid w:val="003479FE"/>
    <w:rsid w:val="00350E5A"/>
    <w:rsid w:val="003511AA"/>
    <w:rsid w:val="003515F6"/>
    <w:rsid w:val="00352E1A"/>
    <w:rsid w:val="00356E59"/>
    <w:rsid w:val="0035716E"/>
    <w:rsid w:val="00361BC9"/>
    <w:rsid w:val="00362D31"/>
    <w:rsid w:val="003634C5"/>
    <w:rsid w:val="00364128"/>
    <w:rsid w:val="00364A6A"/>
    <w:rsid w:val="00365244"/>
    <w:rsid w:val="003654B0"/>
    <w:rsid w:val="0036580D"/>
    <w:rsid w:val="00372482"/>
    <w:rsid w:val="00374050"/>
    <w:rsid w:val="00375315"/>
    <w:rsid w:val="003754F2"/>
    <w:rsid w:val="003755BE"/>
    <w:rsid w:val="00376F5C"/>
    <w:rsid w:val="003816B7"/>
    <w:rsid w:val="003817F3"/>
    <w:rsid w:val="003845FD"/>
    <w:rsid w:val="00384EA6"/>
    <w:rsid w:val="003860A8"/>
    <w:rsid w:val="00386C4F"/>
    <w:rsid w:val="00387CFB"/>
    <w:rsid w:val="00391775"/>
    <w:rsid w:val="00391A7D"/>
    <w:rsid w:val="00392A39"/>
    <w:rsid w:val="00392BFA"/>
    <w:rsid w:val="003939EF"/>
    <w:rsid w:val="0039464C"/>
    <w:rsid w:val="003A1A33"/>
    <w:rsid w:val="003A2A01"/>
    <w:rsid w:val="003A314D"/>
    <w:rsid w:val="003A550B"/>
    <w:rsid w:val="003A5BEC"/>
    <w:rsid w:val="003A5C99"/>
    <w:rsid w:val="003A742F"/>
    <w:rsid w:val="003B0254"/>
    <w:rsid w:val="003B5306"/>
    <w:rsid w:val="003B72B8"/>
    <w:rsid w:val="003C19C3"/>
    <w:rsid w:val="003C1A84"/>
    <w:rsid w:val="003C1B97"/>
    <w:rsid w:val="003C1CB7"/>
    <w:rsid w:val="003C1DBA"/>
    <w:rsid w:val="003C28AC"/>
    <w:rsid w:val="003C2EA4"/>
    <w:rsid w:val="003C3230"/>
    <w:rsid w:val="003C3FED"/>
    <w:rsid w:val="003C4243"/>
    <w:rsid w:val="003C695C"/>
    <w:rsid w:val="003C74DA"/>
    <w:rsid w:val="003C7BBB"/>
    <w:rsid w:val="003D02BD"/>
    <w:rsid w:val="003D0D94"/>
    <w:rsid w:val="003D1519"/>
    <w:rsid w:val="003D1BAB"/>
    <w:rsid w:val="003D2153"/>
    <w:rsid w:val="003D409D"/>
    <w:rsid w:val="003D700C"/>
    <w:rsid w:val="003D735B"/>
    <w:rsid w:val="003D7568"/>
    <w:rsid w:val="003E050D"/>
    <w:rsid w:val="003E16DD"/>
    <w:rsid w:val="003E2A30"/>
    <w:rsid w:val="003E2C66"/>
    <w:rsid w:val="003E2D1D"/>
    <w:rsid w:val="003E33BA"/>
    <w:rsid w:val="003E47CB"/>
    <w:rsid w:val="003E4B58"/>
    <w:rsid w:val="003E6065"/>
    <w:rsid w:val="003E6B47"/>
    <w:rsid w:val="003F361F"/>
    <w:rsid w:val="003F7511"/>
    <w:rsid w:val="0040059B"/>
    <w:rsid w:val="004027E1"/>
    <w:rsid w:val="00404070"/>
    <w:rsid w:val="00404608"/>
    <w:rsid w:val="004047D4"/>
    <w:rsid w:val="00410978"/>
    <w:rsid w:val="004116A7"/>
    <w:rsid w:val="00411ED9"/>
    <w:rsid w:val="00412225"/>
    <w:rsid w:val="0041620C"/>
    <w:rsid w:val="00416529"/>
    <w:rsid w:val="0042193B"/>
    <w:rsid w:val="004227C8"/>
    <w:rsid w:val="00426B95"/>
    <w:rsid w:val="00431704"/>
    <w:rsid w:val="00432BDB"/>
    <w:rsid w:val="004338D5"/>
    <w:rsid w:val="00435426"/>
    <w:rsid w:val="00436682"/>
    <w:rsid w:val="00440E4D"/>
    <w:rsid w:val="004424B1"/>
    <w:rsid w:val="00443F64"/>
    <w:rsid w:val="00445852"/>
    <w:rsid w:val="00446AEA"/>
    <w:rsid w:val="0044705A"/>
    <w:rsid w:val="00450102"/>
    <w:rsid w:val="004509E4"/>
    <w:rsid w:val="004523AA"/>
    <w:rsid w:val="004531C1"/>
    <w:rsid w:val="00455581"/>
    <w:rsid w:val="00456853"/>
    <w:rsid w:val="00457879"/>
    <w:rsid w:val="004626D5"/>
    <w:rsid w:val="00462BBC"/>
    <w:rsid w:val="00463898"/>
    <w:rsid w:val="00464233"/>
    <w:rsid w:val="0046512C"/>
    <w:rsid w:val="00466AC9"/>
    <w:rsid w:val="00474894"/>
    <w:rsid w:val="00474D45"/>
    <w:rsid w:val="004754E9"/>
    <w:rsid w:val="00475FA2"/>
    <w:rsid w:val="004805CC"/>
    <w:rsid w:val="00480FAB"/>
    <w:rsid w:val="00481363"/>
    <w:rsid w:val="004853B1"/>
    <w:rsid w:val="0048613E"/>
    <w:rsid w:val="00486642"/>
    <w:rsid w:val="004869D5"/>
    <w:rsid w:val="00490227"/>
    <w:rsid w:val="00491406"/>
    <w:rsid w:val="00494255"/>
    <w:rsid w:val="00494851"/>
    <w:rsid w:val="00494D81"/>
    <w:rsid w:val="00494E33"/>
    <w:rsid w:val="00496B28"/>
    <w:rsid w:val="004A0676"/>
    <w:rsid w:val="004A1401"/>
    <w:rsid w:val="004A36AF"/>
    <w:rsid w:val="004A64FE"/>
    <w:rsid w:val="004A67E5"/>
    <w:rsid w:val="004A697A"/>
    <w:rsid w:val="004A79B9"/>
    <w:rsid w:val="004B0514"/>
    <w:rsid w:val="004B0E94"/>
    <w:rsid w:val="004B19F9"/>
    <w:rsid w:val="004B224A"/>
    <w:rsid w:val="004B555F"/>
    <w:rsid w:val="004B6297"/>
    <w:rsid w:val="004B6407"/>
    <w:rsid w:val="004B7C22"/>
    <w:rsid w:val="004C12CF"/>
    <w:rsid w:val="004C16BA"/>
    <w:rsid w:val="004C1796"/>
    <w:rsid w:val="004C28A5"/>
    <w:rsid w:val="004C5DD5"/>
    <w:rsid w:val="004C6CBB"/>
    <w:rsid w:val="004D0B1D"/>
    <w:rsid w:val="004D11A3"/>
    <w:rsid w:val="004D19FF"/>
    <w:rsid w:val="004D271E"/>
    <w:rsid w:val="004D27F4"/>
    <w:rsid w:val="004D3FD2"/>
    <w:rsid w:val="004D4AF9"/>
    <w:rsid w:val="004D5BB8"/>
    <w:rsid w:val="004D5BC8"/>
    <w:rsid w:val="004D5E88"/>
    <w:rsid w:val="004E042E"/>
    <w:rsid w:val="004E0BF4"/>
    <w:rsid w:val="004E1595"/>
    <w:rsid w:val="004E18FA"/>
    <w:rsid w:val="004E7F06"/>
    <w:rsid w:val="004F12DF"/>
    <w:rsid w:val="004F1587"/>
    <w:rsid w:val="004F2120"/>
    <w:rsid w:val="004F40E2"/>
    <w:rsid w:val="004F4E3D"/>
    <w:rsid w:val="004F4F96"/>
    <w:rsid w:val="004F51C4"/>
    <w:rsid w:val="004F5CDD"/>
    <w:rsid w:val="004F5FDD"/>
    <w:rsid w:val="004F612C"/>
    <w:rsid w:val="005014FB"/>
    <w:rsid w:val="005021DC"/>
    <w:rsid w:val="00502A44"/>
    <w:rsid w:val="00503902"/>
    <w:rsid w:val="005048A0"/>
    <w:rsid w:val="00504D52"/>
    <w:rsid w:val="00505A16"/>
    <w:rsid w:val="00506711"/>
    <w:rsid w:val="00510DD3"/>
    <w:rsid w:val="00512F47"/>
    <w:rsid w:val="00513B86"/>
    <w:rsid w:val="00513BCD"/>
    <w:rsid w:val="00513D6A"/>
    <w:rsid w:val="00514003"/>
    <w:rsid w:val="00514078"/>
    <w:rsid w:val="00514AC9"/>
    <w:rsid w:val="005156E4"/>
    <w:rsid w:val="00515CD9"/>
    <w:rsid w:val="00520860"/>
    <w:rsid w:val="00521867"/>
    <w:rsid w:val="005222C9"/>
    <w:rsid w:val="00523168"/>
    <w:rsid w:val="00523FF6"/>
    <w:rsid w:val="00524F3C"/>
    <w:rsid w:val="00525BA2"/>
    <w:rsid w:val="00525FC7"/>
    <w:rsid w:val="005260B7"/>
    <w:rsid w:val="00526CF6"/>
    <w:rsid w:val="005273DC"/>
    <w:rsid w:val="0053083D"/>
    <w:rsid w:val="005321C8"/>
    <w:rsid w:val="005328FF"/>
    <w:rsid w:val="0053522A"/>
    <w:rsid w:val="005359D4"/>
    <w:rsid w:val="00536EE4"/>
    <w:rsid w:val="00540B99"/>
    <w:rsid w:val="0054159C"/>
    <w:rsid w:val="00543077"/>
    <w:rsid w:val="00543AC8"/>
    <w:rsid w:val="00543CAB"/>
    <w:rsid w:val="00543F4E"/>
    <w:rsid w:val="005454ED"/>
    <w:rsid w:val="00546641"/>
    <w:rsid w:val="005472CB"/>
    <w:rsid w:val="00547308"/>
    <w:rsid w:val="005479BB"/>
    <w:rsid w:val="00550D25"/>
    <w:rsid w:val="00551863"/>
    <w:rsid w:val="005521FB"/>
    <w:rsid w:val="00555860"/>
    <w:rsid w:val="00560408"/>
    <w:rsid w:val="00562BFE"/>
    <w:rsid w:val="00563E86"/>
    <w:rsid w:val="00564FD1"/>
    <w:rsid w:val="00565B26"/>
    <w:rsid w:val="00567CE3"/>
    <w:rsid w:val="00570027"/>
    <w:rsid w:val="00571685"/>
    <w:rsid w:val="0057517F"/>
    <w:rsid w:val="00576CDF"/>
    <w:rsid w:val="005778F1"/>
    <w:rsid w:val="005824F5"/>
    <w:rsid w:val="005830FB"/>
    <w:rsid w:val="0058386E"/>
    <w:rsid w:val="0058521B"/>
    <w:rsid w:val="00586170"/>
    <w:rsid w:val="0058637D"/>
    <w:rsid w:val="00587413"/>
    <w:rsid w:val="00590243"/>
    <w:rsid w:val="00591726"/>
    <w:rsid w:val="00593B4C"/>
    <w:rsid w:val="0059458F"/>
    <w:rsid w:val="00597404"/>
    <w:rsid w:val="005A100C"/>
    <w:rsid w:val="005A1F06"/>
    <w:rsid w:val="005A25D3"/>
    <w:rsid w:val="005A2988"/>
    <w:rsid w:val="005A30B2"/>
    <w:rsid w:val="005A3417"/>
    <w:rsid w:val="005A509D"/>
    <w:rsid w:val="005A61FA"/>
    <w:rsid w:val="005A7659"/>
    <w:rsid w:val="005A7FDE"/>
    <w:rsid w:val="005B1213"/>
    <w:rsid w:val="005B1714"/>
    <w:rsid w:val="005B24DB"/>
    <w:rsid w:val="005B3860"/>
    <w:rsid w:val="005B3923"/>
    <w:rsid w:val="005B3B3A"/>
    <w:rsid w:val="005B3B6B"/>
    <w:rsid w:val="005B431B"/>
    <w:rsid w:val="005B6AA6"/>
    <w:rsid w:val="005B6AE8"/>
    <w:rsid w:val="005C03A1"/>
    <w:rsid w:val="005C1EE1"/>
    <w:rsid w:val="005C30BE"/>
    <w:rsid w:val="005C33B1"/>
    <w:rsid w:val="005C3FB7"/>
    <w:rsid w:val="005C5409"/>
    <w:rsid w:val="005D1668"/>
    <w:rsid w:val="005D2A28"/>
    <w:rsid w:val="005D37A2"/>
    <w:rsid w:val="005D51C4"/>
    <w:rsid w:val="005D58BF"/>
    <w:rsid w:val="005D66E2"/>
    <w:rsid w:val="005D7466"/>
    <w:rsid w:val="005D7B0B"/>
    <w:rsid w:val="005D7E17"/>
    <w:rsid w:val="005E18A1"/>
    <w:rsid w:val="005E1D15"/>
    <w:rsid w:val="005E2069"/>
    <w:rsid w:val="005E38CF"/>
    <w:rsid w:val="005E40A7"/>
    <w:rsid w:val="005E689E"/>
    <w:rsid w:val="005E6C31"/>
    <w:rsid w:val="005E7A85"/>
    <w:rsid w:val="005E7ECD"/>
    <w:rsid w:val="005F2017"/>
    <w:rsid w:val="005F48AB"/>
    <w:rsid w:val="005F6207"/>
    <w:rsid w:val="005F668C"/>
    <w:rsid w:val="005F6CD2"/>
    <w:rsid w:val="00600BD8"/>
    <w:rsid w:val="0060181C"/>
    <w:rsid w:val="00601CC4"/>
    <w:rsid w:val="006033B3"/>
    <w:rsid w:val="00603F8F"/>
    <w:rsid w:val="00603FE7"/>
    <w:rsid w:val="0060517D"/>
    <w:rsid w:val="006068E8"/>
    <w:rsid w:val="00606DCC"/>
    <w:rsid w:val="0061091F"/>
    <w:rsid w:val="00610CE5"/>
    <w:rsid w:val="00612EAB"/>
    <w:rsid w:val="0061358C"/>
    <w:rsid w:val="00614B76"/>
    <w:rsid w:val="00615CAC"/>
    <w:rsid w:val="00616037"/>
    <w:rsid w:val="00617B90"/>
    <w:rsid w:val="00617E49"/>
    <w:rsid w:val="006218A1"/>
    <w:rsid w:val="00622551"/>
    <w:rsid w:val="00622B6B"/>
    <w:rsid w:val="00625A39"/>
    <w:rsid w:val="00626F8C"/>
    <w:rsid w:val="006274F2"/>
    <w:rsid w:val="00627AD6"/>
    <w:rsid w:val="00627C5D"/>
    <w:rsid w:val="006314A5"/>
    <w:rsid w:val="0063396A"/>
    <w:rsid w:val="00634FF0"/>
    <w:rsid w:val="00640D2A"/>
    <w:rsid w:val="0064206A"/>
    <w:rsid w:val="0064236F"/>
    <w:rsid w:val="006429B8"/>
    <w:rsid w:val="00642DA9"/>
    <w:rsid w:val="006434EC"/>
    <w:rsid w:val="0064444A"/>
    <w:rsid w:val="00644D2D"/>
    <w:rsid w:val="00645112"/>
    <w:rsid w:val="00647255"/>
    <w:rsid w:val="00650DF5"/>
    <w:rsid w:val="006514F9"/>
    <w:rsid w:val="00652397"/>
    <w:rsid w:val="00652CC3"/>
    <w:rsid w:val="00657ACF"/>
    <w:rsid w:val="00660A4E"/>
    <w:rsid w:val="0066137C"/>
    <w:rsid w:val="00662325"/>
    <w:rsid w:val="006623F8"/>
    <w:rsid w:val="00663A2C"/>
    <w:rsid w:val="00664D1F"/>
    <w:rsid w:val="00671939"/>
    <w:rsid w:val="006740D8"/>
    <w:rsid w:val="00674AD9"/>
    <w:rsid w:val="00674C6E"/>
    <w:rsid w:val="006759EA"/>
    <w:rsid w:val="00676442"/>
    <w:rsid w:val="006804B7"/>
    <w:rsid w:val="00680500"/>
    <w:rsid w:val="0068429D"/>
    <w:rsid w:val="0068614E"/>
    <w:rsid w:val="006877B9"/>
    <w:rsid w:val="006910DB"/>
    <w:rsid w:val="0069110E"/>
    <w:rsid w:val="00691922"/>
    <w:rsid w:val="0069233A"/>
    <w:rsid w:val="006932F2"/>
    <w:rsid w:val="006954F0"/>
    <w:rsid w:val="006956A2"/>
    <w:rsid w:val="00695DA4"/>
    <w:rsid w:val="0069602E"/>
    <w:rsid w:val="00696446"/>
    <w:rsid w:val="00697430"/>
    <w:rsid w:val="006A2747"/>
    <w:rsid w:val="006A549A"/>
    <w:rsid w:val="006B07B8"/>
    <w:rsid w:val="006B13B0"/>
    <w:rsid w:val="006B1693"/>
    <w:rsid w:val="006B26E1"/>
    <w:rsid w:val="006B278D"/>
    <w:rsid w:val="006B37E3"/>
    <w:rsid w:val="006B4587"/>
    <w:rsid w:val="006B4AB1"/>
    <w:rsid w:val="006B63C1"/>
    <w:rsid w:val="006B68F0"/>
    <w:rsid w:val="006B7232"/>
    <w:rsid w:val="006C3029"/>
    <w:rsid w:val="006C42D8"/>
    <w:rsid w:val="006C48D5"/>
    <w:rsid w:val="006C4FBD"/>
    <w:rsid w:val="006D07B7"/>
    <w:rsid w:val="006D0C19"/>
    <w:rsid w:val="006D2AFE"/>
    <w:rsid w:val="006D4A8D"/>
    <w:rsid w:val="006D570F"/>
    <w:rsid w:val="006D5E9D"/>
    <w:rsid w:val="006D6780"/>
    <w:rsid w:val="006D7B92"/>
    <w:rsid w:val="006E1DF4"/>
    <w:rsid w:val="006E2377"/>
    <w:rsid w:val="006E3CD0"/>
    <w:rsid w:val="006E5245"/>
    <w:rsid w:val="006F0171"/>
    <w:rsid w:val="006F0656"/>
    <w:rsid w:val="006F0BB2"/>
    <w:rsid w:val="006F0EC7"/>
    <w:rsid w:val="006F2F40"/>
    <w:rsid w:val="006F49A4"/>
    <w:rsid w:val="006F555F"/>
    <w:rsid w:val="006F5A8B"/>
    <w:rsid w:val="006F7D4C"/>
    <w:rsid w:val="007014A2"/>
    <w:rsid w:val="007042E8"/>
    <w:rsid w:val="007049A1"/>
    <w:rsid w:val="00704E5E"/>
    <w:rsid w:val="00705649"/>
    <w:rsid w:val="007058A8"/>
    <w:rsid w:val="00705F9C"/>
    <w:rsid w:val="00706B00"/>
    <w:rsid w:val="007075A5"/>
    <w:rsid w:val="00707BC4"/>
    <w:rsid w:val="007101E9"/>
    <w:rsid w:val="00710A4C"/>
    <w:rsid w:val="00712025"/>
    <w:rsid w:val="00712306"/>
    <w:rsid w:val="0071514A"/>
    <w:rsid w:val="0071759F"/>
    <w:rsid w:val="00720914"/>
    <w:rsid w:val="00720EE2"/>
    <w:rsid w:val="007215D6"/>
    <w:rsid w:val="00723086"/>
    <w:rsid w:val="0072479C"/>
    <w:rsid w:val="00724B37"/>
    <w:rsid w:val="0072640A"/>
    <w:rsid w:val="00733213"/>
    <w:rsid w:val="00734CFB"/>
    <w:rsid w:val="00736270"/>
    <w:rsid w:val="007364DB"/>
    <w:rsid w:val="00737933"/>
    <w:rsid w:val="00740033"/>
    <w:rsid w:val="00741625"/>
    <w:rsid w:val="00741B37"/>
    <w:rsid w:val="007421AE"/>
    <w:rsid w:val="00742D81"/>
    <w:rsid w:val="00742F86"/>
    <w:rsid w:val="007453D6"/>
    <w:rsid w:val="007456A5"/>
    <w:rsid w:val="00745879"/>
    <w:rsid w:val="00746767"/>
    <w:rsid w:val="00746FE4"/>
    <w:rsid w:val="00751B62"/>
    <w:rsid w:val="007543D5"/>
    <w:rsid w:val="0075549C"/>
    <w:rsid w:val="007555C8"/>
    <w:rsid w:val="00756101"/>
    <w:rsid w:val="00757A25"/>
    <w:rsid w:val="00763355"/>
    <w:rsid w:val="007639E9"/>
    <w:rsid w:val="00767C09"/>
    <w:rsid w:val="0077023C"/>
    <w:rsid w:val="00771547"/>
    <w:rsid w:val="007717D7"/>
    <w:rsid w:val="007719DB"/>
    <w:rsid w:val="0077254D"/>
    <w:rsid w:val="00772BD2"/>
    <w:rsid w:val="00774CB0"/>
    <w:rsid w:val="00775B59"/>
    <w:rsid w:val="00776977"/>
    <w:rsid w:val="00777672"/>
    <w:rsid w:val="00780F90"/>
    <w:rsid w:val="007822B9"/>
    <w:rsid w:val="007824C1"/>
    <w:rsid w:val="007833BF"/>
    <w:rsid w:val="007842CC"/>
    <w:rsid w:val="007843D6"/>
    <w:rsid w:val="007849C7"/>
    <w:rsid w:val="00784E32"/>
    <w:rsid w:val="00785274"/>
    <w:rsid w:val="00785951"/>
    <w:rsid w:val="007861A1"/>
    <w:rsid w:val="00790428"/>
    <w:rsid w:val="00790F1C"/>
    <w:rsid w:val="00791236"/>
    <w:rsid w:val="007912DF"/>
    <w:rsid w:val="00792DC0"/>
    <w:rsid w:val="0079341D"/>
    <w:rsid w:val="0079430A"/>
    <w:rsid w:val="00794451"/>
    <w:rsid w:val="007944A3"/>
    <w:rsid w:val="00795A0A"/>
    <w:rsid w:val="00796B3D"/>
    <w:rsid w:val="00796D59"/>
    <w:rsid w:val="007976A8"/>
    <w:rsid w:val="00797959"/>
    <w:rsid w:val="00797B69"/>
    <w:rsid w:val="007A2457"/>
    <w:rsid w:val="007A29DF"/>
    <w:rsid w:val="007A58B0"/>
    <w:rsid w:val="007A6A69"/>
    <w:rsid w:val="007A6AC4"/>
    <w:rsid w:val="007B03CC"/>
    <w:rsid w:val="007B1332"/>
    <w:rsid w:val="007B14F7"/>
    <w:rsid w:val="007B37E3"/>
    <w:rsid w:val="007B440B"/>
    <w:rsid w:val="007B4EB7"/>
    <w:rsid w:val="007B5F16"/>
    <w:rsid w:val="007C174B"/>
    <w:rsid w:val="007C3477"/>
    <w:rsid w:val="007C49C7"/>
    <w:rsid w:val="007C577D"/>
    <w:rsid w:val="007C5B5E"/>
    <w:rsid w:val="007C6B28"/>
    <w:rsid w:val="007D0F46"/>
    <w:rsid w:val="007D125B"/>
    <w:rsid w:val="007D2F5B"/>
    <w:rsid w:val="007D3FE1"/>
    <w:rsid w:val="007D49D5"/>
    <w:rsid w:val="007D5E16"/>
    <w:rsid w:val="007D62EB"/>
    <w:rsid w:val="007D6316"/>
    <w:rsid w:val="007D7825"/>
    <w:rsid w:val="007E05AE"/>
    <w:rsid w:val="007E2E45"/>
    <w:rsid w:val="007E523C"/>
    <w:rsid w:val="007E5BE0"/>
    <w:rsid w:val="007E6879"/>
    <w:rsid w:val="007F25D5"/>
    <w:rsid w:val="007F2FF3"/>
    <w:rsid w:val="007F4740"/>
    <w:rsid w:val="007F4DD7"/>
    <w:rsid w:val="007F5077"/>
    <w:rsid w:val="007F59EB"/>
    <w:rsid w:val="007F6F7D"/>
    <w:rsid w:val="007F6FAE"/>
    <w:rsid w:val="0080045C"/>
    <w:rsid w:val="008004CC"/>
    <w:rsid w:val="008010FE"/>
    <w:rsid w:val="00801D86"/>
    <w:rsid w:val="00801DCB"/>
    <w:rsid w:val="0080297F"/>
    <w:rsid w:val="008039AC"/>
    <w:rsid w:val="00805FD5"/>
    <w:rsid w:val="00807B23"/>
    <w:rsid w:val="0081060C"/>
    <w:rsid w:val="0081114E"/>
    <w:rsid w:val="00811604"/>
    <w:rsid w:val="00811EC6"/>
    <w:rsid w:val="00812017"/>
    <w:rsid w:val="00813029"/>
    <w:rsid w:val="0081525E"/>
    <w:rsid w:val="0082045E"/>
    <w:rsid w:val="00821652"/>
    <w:rsid w:val="00821DC7"/>
    <w:rsid w:val="0082240C"/>
    <w:rsid w:val="0082251D"/>
    <w:rsid w:val="00822C02"/>
    <w:rsid w:val="008232CB"/>
    <w:rsid w:val="00825146"/>
    <w:rsid w:val="008274F5"/>
    <w:rsid w:val="00830643"/>
    <w:rsid w:val="0083090C"/>
    <w:rsid w:val="00832A3E"/>
    <w:rsid w:val="008330C6"/>
    <w:rsid w:val="00833F2B"/>
    <w:rsid w:val="00837A2D"/>
    <w:rsid w:val="008422D0"/>
    <w:rsid w:val="00842FEF"/>
    <w:rsid w:val="008443A7"/>
    <w:rsid w:val="00845597"/>
    <w:rsid w:val="0084661A"/>
    <w:rsid w:val="00847207"/>
    <w:rsid w:val="008472E3"/>
    <w:rsid w:val="008472F3"/>
    <w:rsid w:val="00847F2A"/>
    <w:rsid w:val="00851A14"/>
    <w:rsid w:val="00854E88"/>
    <w:rsid w:val="008551FF"/>
    <w:rsid w:val="00856529"/>
    <w:rsid w:val="00862DEB"/>
    <w:rsid w:val="00863077"/>
    <w:rsid w:val="008660B8"/>
    <w:rsid w:val="00867754"/>
    <w:rsid w:val="0087042E"/>
    <w:rsid w:val="008705CB"/>
    <w:rsid w:val="00871961"/>
    <w:rsid w:val="00872942"/>
    <w:rsid w:val="00873111"/>
    <w:rsid w:val="00873292"/>
    <w:rsid w:val="008732B8"/>
    <w:rsid w:val="00873709"/>
    <w:rsid w:val="00874857"/>
    <w:rsid w:val="00874D33"/>
    <w:rsid w:val="008803EA"/>
    <w:rsid w:val="008808DD"/>
    <w:rsid w:val="00880D43"/>
    <w:rsid w:val="00881AAC"/>
    <w:rsid w:val="0088273C"/>
    <w:rsid w:val="00882980"/>
    <w:rsid w:val="008835E6"/>
    <w:rsid w:val="00884BC5"/>
    <w:rsid w:val="00884E0F"/>
    <w:rsid w:val="00886E41"/>
    <w:rsid w:val="00887C96"/>
    <w:rsid w:val="008903C3"/>
    <w:rsid w:val="00891286"/>
    <w:rsid w:val="0089269E"/>
    <w:rsid w:val="008968FA"/>
    <w:rsid w:val="00896E70"/>
    <w:rsid w:val="008974A6"/>
    <w:rsid w:val="008A1798"/>
    <w:rsid w:val="008A33C0"/>
    <w:rsid w:val="008A3E5B"/>
    <w:rsid w:val="008A53C0"/>
    <w:rsid w:val="008A55A8"/>
    <w:rsid w:val="008A71B9"/>
    <w:rsid w:val="008B17D7"/>
    <w:rsid w:val="008B4D55"/>
    <w:rsid w:val="008B647E"/>
    <w:rsid w:val="008B6A8E"/>
    <w:rsid w:val="008C514D"/>
    <w:rsid w:val="008C5ED1"/>
    <w:rsid w:val="008C74B8"/>
    <w:rsid w:val="008D02BD"/>
    <w:rsid w:val="008D0E45"/>
    <w:rsid w:val="008D0EB8"/>
    <w:rsid w:val="008D134E"/>
    <w:rsid w:val="008D56EF"/>
    <w:rsid w:val="008D7B8E"/>
    <w:rsid w:val="008E3534"/>
    <w:rsid w:val="008E4224"/>
    <w:rsid w:val="008E72DB"/>
    <w:rsid w:val="008E7390"/>
    <w:rsid w:val="008F14E0"/>
    <w:rsid w:val="008F24B1"/>
    <w:rsid w:val="008F2EDD"/>
    <w:rsid w:val="008F48A3"/>
    <w:rsid w:val="008F4913"/>
    <w:rsid w:val="008F5147"/>
    <w:rsid w:val="008F6252"/>
    <w:rsid w:val="00902E26"/>
    <w:rsid w:val="009030ED"/>
    <w:rsid w:val="0090362D"/>
    <w:rsid w:val="00906496"/>
    <w:rsid w:val="00906E20"/>
    <w:rsid w:val="009072C0"/>
    <w:rsid w:val="00907332"/>
    <w:rsid w:val="00907D50"/>
    <w:rsid w:val="00913956"/>
    <w:rsid w:val="00913A0D"/>
    <w:rsid w:val="00913F3B"/>
    <w:rsid w:val="009149D9"/>
    <w:rsid w:val="00915247"/>
    <w:rsid w:val="009162CF"/>
    <w:rsid w:val="00916ECE"/>
    <w:rsid w:val="00917B12"/>
    <w:rsid w:val="00921C96"/>
    <w:rsid w:val="00924114"/>
    <w:rsid w:val="0092522B"/>
    <w:rsid w:val="00926A69"/>
    <w:rsid w:val="00927337"/>
    <w:rsid w:val="0093081D"/>
    <w:rsid w:val="00932EAE"/>
    <w:rsid w:val="00933D7F"/>
    <w:rsid w:val="00934146"/>
    <w:rsid w:val="009343D8"/>
    <w:rsid w:val="0093569F"/>
    <w:rsid w:val="00935E0A"/>
    <w:rsid w:val="009368E4"/>
    <w:rsid w:val="00936E8D"/>
    <w:rsid w:val="00937E45"/>
    <w:rsid w:val="00940618"/>
    <w:rsid w:val="00940AF2"/>
    <w:rsid w:val="00940C11"/>
    <w:rsid w:val="00940DBE"/>
    <w:rsid w:val="00942150"/>
    <w:rsid w:val="0094277F"/>
    <w:rsid w:val="009459B9"/>
    <w:rsid w:val="00945C2C"/>
    <w:rsid w:val="009472B3"/>
    <w:rsid w:val="00951050"/>
    <w:rsid w:val="00953D91"/>
    <w:rsid w:val="00954CB4"/>
    <w:rsid w:val="0096007D"/>
    <w:rsid w:val="009608D0"/>
    <w:rsid w:val="00961A10"/>
    <w:rsid w:val="00961E47"/>
    <w:rsid w:val="0096207F"/>
    <w:rsid w:val="00962AF6"/>
    <w:rsid w:val="0096699C"/>
    <w:rsid w:val="00970BB8"/>
    <w:rsid w:val="009732C1"/>
    <w:rsid w:val="00973902"/>
    <w:rsid w:val="00974230"/>
    <w:rsid w:val="00974905"/>
    <w:rsid w:val="0097617E"/>
    <w:rsid w:val="009800FE"/>
    <w:rsid w:val="00980C57"/>
    <w:rsid w:val="00980C67"/>
    <w:rsid w:val="00982440"/>
    <w:rsid w:val="00982D15"/>
    <w:rsid w:val="00986240"/>
    <w:rsid w:val="00986850"/>
    <w:rsid w:val="00986F91"/>
    <w:rsid w:val="009871EB"/>
    <w:rsid w:val="0099500A"/>
    <w:rsid w:val="0099599F"/>
    <w:rsid w:val="00995ED3"/>
    <w:rsid w:val="00995FF8"/>
    <w:rsid w:val="00996028"/>
    <w:rsid w:val="00997E70"/>
    <w:rsid w:val="009A01D6"/>
    <w:rsid w:val="009A04D0"/>
    <w:rsid w:val="009A4CB2"/>
    <w:rsid w:val="009A5450"/>
    <w:rsid w:val="009B1C7A"/>
    <w:rsid w:val="009B28B4"/>
    <w:rsid w:val="009B2DBB"/>
    <w:rsid w:val="009B4C19"/>
    <w:rsid w:val="009B5466"/>
    <w:rsid w:val="009C007A"/>
    <w:rsid w:val="009C2461"/>
    <w:rsid w:val="009C24E3"/>
    <w:rsid w:val="009C2BCA"/>
    <w:rsid w:val="009C2E7E"/>
    <w:rsid w:val="009C3B14"/>
    <w:rsid w:val="009C4968"/>
    <w:rsid w:val="009C5FAF"/>
    <w:rsid w:val="009C6AFA"/>
    <w:rsid w:val="009D0EE5"/>
    <w:rsid w:val="009D1C87"/>
    <w:rsid w:val="009D2A17"/>
    <w:rsid w:val="009D4F2C"/>
    <w:rsid w:val="009D5CCE"/>
    <w:rsid w:val="009D747C"/>
    <w:rsid w:val="009E0D4B"/>
    <w:rsid w:val="009E1E9E"/>
    <w:rsid w:val="009E2076"/>
    <w:rsid w:val="009E21C8"/>
    <w:rsid w:val="009E5A18"/>
    <w:rsid w:val="009E7699"/>
    <w:rsid w:val="009F010A"/>
    <w:rsid w:val="009F0A18"/>
    <w:rsid w:val="009F3175"/>
    <w:rsid w:val="009F5F38"/>
    <w:rsid w:val="009F629B"/>
    <w:rsid w:val="009F6C65"/>
    <w:rsid w:val="009F7214"/>
    <w:rsid w:val="00A00DFA"/>
    <w:rsid w:val="00A00F2B"/>
    <w:rsid w:val="00A00F5E"/>
    <w:rsid w:val="00A0128F"/>
    <w:rsid w:val="00A01971"/>
    <w:rsid w:val="00A024CB"/>
    <w:rsid w:val="00A03729"/>
    <w:rsid w:val="00A03BC8"/>
    <w:rsid w:val="00A042CD"/>
    <w:rsid w:val="00A05C0C"/>
    <w:rsid w:val="00A07DB9"/>
    <w:rsid w:val="00A10583"/>
    <w:rsid w:val="00A10CFF"/>
    <w:rsid w:val="00A13589"/>
    <w:rsid w:val="00A14534"/>
    <w:rsid w:val="00A14594"/>
    <w:rsid w:val="00A14AA7"/>
    <w:rsid w:val="00A15F2C"/>
    <w:rsid w:val="00A15FFB"/>
    <w:rsid w:val="00A2031D"/>
    <w:rsid w:val="00A207F7"/>
    <w:rsid w:val="00A24AD4"/>
    <w:rsid w:val="00A25DC8"/>
    <w:rsid w:val="00A27134"/>
    <w:rsid w:val="00A271DB"/>
    <w:rsid w:val="00A27C90"/>
    <w:rsid w:val="00A27E8C"/>
    <w:rsid w:val="00A305FD"/>
    <w:rsid w:val="00A31852"/>
    <w:rsid w:val="00A351D5"/>
    <w:rsid w:val="00A36338"/>
    <w:rsid w:val="00A40713"/>
    <w:rsid w:val="00A412EF"/>
    <w:rsid w:val="00A4372D"/>
    <w:rsid w:val="00A43A20"/>
    <w:rsid w:val="00A44037"/>
    <w:rsid w:val="00A443D5"/>
    <w:rsid w:val="00A45B73"/>
    <w:rsid w:val="00A465FA"/>
    <w:rsid w:val="00A5211A"/>
    <w:rsid w:val="00A521AB"/>
    <w:rsid w:val="00A52CDB"/>
    <w:rsid w:val="00A5537E"/>
    <w:rsid w:val="00A556BA"/>
    <w:rsid w:val="00A5625C"/>
    <w:rsid w:val="00A56593"/>
    <w:rsid w:val="00A56C9F"/>
    <w:rsid w:val="00A57A1D"/>
    <w:rsid w:val="00A61F83"/>
    <w:rsid w:val="00A6282D"/>
    <w:rsid w:val="00A62C6B"/>
    <w:rsid w:val="00A632ED"/>
    <w:rsid w:val="00A63CD7"/>
    <w:rsid w:val="00A63F04"/>
    <w:rsid w:val="00A66638"/>
    <w:rsid w:val="00A66ED8"/>
    <w:rsid w:val="00A678B1"/>
    <w:rsid w:val="00A70225"/>
    <w:rsid w:val="00A70256"/>
    <w:rsid w:val="00A72AB9"/>
    <w:rsid w:val="00A72EA3"/>
    <w:rsid w:val="00A734A9"/>
    <w:rsid w:val="00A7395B"/>
    <w:rsid w:val="00A74291"/>
    <w:rsid w:val="00A74B22"/>
    <w:rsid w:val="00A80739"/>
    <w:rsid w:val="00A8262C"/>
    <w:rsid w:val="00A8583D"/>
    <w:rsid w:val="00A86228"/>
    <w:rsid w:val="00A864B6"/>
    <w:rsid w:val="00A87048"/>
    <w:rsid w:val="00A87D86"/>
    <w:rsid w:val="00A87E58"/>
    <w:rsid w:val="00A9132F"/>
    <w:rsid w:val="00A91E28"/>
    <w:rsid w:val="00A920AA"/>
    <w:rsid w:val="00A978D7"/>
    <w:rsid w:val="00A97B60"/>
    <w:rsid w:val="00AA0A8A"/>
    <w:rsid w:val="00AA3D97"/>
    <w:rsid w:val="00AA42B5"/>
    <w:rsid w:val="00AB1D5D"/>
    <w:rsid w:val="00AB2AE6"/>
    <w:rsid w:val="00AB3620"/>
    <w:rsid w:val="00AB3ED2"/>
    <w:rsid w:val="00AB6AC0"/>
    <w:rsid w:val="00AB6E10"/>
    <w:rsid w:val="00AB7FE7"/>
    <w:rsid w:val="00AC1763"/>
    <w:rsid w:val="00AC1EE5"/>
    <w:rsid w:val="00AC2FAB"/>
    <w:rsid w:val="00AC567D"/>
    <w:rsid w:val="00AC620D"/>
    <w:rsid w:val="00AC7A3A"/>
    <w:rsid w:val="00AD0B8A"/>
    <w:rsid w:val="00AD1ADD"/>
    <w:rsid w:val="00AD239C"/>
    <w:rsid w:val="00AD24D8"/>
    <w:rsid w:val="00AD3ADF"/>
    <w:rsid w:val="00AD3C04"/>
    <w:rsid w:val="00AD4667"/>
    <w:rsid w:val="00AD558B"/>
    <w:rsid w:val="00AE067E"/>
    <w:rsid w:val="00AE06B4"/>
    <w:rsid w:val="00AE32D7"/>
    <w:rsid w:val="00AE3F66"/>
    <w:rsid w:val="00AE495A"/>
    <w:rsid w:val="00AE5455"/>
    <w:rsid w:val="00AE5873"/>
    <w:rsid w:val="00AE6107"/>
    <w:rsid w:val="00AE6F2D"/>
    <w:rsid w:val="00AE7BB4"/>
    <w:rsid w:val="00AF104C"/>
    <w:rsid w:val="00AF1750"/>
    <w:rsid w:val="00AF26FB"/>
    <w:rsid w:val="00AF335B"/>
    <w:rsid w:val="00AF3F6E"/>
    <w:rsid w:val="00AF63AF"/>
    <w:rsid w:val="00AF79FA"/>
    <w:rsid w:val="00B12082"/>
    <w:rsid w:val="00B140E0"/>
    <w:rsid w:val="00B14590"/>
    <w:rsid w:val="00B15587"/>
    <w:rsid w:val="00B15F43"/>
    <w:rsid w:val="00B15FCC"/>
    <w:rsid w:val="00B16E09"/>
    <w:rsid w:val="00B172E3"/>
    <w:rsid w:val="00B2033C"/>
    <w:rsid w:val="00B21AF8"/>
    <w:rsid w:val="00B243CF"/>
    <w:rsid w:val="00B24927"/>
    <w:rsid w:val="00B249D5"/>
    <w:rsid w:val="00B24BA0"/>
    <w:rsid w:val="00B25030"/>
    <w:rsid w:val="00B30137"/>
    <w:rsid w:val="00B31341"/>
    <w:rsid w:val="00B3401E"/>
    <w:rsid w:val="00B3542F"/>
    <w:rsid w:val="00B35B07"/>
    <w:rsid w:val="00B36D71"/>
    <w:rsid w:val="00B41A48"/>
    <w:rsid w:val="00B42249"/>
    <w:rsid w:val="00B4359A"/>
    <w:rsid w:val="00B43B3D"/>
    <w:rsid w:val="00B45428"/>
    <w:rsid w:val="00B46CAA"/>
    <w:rsid w:val="00B47A29"/>
    <w:rsid w:val="00B519E8"/>
    <w:rsid w:val="00B51B75"/>
    <w:rsid w:val="00B54B88"/>
    <w:rsid w:val="00B54E3C"/>
    <w:rsid w:val="00B54FC2"/>
    <w:rsid w:val="00B554F4"/>
    <w:rsid w:val="00B556C0"/>
    <w:rsid w:val="00B5613C"/>
    <w:rsid w:val="00B57341"/>
    <w:rsid w:val="00B61C26"/>
    <w:rsid w:val="00B629BC"/>
    <w:rsid w:val="00B62CBE"/>
    <w:rsid w:val="00B62E81"/>
    <w:rsid w:val="00B638A1"/>
    <w:rsid w:val="00B639FB"/>
    <w:rsid w:val="00B63A4F"/>
    <w:rsid w:val="00B647E1"/>
    <w:rsid w:val="00B64CA7"/>
    <w:rsid w:val="00B65F97"/>
    <w:rsid w:val="00B666D1"/>
    <w:rsid w:val="00B67B74"/>
    <w:rsid w:val="00B72334"/>
    <w:rsid w:val="00B7774E"/>
    <w:rsid w:val="00B80328"/>
    <w:rsid w:val="00B80B2B"/>
    <w:rsid w:val="00B80F83"/>
    <w:rsid w:val="00B8148F"/>
    <w:rsid w:val="00B829E2"/>
    <w:rsid w:val="00B8346C"/>
    <w:rsid w:val="00B850C9"/>
    <w:rsid w:val="00B85DD4"/>
    <w:rsid w:val="00B8623D"/>
    <w:rsid w:val="00B86D14"/>
    <w:rsid w:val="00B90380"/>
    <w:rsid w:val="00B9125A"/>
    <w:rsid w:val="00B91852"/>
    <w:rsid w:val="00B939B2"/>
    <w:rsid w:val="00B9425A"/>
    <w:rsid w:val="00B954B5"/>
    <w:rsid w:val="00B97565"/>
    <w:rsid w:val="00BA0C7C"/>
    <w:rsid w:val="00BA186D"/>
    <w:rsid w:val="00BA396C"/>
    <w:rsid w:val="00BA5ACD"/>
    <w:rsid w:val="00BA6934"/>
    <w:rsid w:val="00BA727A"/>
    <w:rsid w:val="00BA7FA5"/>
    <w:rsid w:val="00BB08D2"/>
    <w:rsid w:val="00BB0F2C"/>
    <w:rsid w:val="00BB2160"/>
    <w:rsid w:val="00BB4659"/>
    <w:rsid w:val="00BC08CF"/>
    <w:rsid w:val="00BC3317"/>
    <w:rsid w:val="00BC395E"/>
    <w:rsid w:val="00BC3BC6"/>
    <w:rsid w:val="00BC551A"/>
    <w:rsid w:val="00BC7DB2"/>
    <w:rsid w:val="00BD0130"/>
    <w:rsid w:val="00BD0812"/>
    <w:rsid w:val="00BD1898"/>
    <w:rsid w:val="00BD2D9B"/>
    <w:rsid w:val="00BD3F3F"/>
    <w:rsid w:val="00BD7736"/>
    <w:rsid w:val="00BE0A22"/>
    <w:rsid w:val="00BE2AA1"/>
    <w:rsid w:val="00BE63EC"/>
    <w:rsid w:val="00BE6522"/>
    <w:rsid w:val="00BE6943"/>
    <w:rsid w:val="00BE752C"/>
    <w:rsid w:val="00BE7645"/>
    <w:rsid w:val="00BF1B1E"/>
    <w:rsid w:val="00BF4FCA"/>
    <w:rsid w:val="00BF53F5"/>
    <w:rsid w:val="00BF5BD1"/>
    <w:rsid w:val="00BF60BC"/>
    <w:rsid w:val="00C004A2"/>
    <w:rsid w:val="00C00888"/>
    <w:rsid w:val="00C0215B"/>
    <w:rsid w:val="00C0267B"/>
    <w:rsid w:val="00C04D7F"/>
    <w:rsid w:val="00C061B3"/>
    <w:rsid w:val="00C066B2"/>
    <w:rsid w:val="00C071E7"/>
    <w:rsid w:val="00C107BE"/>
    <w:rsid w:val="00C121A1"/>
    <w:rsid w:val="00C12F3D"/>
    <w:rsid w:val="00C135AC"/>
    <w:rsid w:val="00C13F4F"/>
    <w:rsid w:val="00C152C0"/>
    <w:rsid w:val="00C20D8C"/>
    <w:rsid w:val="00C21CDE"/>
    <w:rsid w:val="00C23F7E"/>
    <w:rsid w:val="00C25E3A"/>
    <w:rsid w:val="00C26CBE"/>
    <w:rsid w:val="00C26D0E"/>
    <w:rsid w:val="00C2750F"/>
    <w:rsid w:val="00C27526"/>
    <w:rsid w:val="00C27A17"/>
    <w:rsid w:val="00C30D2B"/>
    <w:rsid w:val="00C313C3"/>
    <w:rsid w:val="00C33225"/>
    <w:rsid w:val="00C3445A"/>
    <w:rsid w:val="00C346E5"/>
    <w:rsid w:val="00C350D7"/>
    <w:rsid w:val="00C35930"/>
    <w:rsid w:val="00C371EC"/>
    <w:rsid w:val="00C37CBC"/>
    <w:rsid w:val="00C417E2"/>
    <w:rsid w:val="00C419F2"/>
    <w:rsid w:val="00C41F8B"/>
    <w:rsid w:val="00C437CF"/>
    <w:rsid w:val="00C4405B"/>
    <w:rsid w:val="00C446D1"/>
    <w:rsid w:val="00C47001"/>
    <w:rsid w:val="00C47201"/>
    <w:rsid w:val="00C52E32"/>
    <w:rsid w:val="00C54371"/>
    <w:rsid w:val="00C568B8"/>
    <w:rsid w:val="00C57E5C"/>
    <w:rsid w:val="00C60079"/>
    <w:rsid w:val="00C61C95"/>
    <w:rsid w:val="00C63885"/>
    <w:rsid w:val="00C6394C"/>
    <w:rsid w:val="00C63A19"/>
    <w:rsid w:val="00C663EC"/>
    <w:rsid w:val="00C66C0B"/>
    <w:rsid w:val="00C70348"/>
    <w:rsid w:val="00C71FCD"/>
    <w:rsid w:val="00C723D1"/>
    <w:rsid w:val="00C7439F"/>
    <w:rsid w:val="00C74A74"/>
    <w:rsid w:val="00C74DD4"/>
    <w:rsid w:val="00C765F2"/>
    <w:rsid w:val="00C76A2E"/>
    <w:rsid w:val="00C770D4"/>
    <w:rsid w:val="00C8190A"/>
    <w:rsid w:val="00C81F14"/>
    <w:rsid w:val="00C829A3"/>
    <w:rsid w:val="00C90B68"/>
    <w:rsid w:val="00C90D84"/>
    <w:rsid w:val="00C90FF2"/>
    <w:rsid w:val="00C92BE5"/>
    <w:rsid w:val="00C93345"/>
    <w:rsid w:val="00C9762C"/>
    <w:rsid w:val="00CA07AD"/>
    <w:rsid w:val="00CA167D"/>
    <w:rsid w:val="00CA3457"/>
    <w:rsid w:val="00CA3580"/>
    <w:rsid w:val="00CA41BD"/>
    <w:rsid w:val="00CA6482"/>
    <w:rsid w:val="00CB092D"/>
    <w:rsid w:val="00CB20BF"/>
    <w:rsid w:val="00CB2EB4"/>
    <w:rsid w:val="00CB3495"/>
    <w:rsid w:val="00CB742E"/>
    <w:rsid w:val="00CC07EF"/>
    <w:rsid w:val="00CC177C"/>
    <w:rsid w:val="00CC258A"/>
    <w:rsid w:val="00CC2C68"/>
    <w:rsid w:val="00CC3B94"/>
    <w:rsid w:val="00CC73D2"/>
    <w:rsid w:val="00CC7C9F"/>
    <w:rsid w:val="00CD2950"/>
    <w:rsid w:val="00CD3B54"/>
    <w:rsid w:val="00CD5CE6"/>
    <w:rsid w:val="00CD5E3B"/>
    <w:rsid w:val="00CD70E5"/>
    <w:rsid w:val="00CD725E"/>
    <w:rsid w:val="00CE3A43"/>
    <w:rsid w:val="00CF098F"/>
    <w:rsid w:val="00CF20DE"/>
    <w:rsid w:val="00CF3102"/>
    <w:rsid w:val="00CF324C"/>
    <w:rsid w:val="00CF3F78"/>
    <w:rsid w:val="00CF4BAA"/>
    <w:rsid w:val="00CF52EF"/>
    <w:rsid w:val="00CF7D10"/>
    <w:rsid w:val="00D014B4"/>
    <w:rsid w:val="00D01B5B"/>
    <w:rsid w:val="00D03363"/>
    <w:rsid w:val="00D102DF"/>
    <w:rsid w:val="00D12706"/>
    <w:rsid w:val="00D12B70"/>
    <w:rsid w:val="00D12EE5"/>
    <w:rsid w:val="00D1547B"/>
    <w:rsid w:val="00D17793"/>
    <w:rsid w:val="00D17A02"/>
    <w:rsid w:val="00D17B92"/>
    <w:rsid w:val="00D200C4"/>
    <w:rsid w:val="00D2068A"/>
    <w:rsid w:val="00D22B16"/>
    <w:rsid w:val="00D23AED"/>
    <w:rsid w:val="00D23C8E"/>
    <w:rsid w:val="00D24694"/>
    <w:rsid w:val="00D2596F"/>
    <w:rsid w:val="00D2779A"/>
    <w:rsid w:val="00D30030"/>
    <w:rsid w:val="00D32316"/>
    <w:rsid w:val="00D33AC8"/>
    <w:rsid w:val="00D33C84"/>
    <w:rsid w:val="00D345D9"/>
    <w:rsid w:val="00D362C2"/>
    <w:rsid w:val="00D3784C"/>
    <w:rsid w:val="00D407E2"/>
    <w:rsid w:val="00D411CF"/>
    <w:rsid w:val="00D45152"/>
    <w:rsid w:val="00D453D0"/>
    <w:rsid w:val="00D45502"/>
    <w:rsid w:val="00D51464"/>
    <w:rsid w:val="00D528EB"/>
    <w:rsid w:val="00D52C6C"/>
    <w:rsid w:val="00D5448E"/>
    <w:rsid w:val="00D545A1"/>
    <w:rsid w:val="00D54771"/>
    <w:rsid w:val="00D54A0B"/>
    <w:rsid w:val="00D55713"/>
    <w:rsid w:val="00D57705"/>
    <w:rsid w:val="00D61DE6"/>
    <w:rsid w:val="00D626A6"/>
    <w:rsid w:val="00D62770"/>
    <w:rsid w:val="00D62EA1"/>
    <w:rsid w:val="00D62FE7"/>
    <w:rsid w:val="00D645FD"/>
    <w:rsid w:val="00D655F9"/>
    <w:rsid w:val="00D66492"/>
    <w:rsid w:val="00D74D8F"/>
    <w:rsid w:val="00D838B8"/>
    <w:rsid w:val="00D86049"/>
    <w:rsid w:val="00D90742"/>
    <w:rsid w:val="00D90AE5"/>
    <w:rsid w:val="00D90CF4"/>
    <w:rsid w:val="00D90E0C"/>
    <w:rsid w:val="00D92A0D"/>
    <w:rsid w:val="00D940B9"/>
    <w:rsid w:val="00D95A84"/>
    <w:rsid w:val="00D96C4C"/>
    <w:rsid w:val="00D96F01"/>
    <w:rsid w:val="00DA020B"/>
    <w:rsid w:val="00DA0873"/>
    <w:rsid w:val="00DA0E69"/>
    <w:rsid w:val="00DA1F44"/>
    <w:rsid w:val="00DA2E32"/>
    <w:rsid w:val="00DA4D92"/>
    <w:rsid w:val="00DA5608"/>
    <w:rsid w:val="00DA587C"/>
    <w:rsid w:val="00DA6B8A"/>
    <w:rsid w:val="00DA7F1A"/>
    <w:rsid w:val="00DB007E"/>
    <w:rsid w:val="00DB0E17"/>
    <w:rsid w:val="00DB4AE8"/>
    <w:rsid w:val="00DC0942"/>
    <w:rsid w:val="00DC39CC"/>
    <w:rsid w:val="00DC453E"/>
    <w:rsid w:val="00DC485F"/>
    <w:rsid w:val="00DC6341"/>
    <w:rsid w:val="00DC6C7F"/>
    <w:rsid w:val="00DC7BAF"/>
    <w:rsid w:val="00DD043F"/>
    <w:rsid w:val="00DD0BC0"/>
    <w:rsid w:val="00DD0ED3"/>
    <w:rsid w:val="00DD1232"/>
    <w:rsid w:val="00DD1C93"/>
    <w:rsid w:val="00DD56D2"/>
    <w:rsid w:val="00DD7566"/>
    <w:rsid w:val="00DE21EE"/>
    <w:rsid w:val="00DE2705"/>
    <w:rsid w:val="00DE38B2"/>
    <w:rsid w:val="00DE424B"/>
    <w:rsid w:val="00DE4D93"/>
    <w:rsid w:val="00DE4E04"/>
    <w:rsid w:val="00DE7085"/>
    <w:rsid w:val="00DE76BD"/>
    <w:rsid w:val="00DE79D7"/>
    <w:rsid w:val="00DF1BC4"/>
    <w:rsid w:val="00DF2135"/>
    <w:rsid w:val="00DF248A"/>
    <w:rsid w:val="00DF4B60"/>
    <w:rsid w:val="00DF7D34"/>
    <w:rsid w:val="00E0165F"/>
    <w:rsid w:val="00E01AE2"/>
    <w:rsid w:val="00E02217"/>
    <w:rsid w:val="00E037CA"/>
    <w:rsid w:val="00E05286"/>
    <w:rsid w:val="00E05923"/>
    <w:rsid w:val="00E06F8C"/>
    <w:rsid w:val="00E101E9"/>
    <w:rsid w:val="00E12A3A"/>
    <w:rsid w:val="00E12CBC"/>
    <w:rsid w:val="00E13BE3"/>
    <w:rsid w:val="00E14FF4"/>
    <w:rsid w:val="00E15009"/>
    <w:rsid w:val="00E2069A"/>
    <w:rsid w:val="00E210D9"/>
    <w:rsid w:val="00E22157"/>
    <w:rsid w:val="00E22691"/>
    <w:rsid w:val="00E231BC"/>
    <w:rsid w:val="00E2349A"/>
    <w:rsid w:val="00E24F61"/>
    <w:rsid w:val="00E25C43"/>
    <w:rsid w:val="00E265DA"/>
    <w:rsid w:val="00E31B53"/>
    <w:rsid w:val="00E320EA"/>
    <w:rsid w:val="00E328AE"/>
    <w:rsid w:val="00E328E6"/>
    <w:rsid w:val="00E3398C"/>
    <w:rsid w:val="00E36188"/>
    <w:rsid w:val="00E367BF"/>
    <w:rsid w:val="00E3708D"/>
    <w:rsid w:val="00E371D0"/>
    <w:rsid w:val="00E3789A"/>
    <w:rsid w:val="00E37F95"/>
    <w:rsid w:val="00E40D6A"/>
    <w:rsid w:val="00E42271"/>
    <w:rsid w:val="00E4327F"/>
    <w:rsid w:val="00E44473"/>
    <w:rsid w:val="00E44A00"/>
    <w:rsid w:val="00E458D1"/>
    <w:rsid w:val="00E460C5"/>
    <w:rsid w:val="00E460DD"/>
    <w:rsid w:val="00E52354"/>
    <w:rsid w:val="00E52E5F"/>
    <w:rsid w:val="00E539FF"/>
    <w:rsid w:val="00E54B65"/>
    <w:rsid w:val="00E54B7D"/>
    <w:rsid w:val="00E55475"/>
    <w:rsid w:val="00E55995"/>
    <w:rsid w:val="00E56079"/>
    <w:rsid w:val="00E61256"/>
    <w:rsid w:val="00E64994"/>
    <w:rsid w:val="00E649D9"/>
    <w:rsid w:val="00E64D76"/>
    <w:rsid w:val="00E6645E"/>
    <w:rsid w:val="00E66765"/>
    <w:rsid w:val="00E66CFE"/>
    <w:rsid w:val="00E71419"/>
    <w:rsid w:val="00E747B0"/>
    <w:rsid w:val="00E75874"/>
    <w:rsid w:val="00E75D02"/>
    <w:rsid w:val="00E83A68"/>
    <w:rsid w:val="00E83AF7"/>
    <w:rsid w:val="00E84D2F"/>
    <w:rsid w:val="00E86764"/>
    <w:rsid w:val="00E87265"/>
    <w:rsid w:val="00E922FC"/>
    <w:rsid w:val="00E92FC7"/>
    <w:rsid w:val="00E93B3C"/>
    <w:rsid w:val="00E93FD4"/>
    <w:rsid w:val="00E95798"/>
    <w:rsid w:val="00EA0C4B"/>
    <w:rsid w:val="00EA3B52"/>
    <w:rsid w:val="00EA41A8"/>
    <w:rsid w:val="00EA51D5"/>
    <w:rsid w:val="00EA617A"/>
    <w:rsid w:val="00EA7E9E"/>
    <w:rsid w:val="00EB10B5"/>
    <w:rsid w:val="00EB2627"/>
    <w:rsid w:val="00EB45D8"/>
    <w:rsid w:val="00EB69B6"/>
    <w:rsid w:val="00EC106F"/>
    <w:rsid w:val="00EC3EB4"/>
    <w:rsid w:val="00EC423A"/>
    <w:rsid w:val="00EC746D"/>
    <w:rsid w:val="00EC78B7"/>
    <w:rsid w:val="00EC7F0D"/>
    <w:rsid w:val="00ED12CD"/>
    <w:rsid w:val="00ED1362"/>
    <w:rsid w:val="00ED2A48"/>
    <w:rsid w:val="00ED5258"/>
    <w:rsid w:val="00ED5733"/>
    <w:rsid w:val="00ED68D0"/>
    <w:rsid w:val="00ED740A"/>
    <w:rsid w:val="00EE1CC4"/>
    <w:rsid w:val="00EE2D74"/>
    <w:rsid w:val="00EE2FE9"/>
    <w:rsid w:val="00EE31D0"/>
    <w:rsid w:val="00EE3E11"/>
    <w:rsid w:val="00EE42A5"/>
    <w:rsid w:val="00EE4338"/>
    <w:rsid w:val="00EE51F2"/>
    <w:rsid w:val="00EE5628"/>
    <w:rsid w:val="00EE563A"/>
    <w:rsid w:val="00EE5B4E"/>
    <w:rsid w:val="00EE6ACD"/>
    <w:rsid w:val="00EE6BA0"/>
    <w:rsid w:val="00EF2C96"/>
    <w:rsid w:val="00EF4016"/>
    <w:rsid w:val="00EF49A5"/>
    <w:rsid w:val="00EF4D19"/>
    <w:rsid w:val="00EF54E3"/>
    <w:rsid w:val="00EF60DA"/>
    <w:rsid w:val="00EF6189"/>
    <w:rsid w:val="00F01E8C"/>
    <w:rsid w:val="00F0412D"/>
    <w:rsid w:val="00F04A08"/>
    <w:rsid w:val="00F056CD"/>
    <w:rsid w:val="00F10E72"/>
    <w:rsid w:val="00F11337"/>
    <w:rsid w:val="00F14C45"/>
    <w:rsid w:val="00F15F24"/>
    <w:rsid w:val="00F16217"/>
    <w:rsid w:val="00F1621F"/>
    <w:rsid w:val="00F16B52"/>
    <w:rsid w:val="00F175DE"/>
    <w:rsid w:val="00F217D4"/>
    <w:rsid w:val="00F2453C"/>
    <w:rsid w:val="00F25B19"/>
    <w:rsid w:val="00F26142"/>
    <w:rsid w:val="00F27BFE"/>
    <w:rsid w:val="00F27C08"/>
    <w:rsid w:val="00F3058B"/>
    <w:rsid w:val="00F3182B"/>
    <w:rsid w:val="00F33980"/>
    <w:rsid w:val="00F34388"/>
    <w:rsid w:val="00F346A5"/>
    <w:rsid w:val="00F34826"/>
    <w:rsid w:val="00F34E11"/>
    <w:rsid w:val="00F35CCB"/>
    <w:rsid w:val="00F3713A"/>
    <w:rsid w:val="00F40C14"/>
    <w:rsid w:val="00F4403E"/>
    <w:rsid w:val="00F44CC1"/>
    <w:rsid w:val="00F44FA5"/>
    <w:rsid w:val="00F452D4"/>
    <w:rsid w:val="00F47675"/>
    <w:rsid w:val="00F502ED"/>
    <w:rsid w:val="00F50332"/>
    <w:rsid w:val="00F50D8F"/>
    <w:rsid w:val="00F51B4E"/>
    <w:rsid w:val="00F5279D"/>
    <w:rsid w:val="00F533ED"/>
    <w:rsid w:val="00F54D5B"/>
    <w:rsid w:val="00F552E1"/>
    <w:rsid w:val="00F553B4"/>
    <w:rsid w:val="00F56472"/>
    <w:rsid w:val="00F60387"/>
    <w:rsid w:val="00F60CFC"/>
    <w:rsid w:val="00F611E1"/>
    <w:rsid w:val="00F6376C"/>
    <w:rsid w:val="00F679A5"/>
    <w:rsid w:val="00F704F9"/>
    <w:rsid w:val="00F70FFA"/>
    <w:rsid w:val="00F712BF"/>
    <w:rsid w:val="00F76B1F"/>
    <w:rsid w:val="00F81A84"/>
    <w:rsid w:val="00F82316"/>
    <w:rsid w:val="00F8239E"/>
    <w:rsid w:val="00F85379"/>
    <w:rsid w:val="00F85890"/>
    <w:rsid w:val="00F87065"/>
    <w:rsid w:val="00F877B9"/>
    <w:rsid w:val="00F87B18"/>
    <w:rsid w:val="00F9072C"/>
    <w:rsid w:val="00F91AEC"/>
    <w:rsid w:val="00F92EF2"/>
    <w:rsid w:val="00F95594"/>
    <w:rsid w:val="00FA1209"/>
    <w:rsid w:val="00FA3874"/>
    <w:rsid w:val="00FA51FA"/>
    <w:rsid w:val="00FA5FC2"/>
    <w:rsid w:val="00FA657E"/>
    <w:rsid w:val="00FA7A7A"/>
    <w:rsid w:val="00FA7FB4"/>
    <w:rsid w:val="00FA7FBD"/>
    <w:rsid w:val="00FB247D"/>
    <w:rsid w:val="00FB3360"/>
    <w:rsid w:val="00FB48D2"/>
    <w:rsid w:val="00FB533A"/>
    <w:rsid w:val="00FB59E0"/>
    <w:rsid w:val="00FB5C80"/>
    <w:rsid w:val="00FB6302"/>
    <w:rsid w:val="00FB6346"/>
    <w:rsid w:val="00FB7F5A"/>
    <w:rsid w:val="00FC0666"/>
    <w:rsid w:val="00FC29C9"/>
    <w:rsid w:val="00FC37E3"/>
    <w:rsid w:val="00FC3EB0"/>
    <w:rsid w:val="00FC52F2"/>
    <w:rsid w:val="00FC5AA2"/>
    <w:rsid w:val="00FC5F47"/>
    <w:rsid w:val="00FC6544"/>
    <w:rsid w:val="00FC6883"/>
    <w:rsid w:val="00FC6988"/>
    <w:rsid w:val="00FD00D8"/>
    <w:rsid w:val="00FD183A"/>
    <w:rsid w:val="00FD23A3"/>
    <w:rsid w:val="00FD54C9"/>
    <w:rsid w:val="00FD6F5D"/>
    <w:rsid w:val="00FD7396"/>
    <w:rsid w:val="00FE095C"/>
    <w:rsid w:val="00FE197F"/>
    <w:rsid w:val="00FE1D8D"/>
    <w:rsid w:val="00FE25D6"/>
    <w:rsid w:val="00FE26D6"/>
    <w:rsid w:val="00FE4563"/>
    <w:rsid w:val="00FE4E8C"/>
    <w:rsid w:val="00FE541A"/>
    <w:rsid w:val="00FE6146"/>
    <w:rsid w:val="00FF0031"/>
    <w:rsid w:val="00FF08F8"/>
    <w:rsid w:val="00FF105D"/>
    <w:rsid w:val="00FF2986"/>
    <w:rsid w:val="00FF2CA3"/>
    <w:rsid w:val="00FF3134"/>
    <w:rsid w:val="00FF529F"/>
    <w:rsid w:val="00FF56C4"/>
    <w:rsid w:val="00FF5FDF"/>
    <w:rsid w:val="00FF7645"/>
    <w:rsid w:val="0332C138"/>
    <w:rsid w:val="23170610"/>
    <w:rsid w:val="36703CAA"/>
    <w:rsid w:val="545F0180"/>
    <w:rsid w:val="5A1D9F4B"/>
    <w:rsid w:val="689F78B4"/>
    <w:rsid w:val="7DD9C9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8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7A"/>
    <w:rPr>
      <w:rFonts w:eastAsia="Times New Roman"/>
      <w:sz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5">
    <w:name w:val="heading 5"/>
    <w:basedOn w:val="Normal"/>
    <w:next w:val="Normal"/>
    <w:qFormat/>
    <w:rsid w:val="00FA7A7A"/>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styleId="Header">
    <w:name w:val="header"/>
    <w:basedOn w:val="Normal"/>
    <w:link w:val="HeaderChar"/>
    <w:rsid w:val="00FA7A7A"/>
    <w:pPr>
      <w:tabs>
        <w:tab w:val="center" w:pos="4153"/>
        <w:tab w:val="right" w:pos="8306"/>
      </w:tabs>
    </w:pPr>
  </w:style>
  <w:style w:type="paragraph" w:styleId="Footer">
    <w:name w:val="footer"/>
    <w:basedOn w:val="Normal"/>
    <w:link w:val="FooterChar"/>
    <w:uiPriority w:val="99"/>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rsid w:val="00FA7A7A"/>
    <w:pPr>
      <w:tabs>
        <w:tab w:val="num" w:pos="567"/>
      </w:tabs>
      <w:ind w:left="567" w:hanging="567"/>
    </w:pPr>
    <w:rPr>
      <w:b/>
      <w:lang w:val="en-US"/>
    </w:rPr>
  </w:style>
  <w:style w:type="paragraph" w:styleId="FootnoteText">
    <w:name w:val="footnote text"/>
    <w:basedOn w:val="Normal"/>
    <w:link w:val="FootnoteTextChar"/>
    <w:uiPriority w:val="99"/>
    <w:rsid w:val="00FA7A7A"/>
    <w:rPr>
      <w:sz w:val="20"/>
    </w:rPr>
  </w:style>
  <w:style w:type="character" w:styleId="FootnoteReference">
    <w:name w:val="footnote reference"/>
    <w:basedOn w:val="DefaultParagraphFont"/>
    <w:uiPriority w:val="99"/>
    <w:rsid w:val="00FA7A7A"/>
    <w:rPr>
      <w:vertAlign w:val="superscript"/>
    </w:rPr>
  </w:style>
  <w:style w:type="character" w:styleId="CommentReference">
    <w:name w:val="annotation reference"/>
    <w:basedOn w:val="DefaultParagraphFont"/>
    <w:uiPriority w:val="99"/>
    <w:semiHidden/>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basedOn w:val="DefaultParagraphFont"/>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jc w:val="both"/>
    </w:pPr>
    <w:rPr>
      <w:b w:val="0"/>
      <w:lang w:val="en-AU"/>
    </w:rPr>
  </w:style>
  <w:style w:type="paragraph" w:customStyle="1" w:styleId="normaltextcharcharcharcharchar0">
    <w:name w:val="normaltextcharcharcharcharchar"/>
    <w:basedOn w:val="Normal"/>
    <w:rsid w:val="00FA7A7A"/>
    <w:pPr>
      <w:spacing w:after="240"/>
      <w:ind w:left="567" w:hanging="567"/>
      <w:jc w:val="both"/>
    </w:pPr>
    <w:rPr>
      <w:rFonts w:ascii="Trebuchet MS" w:hAnsi="Trebuchet MS"/>
      <w:szCs w:val="24"/>
    </w:rPr>
  </w:style>
  <w:style w:type="table" w:styleId="TableGrid">
    <w:name w:val="Table Grid"/>
    <w:basedOn w:val="TableNormal"/>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basedOn w:val="DefaultParagraphFont"/>
    <w:link w:val="NormaltextCharCharCharCharCharChar"/>
    <w:rsid w:val="00FA7A7A"/>
    <w:rPr>
      <w:rFonts w:eastAsia="Times New Roman"/>
      <w:sz w:val="24"/>
    </w:rPr>
  </w:style>
  <w:style w:type="paragraph" w:styleId="BalloonText">
    <w:name w:val="Balloon Text"/>
    <w:basedOn w:val="Normal"/>
    <w:semiHidden/>
    <w:rsid w:val="00195711"/>
    <w:rPr>
      <w:rFonts w:ascii="Tahoma" w:hAnsi="Tahoma"/>
      <w:sz w:val="16"/>
      <w:szCs w:val="16"/>
    </w:rPr>
  </w:style>
  <w:style w:type="paragraph" w:styleId="CommentText">
    <w:name w:val="annotation text"/>
    <w:basedOn w:val="Normal"/>
    <w:link w:val="CommentTextChar"/>
    <w:uiPriority w:val="99"/>
    <w:rsid w:val="00EE3E11"/>
    <w:rPr>
      <w:sz w:val="20"/>
    </w:rPr>
  </w:style>
  <w:style w:type="paragraph" w:styleId="CommentSubject">
    <w:name w:val="annotation subject"/>
    <w:basedOn w:val="CommentText"/>
    <w:next w:val="CommentText"/>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jc w:val="both"/>
    </w:pPr>
    <w:rPr>
      <w:b w:val="0"/>
      <w:lang w:val="en-AU"/>
    </w:rPr>
  </w:style>
  <w:style w:type="character" w:customStyle="1" w:styleId="StyleBodyText13ptCharCharChar0">
    <w:name w:val="Style Body Text + 13 pt Char Char Char"/>
    <w:basedOn w:val="DefaultParagraphFont"/>
    <w:link w:val="StyleBodyText13ptCharChar"/>
    <w:rsid w:val="00F15F24"/>
    <w:rPr>
      <w:rFonts w:eastAsia="Times New Roman"/>
      <w:sz w:val="24"/>
    </w:rPr>
  </w:style>
  <w:style w:type="paragraph" w:customStyle="1" w:styleId="Text">
    <w:name w:val="Text"/>
    <w:basedOn w:val="Normal"/>
    <w:rsid w:val="00937E45"/>
    <w:pPr>
      <w:spacing w:after="360" w:line="360" w:lineRule="exact"/>
      <w:jc w:val="both"/>
    </w:pPr>
    <w:rPr>
      <w:rFonts w:ascii="Garamond" w:hAnsi="Garamond"/>
    </w:rPr>
  </w:style>
  <w:style w:type="paragraph" w:customStyle="1" w:styleId="NormaltextCharCharCharCharChar">
    <w:name w:val="Normal text Char Char Char Char Char"/>
    <w:basedOn w:val="BodyText"/>
    <w:rsid w:val="00937E45"/>
    <w:pPr>
      <w:numPr>
        <w:numId w:val="2"/>
      </w:numPr>
      <w:spacing w:after="240"/>
      <w:jc w:val="both"/>
    </w:pPr>
    <w:rPr>
      <w:b w:val="0"/>
      <w:lang w:val="en-AU"/>
    </w:rPr>
  </w:style>
  <w:style w:type="paragraph" w:customStyle="1" w:styleId="Normalalpha">
    <w:name w:val="Normal alpha"/>
    <w:basedOn w:val="Normal"/>
    <w:rsid w:val="00937E45"/>
    <w:pPr>
      <w:numPr>
        <w:numId w:val="4"/>
      </w:numPr>
      <w:spacing w:after="240"/>
      <w:jc w:val="both"/>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5"/>
      </w:numPr>
      <w:spacing w:before="0" w:after="120" w:line="360" w:lineRule="auto"/>
      <w:jc w:val="both"/>
    </w:pPr>
    <w:rPr>
      <w:rFonts w:ascii="Today" w:hAnsi="Times New Roman" w:cs="Garamond"/>
      <w:kern w:val="0"/>
      <w:sz w:val="22"/>
      <w:szCs w:val="22"/>
      <w:lang w:val="en-US"/>
    </w:rPr>
  </w:style>
  <w:style w:type="paragraph" w:styleId="BodyText2">
    <w:name w:val="Body Text 2"/>
    <w:basedOn w:val="Normal"/>
    <w:rsid w:val="00E52E5F"/>
    <w:pPr>
      <w:spacing w:after="120" w:line="480" w:lineRule="auto"/>
    </w:pPr>
  </w:style>
  <w:style w:type="paragraph" w:styleId="TOC1">
    <w:name w:val="toc 1"/>
    <w:basedOn w:val="Normal"/>
    <w:next w:val="Normal"/>
    <w:autoRedefine/>
    <w:uiPriority w:val="39"/>
    <w:rsid w:val="005F48AB"/>
    <w:pPr>
      <w:tabs>
        <w:tab w:val="right" w:leader="dot" w:pos="8296"/>
      </w:tabs>
      <w:spacing w:after="120"/>
    </w:pPr>
  </w:style>
  <w:style w:type="paragraph" w:styleId="TOC2">
    <w:name w:val="toc 2"/>
    <w:basedOn w:val="Normal"/>
    <w:next w:val="Normal"/>
    <w:autoRedefine/>
    <w:uiPriority w:val="39"/>
    <w:rsid w:val="00B15587"/>
    <w:pPr>
      <w:tabs>
        <w:tab w:val="right" w:leader="dot" w:pos="8296"/>
      </w:tabs>
      <w:spacing w:after="120"/>
    </w:pPr>
    <w:rPr>
      <w:rFonts w:ascii="Arial" w:hAnsi="Arial" w:cs="Arial"/>
      <w:b/>
      <w:noProof/>
      <w:szCs w:val="24"/>
    </w:rPr>
  </w:style>
  <w:style w:type="character" w:styleId="Hyperlink">
    <w:name w:val="Hyperlink"/>
    <w:basedOn w:val="DefaultParagraphFont"/>
    <w:uiPriority w:val="99"/>
    <w:rsid w:val="0031723F"/>
    <w:rPr>
      <w:color w:val="0000FF"/>
      <w:u w:val="single"/>
    </w:rPr>
  </w:style>
  <w:style w:type="paragraph" w:styleId="TOC3">
    <w:name w:val="toc 3"/>
    <w:basedOn w:val="Normal"/>
    <w:next w:val="Normal"/>
    <w:autoRedefine/>
    <w:uiPriority w:val="39"/>
    <w:rsid w:val="002F3D64"/>
    <w:pPr>
      <w:tabs>
        <w:tab w:val="right" w:leader="dot" w:pos="8296"/>
      </w:tabs>
      <w:spacing w:after="120"/>
    </w:pPr>
    <w:rPr>
      <w:rFonts w:ascii="Arial" w:hAnsi="Arial" w:cs="Arial"/>
    </w:rPr>
  </w:style>
  <w:style w:type="character" w:styleId="FollowedHyperlink">
    <w:name w:val="FollowedHyperlink"/>
    <w:basedOn w:val="DefaultParagraphFont"/>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basedOn w:val="Normal"/>
    <w:link w:val="TitleChar"/>
    <w:qFormat/>
    <w:rsid w:val="008E35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rPr>
      <w:lang w:eastAsia="en-US"/>
    </w:rPr>
  </w:style>
  <w:style w:type="paragraph" w:customStyle="1" w:styleId="IP">
    <w:name w:val="IP"/>
    <w:aliases w:val="Interpretation paragraph"/>
    <w:basedOn w:val="Normal"/>
    <w:next w:val="Normal"/>
    <w:rsid w:val="008E353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lang w:eastAsia="en-US"/>
    </w:rPr>
  </w:style>
  <w:style w:type="character" w:customStyle="1" w:styleId="PlainTextChar">
    <w:name w:val="Plain Text Char"/>
    <w:basedOn w:val="DefaultParagraphFont"/>
    <w:link w:val="PlainText"/>
    <w:uiPriority w:val="99"/>
    <w:semiHidden/>
    <w:rsid w:val="006B4587"/>
    <w:rPr>
      <w:rFonts w:ascii="Verdana" w:eastAsia="Times New Roman" w:hAnsi="Verdana"/>
      <w:color w:val="000000"/>
      <w:lang w:eastAsia="en-US"/>
    </w:rPr>
  </w:style>
  <w:style w:type="paragraph" w:styleId="ListParagraph">
    <w:name w:val="List Paragraph"/>
    <w:basedOn w:val="Normal"/>
    <w:uiPriority w:val="34"/>
    <w:qFormat/>
    <w:rsid w:val="006B4587"/>
    <w:pPr>
      <w:ind w:left="720"/>
    </w:pPr>
  </w:style>
  <w:style w:type="character" w:customStyle="1" w:styleId="FootnoteTextChar">
    <w:name w:val="Footnote Text Char"/>
    <w:basedOn w:val="DefaultParagraphFont"/>
    <w:link w:val="FootnoteText"/>
    <w:uiPriority w:val="99"/>
    <w:rsid w:val="006B4587"/>
    <w:rPr>
      <w:rFonts w:eastAsia="Times New Roman"/>
    </w:rPr>
  </w:style>
  <w:style w:type="character" w:customStyle="1" w:styleId="BodyTextChar">
    <w:name w:val="Body Text Char"/>
    <w:basedOn w:val="DefaultParagraphFont"/>
    <w:link w:val="BodyText"/>
    <w:uiPriority w:val="99"/>
    <w:rsid w:val="006B4587"/>
    <w:rPr>
      <w:rFonts w:eastAsia="Times New Roman"/>
      <w:b/>
      <w:sz w:val="24"/>
      <w:lang w:val="en-US"/>
    </w:rPr>
  </w:style>
  <w:style w:type="paragraph" w:customStyle="1" w:styleId="IH">
    <w:name w:val="IH"/>
    <w:aliases w:val="Interpretation heading"/>
    <w:basedOn w:val="Normal"/>
    <w:next w:val="Normal"/>
    <w:rsid w:val="00825146"/>
    <w:pPr>
      <w:keepNext/>
      <w:spacing w:before="480"/>
      <w:ind w:left="964" w:hanging="964"/>
    </w:pPr>
    <w:rPr>
      <w:rFonts w:ascii="Arial" w:hAnsi="Arial"/>
      <w:b/>
      <w:szCs w:val="24"/>
      <w:lang w:eastAsia="en-US"/>
    </w:rPr>
  </w:style>
  <w:style w:type="paragraph" w:customStyle="1" w:styleId="ASref">
    <w:name w:val="AS ref"/>
    <w:basedOn w:val="Normal"/>
    <w:next w:val="Normal"/>
    <w:rsid w:val="00825146"/>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5146"/>
  </w:style>
  <w:style w:type="paragraph" w:customStyle="1" w:styleId="Non-numberedchapterheading">
    <w:name w:val="Non-numbered chapter heading"/>
    <w:basedOn w:val="Heading5"/>
    <w:rsid w:val="002D6F97"/>
    <w:pPr>
      <w:keepLines/>
      <w:spacing w:before="120" w:after="120" w:line="288" w:lineRule="auto"/>
      <w:ind w:left="360" w:hanging="360"/>
      <w:contextualSpacing/>
    </w:pPr>
    <w:rPr>
      <w:rFonts w:ascii="Trebuchet MS" w:hAnsi="Trebuchet MS"/>
      <w:sz w:val="24"/>
      <w:szCs w:val="22"/>
      <w:lang w:eastAsia="en-US"/>
    </w:rPr>
  </w:style>
  <w:style w:type="paragraph" w:customStyle="1" w:styleId="Normaltext">
    <w:name w:val="Normal text"/>
    <w:basedOn w:val="BodyText"/>
    <w:rsid w:val="002D6F97"/>
    <w:pPr>
      <w:numPr>
        <w:numId w:val="36"/>
      </w:numPr>
      <w:spacing w:after="240"/>
      <w:jc w:val="both"/>
    </w:pPr>
    <w:rPr>
      <w:b w:val="0"/>
      <w:lang w:val="en-AU"/>
    </w:rPr>
  </w:style>
  <w:style w:type="character" w:customStyle="1" w:styleId="CommentTextChar">
    <w:name w:val="Comment Text Char"/>
    <w:basedOn w:val="DefaultParagraphFont"/>
    <w:link w:val="CommentText"/>
    <w:uiPriority w:val="99"/>
    <w:rsid w:val="002D6F97"/>
    <w:rPr>
      <w:rFonts w:eastAsia="Times New Roman"/>
    </w:rPr>
  </w:style>
  <w:style w:type="character" w:customStyle="1" w:styleId="FooterChar">
    <w:name w:val="Footer Char"/>
    <w:basedOn w:val="DefaultParagraphFont"/>
    <w:link w:val="Footer"/>
    <w:uiPriority w:val="99"/>
    <w:rsid w:val="00587413"/>
    <w:rPr>
      <w:rFonts w:eastAsia="Times New Roman"/>
      <w:sz w:val="24"/>
    </w:rPr>
  </w:style>
  <w:style w:type="paragraph" w:customStyle="1" w:styleId="Bullet">
    <w:name w:val="Bullet"/>
    <w:basedOn w:val="Normal"/>
    <w:rsid w:val="00440E4D"/>
    <w:pPr>
      <w:numPr>
        <w:numId w:val="44"/>
      </w:numPr>
      <w:tabs>
        <w:tab w:val="left" w:pos="1935"/>
      </w:tabs>
      <w:spacing w:before="120"/>
    </w:pPr>
  </w:style>
  <w:style w:type="character" w:customStyle="1" w:styleId="HeaderChar">
    <w:name w:val="Header Char"/>
    <w:link w:val="Header"/>
    <w:rsid w:val="00440E4D"/>
    <w:rPr>
      <w:rFonts w:eastAsia="Times New Roman"/>
      <w:sz w:val="24"/>
    </w:rPr>
  </w:style>
  <w:style w:type="paragraph" w:customStyle="1" w:styleId="paragraph">
    <w:name w:val="paragraph"/>
    <w:basedOn w:val="Normal"/>
    <w:rsid w:val="00304DBE"/>
    <w:pPr>
      <w:spacing w:before="100" w:beforeAutospacing="1" w:after="100" w:afterAutospacing="1"/>
    </w:pPr>
    <w:rPr>
      <w:szCs w:val="24"/>
    </w:rPr>
  </w:style>
  <w:style w:type="character" w:customStyle="1" w:styleId="normaltextrun">
    <w:name w:val="normaltextrun"/>
    <w:basedOn w:val="DefaultParagraphFont"/>
    <w:rsid w:val="00304DBE"/>
  </w:style>
  <w:style w:type="character" w:customStyle="1" w:styleId="eop">
    <w:name w:val="eop"/>
    <w:basedOn w:val="DefaultParagraphFont"/>
    <w:rsid w:val="00304DBE"/>
  </w:style>
  <w:style w:type="paragraph" w:styleId="TOCHeading">
    <w:name w:val="TOC Heading"/>
    <w:basedOn w:val="Heading1"/>
    <w:next w:val="Normal"/>
    <w:uiPriority w:val="39"/>
    <w:unhideWhenUsed/>
    <w:qFormat/>
    <w:rsid w:val="006F2F4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3L00971/asmade/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Vasili Pirozek</DisplayName>
        <AccountId>338</AccountId>
        <AccountType/>
      </UserInfo>
      <UserInfo>
        <DisplayName>Kara Hooper</DisplayName>
        <AccountId>23</AccountId>
        <AccountType/>
      </UserInfo>
      <UserInfo>
        <DisplayName>Sarah Brodie</DisplayName>
        <AccountId>319</AccountId>
        <AccountType/>
      </UserInfo>
      <UserInfo>
        <DisplayName>Benjamin Fogwell</DisplayName>
        <AccountId>80</AccountId>
        <AccountType/>
      </UserInfo>
      <UserInfo>
        <DisplayName>Pankaj Srinivasan</DisplayName>
        <AccountId>321</AccountId>
        <AccountType/>
      </UserInfo>
      <UserInfo>
        <DisplayName>David Jenkins</DisplayName>
        <AccountId>36</AccountId>
        <AccountType/>
      </UserInfo>
      <UserInfo>
        <DisplayName>Kamran Abidi</DisplayName>
        <AccountId>358</AccountId>
        <AccountType/>
      </UserInfo>
      <UserInfo>
        <DisplayName>Robert Sharma</DisplayName>
        <AccountId>37</AccountId>
        <AccountType/>
      </UserInfo>
      <UserInfo>
        <DisplayName>Cindy Wang</DisplayName>
        <AccountId>564</AccountId>
        <AccountType/>
      </UserInfo>
      <UserInfo>
        <DisplayName>Vicky Kim</DisplayName>
        <AccountId>347</AccountId>
        <AccountType/>
      </UserInfo>
      <UserInfo>
        <DisplayName>Jack Hargreaves</DisplayName>
        <AccountId>570</AccountId>
        <AccountType/>
      </UserInfo>
      <UserInfo>
        <DisplayName>Ashley Toh</DisplayName>
        <AccountId>413</AccountId>
        <AccountType/>
      </UserInfo>
      <UserInfo>
        <DisplayName>Zoe Cox</DisplayName>
        <AccountId>518</AccountId>
        <AccountType/>
      </UserInfo>
      <UserInfo>
        <DisplayName>Chester Lee</DisplayName>
        <AccountId>89</AccountId>
        <AccountType/>
      </UserInfo>
    </SharedWithUsers>
    <TaxCatchAll xmlns="92a8a7e8-49a1-4017-acf0-0edc7cce208b">
      <Value>132</Value>
      <Value>52</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CB8D1C96-914C-4BAE-9AA8-9BD4D0F23754}">
  <ds:schemaRefs>
    <ds:schemaRef ds:uri="http://schemas.openxmlformats.org/officeDocument/2006/bibliography"/>
  </ds:schemaRefs>
</ds:datastoreItem>
</file>

<file path=customXml/itemProps2.xml><?xml version="1.0" encoding="utf-8"?>
<ds:datastoreItem xmlns:ds="http://schemas.openxmlformats.org/officeDocument/2006/customXml" ds:itemID="{0BCDA825-5AD6-4421-B64B-6830492AF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240EF-B400-45FC-BE24-D55694D4648A}">
  <ds:schemaRefs>
    <ds:schemaRef ds:uri="http://schemas.microsoft.com/sharepoint/v3/contenttype/forms"/>
  </ds:schemaRefs>
</ds:datastoreItem>
</file>

<file path=customXml/itemProps4.xml><?xml version="1.0" encoding="utf-8"?>
<ds:datastoreItem xmlns:ds="http://schemas.openxmlformats.org/officeDocument/2006/customXml" ds:itemID="{60E095C8-8FBE-4CE8-B9E8-36A6B91C4E3F}">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9530295-9eea-494d-b82a-9ff74409eafc"/>
    <ds:schemaRef ds:uri="5664482d-1961-4d38-bfc2-b109b3418834"/>
    <ds:schemaRef ds:uri="http://schemas.microsoft.com/office/2006/metadata/properties"/>
    <ds:schemaRef ds:uri="http://purl.org/dc/terms/"/>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5421</Words>
  <Characters>28791</Characters>
  <Application>Microsoft Office Word</Application>
  <DocSecurity>0</DocSecurity>
  <Lines>648</Lines>
  <Paragraphs>337</Paragraphs>
  <ScaleCrop>false</ScaleCrop>
  <LinksUpToDate>false</LinksUpToDate>
  <CharactersWithSpaces>34059</CharactersWithSpaces>
  <SharedDoc>false</SharedDoc>
  <HLinks>
    <vt:vector size="108" baseType="variant">
      <vt:variant>
        <vt:i4>1179711</vt:i4>
      </vt:variant>
      <vt:variant>
        <vt:i4>98</vt:i4>
      </vt:variant>
      <vt:variant>
        <vt:i4>0</vt:i4>
      </vt:variant>
      <vt:variant>
        <vt:i4>5</vt:i4>
      </vt:variant>
      <vt:variant>
        <vt:lpwstr/>
      </vt:variant>
      <vt:variant>
        <vt:lpwstr>_Toc158624422</vt:lpwstr>
      </vt:variant>
      <vt:variant>
        <vt:i4>1179711</vt:i4>
      </vt:variant>
      <vt:variant>
        <vt:i4>92</vt:i4>
      </vt:variant>
      <vt:variant>
        <vt:i4>0</vt:i4>
      </vt:variant>
      <vt:variant>
        <vt:i4>5</vt:i4>
      </vt:variant>
      <vt:variant>
        <vt:lpwstr/>
      </vt:variant>
      <vt:variant>
        <vt:lpwstr>_Toc158624421</vt:lpwstr>
      </vt:variant>
      <vt:variant>
        <vt:i4>1179711</vt:i4>
      </vt:variant>
      <vt:variant>
        <vt:i4>86</vt:i4>
      </vt:variant>
      <vt:variant>
        <vt:i4>0</vt:i4>
      </vt:variant>
      <vt:variant>
        <vt:i4>5</vt:i4>
      </vt:variant>
      <vt:variant>
        <vt:lpwstr/>
      </vt:variant>
      <vt:variant>
        <vt:lpwstr>_Toc158624420</vt:lpwstr>
      </vt:variant>
      <vt:variant>
        <vt:i4>1114175</vt:i4>
      </vt:variant>
      <vt:variant>
        <vt:i4>80</vt:i4>
      </vt:variant>
      <vt:variant>
        <vt:i4>0</vt:i4>
      </vt:variant>
      <vt:variant>
        <vt:i4>5</vt:i4>
      </vt:variant>
      <vt:variant>
        <vt:lpwstr/>
      </vt:variant>
      <vt:variant>
        <vt:lpwstr>_Toc158624410</vt:lpwstr>
      </vt:variant>
      <vt:variant>
        <vt:i4>1048639</vt:i4>
      </vt:variant>
      <vt:variant>
        <vt:i4>74</vt:i4>
      </vt:variant>
      <vt:variant>
        <vt:i4>0</vt:i4>
      </vt:variant>
      <vt:variant>
        <vt:i4>5</vt:i4>
      </vt:variant>
      <vt:variant>
        <vt:lpwstr/>
      </vt:variant>
      <vt:variant>
        <vt:lpwstr>_Toc158624409</vt:lpwstr>
      </vt:variant>
      <vt:variant>
        <vt:i4>1048639</vt:i4>
      </vt:variant>
      <vt:variant>
        <vt:i4>68</vt:i4>
      </vt:variant>
      <vt:variant>
        <vt:i4>0</vt:i4>
      </vt:variant>
      <vt:variant>
        <vt:i4>5</vt:i4>
      </vt:variant>
      <vt:variant>
        <vt:lpwstr/>
      </vt:variant>
      <vt:variant>
        <vt:lpwstr>_Toc158624408</vt:lpwstr>
      </vt:variant>
      <vt:variant>
        <vt:i4>1048639</vt:i4>
      </vt:variant>
      <vt:variant>
        <vt:i4>62</vt:i4>
      </vt:variant>
      <vt:variant>
        <vt:i4>0</vt:i4>
      </vt:variant>
      <vt:variant>
        <vt:i4>5</vt:i4>
      </vt:variant>
      <vt:variant>
        <vt:lpwstr/>
      </vt:variant>
      <vt:variant>
        <vt:lpwstr>_Toc158624407</vt:lpwstr>
      </vt:variant>
      <vt:variant>
        <vt:i4>1048639</vt:i4>
      </vt:variant>
      <vt:variant>
        <vt:i4>56</vt:i4>
      </vt:variant>
      <vt:variant>
        <vt:i4>0</vt:i4>
      </vt:variant>
      <vt:variant>
        <vt:i4>5</vt:i4>
      </vt:variant>
      <vt:variant>
        <vt:lpwstr/>
      </vt:variant>
      <vt:variant>
        <vt:lpwstr>_Toc158624406</vt:lpwstr>
      </vt:variant>
      <vt:variant>
        <vt:i4>1048639</vt:i4>
      </vt:variant>
      <vt:variant>
        <vt:i4>50</vt:i4>
      </vt:variant>
      <vt:variant>
        <vt:i4>0</vt:i4>
      </vt:variant>
      <vt:variant>
        <vt:i4>5</vt:i4>
      </vt:variant>
      <vt:variant>
        <vt:lpwstr/>
      </vt:variant>
      <vt:variant>
        <vt:lpwstr>_Toc158624405</vt:lpwstr>
      </vt:variant>
      <vt:variant>
        <vt:i4>1048639</vt:i4>
      </vt:variant>
      <vt:variant>
        <vt:i4>44</vt:i4>
      </vt:variant>
      <vt:variant>
        <vt:i4>0</vt:i4>
      </vt:variant>
      <vt:variant>
        <vt:i4>5</vt:i4>
      </vt:variant>
      <vt:variant>
        <vt:lpwstr/>
      </vt:variant>
      <vt:variant>
        <vt:lpwstr>_Toc158624404</vt:lpwstr>
      </vt:variant>
      <vt:variant>
        <vt:i4>1048639</vt:i4>
      </vt:variant>
      <vt:variant>
        <vt:i4>38</vt:i4>
      </vt:variant>
      <vt:variant>
        <vt:i4>0</vt:i4>
      </vt:variant>
      <vt:variant>
        <vt:i4>5</vt:i4>
      </vt:variant>
      <vt:variant>
        <vt:lpwstr/>
      </vt:variant>
      <vt:variant>
        <vt:lpwstr>_Toc158624403</vt:lpwstr>
      </vt:variant>
      <vt:variant>
        <vt:i4>1048639</vt:i4>
      </vt:variant>
      <vt:variant>
        <vt:i4>32</vt:i4>
      </vt:variant>
      <vt:variant>
        <vt:i4>0</vt:i4>
      </vt:variant>
      <vt:variant>
        <vt:i4>5</vt:i4>
      </vt:variant>
      <vt:variant>
        <vt:lpwstr/>
      </vt:variant>
      <vt:variant>
        <vt:lpwstr>_Toc158624402</vt:lpwstr>
      </vt:variant>
      <vt:variant>
        <vt:i4>1048639</vt:i4>
      </vt:variant>
      <vt:variant>
        <vt:i4>26</vt:i4>
      </vt:variant>
      <vt:variant>
        <vt:i4>0</vt:i4>
      </vt:variant>
      <vt:variant>
        <vt:i4>5</vt:i4>
      </vt:variant>
      <vt:variant>
        <vt:lpwstr/>
      </vt:variant>
      <vt:variant>
        <vt:lpwstr>_Toc158624401</vt:lpwstr>
      </vt:variant>
      <vt:variant>
        <vt:i4>1048639</vt:i4>
      </vt:variant>
      <vt:variant>
        <vt:i4>20</vt:i4>
      </vt:variant>
      <vt:variant>
        <vt:i4>0</vt:i4>
      </vt:variant>
      <vt:variant>
        <vt:i4>5</vt:i4>
      </vt:variant>
      <vt:variant>
        <vt:lpwstr/>
      </vt:variant>
      <vt:variant>
        <vt:lpwstr>_Toc158624400</vt:lpwstr>
      </vt:variant>
      <vt:variant>
        <vt:i4>1638456</vt:i4>
      </vt:variant>
      <vt:variant>
        <vt:i4>14</vt:i4>
      </vt:variant>
      <vt:variant>
        <vt:i4>0</vt:i4>
      </vt:variant>
      <vt:variant>
        <vt:i4>5</vt:i4>
      </vt:variant>
      <vt:variant>
        <vt:lpwstr/>
      </vt:variant>
      <vt:variant>
        <vt:lpwstr>_Toc158624399</vt:lpwstr>
      </vt:variant>
      <vt:variant>
        <vt:i4>1638456</vt:i4>
      </vt:variant>
      <vt:variant>
        <vt:i4>8</vt:i4>
      </vt:variant>
      <vt:variant>
        <vt:i4>0</vt:i4>
      </vt:variant>
      <vt:variant>
        <vt:i4>5</vt:i4>
      </vt:variant>
      <vt:variant>
        <vt:lpwstr/>
      </vt:variant>
      <vt:variant>
        <vt:lpwstr>_Toc158624398</vt:lpwstr>
      </vt:variant>
      <vt:variant>
        <vt:i4>1638456</vt:i4>
      </vt:variant>
      <vt:variant>
        <vt:i4>2</vt:i4>
      </vt:variant>
      <vt:variant>
        <vt:i4>0</vt:i4>
      </vt:variant>
      <vt:variant>
        <vt:i4>5</vt:i4>
      </vt:variant>
      <vt:variant>
        <vt:lpwstr/>
      </vt:variant>
      <vt:variant>
        <vt:lpwstr>_Toc158624397</vt:lpwstr>
      </vt:variant>
      <vt:variant>
        <vt:i4>2228286</vt:i4>
      </vt:variant>
      <vt:variant>
        <vt:i4>3</vt:i4>
      </vt:variant>
      <vt:variant>
        <vt:i4>0</vt:i4>
      </vt:variant>
      <vt:variant>
        <vt:i4>5</vt:i4>
      </vt:variant>
      <vt:variant>
        <vt:lpwstr>https://www.legislation.gov.au/F2023L00971/asmade/text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2024-07-12T02:26:00Z</dcterms:created>
  <dcterms:modified xsi:type="dcterms:W3CDTF">2024-07-12T05:38:00Z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F5785BF4EE3B4D069A559D71246DCE27</vt:lpwstr>
  </property>
  <property fmtid="{D5CDD505-2E9C-101B-9397-08002B2CF9AE}" pid="14" name="PM_OriginationTimeStamp">
    <vt:lpwstr>2024-02-07T21:54:25Z</vt:lpwstr>
  </property>
  <property fmtid="{D5CDD505-2E9C-101B-9397-08002B2CF9AE}" pid="15" name="PM_Hash_Version">
    <vt:lpwstr>2022.1</vt:lpwstr>
  </property>
  <property fmtid="{D5CDD505-2E9C-101B-9397-08002B2CF9AE}" pid="16" name="ContentTypeId">
    <vt:lpwstr>0x01010080D163DB4DEE504FAB457909715FEC45</vt:lpwstr>
  </property>
  <property fmtid="{D5CDD505-2E9C-101B-9397-08002B2CF9AE}" pid="17" name="APRAPeriod">
    <vt:lpwstr/>
  </property>
  <property fmtid="{D5CDD505-2E9C-101B-9397-08002B2CF9AE}" pid="18" name="APRAYear">
    <vt:lpwstr>228;#2019|7f488d12-1aa7-4fe3-8821-bfe8262e80d0</vt:lpwstr>
  </property>
  <property fmtid="{D5CDD505-2E9C-101B-9397-08002B2CF9AE}" pid="19" name="APRAIndustry">
    <vt:lpwstr/>
  </property>
  <property fmtid="{D5CDD505-2E9C-101B-9397-08002B2CF9AE}" pid="20" name="APRACategory">
    <vt:lpwstr/>
  </property>
  <property fmtid="{D5CDD505-2E9C-101B-9397-08002B2CF9AE}" pid="21" name="APRAPRSG">
    <vt:lpwstr/>
  </property>
  <property fmtid="{D5CDD505-2E9C-101B-9397-08002B2CF9AE}" pid="22" name="_dlc_DocIdItemGuid">
    <vt:lpwstr>e7a483a2-fc5e-4b36-a0b4-0be0ee1a6ca9</vt:lpwstr>
  </property>
  <property fmtid="{D5CDD505-2E9C-101B-9397-08002B2CF9AE}" pid="23" name="IsLocked">
    <vt:lpwstr>Yes</vt:lpwstr>
  </property>
  <property fmtid="{D5CDD505-2E9C-101B-9397-08002B2CF9AE}" pid="24"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25" name="IT system type">
    <vt:lpwstr/>
  </property>
  <property fmtid="{D5CDD505-2E9C-101B-9397-08002B2CF9AE}" pid="26" name="APRADocumentType">
    <vt:lpwstr>52;#Prudential standard|6ce5a155-9ab2-41e3-9b2a-5baab4b7f1d1</vt:lpwstr>
  </property>
  <property fmtid="{D5CDD505-2E9C-101B-9397-08002B2CF9AE}" pid="27" name="APRAStatus">
    <vt:lpwstr>1;#Draft|0e1556d2-3fe8-443a-ada7-3620563b46b3</vt:lpwstr>
  </property>
  <property fmtid="{D5CDD505-2E9C-101B-9397-08002B2CF9AE}" pid="28" name="APRAActivity">
    <vt:lpwstr>132;#Prudential standard development|fbeb3364-1425-47e2-8200-3b7f3a245dfe</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{8519a14e-5c73-4f9a-a3a9-27c320967c41}</vt:lpwstr>
  </property>
  <property fmtid="{D5CDD505-2E9C-101B-9397-08002B2CF9AE}" pid="35" name="RecordPoint_ActiveItemSiteId">
    <vt:lpwstr>{2cada49c-ae30-40b5-bba4-93d447100c6c}</vt:lpwstr>
  </property>
  <property fmtid="{D5CDD505-2E9C-101B-9397-08002B2CF9AE}" pid="36" name="RecordPoint_ActiveItemListId">
    <vt:lpwstr>{697db2ba-7734-4e83-9523-7ac0d89b7c37}</vt:lpwstr>
  </property>
  <property fmtid="{D5CDD505-2E9C-101B-9397-08002B2CF9AE}" pid="37" name="RecordPoint_ActiveItemUniqueId">
    <vt:lpwstr>{a62a68fc-8e9c-4a80-9ef4-a41e04c88720}</vt:lpwstr>
  </property>
  <property fmtid="{D5CDD505-2E9C-101B-9397-08002B2CF9AE}" pid="38" name="RecordPoint_RecordNumberSubmitted">
    <vt:lpwstr>R0000521573</vt:lpwstr>
  </property>
  <property fmtid="{D5CDD505-2E9C-101B-9397-08002B2CF9AE}" pid="39" name="RecordPoint_SubmissionCompleted">
    <vt:lpwstr>2019-04-18T17:19:30.1034885+10:00</vt:lpwstr>
  </property>
  <property fmtid="{D5CDD505-2E9C-101B-9397-08002B2CF9AE}" pid="40" name="MSIP_Label_c0129afb-6481-4f92-bc9f-5a4a6346364d_Method">
    <vt:lpwstr>Privileged</vt:lpwstr>
  </property>
  <property fmtid="{D5CDD505-2E9C-101B-9397-08002B2CF9AE}" pid="41" name="MSIP_Label_c0129afb-6481-4f92-bc9f-5a4a6346364d_SetDate">
    <vt:lpwstr>2024-02-07T21:54:25Z</vt:lpwstr>
  </property>
  <property fmtid="{D5CDD505-2E9C-101B-9397-08002B2CF9AE}" pid="42" name="PM_Note">
    <vt:lpwstr/>
  </property>
  <property fmtid="{D5CDD505-2E9C-101B-9397-08002B2CF9AE}" pid="43" name="PM_Markers">
    <vt:lpwstr/>
  </property>
  <property fmtid="{D5CDD505-2E9C-101B-9397-08002B2CF9AE}" pid="44" name="MSIP_Label_c0129afb-6481-4f92-bc9f-5a4a6346364d_Name">
    <vt:lpwstr>OFFICIAL</vt:lpwstr>
  </property>
  <property fmtid="{D5CDD505-2E9C-101B-9397-08002B2CF9AE}" pid="45" name="MSIP_Label_c0129afb-6481-4f92-bc9f-5a4a6346364d_SiteId">
    <vt:lpwstr>c05e3ffd-b491-4431-9809-e61d4dc78816</vt:lpwstr>
  </property>
  <property fmtid="{D5CDD505-2E9C-101B-9397-08002B2CF9AE}" pid="46" name="MSIP_Label_c0129afb-6481-4f92-bc9f-5a4a6346364d_ContentBits">
    <vt:lpwstr>0</vt:lpwstr>
  </property>
  <property fmtid="{D5CDD505-2E9C-101B-9397-08002B2CF9AE}" pid="47" name="MSIP_Label_c0129afb-6481-4f92-bc9f-5a4a6346364d_Enabled">
    <vt:lpwstr>true</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Display">
    <vt:lpwstr>OFFICIAL</vt:lpwstr>
  </property>
  <property fmtid="{D5CDD505-2E9C-101B-9397-08002B2CF9AE}" pid="51" name="PM_OriginatorDomainName_SHA256">
    <vt:lpwstr>ECBDE2B44A971754412B3FB70606937A119CC0D4B6C1B658A40FBD41C30BE3EC</vt:lpwstr>
  </property>
  <property fmtid="{D5CDD505-2E9C-101B-9397-08002B2CF9AE}" pid="52" name="PMUuid">
    <vt:lpwstr>v=2022.2;d=gov.au;g=46DD6D7C-8107-577B-BC6E-F348953B2E44</vt:lpwstr>
  </property>
  <property fmtid="{D5CDD505-2E9C-101B-9397-08002B2CF9AE}" pid="53" name="MediaServiceImageTags">
    <vt:lpwstr/>
  </property>
  <property fmtid="{D5CDD505-2E9C-101B-9397-08002B2CF9AE}" pid="54" name="PM_Originator_Hash_SHA1">
    <vt:lpwstr>C3AD57350F36D8E1BD75F8F67CB06D435C9C43CA</vt:lpwstr>
  </property>
  <property fmtid="{D5CDD505-2E9C-101B-9397-08002B2CF9AE}" pid="55" name="PM_OriginatorUserAccountName_SHA256">
    <vt:lpwstr>6E3018F28A186D2E5FF5207C041E7A82E907C3008E071057026A53705873B72E</vt:lpwstr>
  </property>
  <property fmtid="{D5CDD505-2E9C-101B-9397-08002B2CF9AE}" pid="56" name="PMHMAC">
    <vt:lpwstr>v=2022.1;a=SHA256;h=129E4A5A3080024905F1E834AC766523D771E4A33D4267570811FA158B646E28</vt:lpwstr>
  </property>
  <property fmtid="{D5CDD505-2E9C-101B-9397-08002B2CF9AE}" pid="57" name="PM_Hash_Salt_Prev">
    <vt:lpwstr>004F4FB8AD32318D7F07AF14BB86ACE8</vt:lpwstr>
  </property>
  <property fmtid="{D5CDD505-2E9C-101B-9397-08002B2CF9AE}" pid="58" name="PM_Hash_SHA1">
    <vt:lpwstr>572B13EA8F6912F6E9E8B72178E20BC00768F635</vt:lpwstr>
  </property>
  <property fmtid="{D5CDD505-2E9C-101B-9397-08002B2CF9AE}" pid="59" name="PM_Hash_Salt">
    <vt:lpwstr>FAF0B8BE2B1C57A9D2A37F48D3CECECB</vt:lpwstr>
  </property>
  <property fmtid="{D5CDD505-2E9C-101B-9397-08002B2CF9AE}" pid="60" name="MSIP_Label_c0129afb-6481-4f92-bc9f-5a4a6346364d_ActionId">
    <vt:lpwstr>fbd499af969f45998a122707ab935deb</vt:lpwstr>
  </property>
</Properties>
</file>