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9CA03" w14:textId="77777777" w:rsidR="00D05FEB" w:rsidRPr="009D7EB6" w:rsidRDefault="00D05FEB" w:rsidP="008E03DA">
      <w:pPr>
        <w:rPr>
          <w:rFonts w:ascii="Arial" w:hAnsi="Arial" w:cs="Arial"/>
        </w:rPr>
      </w:pPr>
      <w:bookmarkStart w:id="0" w:name="_Hlk134610298"/>
      <w:r w:rsidRPr="009D7EB6">
        <w:rPr>
          <w:rFonts w:ascii="Arial" w:hAnsi="Arial" w:cs="Arial"/>
          <w:noProof/>
        </w:rPr>
        <w:drawing>
          <wp:inline distT="0" distB="0" distL="0" distR="0" wp14:anchorId="3E5C2728" wp14:editId="21F43664">
            <wp:extent cx="1419225" cy="1104900"/>
            <wp:effectExtent l="0" t="0" r="9525" b="0"/>
            <wp:docPr id="6" name="Picture 6"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mmonwealth Coat of A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50F79ED2" w14:textId="77777777" w:rsidR="00D05FEB" w:rsidRDefault="00D05FEB" w:rsidP="008E03DA">
      <w:pPr>
        <w:pStyle w:val="Title"/>
        <w:spacing w:before="240" w:after="0"/>
        <w:jc w:val="both"/>
        <w:rPr>
          <w:rFonts w:ascii="Arial" w:hAnsi="Arial" w:cs="Arial"/>
          <w:color w:val="000000"/>
          <w:sz w:val="32"/>
          <w:szCs w:val="32"/>
        </w:rPr>
      </w:pPr>
      <w:r w:rsidRPr="00F441B1">
        <w:rPr>
          <w:rFonts w:ascii="Arial" w:hAnsi="Arial" w:cs="Arial"/>
          <w:color w:val="000000"/>
          <w:sz w:val="32"/>
          <w:szCs w:val="32"/>
        </w:rPr>
        <w:t>Life Insurance (prudential standard) determination</w:t>
      </w:r>
    </w:p>
    <w:p w14:paraId="4694ADF0" w14:textId="639AB951" w:rsidR="00D05FEB" w:rsidRDefault="00D05FEB" w:rsidP="008E03DA">
      <w:pPr>
        <w:pStyle w:val="Title"/>
        <w:spacing w:before="240" w:after="0"/>
        <w:jc w:val="both"/>
        <w:rPr>
          <w:rFonts w:ascii="Arial" w:hAnsi="Arial" w:cs="Arial"/>
          <w:color w:val="000000"/>
          <w:sz w:val="32"/>
          <w:szCs w:val="32"/>
        </w:rPr>
      </w:pPr>
      <w:r w:rsidRPr="341CF9CD">
        <w:rPr>
          <w:rFonts w:ascii="Arial" w:hAnsi="Arial" w:cs="Arial"/>
          <w:color w:val="000000" w:themeColor="text2"/>
          <w:sz w:val="32"/>
          <w:szCs w:val="32"/>
        </w:rPr>
        <w:t xml:space="preserve">No. </w:t>
      </w:r>
      <w:r w:rsidR="5492E27E" w:rsidRPr="341CF9CD">
        <w:rPr>
          <w:rFonts w:ascii="Arial" w:hAnsi="Arial" w:cs="Arial"/>
          <w:color w:val="000000" w:themeColor="text2"/>
          <w:sz w:val="32"/>
          <w:szCs w:val="32"/>
        </w:rPr>
        <w:t>2</w:t>
      </w:r>
      <w:r w:rsidRPr="341CF9CD">
        <w:rPr>
          <w:rFonts w:ascii="Arial" w:hAnsi="Arial" w:cs="Arial"/>
          <w:color w:val="000000" w:themeColor="text2"/>
          <w:sz w:val="32"/>
          <w:szCs w:val="32"/>
        </w:rPr>
        <w:t xml:space="preserve"> of 202</w:t>
      </w:r>
      <w:r w:rsidR="003A5503" w:rsidRPr="341CF9CD">
        <w:rPr>
          <w:rFonts w:ascii="Arial" w:hAnsi="Arial" w:cs="Arial"/>
          <w:color w:val="000000" w:themeColor="text2"/>
          <w:sz w:val="32"/>
          <w:szCs w:val="32"/>
        </w:rPr>
        <w:t>4</w:t>
      </w:r>
    </w:p>
    <w:p w14:paraId="50E1AD3F" w14:textId="77777777" w:rsidR="00D05FEB" w:rsidRDefault="00D05FEB" w:rsidP="008E03DA">
      <w:pPr>
        <w:pStyle w:val="ActTitle"/>
        <w:spacing w:before="240"/>
        <w:rPr>
          <w:rFonts w:eastAsia="Calibri" w:cs="Arial"/>
          <w:b/>
          <w:i w:val="0"/>
          <w:iCs w:val="0"/>
          <w:color w:val="000000"/>
          <w:szCs w:val="28"/>
        </w:rPr>
      </w:pPr>
      <w:r w:rsidRPr="0013009B">
        <w:rPr>
          <w:rFonts w:eastAsia="Calibri" w:cs="Arial"/>
          <w:b/>
          <w:i w:val="0"/>
          <w:iCs w:val="0"/>
          <w:color w:val="000000"/>
          <w:szCs w:val="28"/>
        </w:rPr>
        <w:t>Prudential Standard LPS 117 Capital Adequacy: Asset Concentration Risk Charge</w:t>
      </w:r>
    </w:p>
    <w:p w14:paraId="7CC03AA7" w14:textId="77777777" w:rsidR="00D05FEB" w:rsidRPr="00C60305" w:rsidRDefault="00D05FEB" w:rsidP="008E03DA">
      <w:pPr>
        <w:pStyle w:val="ActTitle"/>
        <w:spacing w:before="240"/>
        <w:rPr>
          <w:rFonts w:cs="Arial"/>
          <w:color w:val="000000"/>
        </w:rPr>
      </w:pPr>
      <w:r w:rsidRPr="00F441B1">
        <w:rPr>
          <w:rFonts w:cs="Arial"/>
          <w:color w:val="000000"/>
        </w:rPr>
        <w:t>Life Insurance Act 1995</w:t>
      </w:r>
    </w:p>
    <w:p w14:paraId="759700AA" w14:textId="42A6D802" w:rsidR="00D05FEB" w:rsidRPr="00D35BDD" w:rsidRDefault="00D05FEB" w:rsidP="008E03DA">
      <w:pPr>
        <w:pStyle w:val="IntroTo"/>
        <w:spacing w:before="100" w:beforeAutospacing="1" w:after="240"/>
        <w:jc w:val="both"/>
        <w:rPr>
          <w:rFonts w:ascii="Arial" w:hAnsi="Arial" w:cs="Arial"/>
          <w:color w:val="000000"/>
          <w:sz w:val="22"/>
          <w:szCs w:val="22"/>
        </w:rPr>
      </w:pPr>
      <w:r w:rsidRPr="00D35BDD">
        <w:rPr>
          <w:rFonts w:ascii="Arial" w:hAnsi="Arial" w:cs="Arial"/>
          <w:sz w:val="22"/>
          <w:szCs w:val="22"/>
        </w:rPr>
        <w:t xml:space="preserve">I, </w:t>
      </w:r>
      <w:r w:rsidR="001D3886">
        <w:rPr>
          <w:rFonts w:ascii="Arial" w:hAnsi="Arial" w:cs="Arial"/>
          <w:sz w:val="22"/>
          <w:szCs w:val="22"/>
        </w:rPr>
        <w:t>Clare Gibney</w:t>
      </w:r>
      <w:r w:rsidRPr="00D35BDD">
        <w:rPr>
          <w:rFonts w:ascii="Arial" w:hAnsi="Arial" w:cs="Arial"/>
          <w:sz w:val="22"/>
          <w:szCs w:val="22"/>
        </w:rPr>
        <w:t>, a delegate of APRA:</w:t>
      </w:r>
    </w:p>
    <w:p w14:paraId="3D017E75" w14:textId="64C7BA38" w:rsidR="00D05FEB" w:rsidRPr="00D35BDD" w:rsidRDefault="00D05FEB" w:rsidP="00D05FEB">
      <w:pPr>
        <w:pStyle w:val="ListParagraph"/>
        <w:numPr>
          <w:ilvl w:val="0"/>
          <w:numId w:val="49"/>
        </w:numPr>
        <w:tabs>
          <w:tab w:val="left" w:pos="567"/>
        </w:tabs>
        <w:spacing w:before="100" w:beforeAutospacing="1"/>
        <w:ind w:left="567" w:hanging="567"/>
        <w:rPr>
          <w:rFonts w:ascii="Arial" w:hAnsi="Arial" w:cs="Arial"/>
          <w:sz w:val="22"/>
          <w:szCs w:val="22"/>
        </w:rPr>
      </w:pPr>
      <w:r w:rsidRPr="00D35BDD">
        <w:rPr>
          <w:rFonts w:ascii="Arial" w:hAnsi="Arial" w:cs="Arial"/>
          <w:sz w:val="22"/>
          <w:szCs w:val="22"/>
        </w:rPr>
        <w:t>under subsection 230</w:t>
      </w:r>
      <w:proofErr w:type="gramStart"/>
      <w:r w:rsidRPr="00D35BDD">
        <w:rPr>
          <w:rFonts w:ascii="Arial" w:hAnsi="Arial" w:cs="Arial"/>
          <w:sz w:val="22"/>
          <w:szCs w:val="22"/>
        </w:rPr>
        <w:t>A(</w:t>
      </w:r>
      <w:proofErr w:type="gramEnd"/>
      <w:r w:rsidRPr="00D35BDD">
        <w:rPr>
          <w:rFonts w:ascii="Arial" w:hAnsi="Arial" w:cs="Arial"/>
          <w:sz w:val="22"/>
          <w:szCs w:val="22"/>
        </w:rPr>
        <w:t xml:space="preserve">5) of the </w:t>
      </w:r>
      <w:r w:rsidRPr="00D35BDD">
        <w:rPr>
          <w:rFonts w:ascii="Arial" w:hAnsi="Arial" w:cs="Arial"/>
          <w:i/>
          <w:sz w:val="22"/>
          <w:szCs w:val="22"/>
        </w:rPr>
        <w:t>Life Insurance Act 1995</w:t>
      </w:r>
      <w:r w:rsidRPr="00D35BDD">
        <w:rPr>
          <w:rFonts w:ascii="Arial" w:hAnsi="Arial" w:cs="Arial"/>
          <w:sz w:val="22"/>
          <w:szCs w:val="22"/>
        </w:rPr>
        <w:t xml:space="preserve"> (the Act) </w:t>
      </w:r>
      <w:r w:rsidR="003E1331">
        <w:rPr>
          <w:rFonts w:ascii="Arial" w:hAnsi="Arial" w:cs="Arial"/>
          <w:sz w:val="22"/>
          <w:szCs w:val="22"/>
        </w:rPr>
        <w:t>REVOKE</w:t>
      </w:r>
      <w:r w:rsidRPr="00D35BDD">
        <w:rPr>
          <w:rFonts w:ascii="Arial" w:hAnsi="Arial" w:cs="Arial"/>
          <w:sz w:val="22"/>
          <w:szCs w:val="22"/>
        </w:rPr>
        <w:t xml:space="preserve"> </w:t>
      </w:r>
      <w:r w:rsidRPr="00734BAA">
        <w:rPr>
          <w:rFonts w:ascii="Arial" w:hAnsi="Arial" w:cs="Arial"/>
          <w:i/>
          <w:sz w:val="22"/>
          <w:szCs w:val="22"/>
        </w:rPr>
        <w:t xml:space="preserve">Life Insurance (prudential standard) determination No. </w:t>
      </w:r>
      <w:r w:rsidR="00EF786E" w:rsidRPr="00734BAA">
        <w:rPr>
          <w:rFonts w:ascii="Arial" w:hAnsi="Arial" w:cs="Arial"/>
          <w:i/>
          <w:sz w:val="22"/>
          <w:szCs w:val="22"/>
        </w:rPr>
        <w:t>9</w:t>
      </w:r>
      <w:r w:rsidRPr="00734BAA">
        <w:rPr>
          <w:rFonts w:ascii="Arial" w:hAnsi="Arial" w:cs="Arial"/>
          <w:i/>
          <w:sz w:val="22"/>
          <w:szCs w:val="22"/>
        </w:rPr>
        <w:t xml:space="preserve"> of 20</w:t>
      </w:r>
      <w:r w:rsidR="00EF786E" w:rsidRPr="00734BAA">
        <w:rPr>
          <w:rFonts w:ascii="Arial" w:hAnsi="Arial" w:cs="Arial"/>
          <w:i/>
          <w:sz w:val="22"/>
          <w:szCs w:val="22"/>
        </w:rPr>
        <w:t>23</w:t>
      </w:r>
      <w:r w:rsidRPr="00D35BDD">
        <w:rPr>
          <w:rFonts w:ascii="Arial" w:hAnsi="Arial" w:cs="Arial"/>
          <w:sz w:val="22"/>
          <w:szCs w:val="22"/>
        </w:rPr>
        <w:t xml:space="preserve">, including </w:t>
      </w:r>
      <w:r w:rsidRPr="00D35BDD">
        <w:rPr>
          <w:rFonts w:ascii="Arial" w:hAnsi="Arial" w:cs="Arial"/>
          <w:i/>
          <w:sz w:val="22"/>
          <w:szCs w:val="22"/>
        </w:rPr>
        <w:t xml:space="preserve">Prudential Standard LPS 117 Capital Adequacy: Asset Concentration Risk Charge </w:t>
      </w:r>
      <w:r w:rsidRPr="00D35BDD">
        <w:rPr>
          <w:rFonts w:ascii="Arial" w:hAnsi="Arial" w:cs="Arial"/>
          <w:sz w:val="22"/>
          <w:szCs w:val="22"/>
        </w:rPr>
        <w:t xml:space="preserve">made under that </w:t>
      </w:r>
      <w:r w:rsidR="000A2609">
        <w:rPr>
          <w:rFonts w:ascii="Arial" w:hAnsi="Arial" w:cs="Arial"/>
          <w:sz w:val="22"/>
          <w:szCs w:val="22"/>
        </w:rPr>
        <w:t>determination</w:t>
      </w:r>
      <w:r w:rsidRPr="00D35BDD">
        <w:rPr>
          <w:rFonts w:ascii="Arial" w:hAnsi="Arial" w:cs="Arial"/>
          <w:sz w:val="22"/>
          <w:szCs w:val="22"/>
        </w:rPr>
        <w:t>; and</w:t>
      </w:r>
    </w:p>
    <w:p w14:paraId="7D5D1C5A" w14:textId="77777777" w:rsidR="00D05FEB" w:rsidRPr="00D35BDD" w:rsidRDefault="00D05FEB" w:rsidP="008E03DA">
      <w:pPr>
        <w:pStyle w:val="ListParagraph"/>
        <w:tabs>
          <w:tab w:val="left" w:pos="567"/>
        </w:tabs>
        <w:spacing w:before="100" w:beforeAutospacing="1" w:after="240"/>
        <w:ind w:left="567"/>
        <w:rPr>
          <w:rFonts w:ascii="Arial" w:hAnsi="Arial" w:cs="Arial"/>
          <w:sz w:val="22"/>
          <w:szCs w:val="22"/>
        </w:rPr>
      </w:pPr>
    </w:p>
    <w:p w14:paraId="78159E54" w14:textId="09D0F8A7" w:rsidR="00D05FEB" w:rsidRPr="00D35BDD" w:rsidRDefault="00D05FEB" w:rsidP="00D05FEB">
      <w:pPr>
        <w:pStyle w:val="ListParagraph"/>
        <w:numPr>
          <w:ilvl w:val="0"/>
          <w:numId w:val="49"/>
        </w:numPr>
        <w:tabs>
          <w:tab w:val="left" w:pos="567"/>
        </w:tabs>
        <w:spacing w:before="100" w:beforeAutospacing="1"/>
        <w:ind w:left="567" w:hanging="567"/>
        <w:rPr>
          <w:rFonts w:ascii="Arial" w:hAnsi="Arial" w:cs="Arial"/>
          <w:sz w:val="22"/>
          <w:szCs w:val="22"/>
        </w:rPr>
      </w:pPr>
      <w:r w:rsidRPr="00D35BDD">
        <w:rPr>
          <w:rFonts w:ascii="Arial" w:hAnsi="Arial" w:cs="Arial"/>
          <w:sz w:val="22"/>
          <w:szCs w:val="22"/>
        </w:rPr>
        <w:t>under subsection 230</w:t>
      </w:r>
      <w:proofErr w:type="gramStart"/>
      <w:r w:rsidRPr="00D35BDD">
        <w:rPr>
          <w:rFonts w:ascii="Arial" w:hAnsi="Arial" w:cs="Arial"/>
          <w:sz w:val="22"/>
          <w:szCs w:val="22"/>
        </w:rPr>
        <w:t>A(</w:t>
      </w:r>
      <w:proofErr w:type="gramEnd"/>
      <w:r w:rsidRPr="00D35BDD">
        <w:rPr>
          <w:rFonts w:ascii="Arial" w:hAnsi="Arial" w:cs="Arial"/>
          <w:sz w:val="22"/>
          <w:szCs w:val="22"/>
        </w:rPr>
        <w:t xml:space="preserve">1) of the Act </w:t>
      </w:r>
      <w:r w:rsidR="003E1331">
        <w:rPr>
          <w:rFonts w:ascii="Arial" w:hAnsi="Arial" w:cs="Arial"/>
          <w:sz w:val="22"/>
          <w:szCs w:val="22"/>
        </w:rPr>
        <w:t>DETERMINE</w:t>
      </w:r>
      <w:r w:rsidRPr="00D35BDD">
        <w:rPr>
          <w:rFonts w:ascii="Arial" w:hAnsi="Arial" w:cs="Arial"/>
          <w:sz w:val="22"/>
          <w:szCs w:val="22"/>
        </w:rPr>
        <w:t xml:space="preserve"> </w:t>
      </w:r>
      <w:r w:rsidRPr="00D35BDD">
        <w:rPr>
          <w:rFonts w:ascii="Arial" w:hAnsi="Arial" w:cs="Arial"/>
          <w:i/>
          <w:sz w:val="22"/>
          <w:szCs w:val="22"/>
        </w:rPr>
        <w:t>Prudential Standard LPS 117 Capital Adequacy: Asset Concentration Risk Charge</w:t>
      </w:r>
      <w:r w:rsidRPr="00D35BDD">
        <w:rPr>
          <w:rFonts w:ascii="Arial" w:hAnsi="Arial" w:cs="Arial"/>
          <w:sz w:val="22"/>
          <w:szCs w:val="22"/>
        </w:rPr>
        <w:t>, which applies to all life companies, including friendly societies.</w:t>
      </w:r>
    </w:p>
    <w:p w14:paraId="7068039C" w14:textId="40B1EB3E" w:rsidR="00D05FEB" w:rsidRPr="00D35BDD" w:rsidRDefault="00D05FEB" w:rsidP="008E03DA">
      <w:pPr>
        <w:spacing w:before="100" w:beforeAutospacing="1"/>
        <w:jc w:val="both"/>
        <w:rPr>
          <w:rFonts w:ascii="Arial" w:hAnsi="Arial" w:cs="Arial"/>
          <w:sz w:val="22"/>
          <w:szCs w:val="22"/>
        </w:rPr>
      </w:pPr>
      <w:r w:rsidRPr="00D35BDD">
        <w:rPr>
          <w:rFonts w:ascii="Arial" w:hAnsi="Arial" w:cs="Arial"/>
          <w:sz w:val="22"/>
          <w:szCs w:val="22"/>
        </w:rPr>
        <w:t xml:space="preserve">This instrument commences on 1 </w:t>
      </w:r>
      <w:r w:rsidR="00815BEB">
        <w:rPr>
          <w:rFonts w:ascii="Arial" w:hAnsi="Arial" w:cs="Arial"/>
          <w:sz w:val="22"/>
          <w:szCs w:val="22"/>
        </w:rPr>
        <w:t>October 2024</w:t>
      </w:r>
      <w:r w:rsidRPr="00D35BDD">
        <w:rPr>
          <w:rFonts w:ascii="Arial" w:hAnsi="Arial" w:cs="Arial"/>
          <w:sz w:val="22"/>
          <w:szCs w:val="22"/>
        </w:rPr>
        <w:t>.</w:t>
      </w:r>
    </w:p>
    <w:p w14:paraId="615F64B1" w14:textId="7C1920C2" w:rsidR="00D05FEB" w:rsidRPr="009D7EB6" w:rsidRDefault="00D05FEB" w:rsidP="008E03DA">
      <w:pPr>
        <w:pStyle w:val="IntroTo"/>
        <w:jc w:val="both"/>
        <w:rPr>
          <w:rFonts w:ascii="Arial" w:hAnsi="Arial" w:cs="Arial"/>
          <w:sz w:val="22"/>
          <w:szCs w:val="22"/>
        </w:rPr>
      </w:pPr>
      <w:r w:rsidRPr="009D7EB6">
        <w:rPr>
          <w:rFonts w:ascii="Arial" w:hAnsi="Arial" w:cs="Arial"/>
          <w:sz w:val="22"/>
          <w:szCs w:val="22"/>
        </w:rPr>
        <w:t>Dated:</w:t>
      </w:r>
      <w:r w:rsidR="00815BEB">
        <w:rPr>
          <w:rFonts w:ascii="Arial" w:hAnsi="Arial" w:cs="Arial"/>
          <w:sz w:val="22"/>
          <w:szCs w:val="22"/>
        </w:rPr>
        <w:t xml:space="preserve"> </w:t>
      </w:r>
      <w:r w:rsidR="00D37086">
        <w:rPr>
          <w:rFonts w:ascii="Arial" w:hAnsi="Arial" w:cs="Arial"/>
          <w:sz w:val="22"/>
          <w:szCs w:val="22"/>
        </w:rPr>
        <w:t>9 July 2024</w:t>
      </w:r>
    </w:p>
    <w:p w14:paraId="23A6BF3B" w14:textId="77777777" w:rsidR="00D05FEB" w:rsidRPr="009D7EB6" w:rsidRDefault="00D05FEB" w:rsidP="008E03DA">
      <w:pPr>
        <w:pStyle w:val="IntroTo"/>
        <w:rPr>
          <w:rFonts w:ascii="Arial" w:hAnsi="Arial" w:cs="Arial"/>
          <w:sz w:val="22"/>
          <w:szCs w:val="22"/>
        </w:rPr>
      </w:pPr>
    </w:p>
    <w:p w14:paraId="65118A2A" w14:textId="46CD00A0" w:rsidR="005E6D1E" w:rsidRDefault="005E6D1E" w:rsidP="002A56F2">
      <w:pPr>
        <w:autoSpaceDE w:val="0"/>
        <w:autoSpaceDN w:val="0"/>
        <w:adjustRightInd w:val="0"/>
        <w:spacing w:after="0"/>
        <w:rPr>
          <w:rFonts w:ascii="Arial" w:hAnsi="Arial" w:cs="Arial"/>
          <w:sz w:val="22"/>
          <w:szCs w:val="22"/>
        </w:rPr>
      </w:pPr>
    </w:p>
    <w:p w14:paraId="1A47C7D7" w14:textId="26C2641E" w:rsidR="005E6D1E" w:rsidRDefault="005E6D1E" w:rsidP="002A56F2">
      <w:pPr>
        <w:autoSpaceDE w:val="0"/>
        <w:autoSpaceDN w:val="0"/>
        <w:adjustRightInd w:val="0"/>
        <w:spacing w:after="0"/>
        <w:rPr>
          <w:rFonts w:ascii="Arial" w:hAnsi="Arial" w:cs="Arial"/>
          <w:sz w:val="22"/>
          <w:szCs w:val="22"/>
        </w:rPr>
      </w:pPr>
    </w:p>
    <w:p w14:paraId="4F03079C" w14:textId="6DF7BA5C" w:rsidR="00D05FEB" w:rsidRDefault="00406116" w:rsidP="008E03DA">
      <w:pPr>
        <w:autoSpaceDE w:val="0"/>
        <w:autoSpaceDN w:val="0"/>
        <w:adjustRightInd w:val="0"/>
        <w:spacing w:after="0"/>
        <w:rPr>
          <w:rFonts w:ascii="Arial" w:hAnsi="Arial" w:cs="Arial"/>
          <w:sz w:val="22"/>
          <w:szCs w:val="22"/>
        </w:rPr>
      </w:pPr>
      <w:r>
        <w:rPr>
          <w:rFonts w:ascii="Arial" w:hAnsi="Arial" w:cs="Arial"/>
          <w:sz w:val="22"/>
          <w:szCs w:val="22"/>
        </w:rPr>
        <w:t>Clare Gibney</w:t>
      </w:r>
    </w:p>
    <w:p w14:paraId="3315AC47" w14:textId="48A68FAF" w:rsidR="00176EE7" w:rsidRDefault="00406116" w:rsidP="008E03DA">
      <w:pPr>
        <w:autoSpaceDE w:val="0"/>
        <w:autoSpaceDN w:val="0"/>
        <w:adjustRightInd w:val="0"/>
        <w:spacing w:after="0"/>
        <w:rPr>
          <w:rFonts w:ascii="Arial" w:hAnsi="Arial" w:cs="Arial"/>
          <w:sz w:val="22"/>
          <w:szCs w:val="22"/>
        </w:rPr>
      </w:pPr>
      <w:r>
        <w:rPr>
          <w:rFonts w:ascii="Arial" w:hAnsi="Arial" w:cs="Arial"/>
          <w:sz w:val="22"/>
          <w:szCs w:val="22"/>
        </w:rPr>
        <w:t xml:space="preserve">Executive </w:t>
      </w:r>
      <w:r w:rsidR="008D5DF5">
        <w:rPr>
          <w:rFonts w:ascii="Arial" w:hAnsi="Arial" w:cs="Arial"/>
          <w:sz w:val="22"/>
          <w:szCs w:val="22"/>
        </w:rPr>
        <w:t>Director</w:t>
      </w:r>
    </w:p>
    <w:p w14:paraId="4247C8F5" w14:textId="53B549B7" w:rsidR="00D05FEB" w:rsidRPr="00B2530E" w:rsidRDefault="00176EE7" w:rsidP="008E03DA">
      <w:pPr>
        <w:autoSpaceDE w:val="0"/>
        <w:autoSpaceDN w:val="0"/>
        <w:adjustRightInd w:val="0"/>
        <w:spacing w:after="0"/>
        <w:rPr>
          <w:rFonts w:ascii="Arial" w:hAnsi="Arial" w:cs="Arial"/>
          <w:sz w:val="22"/>
          <w:szCs w:val="22"/>
        </w:rPr>
      </w:pPr>
      <w:r>
        <w:rPr>
          <w:rFonts w:ascii="Arial" w:hAnsi="Arial" w:cs="Arial"/>
          <w:sz w:val="22"/>
          <w:szCs w:val="22"/>
        </w:rPr>
        <w:t>Policy and Advice Division</w:t>
      </w:r>
      <w:r w:rsidR="00D05FEB">
        <w:rPr>
          <w:rFonts w:ascii="Arial" w:hAnsi="Arial" w:cs="Arial"/>
          <w:sz w:val="22"/>
          <w:szCs w:val="22"/>
        </w:rPr>
        <w:t xml:space="preserve"> </w:t>
      </w:r>
    </w:p>
    <w:p w14:paraId="19645EB4" w14:textId="77777777" w:rsidR="00D05FEB" w:rsidRPr="009D7EB6" w:rsidRDefault="00D05FEB" w:rsidP="008E03DA">
      <w:pPr>
        <w:spacing w:before="480" w:after="0"/>
        <w:rPr>
          <w:rFonts w:ascii="Arial" w:hAnsi="Arial" w:cs="Arial"/>
          <w:b/>
        </w:rPr>
      </w:pPr>
      <w:r w:rsidRPr="009D7EB6">
        <w:rPr>
          <w:rFonts w:ascii="Arial" w:hAnsi="Arial" w:cs="Arial"/>
          <w:b/>
        </w:rPr>
        <w:t>Interpretation</w:t>
      </w:r>
    </w:p>
    <w:p w14:paraId="3A91D87D" w14:textId="77777777" w:rsidR="00D05FEB" w:rsidRDefault="00D05FEB" w:rsidP="008E03DA">
      <w:pPr>
        <w:spacing w:before="120" w:after="0"/>
        <w:rPr>
          <w:rFonts w:ascii="Arial" w:hAnsi="Arial" w:cs="Arial"/>
        </w:rPr>
      </w:pPr>
      <w:r w:rsidRPr="009D7EB6">
        <w:rPr>
          <w:rFonts w:ascii="Arial" w:hAnsi="Arial" w:cs="Arial"/>
        </w:rPr>
        <w:t>In this instrument:</w:t>
      </w:r>
    </w:p>
    <w:p w14:paraId="082AF6A0" w14:textId="77777777" w:rsidR="00D05FEB" w:rsidRPr="009D7EB6" w:rsidRDefault="00D05FEB" w:rsidP="008E03DA">
      <w:pPr>
        <w:spacing w:before="120" w:after="0"/>
        <w:rPr>
          <w:rFonts w:ascii="Arial" w:hAnsi="Arial" w:cs="Arial"/>
        </w:rPr>
      </w:pPr>
    </w:p>
    <w:p w14:paraId="734408FA" w14:textId="77777777" w:rsidR="00D05FEB" w:rsidRPr="00EA0A28" w:rsidRDefault="00D05FEB" w:rsidP="008E03DA">
      <w:pPr>
        <w:spacing w:after="0"/>
        <w:rPr>
          <w:rFonts w:ascii="Arial" w:hAnsi="Arial" w:cs="Arial"/>
          <w:sz w:val="22"/>
          <w:szCs w:val="22"/>
        </w:rPr>
      </w:pPr>
      <w:r w:rsidRPr="00EA0A28">
        <w:rPr>
          <w:rFonts w:ascii="Arial" w:hAnsi="Arial" w:cs="Arial"/>
          <w:b/>
          <w:i/>
          <w:sz w:val="22"/>
          <w:szCs w:val="22"/>
        </w:rPr>
        <w:t>APRA</w:t>
      </w:r>
      <w:r w:rsidRPr="00EA0A28">
        <w:rPr>
          <w:rFonts w:ascii="Arial" w:hAnsi="Arial" w:cs="Arial"/>
          <w:sz w:val="22"/>
          <w:szCs w:val="22"/>
        </w:rPr>
        <w:t xml:space="preserve"> means the Australian Prudential Regulation Authority.</w:t>
      </w:r>
    </w:p>
    <w:p w14:paraId="14194926" w14:textId="77777777" w:rsidR="00D05FEB" w:rsidRPr="0058373B" w:rsidRDefault="00D05FEB" w:rsidP="008E03DA">
      <w:pPr>
        <w:spacing w:before="120" w:after="0"/>
        <w:rPr>
          <w:rFonts w:ascii="Arial" w:hAnsi="Arial" w:cs="Arial"/>
          <w:b/>
          <w:i/>
          <w:color w:val="000000"/>
          <w:sz w:val="22"/>
          <w:szCs w:val="22"/>
          <w:lang w:eastAsia="en-US"/>
        </w:rPr>
      </w:pPr>
      <w:r w:rsidRPr="0058373B">
        <w:rPr>
          <w:rFonts w:ascii="Arial" w:hAnsi="Arial" w:cs="Arial"/>
          <w:b/>
          <w:i/>
          <w:color w:val="000000"/>
          <w:sz w:val="22"/>
          <w:szCs w:val="22"/>
          <w:lang w:eastAsia="en-US"/>
        </w:rPr>
        <w:t xml:space="preserve">friendly society </w:t>
      </w:r>
      <w:r w:rsidRPr="0058373B">
        <w:rPr>
          <w:rFonts w:ascii="Arial" w:hAnsi="Arial" w:cs="Arial"/>
          <w:color w:val="000000"/>
          <w:sz w:val="22"/>
          <w:szCs w:val="22"/>
          <w:lang w:eastAsia="en-US"/>
        </w:rPr>
        <w:t>has the meaning given in section 16C of the Act.</w:t>
      </w:r>
    </w:p>
    <w:p w14:paraId="2917E0B1" w14:textId="77777777" w:rsidR="00D05FEB" w:rsidRPr="0058373B" w:rsidRDefault="00D05FEB" w:rsidP="008E03DA">
      <w:pPr>
        <w:spacing w:before="120" w:after="0"/>
        <w:rPr>
          <w:rFonts w:ascii="Arial" w:hAnsi="Arial" w:cs="Arial"/>
          <w:b/>
          <w:i/>
          <w:color w:val="000000"/>
          <w:sz w:val="22"/>
          <w:szCs w:val="22"/>
          <w:lang w:eastAsia="en-US"/>
        </w:rPr>
      </w:pPr>
      <w:r w:rsidRPr="0058373B">
        <w:rPr>
          <w:rFonts w:ascii="Arial" w:hAnsi="Arial" w:cs="Arial"/>
          <w:b/>
          <w:i/>
          <w:color w:val="000000"/>
          <w:sz w:val="22"/>
          <w:szCs w:val="22"/>
          <w:lang w:eastAsia="en-US"/>
        </w:rPr>
        <w:t xml:space="preserve">life company </w:t>
      </w:r>
      <w:r w:rsidRPr="0058373B">
        <w:rPr>
          <w:rFonts w:ascii="Arial" w:hAnsi="Arial" w:cs="Arial"/>
          <w:color w:val="000000"/>
          <w:sz w:val="22"/>
          <w:szCs w:val="22"/>
          <w:lang w:eastAsia="en-US"/>
        </w:rPr>
        <w:t>has the meaning given in the Schedule to the Act.</w:t>
      </w:r>
    </w:p>
    <w:p w14:paraId="1413AE63" w14:textId="77777777" w:rsidR="00D05FEB" w:rsidRPr="00C72C1A" w:rsidRDefault="00D05FEB" w:rsidP="008E03DA">
      <w:pPr>
        <w:rPr>
          <w:rFonts w:cs="Arial"/>
        </w:rPr>
      </w:pPr>
      <w:r w:rsidRPr="00C72C1A">
        <w:rPr>
          <w:rFonts w:cs="Arial"/>
        </w:rPr>
        <w:br w:type="page"/>
      </w:r>
    </w:p>
    <w:p w14:paraId="5215B566" w14:textId="77777777" w:rsidR="00D05FEB" w:rsidRPr="000722B3" w:rsidRDefault="00D05FEB" w:rsidP="008E03DA">
      <w:pPr>
        <w:spacing w:after="0"/>
        <w:rPr>
          <w:rFonts w:ascii="Arial" w:hAnsi="Arial" w:cs="Arial"/>
          <w:b/>
          <w:sz w:val="32"/>
          <w:szCs w:val="32"/>
        </w:rPr>
      </w:pPr>
      <w:r w:rsidRPr="00EA0A28">
        <w:rPr>
          <w:rFonts w:ascii="Arial" w:hAnsi="Arial" w:cs="Arial"/>
          <w:b/>
          <w:sz w:val="32"/>
          <w:szCs w:val="32"/>
        </w:rPr>
        <w:lastRenderedPageBreak/>
        <w:t xml:space="preserve">Schedule </w:t>
      </w:r>
    </w:p>
    <w:p w14:paraId="25DCF50E" w14:textId="77777777" w:rsidR="00D05FEB" w:rsidRDefault="00D05FEB" w:rsidP="008E03DA">
      <w:pPr>
        <w:spacing w:after="0"/>
      </w:pPr>
    </w:p>
    <w:p w14:paraId="28B1DC40" w14:textId="77777777" w:rsidR="00D05FEB" w:rsidRDefault="00D05FEB" w:rsidP="008E03DA">
      <w:pPr>
        <w:jc w:val="both"/>
        <w:rPr>
          <w:rFonts w:ascii="Arial" w:hAnsi="Arial" w:cs="Arial"/>
          <w:sz w:val="22"/>
          <w:szCs w:val="22"/>
        </w:rPr>
      </w:pPr>
      <w:r w:rsidRPr="0013009B">
        <w:rPr>
          <w:rFonts w:ascii="Arial" w:hAnsi="Arial" w:cs="Arial"/>
          <w:i/>
          <w:sz w:val="22"/>
          <w:szCs w:val="22"/>
        </w:rPr>
        <w:t>Prudential Standard LPS 117 Capital Adequacy: Asset Concentration Risk Charge</w:t>
      </w:r>
      <w:r>
        <w:rPr>
          <w:rFonts w:ascii="Arial" w:hAnsi="Arial" w:cs="Arial"/>
          <w:i/>
          <w:sz w:val="22"/>
          <w:szCs w:val="22"/>
        </w:rPr>
        <w:t>,</w:t>
      </w:r>
      <w:r w:rsidRPr="00410EEC">
        <w:rPr>
          <w:rFonts w:ascii="Arial" w:hAnsi="Arial" w:cs="Arial"/>
          <w:i/>
          <w:sz w:val="22"/>
          <w:szCs w:val="22"/>
        </w:rPr>
        <w:t xml:space="preserve"> </w:t>
      </w:r>
      <w:r w:rsidRPr="006A3108">
        <w:rPr>
          <w:rFonts w:ascii="Arial" w:hAnsi="Arial" w:cs="Arial"/>
          <w:bCs/>
          <w:sz w:val="22"/>
          <w:szCs w:val="22"/>
        </w:rPr>
        <w:t>comprises the document commencing on the following page.</w:t>
      </w:r>
      <w:r w:rsidRPr="006A3108">
        <w:rPr>
          <w:rFonts w:ascii="Arial" w:hAnsi="Arial" w:cs="Arial"/>
          <w:sz w:val="22"/>
          <w:szCs w:val="22"/>
        </w:rPr>
        <w:t xml:space="preserve"> </w:t>
      </w:r>
    </w:p>
    <w:bookmarkEnd w:id="0"/>
    <w:p w14:paraId="4A5B45A3" w14:textId="77777777" w:rsidR="00D05FEB" w:rsidRDefault="00D05FEB" w:rsidP="003B52EB">
      <w:pPr>
        <w:spacing w:after="0"/>
        <w:sectPr w:rsidR="00D05FEB" w:rsidSect="000D63A8">
          <w:headerReference w:type="default" r:id="rId12"/>
          <w:pgSz w:w="11906" w:h="16838" w:code="9"/>
          <w:pgMar w:top="1440" w:right="1797" w:bottom="1440" w:left="1797" w:header="709" w:footer="709" w:gutter="0"/>
          <w:cols w:space="708"/>
          <w:docGrid w:linePitch="360"/>
        </w:sectPr>
      </w:pPr>
    </w:p>
    <w:p w14:paraId="6D2823BB" w14:textId="4EEB2DE1" w:rsidR="003B52EB" w:rsidRDefault="00506079" w:rsidP="003B52EB">
      <w:pPr>
        <w:spacing w:after="0"/>
      </w:pPr>
      <w:r>
        <w:rPr>
          <w:noProof/>
          <w:lang w:val="en-US" w:eastAsia="en-US"/>
        </w:rPr>
        <w:lastRenderedPageBreak/>
        <w:drawing>
          <wp:inline distT="0" distB="0" distL="0" distR="0" wp14:anchorId="598C4DA6" wp14:editId="323C9906">
            <wp:extent cx="1485900" cy="1095375"/>
            <wp:effectExtent l="0" t="0" r="0" b="9525"/>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37EF9D5E" w14:textId="2540CAAA" w:rsidR="00DA3651" w:rsidRPr="009B6212" w:rsidRDefault="006A6A52" w:rsidP="001F6B8D">
      <w:pPr>
        <w:pStyle w:val="Title"/>
      </w:pPr>
      <w:bookmarkStart w:id="1" w:name="_Toc326937696"/>
      <w:r w:rsidRPr="001F6B8D">
        <w:t>Prudential</w:t>
      </w:r>
      <w:r w:rsidRPr="009B6212">
        <w:t xml:space="preserve"> Standard</w:t>
      </w:r>
      <w:r w:rsidRPr="00E07F40">
        <w:rPr>
          <w:rStyle w:val="PSNofieldtext"/>
        </w:rPr>
        <w:t xml:space="preserve"> </w:t>
      </w:r>
      <w:r w:rsidR="00DC5277">
        <w:rPr>
          <w:rStyle w:val="PSNofieldtext"/>
        </w:rPr>
        <w:t>LPS 117</w:t>
      </w:r>
      <w:r w:rsidR="009B6212" w:rsidRPr="009B6212">
        <w:t xml:space="preserve">  </w:t>
      </w:r>
    </w:p>
    <w:bookmarkEnd w:id="1"/>
    <w:p w14:paraId="7E74F04B" w14:textId="0B090AB4" w:rsidR="00BC2D08" w:rsidRPr="00EB2456" w:rsidRDefault="00DC5277" w:rsidP="001F6B8D">
      <w:pPr>
        <w:pStyle w:val="Title"/>
      </w:pPr>
      <w:r w:rsidRPr="00511C0B">
        <w:rPr>
          <w:lang w:val="en-US"/>
        </w:rPr>
        <w:t>Capital Adequacy: Asset Concentration Risk Charge</w:t>
      </w:r>
      <w:r w:rsidR="00110917" w:rsidRPr="00110917">
        <w:t xml:space="preserve"> </w:t>
      </w:r>
      <w:r w:rsidR="00110917">
        <w:t xml:space="preserve"> </w:t>
      </w:r>
    </w:p>
    <w:tbl>
      <w:tblPr>
        <w:tblStyle w:val="TableGrid"/>
        <w:tblW w:w="0" w:type="auto"/>
        <w:shd w:val="clear" w:color="auto" w:fill="DDDDDD"/>
        <w:tblLook w:val="04A0" w:firstRow="1" w:lastRow="0" w:firstColumn="1" w:lastColumn="0" w:noHBand="0" w:noVBand="1"/>
      </w:tblPr>
      <w:tblGrid>
        <w:gridCol w:w="8302"/>
      </w:tblGrid>
      <w:tr w:rsidR="0048511B" w14:paraId="4ED885C6" w14:textId="77777777" w:rsidTr="00DF539C">
        <w:tc>
          <w:tcPr>
            <w:tcW w:w="8528" w:type="dxa"/>
            <w:shd w:val="clear" w:color="auto" w:fill="DDDDDD"/>
          </w:tcPr>
          <w:p w14:paraId="67336295" w14:textId="77777777" w:rsidR="003C46D7" w:rsidRPr="00B37C03" w:rsidRDefault="003C46D7" w:rsidP="00656D42">
            <w:pPr>
              <w:pStyle w:val="BoxHeading"/>
            </w:pPr>
            <w:r w:rsidRPr="00B37C03">
              <w:t xml:space="preserve">Objectives and key requirements of this Prudential </w:t>
            </w:r>
            <w:r w:rsidRPr="00173A04">
              <w:t>Standard</w:t>
            </w:r>
          </w:p>
          <w:p w14:paraId="1368BBD9" w14:textId="77777777" w:rsidR="00DC5277" w:rsidRDefault="00DC5277" w:rsidP="00DC5277">
            <w:r>
              <w:t xml:space="preserve">This Prudential Standard requires a life company to maintain adequate capital against the asset concentration risks associated with its activities. </w:t>
            </w:r>
          </w:p>
          <w:p w14:paraId="33FB3F96" w14:textId="77777777" w:rsidR="00DC5277" w:rsidRDefault="00DC5277" w:rsidP="00DC5277">
            <w:r>
              <w:t>The ultimate responsibility for the prudent management of capital of a life company rests with its board of directors. The board must ensure that the life company maintains an adequate level and quality of capital commensurate with the scale, nature and complexity of its business and risk profile, such that it is able to meet its obligations under a wide range of circumstances.</w:t>
            </w:r>
          </w:p>
          <w:p w14:paraId="48C32978" w14:textId="77777777" w:rsidR="00DC5277" w:rsidRDefault="00DC5277" w:rsidP="00DC5277">
            <w:r>
              <w:t>The Asset Concentration Risk Charge is the minimum amount of capital required to be held against asset concentration risks. The Asset Concentration Risk Charge relates to the risk of a life company’s concentration in particular assets resulting in adverse movements in the life company’s capital base.</w:t>
            </w:r>
          </w:p>
          <w:p w14:paraId="07B8927D" w14:textId="021AC17B" w:rsidR="00173A04" w:rsidRDefault="00DC5277" w:rsidP="00DC5277">
            <w:pPr>
              <w:keepNext/>
            </w:pPr>
            <w:r>
              <w:t>This Prudential Standard sets out the method for calculating the Asset Concentration Risk Charge. This charge is one of the components of the Standard Method for calculating the prescribed capital amount for life company statutory funds and general funds.</w:t>
            </w:r>
          </w:p>
        </w:tc>
      </w:tr>
    </w:tbl>
    <w:p w14:paraId="6390D7E4" w14:textId="77777777" w:rsidR="00BC2D08" w:rsidRDefault="00BC2D08" w:rsidP="00BC2D08">
      <w:pPr>
        <w:spacing w:after="0"/>
      </w:pPr>
    </w:p>
    <w:p w14:paraId="46B7334C" w14:textId="77777777" w:rsidR="00C67A76" w:rsidRDefault="00C67A76" w:rsidP="00C67A76"/>
    <w:p w14:paraId="7D37D2E8" w14:textId="0FC8AF35" w:rsidR="00C67A76" w:rsidRDefault="00C67A76" w:rsidP="00C67A76">
      <w:pPr>
        <w:sectPr w:rsidR="00C67A76" w:rsidSect="00EC6337">
          <w:headerReference w:type="default" r:id="rId14"/>
          <w:footerReference w:type="default" r:id="rId15"/>
          <w:pgSz w:w="11906" w:h="16838" w:code="9"/>
          <w:pgMar w:top="1440" w:right="1797" w:bottom="1440" w:left="1797" w:header="709" w:footer="709" w:gutter="0"/>
          <w:pgNumType w:start="1"/>
          <w:cols w:space="708"/>
          <w:docGrid w:linePitch="360"/>
        </w:sectPr>
      </w:pPr>
    </w:p>
    <w:p w14:paraId="61A3087D" w14:textId="03C34EAD" w:rsidR="00C6788C" w:rsidRDefault="009D467A" w:rsidP="001F6B8D">
      <w:pPr>
        <w:pStyle w:val="TOCHeading"/>
      </w:pPr>
      <w:bookmarkStart w:id="2" w:name="_Toc326676936"/>
      <w:bookmarkStart w:id="3" w:name="_Toc326756341"/>
      <w:bookmarkStart w:id="4" w:name="_Toc256519850"/>
      <w:r>
        <w:lastRenderedPageBreak/>
        <w:t>Table of Contents</w:t>
      </w:r>
    </w:p>
    <w:p w14:paraId="7B4A1BE8" w14:textId="1EDF918F" w:rsidR="003E565A" w:rsidRDefault="009B0A33">
      <w:pPr>
        <w:pStyle w:val="TOC1"/>
        <w:rPr>
          <w:rFonts w:asciiTheme="minorHAnsi" w:eastAsiaTheme="minorEastAsia" w:hAnsiTheme="minorHAnsi" w:cstheme="minorBidi"/>
          <w:kern w:val="2"/>
          <w14:ligatures w14:val="standardContextual"/>
        </w:rPr>
      </w:pPr>
      <w:r>
        <w:rPr>
          <w:rFonts w:ascii="Arial" w:hAnsi="Arial"/>
        </w:rPr>
        <w:fldChar w:fldCharType="begin"/>
      </w:r>
      <w:r w:rsidR="00C6788C" w:rsidRPr="009D467A">
        <w:instrText xml:space="preserve"> TOC \o "</w:instrText>
      </w:r>
      <w:r w:rsidR="00E96B6D">
        <w:instrText>1</w:instrText>
      </w:r>
      <w:r w:rsidR="00C86748">
        <w:instrText>-4</w:instrText>
      </w:r>
      <w:r w:rsidR="00C6788C" w:rsidRPr="009D467A">
        <w:instrText xml:space="preserve">" \z \u </w:instrText>
      </w:r>
      <w:r>
        <w:rPr>
          <w:rFonts w:ascii="Arial" w:hAnsi="Arial"/>
        </w:rPr>
        <w:fldChar w:fldCharType="separate"/>
      </w:r>
      <w:r w:rsidR="003E565A">
        <w:t>Authority</w:t>
      </w:r>
      <w:r w:rsidR="003E565A">
        <w:rPr>
          <w:webHidden/>
        </w:rPr>
        <w:tab/>
      </w:r>
      <w:r w:rsidR="003E565A">
        <w:rPr>
          <w:webHidden/>
        </w:rPr>
        <w:fldChar w:fldCharType="begin"/>
      </w:r>
      <w:r w:rsidR="003E565A">
        <w:rPr>
          <w:webHidden/>
        </w:rPr>
        <w:instrText xml:space="preserve"> PAGEREF _Toc171678319 \h </w:instrText>
      </w:r>
      <w:r w:rsidR="003E565A">
        <w:rPr>
          <w:webHidden/>
        </w:rPr>
      </w:r>
      <w:r w:rsidR="003E565A">
        <w:rPr>
          <w:webHidden/>
        </w:rPr>
        <w:fldChar w:fldCharType="separate"/>
      </w:r>
      <w:r w:rsidR="003E565A">
        <w:rPr>
          <w:webHidden/>
        </w:rPr>
        <w:t>3</w:t>
      </w:r>
      <w:r w:rsidR="003E565A">
        <w:rPr>
          <w:webHidden/>
        </w:rPr>
        <w:fldChar w:fldCharType="end"/>
      </w:r>
    </w:p>
    <w:p w14:paraId="651D8F36" w14:textId="06C7EAE7" w:rsidR="003E565A" w:rsidRDefault="003E565A">
      <w:pPr>
        <w:pStyle w:val="TOC1"/>
        <w:rPr>
          <w:rFonts w:asciiTheme="minorHAnsi" w:eastAsiaTheme="minorEastAsia" w:hAnsiTheme="minorHAnsi" w:cstheme="minorBidi"/>
          <w:kern w:val="2"/>
          <w14:ligatures w14:val="standardContextual"/>
        </w:rPr>
      </w:pPr>
      <w:r>
        <w:t>Application and commencement</w:t>
      </w:r>
      <w:r>
        <w:rPr>
          <w:webHidden/>
        </w:rPr>
        <w:tab/>
      </w:r>
      <w:r>
        <w:rPr>
          <w:webHidden/>
        </w:rPr>
        <w:fldChar w:fldCharType="begin"/>
      </w:r>
      <w:r>
        <w:rPr>
          <w:webHidden/>
        </w:rPr>
        <w:instrText xml:space="preserve"> PAGEREF _Toc171678320 \h </w:instrText>
      </w:r>
      <w:r>
        <w:rPr>
          <w:webHidden/>
        </w:rPr>
      </w:r>
      <w:r>
        <w:rPr>
          <w:webHidden/>
        </w:rPr>
        <w:fldChar w:fldCharType="separate"/>
      </w:r>
      <w:r>
        <w:rPr>
          <w:webHidden/>
        </w:rPr>
        <w:t>3</w:t>
      </w:r>
      <w:r>
        <w:rPr>
          <w:webHidden/>
        </w:rPr>
        <w:fldChar w:fldCharType="end"/>
      </w:r>
    </w:p>
    <w:p w14:paraId="3A0BF53E" w14:textId="1FC08E18" w:rsidR="003E565A" w:rsidRDefault="003E565A">
      <w:pPr>
        <w:pStyle w:val="TOC1"/>
        <w:rPr>
          <w:rFonts w:asciiTheme="minorHAnsi" w:eastAsiaTheme="minorEastAsia" w:hAnsiTheme="minorHAnsi" w:cstheme="minorBidi"/>
          <w:kern w:val="2"/>
          <w14:ligatures w14:val="standardContextual"/>
        </w:rPr>
      </w:pPr>
      <w:r>
        <w:t>Interpretation</w:t>
      </w:r>
      <w:r>
        <w:rPr>
          <w:webHidden/>
        </w:rPr>
        <w:tab/>
      </w:r>
      <w:r>
        <w:rPr>
          <w:webHidden/>
        </w:rPr>
        <w:fldChar w:fldCharType="begin"/>
      </w:r>
      <w:r>
        <w:rPr>
          <w:webHidden/>
        </w:rPr>
        <w:instrText xml:space="preserve"> PAGEREF _Toc171678321 \h </w:instrText>
      </w:r>
      <w:r>
        <w:rPr>
          <w:webHidden/>
        </w:rPr>
      </w:r>
      <w:r>
        <w:rPr>
          <w:webHidden/>
        </w:rPr>
        <w:fldChar w:fldCharType="separate"/>
      </w:r>
      <w:r>
        <w:rPr>
          <w:webHidden/>
        </w:rPr>
        <w:t>3</w:t>
      </w:r>
      <w:r>
        <w:rPr>
          <w:webHidden/>
        </w:rPr>
        <w:fldChar w:fldCharType="end"/>
      </w:r>
    </w:p>
    <w:p w14:paraId="1A6B5642" w14:textId="22CBF8EA" w:rsidR="003E565A" w:rsidRDefault="003E565A" w:rsidP="003E565A">
      <w:pPr>
        <w:pStyle w:val="TOC1"/>
        <w:rPr>
          <w:rFonts w:asciiTheme="minorHAnsi" w:eastAsiaTheme="minorEastAsia" w:hAnsiTheme="minorHAnsi" w:cstheme="minorBidi"/>
          <w:kern w:val="2"/>
          <w14:ligatures w14:val="standardContextual"/>
        </w:rPr>
      </w:pPr>
      <w:r>
        <w:t>Asset Concentration Risk Charge</w:t>
      </w:r>
      <w:r>
        <w:rPr>
          <w:webHidden/>
        </w:rPr>
        <w:tab/>
      </w:r>
      <w:r>
        <w:rPr>
          <w:webHidden/>
        </w:rPr>
        <w:fldChar w:fldCharType="begin"/>
      </w:r>
      <w:r>
        <w:rPr>
          <w:webHidden/>
        </w:rPr>
        <w:instrText xml:space="preserve"> PAGEREF _Toc171678322 \h </w:instrText>
      </w:r>
      <w:r>
        <w:rPr>
          <w:webHidden/>
        </w:rPr>
      </w:r>
      <w:r>
        <w:rPr>
          <w:webHidden/>
        </w:rPr>
        <w:fldChar w:fldCharType="separate"/>
      </w:r>
      <w:r>
        <w:rPr>
          <w:webHidden/>
        </w:rPr>
        <w:t>4</w:t>
      </w:r>
      <w:r>
        <w:rPr>
          <w:webHidden/>
        </w:rPr>
        <w:fldChar w:fldCharType="end"/>
      </w:r>
    </w:p>
    <w:p w14:paraId="22D8DA79" w14:textId="2B96FFE5" w:rsidR="003E565A" w:rsidRDefault="003E565A">
      <w:pPr>
        <w:pStyle w:val="TOC1"/>
        <w:rPr>
          <w:rFonts w:asciiTheme="minorHAnsi" w:eastAsiaTheme="minorEastAsia" w:hAnsiTheme="minorHAnsi" w:cstheme="minorBidi"/>
          <w:kern w:val="2"/>
          <w14:ligatures w14:val="standardContextual"/>
        </w:rPr>
      </w:pPr>
      <w:r>
        <w:t>Netting of reinsurance exposures</w:t>
      </w:r>
      <w:r>
        <w:rPr>
          <w:webHidden/>
        </w:rPr>
        <w:tab/>
      </w:r>
      <w:r>
        <w:rPr>
          <w:webHidden/>
        </w:rPr>
        <w:fldChar w:fldCharType="begin"/>
      </w:r>
      <w:r>
        <w:rPr>
          <w:webHidden/>
        </w:rPr>
        <w:instrText xml:space="preserve"> PAGEREF _Toc171678327 \h </w:instrText>
      </w:r>
      <w:r>
        <w:rPr>
          <w:webHidden/>
        </w:rPr>
      </w:r>
      <w:r>
        <w:rPr>
          <w:webHidden/>
        </w:rPr>
        <w:fldChar w:fldCharType="separate"/>
      </w:r>
      <w:r>
        <w:rPr>
          <w:webHidden/>
        </w:rPr>
        <w:t>7</w:t>
      </w:r>
      <w:r>
        <w:rPr>
          <w:webHidden/>
        </w:rPr>
        <w:fldChar w:fldCharType="end"/>
      </w:r>
    </w:p>
    <w:p w14:paraId="58764420" w14:textId="655E7F8E" w:rsidR="003E565A" w:rsidRDefault="003E565A" w:rsidP="003E565A">
      <w:pPr>
        <w:pStyle w:val="TOC1"/>
        <w:rPr>
          <w:rFonts w:asciiTheme="minorHAnsi" w:eastAsiaTheme="minorEastAsia" w:hAnsiTheme="minorHAnsi" w:cstheme="minorBidi"/>
          <w:kern w:val="2"/>
          <w14:ligatures w14:val="standardContextual"/>
        </w:rPr>
      </w:pPr>
      <w:r>
        <w:t>Treatment of collateral and guarantees as risk mitigants</w:t>
      </w:r>
      <w:r>
        <w:rPr>
          <w:webHidden/>
        </w:rPr>
        <w:tab/>
      </w:r>
      <w:r>
        <w:rPr>
          <w:webHidden/>
        </w:rPr>
        <w:fldChar w:fldCharType="begin"/>
      </w:r>
      <w:r>
        <w:rPr>
          <w:webHidden/>
        </w:rPr>
        <w:instrText xml:space="preserve"> PAGEREF _Toc171678328 \h </w:instrText>
      </w:r>
      <w:r>
        <w:rPr>
          <w:webHidden/>
        </w:rPr>
      </w:r>
      <w:r>
        <w:rPr>
          <w:webHidden/>
        </w:rPr>
        <w:fldChar w:fldCharType="separate"/>
      </w:r>
      <w:r>
        <w:rPr>
          <w:webHidden/>
        </w:rPr>
        <w:t>8</w:t>
      </w:r>
      <w:r>
        <w:rPr>
          <w:webHidden/>
        </w:rPr>
        <w:fldChar w:fldCharType="end"/>
      </w:r>
    </w:p>
    <w:p w14:paraId="4C206AEC" w14:textId="7B03CC38" w:rsidR="003E565A" w:rsidRDefault="003E565A">
      <w:pPr>
        <w:pStyle w:val="TOC1"/>
        <w:rPr>
          <w:rFonts w:asciiTheme="minorHAnsi" w:eastAsiaTheme="minorEastAsia" w:hAnsiTheme="minorHAnsi" w:cstheme="minorBidi"/>
          <w:kern w:val="2"/>
          <w14:ligatures w14:val="standardContextual"/>
        </w:rPr>
      </w:pPr>
      <w:r>
        <w:t>Specialist reinsurers</w:t>
      </w:r>
      <w:r>
        <w:rPr>
          <w:webHidden/>
        </w:rPr>
        <w:tab/>
      </w:r>
      <w:r>
        <w:rPr>
          <w:webHidden/>
        </w:rPr>
        <w:fldChar w:fldCharType="begin"/>
      </w:r>
      <w:r>
        <w:rPr>
          <w:webHidden/>
        </w:rPr>
        <w:instrText xml:space="preserve"> PAGEREF _Toc171678333 \h </w:instrText>
      </w:r>
      <w:r>
        <w:rPr>
          <w:webHidden/>
        </w:rPr>
      </w:r>
      <w:r>
        <w:rPr>
          <w:webHidden/>
        </w:rPr>
        <w:fldChar w:fldCharType="separate"/>
      </w:r>
      <w:r>
        <w:rPr>
          <w:webHidden/>
        </w:rPr>
        <w:t>13</w:t>
      </w:r>
      <w:r>
        <w:rPr>
          <w:webHidden/>
        </w:rPr>
        <w:fldChar w:fldCharType="end"/>
      </w:r>
    </w:p>
    <w:p w14:paraId="12B2BDC6" w14:textId="6342B6B8" w:rsidR="003E565A" w:rsidRDefault="003E565A">
      <w:pPr>
        <w:pStyle w:val="TOC1"/>
        <w:rPr>
          <w:rFonts w:asciiTheme="minorHAnsi" w:eastAsiaTheme="minorEastAsia" w:hAnsiTheme="minorHAnsi" w:cstheme="minorBidi"/>
          <w:kern w:val="2"/>
          <w14:ligatures w14:val="standardContextual"/>
        </w:rPr>
      </w:pPr>
      <w:r>
        <w:t>Adjustments and exclusions</w:t>
      </w:r>
      <w:r>
        <w:rPr>
          <w:webHidden/>
        </w:rPr>
        <w:tab/>
      </w:r>
      <w:r>
        <w:rPr>
          <w:webHidden/>
        </w:rPr>
        <w:fldChar w:fldCharType="begin"/>
      </w:r>
      <w:r>
        <w:rPr>
          <w:webHidden/>
        </w:rPr>
        <w:instrText xml:space="preserve"> PAGEREF _Toc171678334 \h </w:instrText>
      </w:r>
      <w:r>
        <w:rPr>
          <w:webHidden/>
        </w:rPr>
      </w:r>
      <w:r>
        <w:rPr>
          <w:webHidden/>
        </w:rPr>
        <w:fldChar w:fldCharType="separate"/>
      </w:r>
      <w:r>
        <w:rPr>
          <w:webHidden/>
        </w:rPr>
        <w:t>14</w:t>
      </w:r>
      <w:r>
        <w:rPr>
          <w:webHidden/>
        </w:rPr>
        <w:fldChar w:fldCharType="end"/>
      </w:r>
    </w:p>
    <w:p w14:paraId="6E2706D4" w14:textId="6D071E90" w:rsidR="003E565A" w:rsidRDefault="003E565A">
      <w:pPr>
        <w:pStyle w:val="TOC1"/>
        <w:rPr>
          <w:rFonts w:asciiTheme="minorHAnsi" w:eastAsiaTheme="minorEastAsia" w:hAnsiTheme="minorHAnsi" w:cstheme="minorBidi"/>
          <w:kern w:val="2"/>
          <w14:ligatures w14:val="standardContextual"/>
        </w:rPr>
      </w:pPr>
      <w:r>
        <w:t>Reliance on previous exercises of discretion</w:t>
      </w:r>
      <w:r>
        <w:rPr>
          <w:webHidden/>
        </w:rPr>
        <w:tab/>
      </w:r>
      <w:r>
        <w:rPr>
          <w:webHidden/>
        </w:rPr>
        <w:fldChar w:fldCharType="begin"/>
      </w:r>
      <w:r>
        <w:rPr>
          <w:webHidden/>
        </w:rPr>
        <w:instrText xml:space="preserve"> PAGEREF _Toc171678335 \h </w:instrText>
      </w:r>
      <w:r>
        <w:rPr>
          <w:webHidden/>
        </w:rPr>
      </w:r>
      <w:r>
        <w:rPr>
          <w:webHidden/>
        </w:rPr>
        <w:fldChar w:fldCharType="separate"/>
      </w:r>
      <w:r>
        <w:rPr>
          <w:webHidden/>
        </w:rPr>
        <w:t>14</w:t>
      </w:r>
      <w:r>
        <w:rPr>
          <w:webHidden/>
        </w:rPr>
        <w:fldChar w:fldCharType="end"/>
      </w:r>
    </w:p>
    <w:p w14:paraId="6A3DF22B" w14:textId="4B7F37A2" w:rsidR="003E565A" w:rsidRDefault="003E565A">
      <w:pPr>
        <w:pStyle w:val="TOC1"/>
        <w:rPr>
          <w:rFonts w:asciiTheme="minorHAnsi" w:eastAsiaTheme="minorEastAsia" w:hAnsiTheme="minorHAnsi" w:cstheme="minorBidi"/>
          <w:kern w:val="2"/>
          <w14:ligatures w14:val="standardContextual"/>
        </w:rPr>
      </w:pPr>
      <w:r>
        <w:t>Transition</w:t>
      </w:r>
      <w:r>
        <w:rPr>
          <w:webHidden/>
        </w:rPr>
        <w:tab/>
      </w:r>
      <w:r>
        <w:rPr>
          <w:webHidden/>
        </w:rPr>
        <w:fldChar w:fldCharType="begin"/>
      </w:r>
      <w:r>
        <w:rPr>
          <w:webHidden/>
        </w:rPr>
        <w:instrText xml:space="preserve"> PAGEREF _Toc171678336 \h </w:instrText>
      </w:r>
      <w:r>
        <w:rPr>
          <w:webHidden/>
        </w:rPr>
      </w:r>
      <w:r>
        <w:rPr>
          <w:webHidden/>
        </w:rPr>
        <w:fldChar w:fldCharType="separate"/>
      </w:r>
      <w:r>
        <w:rPr>
          <w:webHidden/>
        </w:rPr>
        <w:t>14</w:t>
      </w:r>
      <w:r>
        <w:rPr>
          <w:webHidden/>
        </w:rPr>
        <w:fldChar w:fldCharType="end"/>
      </w:r>
    </w:p>
    <w:p w14:paraId="65803EE6" w14:textId="4EAE9D11" w:rsidR="003E565A" w:rsidRDefault="003E565A">
      <w:pPr>
        <w:pStyle w:val="TOC2"/>
        <w:rPr>
          <w:rFonts w:asciiTheme="minorHAnsi" w:eastAsiaTheme="minorEastAsia" w:hAnsiTheme="minorHAnsi" w:cstheme="minorBidi"/>
          <w:kern w:val="2"/>
          <w14:ligatures w14:val="standardContextual"/>
        </w:rPr>
      </w:pPr>
      <w:r>
        <w:t>Attachment A - Asset exposure limits</w:t>
      </w:r>
      <w:r>
        <w:rPr>
          <w:webHidden/>
        </w:rPr>
        <w:tab/>
      </w:r>
      <w:r>
        <w:rPr>
          <w:webHidden/>
        </w:rPr>
        <w:fldChar w:fldCharType="begin"/>
      </w:r>
      <w:r>
        <w:rPr>
          <w:webHidden/>
        </w:rPr>
        <w:instrText xml:space="preserve"> PAGEREF _Toc171678337 \h </w:instrText>
      </w:r>
      <w:r>
        <w:rPr>
          <w:webHidden/>
        </w:rPr>
      </w:r>
      <w:r>
        <w:rPr>
          <w:webHidden/>
        </w:rPr>
        <w:fldChar w:fldCharType="separate"/>
      </w:r>
      <w:r>
        <w:rPr>
          <w:webHidden/>
        </w:rPr>
        <w:t>15</w:t>
      </w:r>
      <w:r>
        <w:rPr>
          <w:webHidden/>
        </w:rPr>
        <w:fldChar w:fldCharType="end"/>
      </w:r>
    </w:p>
    <w:p w14:paraId="4DF757E2" w14:textId="03F9F13F" w:rsidR="009D467A" w:rsidRDefault="009B0A33" w:rsidP="00FF513E">
      <w:pPr>
        <w:pStyle w:val="NoSpacing"/>
      </w:pPr>
      <w:r>
        <w:fldChar w:fldCharType="end"/>
      </w:r>
      <w:bookmarkStart w:id="5" w:name="_Toc326937698"/>
      <w:bookmarkStart w:id="6" w:name="_Toc326938615"/>
      <w:bookmarkStart w:id="7" w:name="_Toc326938830"/>
      <w:bookmarkEnd w:id="2"/>
      <w:bookmarkEnd w:id="3"/>
    </w:p>
    <w:p w14:paraId="24F35D82" w14:textId="77777777" w:rsidR="00E96B6D" w:rsidRDefault="00E96B6D" w:rsidP="001F6B8D">
      <w:pPr>
        <w:pStyle w:val="Heading1"/>
        <w:sectPr w:rsidR="00E96B6D" w:rsidSect="000D63A8">
          <w:pgSz w:w="11906" w:h="16838" w:code="9"/>
          <w:pgMar w:top="1440" w:right="1797" w:bottom="1440" w:left="1797" w:header="709" w:footer="709" w:gutter="0"/>
          <w:cols w:space="708"/>
          <w:docGrid w:linePitch="360"/>
        </w:sectPr>
      </w:pPr>
      <w:bookmarkStart w:id="8" w:name="_Toc314733116"/>
      <w:bookmarkStart w:id="9" w:name="_Toc341686774"/>
      <w:bookmarkEnd w:id="4"/>
      <w:bookmarkEnd w:id="5"/>
      <w:bookmarkEnd w:id="6"/>
      <w:bookmarkEnd w:id="7"/>
    </w:p>
    <w:p w14:paraId="0E93AC88" w14:textId="77777777" w:rsidR="004735BB" w:rsidRPr="00511C0B" w:rsidRDefault="004735BB" w:rsidP="004735BB">
      <w:pPr>
        <w:pStyle w:val="Heading1"/>
      </w:pPr>
      <w:bookmarkStart w:id="10" w:name="_Toc158303339"/>
      <w:bookmarkStart w:id="11" w:name="_Toc171678319"/>
      <w:bookmarkEnd w:id="8"/>
      <w:bookmarkEnd w:id="9"/>
      <w:r w:rsidRPr="00511C0B">
        <w:lastRenderedPageBreak/>
        <w:t>Authority</w:t>
      </w:r>
      <w:bookmarkEnd w:id="10"/>
      <w:bookmarkEnd w:id="11"/>
      <w:r w:rsidRPr="00511C0B">
        <w:t xml:space="preserve"> </w:t>
      </w:r>
    </w:p>
    <w:p w14:paraId="524E9C45" w14:textId="77777777" w:rsidR="004735BB" w:rsidRPr="00511C0B" w:rsidRDefault="004735BB" w:rsidP="004735BB">
      <w:pPr>
        <w:pStyle w:val="BodyText1"/>
      </w:pPr>
      <w:r w:rsidRPr="00511C0B">
        <w:t xml:space="preserve">This Prudential Standard is made under paragraph 230A(1)(a) of the </w:t>
      </w:r>
      <w:r w:rsidRPr="00511C0B">
        <w:rPr>
          <w:i/>
        </w:rPr>
        <w:t>Life Insurance Act 1995</w:t>
      </w:r>
      <w:r w:rsidRPr="00511C0B">
        <w:t xml:space="preserve"> (the Act).</w:t>
      </w:r>
    </w:p>
    <w:p w14:paraId="2CCDEC1E" w14:textId="225656FA" w:rsidR="004735BB" w:rsidRPr="00511C0B" w:rsidRDefault="004735BB" w:rsidP="004735BB">
      <w:pPr>
        <w:pStyle w:val="Heading1"/>
      </w:pPr>
      <w:bookmarkStart w:id="12" w:name="_Toc158303340"/>
      <w:bookmarkStart w:id="13" w:name="_Toc171678320"/>
      <w:r w:rsidRPr="00511C0B">
        <w:t>Application</w:t>
      </w:r>
      <w:r w:rsidR="00643965">
        <w:t xml:space="preserve"> and commencement</w:t>
      </w:r>
      <w:bookmarkEnd w:id="12"/>
      <w:bookmarkEnd w:id="13"/>
    </w:p>
    <w:p w14:paraId="72E807B2" w14:textId="77777777" w:rsidR="004735BB" w:rsidRPr="00511C0B" w:rsidRDefault="004735BB" w:rsidP="004735BB">
      <w:pPr>
        <w:pStyle w:val="BodyText1"/>
        <w:rPr>
          <w:rFonts w:eastAsia="MS Mincho"/>
          <w:b/>
          <w:lang w:eastAsia="ja-JP"/>
        </w:rPr>
      </w:pPr>
      <w:r w:rsidRPr="00511C0B">
        <w:rPr>
          <w:rFonts w:eastAsia="MS Mincho"/>
          <w:lang w:eastAsia="ja-JP"/>
        </w:rPr>
        <w:t xml:space="preserve">This Prudential Standard applies to all life companies including </w:t>
      </w:r>
      <w:r w:rsidRPr="00511C0B">
        <w:rPr>
          <w:rFonts w:eastAsia="MS Mincho"/>
          <w:b/>
          <w:lang w:eastAsia="ja-JP"/>
        </w:rPr>
        <w:t>friendly societies</w:t>
      </w:r>
      <w:r w:rsidRPr="00511C0B">
        <w:rPr>
          <w:rFonts w:eastAsia="MS Mincho"/>
          <w:lang w:eastAsia="ja-JP"/>
        </w:rPr>
        <w:t xml:space="preserve"> (together referred to as </w:t>
      </w:r>
      <w:r w:rsidRPr="00511C0B">
        <w:rPr>
          <w:rFonts w:eastAsia="MS Mincho"/>
          <w:b/>
          <w:lang w:eastAsia="ja-JP"/>
        </w:rPr>
        <w:t>life companies</w:t>
      </w:r>
      <w:r w:rsidRPr="00511C0B">
        <w:rPr>
          <w:rFonts w:eastAsia="MS Mincho"/>
          <w:lang w:eastAsia="ja-JP"/>
        </w:rPr>
        <w:t>) registered under the Act</w:t>
      </w:r>
      <w:r w:rsidRPr="00511C0B">
        <w:rPr>
          <w:rFonts w:eastAsia="MS Mincho"/>
          <w:vertAlign w:val="superscript"/>
          <w:lang w:eastAsia="ja-JP"/>
        </w:rPr>
        <w:footnoteReference w:id="2"/>
      </w:r>
      <w:r w:rsidRPr="00511C0B">
        <w:rPr>
          <w:rFonts w:eastAsia="MS Mincho"/>
          <w:lang w:eastAsia="ja-JP"/>
        </w:rPr>
        <w:t>, except where expressly noted otherwise.</w:t>
      </w:r>
      <w:r w:rsidRPr="00511C0B" w:rsidDel="00E232F3">
        <w:rPr>
          <w:rFonts w:eastAsia="MS Mincho"/>
          <w:vertAlign w:val="superscript"/>
          <w:lang w:eastAsia="ja-JP"/>
        </w:rPr>
        <w:t xml:space="preserve"> </w:t>
      </w:r>
    </w:p>
    <w:p w14:paraId="4A7C3ED6" w14:textId="77777777" w:rsidR="004735BB" w:rsidRPr="00511C0B" w:rsidRDefault="004735BB" w:rsidP="004735BB">
      <w:pPr>
        <w:pStyle w:val="BodyText1"/>
      </w:pPr>
      <w:r w:rsidRPr="00511C0B">
        <w:t xml:space="preserve">A life company must apply this Prudential Standard separately: </w:t>
      </w:r>
    </w:p>
    <w:p w14:paraId="1B83654C" w14:textId="77777777" w:rsidR="004735BB" w:rsidRPr="00511C0B" w:rsidRDefault="004735BB" w:rsidP="004735BB">
      <w:pPr>
        <w:pStyle w:val="BodyText2"/>
      </w:pPr>
      <w:r w:rsidRPr="00511C0B">
        <w:t>for a life company other than a friendly society: to each of its statutory funds and its shareholders’ fund; and</w:t>
      </w:r>
    </w:p>
    <w:p w14:paraId="1AD1C803" w14:textId="77777777" w:rsidR="004735BB" w:rsidRPr="00511C0B" w:rsidRDefault="004735BB" w:rsidP="004735BB">
      <w:pPr>
        <w:pStyle w:val="BodyText2"/>
      </w:pPr>
      <w:r w:rsidRPr="00511C0B">
        <w:t xml:space="preserve">for a friendly society: to each of its approved benefit funds and its management fund. </w:t>
      </w:r>
    </w:p>
    <w:p w14:paraId="7CF2E5CA" w14:textId="77777777" w:rsidR="004735BB" w:rsidRPr="00511C0B" w:rsidRDefault="004735BB" w:rsidP="004735BB">
      <w:pPr>
        <w:pStyle w:val="BodyText1"/>
      </w:pPr>
      <w:r w:rsidRPr="00511C0B">
        <w:rPr>
          <w:rFonts w:eastAsia="MS Mincho"/>
          <w:lang w:eastAsia="ja-JP"/>
        </w:rPr>
        <w:t xml:space="preserve">This Prudential Standard only applies to the business of an </w:t>
      </w:r>
      <w:r w:rsidRPr="00511C0B">
        <w:rPr>
          <w:rFonts w:eastAsia="MS Mincho"/>
          <w:b/>
          <w:lang w:eastAsia="ja-JP"/>
        </w:rPr>
        <w:t>Eligible</w:t>
      </w:r>
      <w:r w:rsidRPr="00511C0B">
        <w:rPr>
          <w:b/>
        </w:rPr>
        <w:t xml:space="preserve"> </w:t>
      </w:r>
      <w:r w:rsidRPr="00511C0B">
        <w:rPr>
          <w:rFonts w:eastAsia="MS Mincho"/>
          <w:b/>
          <w:lang w:eastAsia="ja-JP"/>
        </w:rPr>
        <w:t>Foreign Life I</w:t>
      </w:r>
      <w:r w:rsidRPr="00511C0B">
        <w:rPr>
          <w:b/>
        </w:rPr>
        <w:t>nsurance Company</w:t>
      </w:r>
      <w:r w:rsidRPr="00511C0B">
        <w:t xml:space="preserve"> which is </w:t>
      </w:r>
      <w:r w:rsidRPr="00511C0B">
        <w:rPr>
          <w:rFonts w:eastAsia="MS Mincho"/>
          <w:lang w:eastAsia="ja-JP"/>
        </w:rPr>
        <w:t>carried on through its Australian statutory funds but not otherwise.</w:t>
      </w:r>
      <w:r w:rsidRPr="00511C0B">
        <w:rPr>
          <w:rStyle w:val="FootnoteReference"/>
          <w:rFonts w:eastAsia="MS Mincho"/>
          <w:lang w:eastAsia="ja-JP"/>
        </w:rPr>
        <w:footnoteReference w:id="3"/>
      </w:r>
    </w:p>
    <w:p w14:paraId="0D667A43" w14:textId="2B140D74" w:rsidR="004735BB" w:rsidRPr="00511C0B" w:rsidRDefault="004735BB" w:rsidP="004735BB">
      <w:pPr>
        <w:pStyle w:val="BodyText1"/>
      </w:pPr>
      <w:r w:rsidRPr="00511C0B">
        <w:t xml:space="preserve">This Prudential Standard applies to life companies </w:t>
      </w:r>
      <w:r w:rsidRPr="001713AF">
        <w:t xml:space="preserve">from 1 </w:t>
      </w:r>
      <w:r w:rsidR="005948B4">
        <w:t>October 2024</w:t>
      </w:r>
      <w:r w:rsidRPr="001713AF">
        <w:t>.</w:t>
      </w:r>
    </w:p>
    <w:p w14:paraId="2F6D03D4" w14:textId="77777777" w:rsidR="004735BB" w:rsidRPr="00511C0B" w:rsidRDefault="004735BB" w:rsidP="004735BB">
      <w:pPr>
        <w:pStyle w:val="Heading1"/>
      </w:pPr>
      <w:bookmarkStart w:id="14" w:name="_Toc158303341"/>
      <w:bookmarkStart w:id="15" w:name="_Toc171678321"/>
      <w:r w:rsidRPr="00511C0B">
        <w:t>Interpretation</w:t>
      </w:r>
      <w:bookmarkEnd w:id="14"/>
      <w:bookmarkEnd w:id="15"/>
    </w:p>
    <w:p w14:paraId="0438AB4B" w14:textId="6414049B" w:rsidR="004735BB" w:rsidRPr="00511C0B" w:rsidRDefault="004735BB" w:rsidP="004735BB">
      <w:pPr>
        <w:pStyle w:val="BodyText1"/>
      </w:pPr>
      <w:r w:rsidRPr="00511C0B">
        <w:t xml:space="preserve">Terms that are defined in </w:t>
      </w:r>
      <w:r w:rsidRPr="00511C0B">
        <w:rPr>
          <w:i/>
        </w:rPr>
        <w:t xml:space="preserve">Prudential Standard LPS 001 Definitions </w:t>
      </w:r>
      <w:r w:rsidRPr="00511C0B">
        <w:t>appear in bold the first time they are used in this Prudential Standard.</w:t>
      </w:r>
    </w:p>
    <w:p w14:paraId="0D101678" w14:textId="77777777" w:rsidR="004735BB" w:rsidRPr="00511C0B" w:rsidRDefault="004735BB" w:rsidP="004735BB">
      <w:pPr>
        <w:pStyle w:val="BodyText1"/>
      </w:pPr>
      <w:r w:rsidRPr="00511C0B">
        <w:t>Unless otherwise indicated:</w:t>
      </w:r>
    </w:p>
    <w:p w14:paraId="3D3AB23D" w14:textId="77777777" w:rsidR="004735BB" w:rsidRPr="00511C0B" w:rsidRDefault="004735BB" w:rsidP="004735BB">
      <w:pPr>
        <w:pStyle w:val="BodyText2"/>
      </w:pPr>
      <w:r w:rsidRPr="00511C0B">
        <w:t xml:space="preserve">the term </w:t>
      </w:r>
      <w:r w:rsidRPr="00511C0B">
        <w:rPr>
          <w:b/>
        </w:rPr>
        <w:t>statutory fund</w:t>
      </w:r>
      <w:r w:rsidRPr="00511C0B">
        <w:t xml:space="preserve"> will be used to refer to a statutory fund of a life company other than a friendly society, or an approved benefit fund of a friendly society, as </w:t>
      </w:r>
      <w:proofErr w:type="gramStart"/>
      <w:r w:rsidRPr="00511C0B">
        <w:t>relevant;</w:t>
      </w:r>
      <w:proofErr w:type="gramEnd"/>
      <w:r w:rsidRPr="00511C0B">
        <w:t xml:space="preserve"> </w:t>
      </w:r>
    </w:p>
    <w:p w14:paraId="0FD4B44A" w14:textId="77777777" w:rsidR="004735BB" w:rsidRPr="009A5A30" w:rsidRDefault="004735BB" w:rsidP="004735BB">
      <w:pPr>
        <w:pStyle w:val="BodyText2"/>
      </w:pPr>
      <w:r w:rsidRPr="00511C0B">
        <w:t xml:space="preserve">the term </w:t>
      </w:r>
      <w:r w:rsidRPr="00511C0B">
        <w:rPr>
          <w:b/>
        </w:rPr>
        <w:t>general fund</w:t>
      </w:r>
      <w:r w:rsidRPr="00511C0B">
        <w:t xml:space="preserve"> </w:t>
      </w:r>
      <w:r>
        <w:t>is</w:t>
      </w:r>
      <w:r w:rsidRPr="00511C0B">
        <w:t xml:space="preserve"> used to refer to the shareholders’ fund of a life company other than a friendly society, or the management fund of a friendly </w:t>
      </w:r>
      <w:r w:rsidRPr="009A5A30">
        <w:t xml:space="preserve">society, as </w:t>
      </w:r>
      <w:proofErr w:type="gramStart"/>
      <w:r w:rsidRPr="009A5A30">
        <w:t>relevant;</w:t>
      </w:r>
      <w:proofErr w:type="gramEnd"/>
      <w:r w:rsidRPr="009A5A30">
        <w:t xml:space="preserve"> </w:t>
      </w:r>
    </w:p>
    <w:p w14:paraId="6E154476" w14:textId="77777777" w:rsidR="004735BB" w:rsidRPr="009A5A30" w:rsidRDefault="004735BB" w:rsidP="004735BB">
      <w:pPr>
        <w:pStyle w:val="BodyText2"/>
      </w:pPr>
      <w:r w:rsidRPr="009A5A30">
        <w:t>the term ‘fund’ will be used to refer to a statutory fund or a general fund, as relevant; and</w:t>
      </w:r>
    </w:p>
    <w:p w14:paraId="40F04AF1" w14:textId="5D548394" w:rsidR="004735BB" w:rsidRPr="004735BB" w:rsidRDefault="004735BB" w:rsidP="004735BB">
      <w:pPr>
        <w:pStyle w:val="BodyText2"/>
      </w:pPr>
      <w:r w:rsidRPr="009A5A30">
        <w:t xml:space="preserve">the term ‘insurance policy receivables’ will be used to refer to premiums and other accounts receivable that have been recognised within the </w:t>
      </w:r>
      <w:r w:rsidRPr="009A5A30">
        <w:rPr>
          <w:b/>
        </w:rPr>
        <w:t>net life contract liabilities</w:t>
      </w:r>
      <w:r w:rsidRPr="009A5A30">
        <w:t xml:space="preserve"> derived from the insurance and reinsurance contract liabilities and assets reported on the balance sheet under </w:t>
      </w:r>
      <w:r w:rsidRPr="009A5A30">
        <w:rPr>
          <w:i/>
        </w:rPr>
        <w:t>AASB 17 Insurance Contracts.</w:t>
      </w:r>
    </w:p>
    <w:p w14:paraId="283C2D83" w14:textId="77777777" w:rsidR="004735BB" w:rsidRPr="004735BB" w:rsidRDefault="004735BB" w:rsidP="004735BB">
      <w:pPr>
        <w:pStyle w:val="BodyText1"/>
      </w:pPr>
      <w:r w:rsidRPr="009D3DB4">
        <w:lastRenderedPageBreak/>
        <w:t>Eligible Collateral Items</w:t>
      </w:r>
      <w:r w:rsidRPr="004735BB">
        <w:t xml:space="preserve"> are cash, government securities, or debt obligations (i.e. loans, deposits, placements, interest rate securities and other receivables) where the counterparty has a </w:t>
      </w:r>
      <w:r w:rsidRPr="004735BB">
        <w:rPr>
          <w:b/>
        </w:rPr>
        <w:t>counterparty grade</w:t>
      </w:r>
      <w:r w:rsidRPr="004735BB">
        <w:t xml:space="preserve"> of 1, 2 or 3 and there is no currency mismatch between the collateral item and the asset.</w:t>
      </w:r>
    </w:p>
    <w:p w14:paraId="27AAC884" w14:textId="77777777" w:rsidR="004735BB" w:rsidRPr="004735BB" w:rsidRDefault="004735BB" w:rsidP="004735BB">
      <w:pPr>
        <w:pStyle w:val="BodyText1"/>
      </w:pPr>
      <w:r w:rsidRPr="004735BB">
        <w:t>An affiliated entity of a life company is an overseas parent, an associated company, or a subsidiary company of the life company.</w:t>
      </w:r>
    </w:p>
    <w:p w14:paraId="5DDB4632" w14:textId="77777777" w:rsidR="004735BB" w:rsidRPr="00511C0B" w:rsidRDefault="004735BB" w:rsidP="004735BB">
      <w:pPr>
        <w:pStyle w:val="Heading1"/>
      </w:pPr>
      <w:bookmarkStart w:id="16" w:name="_Toc158303342"/>
      <w:bookmarkStart w:id="17" w:name="_Toc171678322"/>
      <w:r w:rsidRPr="00511C0B">
        <w:t>Asset Concentration Risk Charge</w:t>
      </w:r>
      <w:bookmarkEnd w:id="16"/>
      <w:bookmarkEnd w:id="17"/>
    </w:p>
    <w:p w14:paraId="4020C8A0" w14:textId="77777777" w:rsidR="004735BB" w:rsidRPr="004735BB" w:rsidRDefault="004735BB" w:rsidP="004735BB">
      <w:pPr>
        <w:pStyle w:val="BodyText1"/>
      </w:pPr>
      <w:r w:rsidRPr="004735BB">
        <w:t xml:space="preserve">This Prudential Standard sets out the method for calculating the </w:t>
      </w:r>
      <w:r w:rsidRPr="00D16061">
        <w:rPr>
          <w:b/>
        </w:rPr>
        <w:t>Asset Concentration Risk Charge</w:t>
      </w:r>
      <w:r w:rsidRPr="004735BB">
        <w:t xml:space="preserve"> for a life company’s statutory funds and its general fund.</w:t>
      </w:r>
    </w:p>
    <w:p w14:paraId="44BD8182" w14:textId="77777777" w:rsidR="004735BB" w:rsidRPr="004735BB" w:rsidRDefault="004735BB" w:rsidP="004735BB">
      <w:pPr>
        <w:pStyle w:val="BodyText1"/>
      </w:pPr>
      <w:r w:rsidRPr="004735BB">
        <w:t xml:space="preserve">The method for calculating the </w:t>
      </w:r>
      <w:r w:rsidRPr="00D16061">
        <w:rPr>
          <w:b/>
        </w:rPr>
        <w:t>Asset Risk Charge</w:t>
      </w:r>
      <w:r w:rsidRPr="004735BB">
        <w:t xml:space="preserve"> is set out in </w:t>
      </w:r>
      <w:r w:rsidRPr="00D969AD">
        <w:rPr>
          <w:i/>
        </w:rPr>
        <w:t>Prudential Standard LPS 114 Asset Risk Charge</w:t>
      </w:r>
      <w:r w:rsidRPr="004735BB">
        <w:t xml:space="preserve"> (LPS 114). It is calibrated for funds whose investments in each asset class are well diversified. Additional capital is therefore required if there are excessive concentrations of investments in individual assets or in exposures to single counterparties (or groups of related counterparties). </w:t>
      </w:r>
    </w:p>
    <w:p w14:paraId="351E3AD5" w14:textId="020C7C6B" w:rsidR="004735BB" w:rsidRPr="004735BB" w:rsidRDefault="004735BB" w:rsidP="004735BB">
      <w:pPr>
        <w:pStyle w:val="BodyText1"/>
      </w:pPr>
      <w:r w:rsidRPr="004735BB">
        <w:t xml:space="preserve">The Asset Concentration Risk Charge is the amount by which the values of individual asset and credit exposures (or groups of related exposures) exceed certain limits. The limits, by type of asset exposure, are set out in Attachment A. Modifications to the limits that apply to </w:t>
      </w:r>
      <w:r w:rsidRPr="00D16061">
        <w:rPr>
          <w:b/>
        </w:rPr>
        <w:t>specialist reinsurers</w:t>
      </w:r>
      <w:r w:rsidRPr="004735BB">
        <w:t xml:space="preserve"> are set out in paragraph </w:t>
      </w:r>
      <w:r w:rsidRPr="004735BB">
        <w:fldChar w:fldCharType="begin"/>
      </w:r>
      <w:r w:rsidRPr="004735BB">
        <w:instrText xml:space="preserve"> REF _Ref68624394 \r \h </w:instrText>
      </w:r>
      <w:r>
        <w:instrText xml:space="preserve"> \* MERGEFORMAT </w:instrText>
      </w:r>
      <w:r w:rsidRPr="004735BB">
        <w:fldChar w:fldCharType="separate"/>
      </w:r>
      <w:r w:rsidR="009745D3">
        <w:t>46</w:t>
      </w:r>
      <w:r w:rsidRPr="004735BB">
        <w:fldChar w:fldCharType="end"/>
      </w:r>
      <w:r w:rsidRPr="004735BB">
        <w:t>.</w:t>
      </w:r>
    </w:p>
    <w:p w14:paraId="63C3D8B7" w14:textId="77777777" w:rsidR="004735BB" w:rsidRPr="004735BB" w:rsidRDefault="004735BB" w:rsidP="004735BB">
      <w:pPr>
        <w:pStyle w:val="BodyText1"/>
      </w:pPr>
      <w:r w:rsidRPr="004735BB">
        <w:t xml:space="preserve">The prescribed limits are expressed as percentages of the value of assets of the statutory fund or general fund (VAF), as percentages of the </w:t>
      </w:r>
      <w:r w:rsidRPr="00D16061">
        <w:rPr>
          <w:b/>
        </w:rPr>
        <w:t>capital base</w:t>
      </w:r>
      <w:r w:rsidRPr="004735BB">
        <w:t xml:space="preserve"> of the fund, or as fixed dollar limits.</w:t>
      </w:r>
    </w:p>
    <w:p w14:paraId="6B5DCE6D" w14:textId="77777777" w:rsidR="004735BB" w:rsidRPr="004735BB" w:rsidRDefault="004735BB" w:rsidP="004735BB">
      <w:pPr>
        <w:pStyle w:val="BodyText1"/>
      </w:pPr>
      <w:bookmarkStart w:id="18" w:name="_Hlk126187152"/>
      <w:proofErr w:type="gramStart"/>
      <w:r w:rsidRPr="004735BB">
        <w:t>For the purpose of</w:t>
      </w:r>
      <w:proofErr w:type="gramEnd"/>
      <w:r w:rsidRPr="004735BB">
        <w:t xml:space="preserve"> calculating the Asset Concentration Risk Charge in respect of reinsurance assets:</w:t>
      </w:r>
    </w:p>
    <w:p w14:paraId="08C525A9" w14:textId="0EE2FA7C" w:rsidR="004735BB" w:rsidRPr="004735BB" w:rsidRDefault="004735BB" w:rsidP="004735BB">
      <w:pPr>
        <w:pStyle w:val="BodyText2"/>
      </w:pPr>
      <w:r w:rsidRPr="004735BB">
        <w:t xml:space="preserve">the value of the reinsurance asset must be its stressed value (determined in accordance with paragraph </w:t>
      </w:r>
      <w:r w:rsidRPr="004735BB">
        <w:fldChar w:fldCharType="begin"/>
      </w:r>
      <w:r w:rsidRPr="004735BB">
        <w:instrText xml:space="preserve"> REF _Ref66725990 \r \h  \* MERGEFORMAT </w:instrText>
      </w:r>
      <w:r w:rsidRPr="004735BB">
        <w:fldChar w:fldCharType="separate"/>
      </w:r>
      <w:r w:rsidR="009745D3">
        <w:t>17</w:t>
      </w:r>
      <w:r w:rsidRPr="004735BB">
        <w:fldChar w:fldCharType="end"/>
      </w:r>
      <w:r w:rsidRPr="004735BB">
        <w:t>); and</w:t>
      </w:r>
    </w:p>
    <w:p w14:paraId="0E4273D4" w14:textId="649FC536" w:rsidR="004735BB" w:rsidRPr="004735BB" w:rsidRDefault="004735BB" w:rsidP="004735BB">
      <w:pPr>
        <w:pStyle w:val="BodyText2"/>
      </w:pPr>
      <w:r w:rsidRPr="004735BB">
        <w:t xml:space="preserve">the prescribed limits use the modified definition of VAF in paragraph </w:t>
      </w:r>
      <w:r w:rsidRPr="004735BB">
        <w:fldChar w:fldCharType="begin"/>
      </w:r>
      <w:r w:rsidRPr="004735BB">
        <w:instrText xml:space="preserve"> REF _Ref66726008 \r \h  \* MERGEFORMAT </w:instrText>
      </w:r>
      <w:r w:rsidRPr="004735BB">
        <w:fldChar w:fldCharType="separate"/>
      </w:r>
      <w:r w:rsidR="009745D3">
        <w:t>20</w:t>
      </w:r>
      <w:r w:rsidRPr="004735BB">
        <w:fldChar w:fldCharType="end"/>
      </w:r>
      <w:r w:rsidRPr="004735BB">
        <w:t>.</w:t>
      </w:r>
    </w:p>
    <w:bookmarkEnd w:id="18"/>
    <w:p w14:paraId="26623EAB" w14:textId="77777777" w:rsidR="004735BB" w:rsidRPr="00511C0B" w:rsidRDefault="004735BB" w:rsidP="004735BB">
      <w:pPr>
        <w:pStyle w:val="BodyText1"/>
      </w:pPr>
      <w:r>
        <w:t>Where i</w:t>
      </w:r>
      <w:r w:rsidRPr="00511C0B">
        <w:t xml:space="preserve">ndividual assets are exposed to common risks (e.g. strata titles in the same property, or exposures to a single creditor) </w:t>
      </w:r>
      <w:r>
        <w:t xml:space="preserve">their values </w:t>
      </w:r>
      <w:r w:rsidRPr="00511C0B">
        <w:t xml:space="preserve">must be </w:t>
      </w:r>
      <w:proofErr w:type="gramStart"/>
      <w:r w:rsidRPr="00511C0B">
        <w:t>aggregated</w:t>
      </w:r>
      <w:proofErr w:type="gramEnd"/>
      <w:r>
        <w:t xml:space="preserve"> and the Asset Concentration Risk Charge determined as the amount by which the aggregated value exceeds the relevant limit</w:t>
      </w:r>
      <w:r w:rsidRPr="00511C0B">
        <w:t xml:space="preserve">. </w:t>
      </w:r>
    </w:p>
    <w:p w14:paraId="220AF7DF" w14:textId="77777777" w:rsidR="004735BB" w:rsidRPr="009D34B5" w:rsidRDefault="004735BB" w:rsidP="004735BB">
      <w:pPr>
        <w:pStyle w:val="Heading3"/>
      </w:pPr>
      <w:bookmarkStart w:id="19" w:name="_Toc130562060"/>
      <w:bookmarkStart w:id="20" w:name="_Toc158303343"/>
      <w:bookmarkStart w:id="21" w:name="_Toc158622304"/>
      <w:bookmarkStart w:id="22" w:name="_Toc171678323"/>
      <w:bookmarkStart w:id="23" w:name="_Hlk113873947"/>
      <w:bookmarkStart w:id="24" w:name="_Hlk93572187"/>
      <w:r w:rsidRPr="009D34B5">
        <w:t xml:space="preserve">Determining VAF for </w:t>
      </w:r>
      <w:r>
        <w:t xml:space="preserve">asset concentration </w:t>
      </w:r>
      <w:r w:rsidRPr="009D34B5">
        <w:t xml:space="preserve">limits that apply to non-reinsurance </w:t>
      </w:r>
      <w:proofErr w:type="gramStart"/>
      <w:r w:rsidRPr="009D34B5">
        <w:t>assets</w:t>
      </w:r>
      <w:bookmarkEnd w:id="19"/>
      <w:bookmarkEnd w:id="20"/>
      <w:bookmarkEnd w:id="21"/>
      <w:bookmarkEnd w:id="22"/>
      <w:proofErr w:type="gramEnd"/>
    </w:p>
    <w:p w14:paraId="6938AEA6" w14:textId="739D6FC0" w:rsidR="00F446B3" w:rsidRDefault="004735BB" w:rsidP="004735BB">
      <w:pPr>
        <w:pStyle w:val="BodyText1"/>
      </w:pPr>
      <w:bookmarkStart w:id="25" w:name="_Ref34221547"/>
      <w:bookmarkStart w:id="26" w:name="_Ref99101593"/>
      <w:proofErr w:type="gramStart"/>
      <w:r w:rsidRPr="00511C0B">
        <w:t>For the purpose of</w:t>
      </w:r>
      <w:proofErr w:type="gramEnd"/>
      <w:r w:rsidRPr="00511C0B">
        <w:t xml:space="preserve"> determining the asset concentration limits for non-reinsurance assets, VAF is determined</w:t>
      </w:r>
      <w:r w:rsidR="00F446B3">
        <w:t xml:space="preserve"> </w:t>
      </w:r>
      <w:r w:rsidRPr="00511C0B">
        <w:t>a</w:t>
      </w:r>
      <w:r>
        <w:t>s</w:t>
      </w:r>
      <w:r w:rsidR="00F446B3">
        <w:t>:</w:t>
      </w:r>
    </w:p>
    <w:p w14:paraId="7EE0F2B8" w14:textId="391566DC" w:rsidR="003278B5" w:rsidRDefault="004735BB" w:rsidP="00782CF5">
      <w:pPr>
        <w:pStyle w:val="BodyText2"/>
      </w:pPr>
      <w:r>
        <w:t xml:space="preserve"> </w:t>
      </w:r>
      <w:bookmarkEnd w:id="25"/>
      <w:r w:rsidRPr="009A5A30">
        <w:t>the sum of the</w:t>
      </w:r>
      <w:r w:rsidR="003278B5">
        <w:t>:</w:t>
      </w:r>
    </w:p>
    <w:p w14:paraId="7F311AD4" w14:textId="72F0B6B6" w:rsidR="00F446B3" w:rsidRDefault="004735BB" w:rsidP="003278B5">
      <w:pPr>
        <w:pStyle w:val="BodyText3"/>
      </w:pPr>
      <w:r w:rsidRPr="009A5A30">
        <w:lastRenderedPageBreak/>
        <w:t>total assets of the fund</w:t>
      </w:r>
      <w:r w:rsidR="003278B5">
        <w:t xml:space="preserve"> reported in </w:t>
      </w:r>
      <w:r w:rsidRPr="009A5A30">
        <w:t xml:space="preserve">the life company’s </w:t>
      </w:r>
      <w:r w:rsidRPr="00D16061">
        <w:rPr>
          <w:b/>
        </w:rPr>
        <w:t xml:space="preserve">statutory </w:t>
      </w:r>
      <w:proofErr w:type="gramStart"/>
      <w:r w:rsidRPr="00D16061">
        <w:rPr>
          <w:b/>
        </w:rPr>
        <w:t>accounts</w:t>
      </w:r>
      <w:r w:rsidR="00F446B3">
        <w:t>;</w:t>
      </w:r>
      <w:proofErr w:type="gramEnd"/>
    </w:p>
    <w:p w14:paraId="4F933654" w14:textId="291E124B" w:rsidR="003C5B94" w:rsidRDefault="003278B5" w:rsidP="003C5B94">
      <w:pPr>
        <w:pStyle w:val="BodyText3"/>
      </w:pPr>
      <w:r>
        <w:t>value of adjusted reinsurance assets of the fund; and</w:t>
      </w:r>
    </w:p>
    <w:p w14:paraId="32C3CFAE" w14:textId="54D8D2B3" w:rsidR="00F446B3" w:rsidRDefault="003C5B94" w:rsidP="00D11585">
      <w:pPr>
        <w:pStyle w:val="BodyText3"/>
      </w:pPr>
      <w:bookmarkStart w:id="27" w:name="_Hlk126149279"/>
      <w:r>
        <w:t xml:space="preserve">value of </w:t>
      </w:r>
      <w:r w:rsidR="004735BB" w:rsidRPr="009A5A30">
        <w:t>insurance policy receivables</w:t>
      </w:r>
      <w:r>
        <w:t xml:space="preserve"> of the fund</w:t>
      </w:r>
      <w:bookmarkEnd w:id="27"/>
      <w:r w:rsidR="00F446B3">
        <w:t>;</w:t>
      </w:r>
      <w:r w:rsidR="004735BB" w:rsidRPr="009A5A30">
        <w:t xml:space="preserve"> less</w:t>
      </w:r>
      <w:bookmarkStart w:id="28" w:name="_Hlk55299346"/>
    </w:p>
    <w:p w14:paraId="1A535B91" w14:textId="7E06CDF6" w:rsidR="00FD421B" w:rsidRDefault="004735BB" w:rsidP="004647DC">
      <w:pPr>
        <w:pStyle w:val="BodyText2"/>
      </w:pPr>
      <w:bookmarkStart w:id="29" w:name="_Hlk126149399"/>
      <w:r w:rsidRPr="009A5A30">
        <w:t xml:space="preserve">the value of </w:t>
      </w:r>
      <w:r w:rsidR="009019A0">
        <w:t xml:space="preserve">insurance and </w:t>
      </w:r>
      <w:r w:rsidRPr="009A5A30">
        <w:t>reinsurance contract assets</w:t>
      </w:r>
      <w:r w:rsidR="00D11585">
        <w:t xml:space="preserve"> </w:t>
      </w:r>
      <w:r w:rsidR="009019A0">
        <w:t xml:space="preserve">of the fund reported in the </w:t>
      </w:r>
      <w:r w:rsidR="00CB03E3">
        <w:t xml:space="preserve">life company’s </w:t>
      </w:r>
      <w:r w:rsidR="009019A0">
        <w:t>statutory accounts</w:t>
      </w:r>
      <w:bookmarkEnd w:id="29"/>
      <w:r w:rsidR="00271C7B">
        <w:t>.</w:t>
      </w:r>
    </w:p>
    <w:bookmarkEnd w:id="26"/>
    <w:bookmarkEnd w:id="28"/>
    <w:p w14:paraId="034BCF1D" w14:textId="2667CA23" w:rsidR="00B640BE" w:rsidRDefault="00CD71C7" w:rsidP="00D969AD">
      <w:pPr>
        <w:pStyle w:val="BodyText1"/>
        <w:numPr>
          <w:ilvl w:val="0"/>
          <w:numId w:val="0"/>
        </w:numPr>
        <w:ind w:left="567"/>
      </w:pPr>
      <w:r>
        <w:t>T</w:t>
      </w:r>
      <w:r w:rsidRPr="00CD71C7">
        <w:t xml:space="preserve">he value of </w:t>
      </w:r>
      <w:r w:rsidR="003F13D5">
        <w:t xml:space="preserve">adjusted </w:t>
      </w:r>
      <w:r w:rsidRPr="00CD71C7">
        <w:t xml:space="preserve">reinsurance assets must be determined by calculating the adjusted policy liabilities gross of </w:t>
      </w:r>
      <w:proofErr w:type="gramStart"/>
      <w:r w:rsidRPr="00CD71C7">
        <w:t>reinsurance, and</w:t>
      </w:r>
      <w:proofErr w:type="gramEnd"/>
      <w:r w:rsidRPr="00CD71C7">
        <w:t xml:space="preserve"> deducting the corresponding net of reinsurance values</w:t>
      </w:r>
      <w:r>
        <w:t xml:space="preserve">. </w:t>
      </w:r>
      <w:bookmarkStart w:id="30" w:name="_Hlk124854915"/>
      <w:r w:rsidR="00012702">
        <w:t xml:space="preserve">Where a life company has entered into deferred premiums, deposit backs or funds withheld arrangements, </w:t>
      </w:r>
      <w:bookmarkStart w:id="31" w:name="_Hlk126186753"/>
      <w:r w:rsidR="00012702">
        <w:t>the value of adjusted reinsurance assets mu</w:t>
      </w:r>
      <w:r w:rsidR="00271C7B">
        <w:t>st</w:t>
      </w:r>
      <w:r w:rsidR="00012702">
        <w:t xml:space="preserve"> be</w:t>
      </w:r>
      <w:bookmarkStart w:id="32" w:name="_Hlk126163280"/>
      <w:r w:rsidR="009C6F59">
        <w:t xml:space="preserve"> </w:t>
      </w:r>
      <w:r w:rsidR="009B2987">
        <w:t>reduced by</w:t>
      </w:r>
      <w:r w:rsidR="00012702" w:rsidRPr="00A63800">
        <w:t xml:space="preserve"> the value of assets held in the statutory fund under these arrangements</w:t>
      </w:r>
      <w:bookmarkEnd w:id="31"/>
      <w:bookmarkEnd w:id="32"/>
      <w:r w:rsidR="004F74D2">
        <w:t xml:space="preserve"> (regardless of whether they meet the requirements for netting under paragraph </w:t>
      </w:r>
      <w:r w:rsidR="004F74D2">
        <w:fldChar w:fldCharType="begin"/>
      </w:r>
      <w:r w:rsidR="004F74D2">
        <w:instrText xml:space="preserve"> REF _Ref33455713 \r \h </w:instrText>
      </w:r>
      <w:r w:rsidR="004F74D2">
        <w:fldChar w:fldCharType="separate"/>
      </w:r>
      <w:r w:rsidR="004F74D2">
        <w:t>28</w:t>
      </w:r>
      <w:r w:rsidR="004F74D2">
        <w:fldChar w:fldCharType="end"/>
      </w:r>
      <w:r w:rsidR="004F74D2">
        <w:t>)</w:t>
      </w:r>
      <w:r w:rsidR="00012702">
        <w:t>.</w:t>
      </w:r>
      <w:bookmarkEnd w:id="30"/>
    </w:p>
    <w:p w14:paraId="18715495" w14:textId="77777777" w:rsidR="004735BB" w:rsidRPr="009D34B5" w:rsidRDefault="004735BB" w:rsidP="004735BB">
      <w:pPr>
        <w:pStyle w:val="Heading3"/>
      </w:pPr>
      <w:bookmarkStart w:id="33" w:name="_Toc130562061"/>
      <w:bookmarkStart w:id="34" w:name="_Toc158303344"/>
      <w:bookmarkStart w:id="35" w:name="_Toc158622305"/>
      <w:bookmarkStart w:id="36" w:name="_Toc171678324"/>
      <w:bookmarkEnd w:id="23"/>
      <w:r w:rsidRPr="009D34B5">
        <w:t xml:space="preserve">Determining </w:t>
      </w:r>
      <w:r>
        <w:t>the stressed value of a reinsurance asset</w:t>
      </w:r>
      <w:bookmarkEnd w:id="33"/>
      <w:bookmarkEnd w:id="34"/>
      <w:bookmarkEnd w:id="35"/>
      <w:bookmarkEnd w:id="36"/>
    </w:p>
    <w:p w14:paraId="4EC69798" w14:textId="2FB11681" w:rsidR="004735BB" w:rsidRDefault="004735BB" w:rsidP="004735BB">
      <w:pPr>
        <w:pStyle w:val="BodyText1"/>
      </w:pPr>
      <w:bookmarkStart w:id="37" w:name="_Ref66725990"/>
      <w:r>
        <w:t>Reinsurance assets must be valued on a stressed basis f</w:t>
      </w:r>
      <w:r w:rsidRPr="00511C0B">
        <w:t>or the purpose of determining the</w:t>
      </w:r>
      <w:r>
        <w:t>ir</w:t>
      </w:r>
      <w:r w:rsidRPr="00511C0B">
        <w:t xml:space="preserve"> asset concentration limits. If a reinsurance asset would increase in value when one or more of the equity, property, credit spreads, currency or default stresses specified in LPS 114 are applied to the fund’s other assets, the stressed </w:t>
      </w:r>
      <w:r>
        <w:t xml:space="preserve">value of the reinsurance asset </w:t>
      </w:r>
      <w:r w:rsidRPr="00511C0B">
        <w:t>must be determined</w:t>
      </w:r>
      <w:r>
        <w:t xml:space="preserve"> as the greater of the amount determined</w:t>
      </w:r>
      <w:r w:rsidRPr="00511C0B">
        <w:t xml:space="preserve"> </w:t>
      </w:r>
      <w:r>
        <w:t xml:space="preserve">in accordance with the method described in </w:t>
      </w:r>
      <w:r w:rsidRPr="00416F80">
        <w:t xml:space="preserve">paragraph </w:t>
      </w:r>
      <w:r w:rsidRPr="00416F80">
        <w:fldChar w:fldCharType="begin"/>
      </w:r>
      <w:r w:rsidRPr="00416F80">
        <w:instrText xml:space="preserve"> REF _Ref63753332 \r \h </w:instrText>
      </w:r>
      <w:r>
        <w:instrText xml:space="preserve"> \* MERGEFORMAT </w:instrText>
      </w:r>
      <w:r w:rsidRPr="00416F80">
        <w:fldChar w:fldCharType="separate"/>
      </w:r>
      <w:r w:rsidR="009745D3">
        <w:t>18</w:t>
      </w:r>
      <w:r w:rsidRPr="00416F80">
        <w:fldChar w:fldCharType="end"/>
      </w:r>
      <w:r w:rsidRPr="00416F80">
        <w:t xml:space="preserve"> (the insurance-stress method)</w:t>
      </w:r>
      <w:r>
        <w:t xml:space="preserve"> or the</w:t>
      </w:r>
      <w:r w:rsidRPr="00416F80">
        <w:t xml:space="preserve"> amount determined in accordance with the method described in paragraph </w:t>
      </w:r>
      <w:r w:rsidRPr="00416F80">
        <w:fldChar w:fldCharType="begin"/>
      </w:r>
      <w:r w:rsidRPr="00416F80">
        <w:instrText xml:space="preserve"> REF _Ref63753348 \r \h </w:instrText>
      </w:r>
      <w:r>
        <w:instrText xml:space="preserve"> \* MERGEFORMAT </w:instrText>
      </w:r>
      <w:r w:rsidRPr="00416F80">
        <w:fldChar w:fldCharType="separate"/>
      </w:r>
      <w:r w:rsidR="009745D3">
        <w:t>19</w:t>
      </w:r>
      <w:r w:rsidRPr="00416F80">
        <w:fldChar w:fldCharType="end"/>
      </w:r>
      <w:r w:rsidRPr="00416F80">
        <w:t xml:space="preserve"> (the combination-stress method).</w:t>
      </w:r>
      <w:r>
        <w:t xml:space="preserve"> </w:t>
      </w:r>
      <w:bookmarkStart w:id="38" w:name="_Hlk66799990"/>
      <w:proofErr w:type="gramStart"/>
      <w:r>
        <w:t>Otherwise</w:t>
      </w:r>
      <w:proofErr w:type="gramEnd"/>
      <w:r>
        <w:t xml:space="preserve"> the stressed value of the reinsurance asset must be determined in accordance with the insurance-stress method</w:t>
      </w:r>
      <w:bookmarkEnd w:id="38"/>
      <w:r>
        <w:t>.</w:t>
      </w:r>
      <w:bookmarkEnd w:id="37"/>
    </w:p>
    <w:p w14:paraId="33B2764A" w14:textId="33F4C861" w:rsidR="004735BB" w:rsidRDefault="004735BB" w:rsidP="004735BB">
      <w:pPr>
        <w:pStyle w:val="BodyText1"/>
      </w:pPr>
      <w:bookmarkStart w:id="39" w:name="_Ref63753332"/>
      <w:r w:rsidRPr="00511C0B">
        <w:t xml:space="preserve">The stressed value of a reinsurance asset </w:t>
      </w:r>
      <w:r>
        <w:t xml:space="preserve">under the insurance-stress method </w:t>
      </w:r>
      <w:r w:rsidRPr="00511C0B">
        <w:t xml:space="preserve">is the amount by which the stressed policy liabilities determined </w:t>
      </w:r>
      <w:r>
        <w:t>under</w:t>
      </w:r>
      <w:r w:rsidRPr="00511C0B">
        <w:t xml:space="preserve"> </w:t>
      </w:r>
      <w:r w:rsidRPr="0000711B">
        <w:rPr>
          <w:i/>
        </w:rPr>
        <w:t>Prudential Standard</w:t>
      </w:r>
      <w:r w:rsidRPr="00511C0B">
        <w:t xml:space="preserve"> </w:t>
      </w:r>
      <w:r w:rsidRPr="0000711B">
        <w:rPr>
          <w:i/>
        </w:rPr>
        <w:t>LPS 115 Insurance Risk Charge</w:t>
      </w:r>
      <w:r w:rsidR="005A17EC">
        <w:t xml:space="preserve"> (LPS 115)</w:t>
      </w:r>
      <w:r w:rsidRPr="0000711B">
        <w:rPr>
          <w:i/>
        </w:rPr>
        <w:t xml:space="preserve"> </w:t>
      </w:r>
      <w:r w:rsidRPr="00511C0B">
        <w:t xml:space="preserve">would </w:t>
      </w:r>
      <w:proofErr w:type="gramStart"/>
      <w:r w:rsidRPr="00511C0B">
        <w:t>increase, if</w:t>
      </w:r>
      <w:proofErr w:type="gramEnd"/>
      <w:r w:rsidRPr="00511C0B">
        <w:t xml:space="preserve"> the stressed policy liabilities were determined gross of reinsurance. </w:t>
      </w:r>
      <w:bookmarkStart w:id="40" w:name="_Hlk55304375"/>
      <w:r>
        <w:t>When determining the stressed policy liabilities gross of reinsurance, the stress margins and diversification factor used to derive the adjusted stress margins must be recalculated.</w:t>
      </w:r>
      <w:bookmarkEnd w:id="39"/>
      <w:bookmarkEnd w:id="40"/>
    </w:p>
    <w:p w14:paraId="6070C714" w14:textId="77777777" w:rsidR="004735BB" w:rsidRPr="00511C0B" w:rsidRDefault="004735BB" w:rsidP="004735BB">
      <w:pPr>
        <w:pStyle w:val="BodyText1"/>
      </w:pPr>
      <w:bookmarkStart w:id="41" w:name="_Ref63753348"/>
      <w:bookmarkStart w:id="42" w:name="_Hlk65574122"/>
      <w:r w:rsidRPr="00511C0B">
        <w:t xml:space="preserve">The stressed value of a reinsurance asset </w:t>
      </w:r>
      <w:r>
        <w:t xml:space="preserve">under the combination-stress method </w:t>
      </w:r>
      <w:r w:rsidRPr="00511C0B">
        <w:t xml:space="preserve">is the amount by which </w:t>
      </w:r>
      <w:r>
        <w:t xml:space="preserve">net of reinsurance </w:t>
      </w:r>
      <w:r w:rsidRPr="00511C0B">
        <w:t xml:space="preserve">stressed policy liabilities determined </w:t>
      </w:r>
      <w:r w:rsidRPr="008F7B8B">
        <w:t>under a combination asset and insurance stress</w:t>
      </w:r>
      <w:r>
        <w:t xml:space="preserve"> </w:t>
      </w:r>
      <w:r w:rsidRPr="00511C0B">
        <w:t xml:space="preserve">would increase if </w:t>
      </w:r>
      <w:r>
        <w:t>they</w:t>
      </w:r>
      <w:r w:rsidRPr="00511C0B">
        <w:t xml:space="preserve"> were </w:t>
      </w:r>
      <w:r>
        <w:t xml:space="preserve">to be </w:t>
      </w:r>
      <w:r w:rsidRPr="00511C0B">
        <w:t>determined gross of reinsurance</w:t>
      </w:r>
      <w:r>
        <w:t xml:space="preserve">. The combination stress must be determined by applying </w:t>
      </w:r>
      <w:r w:rsidRPr="00511C0B">
        <w:t xml:space="preserve">equity, property, credit spreads, </w:t>
      </w:r>
      <w:proofErr w:type="gramStart"/>
      <w:r w:rsidRPr="00511C0B">
        <w:t>currency</w:t>
      </w:r>
      <w:proofErr w:type="gramEnd"/>
      <w:r w:rsidRPr="00511C0B">
        <w:t xml:space="preserve"> and default stresses</w:t>
      </w:r>
      <w:r>
        <w:t xml:space="preserve"> </w:t>
      </w:r>
      <w:r w:rsidRPr="00511C0B">
        <w:t>simultaneously with adjusted insurance stress margins</w:t>
      </w:r>
      <w:bookmarkEnd w:id="41"/>
      <w:r>
        <w:t>:</w:t>
      </w:r>
    </w:p>
    <w:bookmarkEnd w:id="42"/>
    <w:p w14:paraId="61922E12" w14:textId="77777777" w:rsidR="004735BB" w:rsidRDefault="004735BB" w:rsidP="004735BB">
      <w:pPr>
        <w:pStyle w:val="BodyText2"/>
      </w:pPr>
      <w:r>
        <w:t xml:space="preserve">The five asset stresses are as specified in LPS 114 (excluding the default stress that applies to the reinsurance asset) except that they are multiplied by the asset risk diversification factor (ARDF) and the aggregation diversification factor (ADF) that are used in calculating the combined </w:t>
      </w:r>
      <w:r>
        <w:lastRenderedPageBreak/>
        <w:t xml:space="preserve">stress scenario adjustment as specified in </w:t>
      </w:r>
      <w:r w:rsidRPr="00511C0B">
        <w:t xml:space="preserve">Attachment B of </w:t>
      </w:r>
      <w:r w:rsidRPr="00511C0B">
        <w:rPr>
          <w:i/>
        </w:rPr>
        <w:t>Prudential Standard LPS 110 Capital Adequacy</w:t>
      </w:r>
      <w:r w:rsidRPr="00511C0B">
        <w:t>.</w:t>
      </w:r>
    </w:p>
    <w:p w14:paraId="3FFE4048" w14:textId="77777777" w:rsidR="004735BB" w:rsidRDefault="004735BB" w:rsidP="004735BB">
      <w:pPr>
        <w:pStyle w:val="BodyText2"/>
      </w:pPr>
      <w:r>
        <w:t>The adjusted insurance stress margins are the relevant net or gross of reinsurance adjusted stress margins (as defined in LPS 115) multiplied by the ADF.</w:t>
      </w:r>
    </w:p>
    <w:p w14:paraId="17F4D889" w14:textId="77777777" w:rsidR="004735BB" w:rsidRDefault="004735BB" w:rsidP="004735BB">
      <w:pPr>
        <w:pStyle w:val="BodyText2"/>
      </w:pPr>
      <w:r>
        <w:t>Life companies must not recalculate the ARDF based on the five asset stresses included for the combination stress.</w:t>
      </w:r>
    </w:p>
    <w:p w14:paraId="2723B319" w14:textId="77777777" w:rsidR="004735BB" w:rsidRDefault="004735BB" w:rsidP="004735BB">
      <w:pPr>
        <w:pStyle w:val="BodyText2"/>
      </w:pPr>
      <w:r>
        <w:t>Life companies must not recalculate the ADF to account for a different value for the aggregation benefit (either net or gross of reinsurance).</w:t>
      </w:r>
    </w:p>
    <w:p w14:paraId="1F9A89D2" w14:textId="77777777" w:rsidR="004735BB" w:rsidRDefault="004735BB" w:rsidP="004735BB">
      <w:pPr>
        <w:pStyle w:val="BodyText2"/>
      </w:pPr>
      <w:r>
        <w:t>T</w:t>
      </w:r>
      <w:r w:rsidRPr="00BB5084">
        <w:t xml:space="preserve">he </w:t>
      </w:r>
      <w:r>
        <w:t xml:space="preserve">direction of the currency </w:t>
      </w:r>
      <w:r w:rsidRPr="00BB5084">
        <w:t>stress</w:t>
      </w:r>
      <w:r>
        <w:t xml:space="preserve"> is the same as used in calculating the combined stress scenario adjustment.</w:t>
      </w:r>
    </w:p>
    <w:p w14:paraId="06A5F890" w14:textId="69C82A06" w:rsidR="004735BB" w:rsidRDefault="004735BB" w:rsidP="004735BB">
      <w:pPr>
        <w:pStyle w:val="BodyText2"/>
      </w:pPr>
      <w:r>
        <w:t>F</w:t>
      </w:r>
      <w:r w:rsidRPr="00412BB0">
        <w:t>or the purposes of this paragraph</w:t>
      </w:r>
      <w:r>
        <w:t>,</w:t>
      </w:r>
      <w:r w:rsidRPr="00412BB0">
        <w:t xml:space="preserve"> the ARDF and ADF must be calculated assuming paragraph 18(b) of LPS 114 does not apply to the reinsurance asset.</w:t>
      </w:r>
    </w:p>
    <w:p w14:paraId="43C151C7" w14:textId="77777777" w:rsidR="004735BB" w:rsidRPr="009D34B5" w:rsidRDefault="004735BB" w:rsidP="004735BB">
      <w:pPr>
        <w:pStyle w:val="Heading3"/>
      </w:pPr>
      <w:bookmarkStart w:id="43" w:name="_Toc130562062"/>
      <w:bookmarkStart w:id="44" w:name="_Toc158303345"/>
      <w:bookmarkStart w:id="45" w:name="_Toc158622306"/>
      <w:bookmarkStart w:id="46" w:name="_Toc171678325"/>
      <w:r w:rsidRPr="009D34B5">
        <w:t xml:space="preserve">Determining VAF for </w:t>
      </w:r>
      <w:r>
        <w:t xml:space="preserve">asset concentration </w:t>
      </w:r>
      <w:r w:rsidRPr="009D34B5">
        <w:t xml:space="preserve">limits that apply to </w:t>
      </w:r>
      <w:r>
        <w:t>r</w:t>
      </w:r>
      <w:r w:rsidRPr="009D34B5">
        <w:t xml:space="preserve">einsurance </w:t>
      </w:r>
      <w:proofErr w:type="gramStart"/>
      <w:r w:rsidRPr="009D34B5">
        <w:t>assets</w:t>
      </w:r>
      <w:bookmarkEnd w:id="43"/>
      <w:bookmarkEnd w:id="44"/>
      <w:bookmarkEnd w:id="45"/>
      <w:bookmarkEnd w:id="46"/>
      <w:proofErr w:type="gramEnd"/>
    </w:p>
    <w:p w14:paraId="6A6B080C" w14:textId="0C8BFDED" w:rsidR="004735BB" w:rsidRPr="00511C0B" w:rsidRDefault="004735BB" w:rsidP="004735BB">
      <w:pPr>
        <w:pStyle w:val="BodyText1"/>
      </w:pPr>
      <w:bookmarkStart w:id="47" w:name="_Ref66726008"/>
      <w:proofErr w:type="gramStart"/>
      <w:r w:rsidRPr="00511C0B">
        <w:t>For the purpose of</w:t>
      </w:r>
      <w:proofErr w:type="gramEnd"/>
      <w:r w:rsidRPr="00511C0B">
        <w:t xml:space="preserve"> determining the asset concentration limits for reinsurance assets</w:t>
      </w:r>
      <w:r>
        <w:t>,</w:t>
      </w:r>
      <w:r w:rsidRPr="00511C0B">
        <w:t xml:space="preserve"> </w:t>
      </w:r>
      <w:bookmarkStart w:id="48" w:name="_Hlk55309253"/>
      <w:r w:rsidRPr="00511C0B">
        <w:t xml:space="preserve">VAF is determined as in paragraph </w:t>
      </w:r>
      <w:r w:rsidR="000E7C11">
        <w:fldChar w:fldCharType="begin"/>
      </w:r>
      <w:r w:rsidR="000E7C11">
        <w:instrText xml:space="preserve"> REF _Ref99101593 \r \h </w:instrText>
      </w:r>
      <w:r w:rsidR="000E7C11">
        <w:fldChar w:fldCharType="separate"/>
      </w:r>
      <w:r w:rsidR="009745D3">
        <w:t>16</w:t>
      </w:r>
      <w:r w:rsidR="000E7C11">
        <w:fldChar w:fldCharType="end"/>
      </w:r>
      <w:r w:rsidRPr="00511C0B">
        <w:t xml:space="preserve"> but with the following modifications</w:t>
      </w:r>
      <w:bookmarkEnd w:id="48"/>
      <w:r w:rsidRPr="00511C0B">
        <w:t>:</w:t>
      </w:r>
      <w:bookmarkEnd w:id="47"/>
    </w:p>
    <w:p w14:paraId="27209C83" w14:textId="23FBD393" w:rsidR="004735BB" w:rsidRPr="009A5A30" w:rsidRDefault="004735BB" w:rsidP="004735BB">
      <w:pPr>
        <w:pStyle w:val="BodyText2"/>
      </w:pPr>
      <w:bookmarkStart w:id="49" w:name="_Ref126222491"/>
      <w:r w:rsidRPr="009A5A30">
        <w:t>the stressed value of reinsurance assets is added to VAF</w:t>
      </w:r>
      <w:r w:rsidR="000E51F5">
        <w:t xml:space="preserve"> </w:t>
      </w:r>
      <w:r w:rsidR="000E51F5" w:rsidRPr="000E51F5">
        <w:t xml:space="preserve">in place of </w:t>
      </w:r>
      <w:r w:rsidR="000E51F5">
        <w:t xml:space="preserve">the </w:t>
      </w:r>
      <w:r w:rsidR="000E51F5" w:rsidRPr="000E51F5">
        <w:t>value of adjusted reinsurance assets of the fund</w:t>
      </w:r>
      <w:r w:rsidRPr="009A5A30">
        <w:t>; and</w:t>
      </w:r>
      <w:bookmarkEnd w:id="49"/>
    </w:p>
    <w:p w14:paraId="29211380" w14:textId="77777777" w:rsidR="004735BB" w:rsidRPr="00511C0B" w:rsidRDefault="004735BB" w:rsidP="004735BB">
      <w:pPr>
        <w:pStyle w:val="BodyText2"/>
      </w:pPr>
      <w:bookmarkStart w:id="50" w:name="_Hlk55309331"/>
      <w:r w:rsidRPr="00511C0B">
        <w:t>VAF excludes assets allocated to support:</w:t>
      </w:r>
    </w:p>
    <w:p w14:paraId="74F5DB08" w14:textId="77777777" w:rsidR="004735BB" w:rsidRPr="00511C0B" w:rsidRDefault="004735BB" w:rsidP="004735BB">
      <w:pPr>
        <w:pStyle w:val="BodyText3"/>
      </w:pPr>
      <w:r w:rsidRPr="00511C0B">
        <w:t xml:space="preserve">participating </w:t>
      </w:r>
      <w:r w:rsidRPr="00511C0B">
        <w:rPr>
          <w:b/>
        </w:rPr>
        <w:t>traditional business</w:t>
      </w:r>
      <w:r w:rsidRPr="00511C0B">
        <w:t xml:space="preserve"> and participating </w:t>
      </w:r>
      <w:r w:rsidRPr="00511C0B">
        <w:rPr>
          <w:b/>
        </w:rPr>
        <w:t>unbundled investment business</w:t>
      </w:r>
      <w:r w:rsidRPr="00511C0B">
        <w:t xml:space="preserve"> (</w:t>
      </w:r>
      <w:r>
        <w:t xml:space="preserve">gross </w:t>
      </w:r>
      <w:r w:rsidRPr="00511C0B">
        <w:t>policy liabilities</w:t>
      </w:r>
      <w:r>
        <w:t>, policy owners’ retained profits,</w:t>
      </w:r>
      <w:r w:rsidRPr="00511C0B">
        <w:t xml:space="preserve"> and </w:t>
      </w:r>
      <w:r>
        <w:t xml:space="preserve">shareholders’ </w:t>
      </w:r>
      <w:r w:rsidRPr="00511C0B">
        <w:t>retained profits</w:t>
      </w:r>
      <w:proofErr w:type="gramStart"/>
      <w:r w:rsidRPr="00511C0B">
        <w:t>);</w:t>
      </w:r>
      <w:proofErr w:type="gramEnd"/>
      <w:r w:rsidRPr="00511C0B">
        <w:t xml:space="preserve"> </w:t>
      </w:r>
    </w:p>
    <w:p w14:paraId="16E0B154" w14:textId="7089F5F5" w:rsidR="004735BB" w:rsidRPr="00511C0B" w:rsidRDefault="004735BB" w:rsidP="004735BB">
      <w:pPr>
        <w:pStyle w:val="BodyText3"/>
      </w:pPr>
      <w:r w:rsidRPr="00511C0B">
        <w:rPr>
          <w:b/>
        </w:rPr>
        <w:t>non-participating benefits</w:t>
      </w:r>
      <w:r w:rsidRPr="00511C0B">
        <w:t xml:space="preserve"> with entitlement to </w:t>
      </w:r>
      <w:r w:rsidRPr="00511C0B">
        <w:rPr>
          <w:b/>
        </w:rPr>
        <w:t xml:space="preserve">discretionary additions </w:t>
      </w:r>
      <w:r w:rsidRPr="00511C0B">
        <w:t>(</w:t>
      </w:r>
      <w:r>
        <w:t xml:space="preserve">gross </w:t>
      </w:r>
      <w:r w:rsidRPr="00511C0B">
        <w:t>policy liabilities only).</w:t>
      </w:r>
    </w:p>
    <w:bookmarkEnd w:id="50"/>
    <w:p w14:paraId="681A776E" w14:textId="362668FD" w:rsidR="00DF1E72" w:rsidRDefault="00DF1E72" w:rsidP="00B13D40">
      <w:pPr>
        <w:pStyle w:val="BodyText1"/>
        <w:numPr>
          <w:ilvl w:val="0"/>
          <w:numId w:val="0"/>
        </w:numPr>
        <w:ind w:left="567"/>
      </w:pPr>
      <w:r>
        <w:t xml:space="preserve">The stressed value of reinsurance assets must be determined in accordance with paragraph </w:t>
      </w:r>
      <w:r w:rsidR="00693602">
        <w:fldChar w:fldCharType="begin"/>
      </w:r>
      <w:r w:rsidR="00693602">
        <w:instrText xml:space="preserve"> REF _Ref66725990 \r \h </w:instrText>
      </w:r>
      <w:r w:rsidR="00693602">
        <w:fldChar w:fldCharType="separate"/>
      </w:r>
      <w:r w:rsidR="00693602">
        <w:t>17</w:t>
      </w:r>
      <w:r w:rsidR="00693602">
        <w:fldChar w:fldCharType="end"/>
      </w:r>
      <w:r>
        <w:t xml:space="preserve">. For the purposes of paragraph </w:t>
      </w:r>
      <w:r w:rsidR="00693602">
        <w:fldChar w:fldCharType="begin"/>
      </w:r>
      <w:r w:rsidR="00693602">
        <w:instrText xml:space="preserve"> REF _Ref126222491 \w \h </w:instrText>
      </w:r>
      <w:r w:rsidR="00693602">
        <w:fldChar w:fldCharType="separate"/>
      </w:r>
      <w:r w:rsidR="00693602">
        <w:t>20(a)</w:t>
      </w:r>
      <w:r w:rsidR="00693602">
        <w:fldChar w:fldCharType="end"/>
      </w:r>
      <w:r>
        <w:t xml:space="preserve">, where a life company has entered into deferred premiums, deposit backs or funds withheld arrangements, the </w:t>
      </w:r>
      <w:r w:rsidR="009B2987">
        <w:t xml:space="preserve">stressed </w:t>
      </w:r>
      <w:r>
        <w:t xml:space="preserve">value of reinsurance assets must be reduced by the value of assets held in the statutory fund under these arrangements (regardless of whether they meet the requirements for netting under paragraph </w:t>
      </w:r>
      <w:r w:rsidR="00693602">
        <w:fldChar w:fldCharType="begin"/>
      </w:r>
      <w:r w:rsidR="00693602">
        <w:instrText xml:space="preserve"> REF _Ref33455713 \r \h </w:instrText>
      </w:r>
      <w:r w:rsidR="00693602">
        <w:fldChar w:fldCharType="separate"/>
      </w:r>
      <w:r w:rsidR="00693602">
        <w:t>28</w:t>
      </w:r>
      <w:r w:rsidR="00693602">
        <w:fldChar w:fldCharType="end"/>
      </w:r>
      <w:r>
        <w:t>).</w:t>
      </w:r>
    </w:p>
    <w:p w14:paraId="767BA558" w14:textId="2B54DC5A" w:rsidR="00D17B10" w:rsidRDefault="00D17B10" w:rsidP="0043604B">
      <w:pPr>
        <w:pStyle w:val="Heading3"/>
      </w:pPr>
      <w:bookmarkStart w:id="51" w:name="_Toc130562063"/>
      <w:bookmarkStart w:id="52" w:name="_Toc158303346"/>
      <w:bookmarkStart w:id="53" w:name="_Toc158622307"/>
      <w:bookmarkStart w:id="54" w:name="_Toc171678326"/>
      <w:r>
        <w:t>Exposures</w:t>
      </w:r>
      <w:bookmarkEnd w:id="51"/>
      <w:bookmarkEnd w:id="52"/>
      <w:bookmarkEnd w:id="53"/>
      <w:bookmarkEnd w:id="54"/>
    </w:p>
    <w:p w14:paraId="44FF9AE3" w14:textId="7D4ABDBC" w:rsidR="004735BB" w:rsidRPr="00511C0B" w:rsidRDefault="004735BB" w:rsidP="004735BB">
      <w:pPr>
        <w:pStyle w:val="BodyText1"/>
      </w:pPr>
      <w:r w:rsidRPr="00511C0B">
        <w:t>All exposures to a reinsurer or reinsurance group are to be considered a single counterparty exposure (for the purposes of applying the relevant limits in Attachment A).</w:t>
      </w:r>
    </w:p>
    <w:p w14:paraId="1CE5D939" w14:textId="77777777" w:rsidR="004735BB" w:rsidRPr="00511C0B" w:rsidRDefault="004735BB" w:rsidP="004735BB">
      <w:pPr>
        <w:pStyle w:val="BodyText1"/>
      </w:pPr>
      <w:r w:rsidRPr="00511C0B">
        <w:lastRenderedPageBreak/>
        <w:t xml:space="preserve">Exposures must be the effective exposures of the fund to each asset or counterparty, including both on-balance sheet and off-balance sheet exposures. If collateral or a </w:t>
      </w:r>
      <w:proofErr w:type="gramStart"/>
      <w:r w:rsidRPr="00511C0B">
        <w:t>third party</w:t>
      </w:r>
      <w:proofErr w:type="gramEnd"/>
      <w:r w:rsidRPr="00511C0B">
        <w:t xml:space="preserve"> guarantee has been used in place of an asset under LPS</w:t>
      </w:r>
      <w:r>
        <w:t> </w:t>
      </w:r>
      <w:r w:rsidRPr="00511C0B">
        <w:t>114, the collateral or exposure to the guarantor must also be used in place of the asset for the purposes of this Prudential Standard. If a look-through basis has been used for assets under LPS 114, the same look-through basis must be used for the purposes of this Prudential Standard.</w:t>
      </w:r>
    </w:p>
    <w:p w14:paraId="38CB229E" w14:textId="1264B5CD" w:rsidR="004735BB" w:rsidRPr="00511C0B" w:rsidRDefault="004735BB" w:rsidP="004735BB">
      <w:pPr>
        <w:pStyle w:val="BodyText1"/>
      </w:pPr>
      <w:r w:rsidRPr="00511C0B">
        <w:t>Where the fund has a significant cumulative exposure through different classes of assets to a single counterparty or related counterparties</w:t>
      </w:r>
      <w:r>
        <w:t>,</w:t>
      </w:r>
      <w:r w:rsidRPr="00511C0B">
        <w:t xml:space="preserve"> the limit for that counterparty in respect of any particular asset class must be reduced by the lesser of the actual exposure or the exposure limit to that same counterparty in respect of all asset classes with lower limits in Attachment A. This requirement does not apply to the aggregate limits for other reinsurance arrangements specified in paragraph </w:t>
      </w:r>
      <w:r w:rsidRPr="00511C0B">
        <w:fldChar w:fldCharType="begin"/>
      </w:r>
      <w:r w:rsidRPr="00511C0B">
        <w:instrText xml:space="preserve"> REF _Ref26346440 \r \h </w:instrText>
      </w:r>
      <w:r>
        <w:instrText xml:space="preserve"> \* MERGEFORMAT </w:instrText>
      </w:r>
      <w:r w:rsidRPr="00511C0B">
        <w:fldChar w:fldCharType="separate"/>
      </w:r>
      <w:r w:rsidR="009745D3">
        <w:t>3</w:t>
      </w:r>
      <w:r w:rsidRPr="00511C0B">
        <w:fldChar w:fldCharType="end"/>
      </w:r>
      <w:r w:rsidRPr="00511C0B">
        <w:t xml:space="preserve"> of Attachment A.</w:t>
      </w:r>
    </w:p>
    <w:p w14:paraId="63FBE91A" w14:textId="77777777" w:rsidR="004735BB" w:rsidRPr="00511C0B" w:rsidRDefault="004735BB" w:rsidP="004735BB">
      <w:pPr>
        <w:pStyle w:val="BodyText1"/>
      </w:pPr>
      <w:r w:rsidRPr="00511C0B">
        <w:t>Where the policy liabilities are in respect of investment-linked benefits linked to the asset or credit exposure in question and there has been full disclosure to policy owners of the risks to which they are exposed, no asset concentration limits apply.</w:t>
      </w:r>
    </w:p>
    <w:p w14:paraId="522A8541" w14:textId="3B54DB0E" w:rsidR="004735BB" w:rsidRPr="00511C0B" w:rsidRDefault="004735BB" w:rsidP="004735BB">
      <w:pPr>
        <w:pStyle w:val="BodyText1"/>
      </w:pPr>
      <w:bookmarkStart w:id="55" w:name="_Ref33428013"/>
      <w:r w:rsidRPr="00511C0B">
        <w:t>Where the asset or credit exposure is in respect of bank bills, bank deposits, bank guarantees</w:t>
      </w:r>
      <w:r w:rsidR="00910BE7">
        <w:t>,</w:t>
      </w:r>
      <w:r w:rsidRPr="00511C0B">
        <w:t xml:space="preserve"> letters of credit issued by a bank, </w:t>
      </w:r>
      <w:r w:rsidR="00846AEA">
        <w:t xml:space="preserve">bank bonds or Negotiable Certificates of Deposit </w:t>
      </w:r>
      <w:r w:rsidR="00151AA4">
        <w:t>(NCDs)</w:t>
      </w:r>
      <w:r w:rsidR="00846AEA">
        <w:t xml:space="preserve"> issued by a bank, </w:t>
      </w:r>
      <w:r w:rsidRPr="00511C0B">
        <w:t>bank for this purpose means:</w:t>
      </w:r>
      <w:bookmarkEnd w:id="55"/>
    </w:p>
    <w:p w14:paraId="4446DD4A" w14:textId="77777777" w:rsidR="004735BB" w:rsidRPr="00511C0B" w:rsidRDefault="004735BB" w:rsidP="004735BB">
      <w:pPr>
        <w:pStyle w:val="BodyText2"/>
      </w:pPr>
      <w:r w:rsidRPr="00511C0B">
        <w:t xml:space="preserve">an </w:t>
      </w:r>
      <w:r w:rsidRPr="004735BB">
        <w:rPr>
          <w:b/>
        </w:rPr>
        <w:t>authorised deposit-taking institution</w:t>
      </w:r>
      <w:r w:rsidRPr="00511C0B">
        <w:t xml:space="preserve"> </w:t>
      </w:r>
      <w:r w:rsidRPr="00C50E96">
        <w:t>(</w:t>
      </w:r>
      <w:r w:rsidRPr="00511C0B">
        <w:t>ADI); and</w:t>
      </w:r>
    </w:p>
    <w:p w14:paraId="6DA42F14" w14:textId="77777777" w:rsidR="004735BB" w:rsidRPr="00511C0B" w:rsidRDefault="004735BB" w:rsidP="004735BB">
      <w:pPr>
        <w:pStyle w:val="BodyText2"/>
      </w:pPr>
      <w:r w:rsidRPr="00511C0B">
        <w:t xml:space="preserve">in the case of overseas business, a bank in the same country as that in which the business is written, </w:t>
      </w:r>
      <w:proofErr w:type="gramStart"/>
      <w:r w:rsidRPr="00511C0B">
        <w:t>provided that</w:t>
      </w:r>
      <w:proofErr w:type="gramEnd"/>
      <w:r w:rsidRPr="00511C0B">
        <w:t xml:space="preserve"> country has capital requirements in respect of banking business comparable to those </w:t>
      </w:r>
      <w:r w:rsidRPr="00CC08AD">
        <w:t>determined under the</w:t>
      </w:r>
      <w:r w:rsidRPr="00511C0B">
        <w:t xml:space="preserve"> </w:t>
      </w:r>
      <w:r w:rsidRPr="00511C0B">
        <w:rPr>
          <w:i/>
        </w:rPr>
        <w:t>Banking Act 1959</w:t>
      </w:r>
      <w:r w:rsidRPr="00511C0B">
        <w:t>.</w:t>
      </w:r>
    </w:p>
    <w:p w14:paraId="4EAF123E" w14:textId="77777777" w:rsidR="004735BB" w:rsidRPr="00511C0B" w:rsidRDefault="004735BB" w:rsidP="004735BB">
      <w:pPr>
        <w:pStyle w:val="BodyText1"/>
      </w:pPr>
      <w:r w:rsidRPr="00511C0B">
        <w:t xml:space="preserve">The value of an asset can be offset by deferred tax provisions or other liabilities related to the </w:t>
      </w:r>
      <w:proofErr w:type="gramStart"/>
      <w:r w:rsidRPr="00511C0B">
        <w:t>asset, if</w:t>
      </w:r>
      <w:proofErr w:type="gramEnd"/>
      <w:r w:rsidRPr="00511C0B">
        <w:t xml:space="preserve"> those provisions/liabilities would be realised if the asset was sold.</w:t>
      </w:r>
    </w:p>
    <w:p w14:paraId="2D5BB7A8" w14:textId="77777777" w:rsidR="004735BB" w:rsidRPr="00511C0B" w:rsidRDefault="004735BB" w:rsidP="004735BB">
      <w:pPr>
        <w:pStyle w:val="BodyText1"/>
      </w:pPr>
      <w:r w:rsidRPr="00511C0B">
        <w:t xml:space="preserve">The value of an asset can be reduced by any amounts that have been treated as deductions from the capital base, as determined under </w:t>
      </w:r>
      <w:r w:rsidRPr="00511C0B">
        <w:rPr>
          <w:i/>
        </w:rPr>
        <w:t>Prudential Standard LPS 112 Capital Adequacy: Measurement of Capital</w:t>
      </w:r>
      <w:r w:rsidRPr="00511C0B">
        <w:t>.</w:t>
      </w:r>
    </w:p>
    <w:p w14:paraId="64541538" w14:textId="77777777" w:rsidR="004735BB" w:rsidRPr="00511C0B" w:rsidRDefault="004735BB" w:rsidP="004735BB">
      <w:pPr>
        <w:pStyle w:val="Heading1"/>
      </w:pPr>
      <w:bookmarkStart w:id="56" w:name="_Toc158303347"/>
      <w:bookmarkStart w:id="57" w:name="_Toc171678327"/>
      <w:bookmarkStart w:id="58" w:name="_Hlk55311157"/>
      <w:r w:rsidRPr="00511C0B">
        <w:t>Netting of reinsurance exposures</w:t>
      </w:r>
      <w:bookmarkEnd w:id="56"/>
      <w:bookmarkEnd w:id="57"/>
      <w:r w:rsidRPr="00511C0B">
        <w:t xml:space="preserve"> </w:t>
      </w:r>
      <w:bookmarkEnd w:id="58"/>
    </w:p>
    <w:p w14:paraId="08BEE674" w14:textId="1165C897" w:rsidR="004735BB" w:rsidRPr="00511C0B" w:rsidRDefault="004735BB" w:rsidP="004735BB">
      <w:pPr>
        <w:pStyle w:val="BodyText1"/>
      </w:pPr>
      <w:bookmarkStart w:id="59" w:name="_Ref33455713"/>
      <w:bookmarkStart w:id="60" w:name="_Hlk55311173"/>
      <w:r w:rsidRPr="00511C0B">
        <w:t xml:space="preserve">Subject to paragraphs </w:t>
      </w:r>
      <w:r w:rsidRPr="00511C0B">
        <w:fldChar w:fldCharType="begin"/>
      </w:r>
      <w:r w:rsidRPr="00511C0B">
        <w:instrText xml:space="preserve"> REF _Ref33022379 \r \h </w:instrText>
      </w:r>
      <w:r>
        <w:instrText xml:space="preserve"> \* MERGEFORMAT </w:instrText>
      </w:r>
      <w:r w:rsidRPr="00511C0B">
        <w:fldChar w:fldCharType="separate"/>
      </w:r>
      <w:r w:rsidR="009745D3">
        <w:t>29</w:t>
      </w:r>
      <w:r w:rsidRPr="00511C0B">
        <w:fldChar w:fldCharType="end"/>
      </w:r>
      <w:r w:rsidRPr="00511C0B">
        <w:t xml:space="preserve"> and </w:t>
      </w:r>
      <w:r w:rsidRPr="00511C0B">
        <w:fldChar w:fldCharType="begin"/>
      </w:r>
      <w:r w:rsidRPr="00511C0B">
        <w:instrText xml:space="preserve"> REF _Ref33022394 \r \h </w:instrText>
      </w:r>
      <w:r>
        <w:instrText xml:space="preserve"> \* MERGEFORMAT </w:instrText>
      </w:r>
      <w:r w:rsidRPr="00511C0B">
        <w:fldChar w:fldCharType="separate"/>
      </w:r>
      <w:r w:rsidR="009745D3">
        <w:t>30</w:t>
      </w:r>
      <w:r w:rsidRPr="00511C0B">
        <w:fldChar w:fldCharType="end"/>
      </w:r>
      <w:r w:rsidRPr="00511C0B">
        <w:t>, assets and liabilities arising from arrangements with a reinsurer may be netted (i.e. taken as a single net exposure) to the extent they are subject to a legally enforceable right of offset in circumstances including the default, liquidation, bankruptcy or winding-up of the life company, the reinsurer or both.</w:t>
      </w:r>
      <w:bookmarkEnd w:id="59"/>
    </w:p>
    <w:p w14:paraId="1E9BB334" w14:textId="77777777" w:rsidR="004735BB" w:rsidRDefault="004735BB" w:rsidP="004735BB">
      <w:pPr>
        <w:pStyle w:val="BodyText1"/>
      </w:pPr>
      <w:bookmarkStart w:id="61" w:name="_Ref55463624"/>
      <w:bookmarkStart w:id="62" w:name="_Ref33022379"/>
      <w:r w:rsidRPr="00511C0B">
        <w:t xml:space="preserve">Where a life company has </w:t>
      </w:r>
      <w:proofErr w:type="gramStart"/>
      <w:r w:rsidRPr="00511C0B">
        <w:t>entered into</w:t>
      </w:r>
      <w:proofErr w:type="gramEnd"/>
      <w:r w:rsidRPr="00511C0B">
        <w:t xml:space="preserve"> deferred premiums, deposit backs and funds withheld arrangements</w:t>
      </w:r>
      <w:r>
        <w:t>:</w:t>
      </w:r>
      <w:r w:rsidRPr="00511C0B">
        <w:t xml:space="preserve"> </w:t>
      </w:r>
    </w:p>
    <w:p w14:paraId="56369B2B" w14:textId="77777777" w:rsidR="004735BB" w:rsidRDefault="004735BB" w:rsidP="004735BB">
      <w:pPr>
        <w:pStyle w:val="BodyText2"/>
      </w:pPr>
      <w:r w:rsidRPr="00511C0B">
        <w:t xml:space="preserve">it must set aside assets </w:t>
      </w:r>
      <w:r>
        <w:t>equal in value to</w:t>
      </w:r>
      <w:r w:rsidRPr="00511C0B">
        <w:t xml:space="preserve"> its liabilities to the reinsurer under each </w:t>
      </w:r>
      <w:proofErr w:type="gramStart"/>
      <w:r w:rsidRPr="00511C0B">
        <w:t>arrangement</w:t>
      </w:r>
      <w:r>
        <w:t>;</w:t>
      </w:r>
      <w:proofErr w:type="gramEnd"/>
      <w:r w:rsidRPr="00511C0B">
        <w:t xml:space="preserve"> </w:t>
      </w:r>
    </w:p>
    <w:p w14:paraId="07EBB331" w14:textId="77777777" w:rsidR="004735BB" w:rsidRDefault="004735BB" w:rsidP="004735BB">
      <w:pPr>
        <w:pStyle w:val="BodyText2"/>
      </w:pPr>
      <w:r>
        <w:lastRenderedPageBreak/>
        <w:t>t</w:t>
      </w:r>
      <w:r w:rsidRPr="00511C0B">
        <w:t xml:space="preserve">he assets must either be held in a custody account established for this purpose or be otherwise identifiable in the books and records of the life company as comprising assets of the statutory fund in respect of which the arrangement </w:t>
      </w:r>
      <w:proofErr w:type="gramStart"/>
      <w:r w:rsidRPr="00511C0B">
        <w:t>applies</w:t>
      </w:r>
      <w:r>
        <w:t>;</w:t>
      </w:r>
      <w:proofErr w:type="gramEnd"/>
      <w:r w:rsidRPr="00511C0B">
        <w:t xml:space="preserve">  </w:t>
      </w:r>
    </w:p>
    <w:p w14:paraId="784607DC" w14:textId="77777777" w:rsidR="004735BB" w:rsidRDefault="004735BB" w:rsidP="004735BB">
      <w:pPr>
        <w:pStyle w:val="BodyText2"/>
      </w:pPr>
      <w:r w:rsidRPr="00511C0B">
        <w:t>under the terms of the reinsurance contract, assets held in support of such arrangements must be available to satisfy the reinsurer’s obligations under the relevant reinsurance contract(s) in the event the reinsurer fails to meet its obligations under the relevant reinsurance contract(s)</w:t>
      </w:r>
      <w:r>
        <w:t>; and</w:t>
      </w:r>
      <w:r w:rsidRPr="00511C0B">
        <w:t xml:space="preserve"> </w:t>
      </w:r>
    </w:p>
    <w:p w14:paraId="31A87171" w14:textId="77777777" w:rsidR="004735BB" w:rsidRPr="00511C0B" w:rsidRDefault="004735BB" w:rsidP="004735BB">
      <w:pPr>
        <w:pStyle w:val="BodyText2"/>
      </w:pPr>
      <w:r>
        <w:t>t</w:t>
      </w:r>
      <w:r w:rsidRPr="00511C0B">
        <w:t>he arrangement should also specify the investment policies and governance arrangements that are to apply in managing the assets set aside under each arrangement and set out whether the arrangement is to be for a set period or until such time as liabilities under the relevant reinsurance contracts have been extinguished.</w:t>
      </w:r>
      <w:bookmarkEnd w:id="61"/>
      <w:r w:rsidRPr="00511C0B">
        <w:t xml:space="preserve"> </w:t>
      </w:r>
      <w:bookmarkEnd w:id="62"/>
    </w:p>
    <w:p w14:paraId="2614D2E5" w14:textId="77777777" w:rsidR="004735BB" w:rsidRPr="00511C0B" w:rsidRDefault="004735BB" w:rsidP="004735BB">
      <w:pPr>
        <w:pStyle w:val="BodyText1"/>
      </w:pPr>
      <w:bookmarkStart w:id="63" w:name="_Ref33022394"/>
      <w:r w:rsidRPr="00511C0B">
        <w:t xml:space="preserve">The life company’s </w:t>
      </w:r>
      <w:r w:rsidRPr="00511C0B">
        <w:rPr>
          <w:b/>
        </w:rPr>
        <w:t>Internal Capital Adequacy Assessment Process (ICAAP)</w:t>
      </w:r>
      <w:r w:rsidRPr="00511C0B">
        <w:t xml:space="preserve"> must include systems and controls for monitoring roll-off risk. </w:t>
      </w:r>
      <w:r>
        <w:t>Roll-off risk</w:t>
      </w:r>
      <w:r w:rsidRPr="00511C0B">
        <w:t xml:space="preserve"> is the risk of a sudden material increase in net exposures if short-term liabilities are no longer available to offset longer-term assets.</w:t>
      </w:r>
      <w:bookmarkEnd w:id="63"/>
    </w:p>
    <w:p w14:paraId="07EB62AD" w14:textId="77777777" w:rsidR="004735BB" w:rsidRPr="00511C0B" w:rsidRDefault="004735BB" w:rsidP="004735BB">
      <w:pPr>
        <w:pStyle w:val="Heading1"/>
        <w:rPr>
          <w:i/>
        </w:rPr>
      </w:pPr>
      <w:bookmarkStart w:id="64" w:name="_Toc158303348"/>
      <w:bookmarkStart w:id="65" w:name="_Toc171678328"/>
      <w:bookmarkEnd w:id="60"/>
      <w:r w:rsidRPr="00511C0B">
        <w:t xml:space="preserve">Treatment of </w:t>
      </w:r>
      <w:r w:rsidRPr="00E909B0">
        <w:t>collateral</w:t>
      </w:r>
      <w:r w:rsidRPr="00511C0B">
        <w:t xml:space="preserve"> and guarantees as risk </w:t>
      </w:r>
      <w:proofErr w:type="gramStart"/>
      <w:r w:rsidRPr="00511C0B">
        <w:t>mitigants</w:t>
      </w:r>
      <w:bookmarkEnd w:id="64"/>
      <w:bookmarkEnd w:id="65"/>
      <w:proofErr w:type="gramEnd"/>
      <w:r w:rsidRPr="00511C0B">
        <w:t xml:space="preserve"> </w:t>
      </w:r>
    </w:p>
    <w:p w14:paraId="6C354543" w14:textId="77777777" w:rsidR="004735BB" w:rsidRPr="00511C0B" w:rsidRDefault="004735BB" w:rsidP="004735BB">
      <w:pPr>
        <w:pStyle w:val="BodyText1"/>
      </w:pPr>
      <w:bookmarkStart w:id="66" w:name="_Ref55902265"/>
      <w:r w:rsidRPr="00511C0B">
        <w:t>A fund that holds certain types of collateral against an asset, or where the asset has been guaranteed, as a means of reducing risk, may apply a different approach to determining the Asset Concentration Risk Charge for that asset.</w:t>
      </w:r>
      <w:bookmarkEnd w:id="66"/>
      <w:r w:rsidRPr="00511C0B">
        <w:t xml:space="preserve"> </w:t>
      </w:r>
    </w:p>
    <w:p w14:paraId="52AF00F1" w14:textId="77777777" w:rsidR="004735BB" w:rsidRPr="00511C0B" w:rsidRDefault="004735BB" w:rsidP="004735BB">
      <w:pPr>
        <w:pStyle w:val="Heading3"/>
      </w:pPr>
      <w:bookmarkStart w:id="67" w:name="_Toc130562066"/>
      <w:bookmarkStart w:id="68" w:name="_Toc158303349"/>
      <w:bookmarkStart w:id="69" w:name="_Toc158622310"/>
      <w:bookmarkStart w:id="70" w:name="_Toc171678329"/>
      <w:r w:rsidRPr="00511C0B">
        <w:t>Collateral</w:t>
      </w:r>
      <w:bookmarkEnd w:id="67"/>
      <w:bookmarkEnd w:id="68"/>
      <w:bookmarkEnd w:id="69"/>
      <w:bookmarkEnd w:id="70"/>
    </w:p>
    <w:p w14:paraId="1EC40315" w14:textId="77777777" w:rsidR="004735BB" w:rsidRPr="00511C0B" w:rsidRDefault="004735BB" w:rsidP="004735BB">
      <w:pPr>
        <w:pStyle w:val="BodyText1"/>
      </w:pPr>
      <w:bookmarkStart w:id="71" w:name="_Ref33016171"/>
      <w:bookmarkStart w:id="72" w:name="_Ref34810153"/>
      <w:r w:rsidRPr="00511C0B">
        <w:t xml:space="preserve">Where a fund possesses eligible collateral against an asset, it may treat the underlying asset as an exposure to the Eligible Collateral Item. This means that the asset is </w:t>
      </w:r>
      <w:r>
        <w:t>subject to</w:t>
      </w:r>
      <w:r w:rsidRPr="00511C0B">
        <w:t xml:space="preserve"> the limits in Attachment A with respect to the collateral, rather than the underlying counterparty.</w:t>
      </w:r>
      <w:bookmarkEnd w:id="71"/>
      <w:r w:rsidRPr="00511C0B">
        <w:t xml:space="preserve"> </w:t>
      </w:r>
      <w:bookmarkEnd w:id="72"/>
      <w:r w:rsidRPr="00511C0B">
        <w:t xml:space="preserve"> </w:t>
      </w:r>
    </w:p>
    <w:p w14:paraId="60B6F4D3" w14:textId="63D66967" w:rsidR="004735BB" w:rsidRPr="00131491" w:rsidRDefault="004735BB" w:rsidP="004735BB">
      <w:pPr>
        <w:pStyle w:val="BodyText1"/>
      </w:pPr>
      <w:bookmarkStart w:id="73" w:name="_Hlk55320286"/>
      <w:bookmarkStart w:id="74" w:name="_Ref33016256"/>
      <w:bookmarkStart w:id="75" w:name="_Ref34809394"/>
      <w:r w:rsidRPr="00511C0B">
        <w:t>For the purposes of paragraph</w:t>
      </w:r>
      <w:r w:rsidRPr="00511C0B" w:rsidDel="00BF696C">
        <w:t xml:space="preserve"> </w:t>
      </w:r>
      <w:r>
        <w:fldChar w:fldCharType="begin"/>
      </w:r>
      <w:r>
        <w:instrText xml:space="preserve"> REF _Ref33016171 \r \h </w:instrText>
      </w:r>
      <w:r>
        <w:fldChar w:fldCharType="separate"/>
      </w:r>
      <w:r w:rsidR="009745D3">
        <w:t>32</w:t>
      </w:r>
      <w:r>
        <w:fldChar w:fldCharType="end"/>
      </w:r>
      <w:r w:rsidRPr="00511C0B">
        <w:t xml:space="preserve">, </w:t>
      </w:r>
      <w:bookmarkEnd w:id="73"/>
      <w:r w:rsidRPr="00511C0B">
        <w:t xml:space="preserve">collateral held against an asset can be recognised to the extent that it takes the form of a registered charge, registered </w:t>
      </w:r>
      <w:proofErr w:type="gramStart"/>
      <w:r w:rsidRPr="00131491">
        <w:t>mortgage</w:t>
      </w:r>
      <w:proofErr w:type="gramEnd"/>
      <w:r w:rsidRPr="00131491">
        <w:t xml:space="preserve"> or other legally enforceable security interest in, or over, an Eligible Collateral Item.</w:t>
      </w:r>
      <w:r w:rsidRPr="00131491" w:rsidDel="00BF696C">
        <w:t xml:space="preserve"> </w:t>
      </w:r>
      <w:r w:rsidRPr="00131491">
        <w:t>The Eligible Collateral Item must also be held for the period for which the asset is held.</w:t>
      </w:r>
      <w:bookmarkEnd w:id="74"/>
      <w:bookmarkEnd w:id="75"/>
    </w:p>
    <w:p w14:paraId="65DB2555" w14:textId="0DA80A7F" w:rsidR="004735BB" w:rsidRPr="00131491" w:rsidRDefault="004735BB" w:rsidP="004735BB">
      <w:pPr>
        <w:pStyle w:val="BodyText1"/>
      </w:pPr>
      <w:bookmarkStart w:id="76" w:name="_Hlk55320409"/>
      <w:bookmarkStart w:id="77" w:name="_Ref309321650"/>
      <w:r w:rsidRPr="00131491">
        <w:t xml:space="preserve">If the asset is a reinsurance asset, collateral can also be recognised if it satisfies the requirements of paragraphs </w:t>
      </w:r>
      <w:r>
        <w:fldChar w:fldCharType="begin"/>
      </w:r>
      <w:r>
        <w:instrText xml:space="preserve"> REF _Ref56089835 \r \h </w:instrText>
      </w:r>
      <w:r>
        <w:fldChar w:fldCharType="separate"/>
      </w:r>
      <w:r w:rsidR="009745D3">
        <w:t>35</w:t>
      </w:r>
      <w:r>
        <w:fldChar w:fldCharType="end"/>
      </w:r>
      <w:r w:rsidRPr="00131491">
        <w:t xml:space="preserve"> </w:t>
      </w:r>
      <w:r>
        <w:t xml:space="preserve">and </w:t>
      </w:r>
      <w:r w:rsidRPr="00131491">
        <w:fldChar w:fldCharType="begin"/>
      </w:r>
      <w:r w:rsidRPr="00131491">
        <w:instrText xml:space="preserve"> REF _Ref55901545 \r \h </w:instrText>
      </w:r>
      <w:r>
        <w:instrText xml:space="preserve"> \* MERGEFORMAT </w:instrText>
      </w:r>
      <w:r w:rsidRPr="00131491">
        <w:fldChar w:fldCharType="separate"/>
      </w:r>
      <w:r w:rsidR="009745D3">
        <w:t>36</w:t>
      </w:r>
      <w:r w:rsidRPr="00131491">
        <w:fldChar w:fldCharType="end"/>
      </w:r>
      <w:r>
        <w:t>.</w:t>
      </w:r>
      <w:bookmarkStart w:id="78" w:name="_Ref55901460"/>
      <w:bookmarkEnd w:id="76"/>
    </w:p>
    <w:p w14:paraId="23341030" w14:textId="3FDC25F3" w:rsidR="004735BB" w:rsidRPr="00131491" w:rsidRDefault="004735BB" w:rsidP="004735BB">
      <w:pPr>
        <w:pStyle w:val="BodyText1"/>
      </w:pPr>
      <w:bookmarkStart w:id="79" w:name="_Ref56089835"/>
      <w:r w:rsidRPr="00131491">
        <w:t xml:space="preserve">For the purposes of paragraph </w:t>
      </w:r>
      <w:r w:rsidRPr="00131491">
        <w:fldChar w:fldCharType="begin"/>
      </w:r>
      <w:r w:rsidRPr="00131491">
        <w:instrText xml:space="preserve"> REF _Ref33016171 \r \h </w:instrText>
      </w:r>
      <w:r>
        <w:instrText xml:space="preserve"> \* MERGEFORMAT </w:instrText>
      </w:r>
      <w:r w:rsidRPr="00131491">
        <w:fldChar w:fldCharType="separate"/>
      </w:r>
      <w:r w:rsidR="009745D3">
        <w:t>32</w:t>
      </w:r>
      <w:r w:rsidRPr="00131491">
        <w:fldChar w:fldCharType="end"/>
      </w:r>
      <w:r w:rsidRPr="00131491">
        <w:t>, collateral held against a reinsurance asset will be recognised if the following conditions are satisfied:</w:t>
      </w:r>
      <w:bookmarkEnd w:id="78"/>
      <w:bookmarkEnd w:id="79"/>
    </w:p>
    <w:p w14:paraId="1F5DC0E7" w14:textId="77777777" w:rsidR="004735BB" w:rsidRPr="00131491" w:rsidRDefault="004735BB" w:rsidP="004735BB">
      <w:pPr>
        <w:pStyle w:val="BodyText2"/>
      </w:pPr>
      <w:r w:rsidRPr="00131491">
        <w:t>the collateral must take the form of:</w:t>
      </w:r>
    </w:p>
    <w:p w14:paraId="6ABE31FC" w14:textId="77777777" w:rsidR="004735BB" w:rsidRPr="00131491" w:rsidRDefault="004735BB" w:rsidP="004735BB">
      <w:pPr>
        <w:pStyle w:val="BodyText3"/>
      </w:pPr>
      <w:r w:rsidRPr="00131491">
        <w:t xml:space="preserve">assets held in Australia which form part of a trust fund maintained by a trustee resident in Australia for the benefit of the life </w:t>
      </w:r>
      <w:proofErr w:type="gramStart"/>
      <w:r w:rsidRPr="00131491">
        <w:t>company;</w:t>
      </w:r>
      <w:proofErr w:type="gramEnd"/>
    </w:p>
    <w:p w14:paraId="1D90891C" w14:textId="77777777" w:rsidR="004735BB" w:rsidRPr="00131491" w:rsidRDefault="004735BB" w:rsidP="004735BB">
      <w:pPr>
        <w:pStyle w:val="BodyText3"/>
      </w:pPr>
      <w:r w:rsidRPr="00131491">
        <w:lastRenderedPageBreak/>
        <w:t xml:space="preserve">assets held in Australia under the control of a custodian resident in Australia where the assets are held for the benefit of the life </w:t>
      </w:r>
      <w:proofErr w:type="gramStart"/>
      <w:r w:rsidRPr="00131491">
        <w:t>company;</w:t>
      </w:r>
      <w:proofErr w:type="gramEnd"/>
      <w:r w:rsidRPr="00131491">
        <w:t xml:space="preserve"> </w:t>
      </w:r>
    </w:p>
    <w:p w14:paraId="4CE8B49D" w14:textId="77777777" w:rsidR="004735BB" w:rsidRPr="00131491" w:rsidRDefault="004735BB" w:rsidP="004735BB">
      <w:pPr>
        <w:pStyle w:val="BodyText3"/>
      </w:pPr>
      <w:r w:rsidRPr="00131491">
        <w:t>deposits under the control of the life company held by an ADI in Australia; or</w:t>
      </w:r>
    </w:p>
    <w:p w14:paraId="1665C2C7" w14:textId="77777777" w:rsidR="004735BB" w:rsidRPr="00131491" w:rsidRDefault="004735BB" w:rsidP="004735BB">
      <w:pPr>
        <w:pStyle w:val="BodyText3"/>
      </w:pPr>
      <w:r w:rsidRPr="00131491">
        <w:t xml:space="preserve">a combination of two or more forms of collateral specified </w:t>
      </w:r>
      <w:proofErr w:type="gramStart"/>
      <w:r w:rsidRPr="00131491">
        <w:t>above;</w:t>
      </w:r>
      <w:proofErr w:type="gramEnd"/>
      <w:r w:rsidRPr="00131491">
        <w:t xml:space="preserve"> </w:t>
      </w:r>
    </w:p>
    <w:p w14:paraId="58EE1AAB" w14:textId="77777777" w:rsidR="004735BB" w:rsidRPr="00131491" w:rsidRDefault="004735BB" w:rsidP="004735BB">
      <w:pPr>
        <w:pStyle w:val="BodyText2"/>
      </w:pPr>
      <w:r w:rsidRPr="00131491">
        <w:t xml:space="preserve">the law of the collateral agreement must be the law of an Australian state or territory and the parties must submit to the exclusive jurisdiction of the Courts </w:t>
      </w:r>
      <w:proofErr w:type="gramStart"/>
      <w:r w:rsidRPr="00131491">
        <w:t>therein;</w:t>
      </w:r>
      <w:proofErr w:type="gramEnd"/>
      <w:r w:rsidRPr="00131491">
        <w:t xml:space="preserve"> </w:t>
      </w:r>
    </w:p>
    <w:p w14:paraId="4181EBCF" w14:textId="77777777" w:rsidR="004735BB" w:rsidRPr="00131491" w:rsidRDefault="004735BB" w:rsidP="004735BB">
      <w:pPr>
        <w:pStyle w:val="BodyText2"/>
      </w:pPr>
      <w:r w:rsidRPr="00131491">
        <w:t xml:space="preserve">where an agreement provides for arbitration, the seat of arbitration must be a capital city of a state or territory of Australia and the arbitral proceedings must be conducted in accordance with the arbitration law applicable in that </w:t>
      </w:r>
      <w:proofErr w:type="gramStart"/>
      <w:r w:rsidRPr="00131491">
        <w:t>jurisdiction;</w:t>
      </w:r>
      <w:proofErr w:type="gramEnd"/>
    </w:p>
    <w:p w14:paraId="30404E4D" w14:textId="77777777" w:rsidR="004735BB" w:rsidRPr="00131491" w:rsidRDefault="004735BB" w:rsidP="004735BB">
      <w:pPr>
        <w:pStyle w:val="BodyText2"/>
      </w:pPr>
      <w:r w:rsidRPr="00131491">
        <w:t xml:space="preserve">the assets held under the collateral arrangement must be available for drawdown at any time the life company is satisfied that the reinsurer has failed to make a payment required under the related reinsurance </w:t>
      </w:r>
      <w:proofErr w:type="gramStart"/>
      <w:r w:rsidRPr="00131491">
        <w:t>arrangements;</w:t>
      </w:r>
      <w:proofErr w:type="gramEnd"/>
    </w:p>
    <w:p w14:paraId="2E089B3E" w14:textId="77777777" w:rsidR="004735BB" w:rsidRPr="00131491" w:rsidRDefault="004735BB" w:rsidP="004735BB">
      <w:pPr>
        <w:pStyle w:val="BodyText2"/>
      </w:pPr>
      <w:r w:rsidRPr="00131491">
        <w:t xml:space="preserve">the right of the life company to draw upon the collateral to meet the reinsurer's obligations must be enforceable in the winding-up of the life company regardless of whether or not claims have been paid by the life </w:t>
      </w:r>
      <w:proofErr w:type="gramStart"/>
      <w:r w:rsidRPr="00131491">
        <w:t>company;</w:t>
      </w:r>
      <w:proofErr w:type="gramEnd"/>
    </w:p>
    <w:p w14:paraId="1B386700" w14:textId="77777777" w:rsidR="004735BB" w:rsidRPr="00131491" w:rsidRDefault="004735BB" w:rsidP="004735BB">
      <w:pPr>
        <w:pStyle w:val="BodyText2"/>
      </w:pPr>
      <w:r w:rsidRPr="00131491">
        <w:t>the collateral must be available to meet the liabilities of the reinsurer under contracts of reinsurance to which the life company and the reinsurer are parties until such time as the obligations of the reinsurer have been discharged under the contracts of reinsurance. It must not be available for distribution to the reinsurer other than where:</w:t>
      </w:r>
    </w:p>
    <w:p w14:paraId="5DD43DCB" w14:textId="77777777" w:rsidR="004735BB" w:rsidRPr="00131491" w:rsidRDefault="004735BB" w:rsidP="004735BB">
      <w:pPr>
        <w:pStyle w:val="BodyText3"/>
      </w:pPr>
      <w:r w:rsidRPr="00131491">
        <w:t>the reinsurer has discharged its obligations under the reinsurance contract; or</w:t>
      </w:r>
    </w:p>
    <w:p w14:paraId="325389EF" w14:textId="77777777" w:rsidR="004735BB" w:rsidRPr="00131491" w:rsidRDefault="004735BB" w:rsidP="004735BB">
      <w:pPr>
        <w:pStyle w:val="BodyText3"/>
      </w:pPr>
      <w:r w:rsidRPr="00131491">
        <w:t>the reinsurer requests that excess assets under the collateral arrangement be released and the reinsurance contract provides for such releases.</w:t>
      </w:r>
    </w:p>
    <w:p w14:paraId="49DF72F6" w14:textId="77777777" w:rsidR="004735BB" w:rsidRPr="00131491" w:rsidRDefault="004735BB" w:rsidP="004735BB">
      <w:pPr>
        <w:pStyle w:val="BodyText2"/>
      </w:pPr>
      <w:r w:rsidRPr="00131491">
        <w:t xml:space="preserve">the collateral arrangement must specify: </w:t>
      </w:r>
    </w:p>
    <w:p w14:paraId="1C4A18BE" w14:textId="77777777" w:rsidR="004735BB" w:rsidRPr="00131491" w:rsidRDefault="004735BB" w:rsidP="004735BB">
      <w:pPr>
        <w:pStyle w:val="BodyText3"/>
      </w:pPr>
      <w:r w:rsidRPr="00131491">
        <w:t>the types of Eligible Collateral Items that may be held and apply limits to exposures to particular asset classes (quality and counterparty exposure limits</w:t>
      </w:r>
      <w:proofErr w:type="gramStart"/>
      <w:r w:rsidRPr="00131491">
        <w:t>);</w:t>
      </w:r>
      <w:proofErr w:type="gramEnd"/>
    </w:p>
    <w:p w14:paraId="61A3EE8A" w14:textId="77777777" w:rsidR="004735BB" w:rsidRPr="00131491" w:rsidRDefault="004735BB" w:rsidP="004735BB">
      <w:pPr>
        <w:pStyle w:val="BodyText3"/>
      </w:pPr>
      <w:r w:rsidRPr="00131491">
        <w:t xml:space="preserve">a method for determining the value of assets to be held under the arrangement and must specify how any shortfall or excess is to be dealt with. The Appointed Actuary of the life company must be responsible for determining the value of the reinsured liabilities and any adjustments to the required collateral </w:t>
      </w:r>
      <w:proofErr w:type="gramStart"/>
      <w:r w:rsidRPr="00131491">
        <w:t>amount;</w:t>
      </w:r>
      <w:proofErr w:type="gramEnd"/>
    </w:p>
    <w:p w14:paraId="690302D7" w14:textId="77777777" w:rsidR="004735BB" w:rsidRPr="00131491" w:rsidRDefault="004735BB" w:rsidP="004735BB">
      <w:pPr>
        <w:pStyle w:val="BodyText3"/>
      </w:pPr>
      <w:r w:rsidRPr="00131491">
        <w:lastRenderedPageBreak/>
        <w:t xml:space="preserve">what is to happen to cash flows arising from assets or deposits, including but not limited to interest, dividends and maturity </w:t>
      </w:r>
      <w:proofErr w:type="gramStart"/>
      <w:r w:rsidRPr="00131491">
        <w:t>proceeds;</w:t>
      </w:r>
      <w:proofErr w:type="gramEnd"/>
    </w:p>
    <w:p w14:paraId="3390E2B9" w14:textId="79013F25" w:rsidR="004735BB" w:rsidRPr="00131491" w:rsidRDefault="004735BB" w:rsidP="004735BB">
      <w:pPr>
        <w:pStyle w:val="BodyText3"/>
      </w:pPr>
      <w:r w:rsidRPr="00131491">
        <w:t xml:space="preserve">that where an asset held under the collateral arrangement ceases to be an Eligible Collateral Item, it will no longer be recognised as an Eligible Collateral Item for the purposes of paragraph </w:t>
      </w:r>
      <w:r w:rsidRPr="00131491">
        <w:fldChar w:fldCharType="begin"/>
      </w:r>
      <w:r w:rsidRPr="00131491">
        <w:instrText xml:space="preserve"> REF _Ref33016171 \r \h  \* MERGEFORMAT </w:instrText>
      </w:r>
      <w:r w:rsidRPr="00131491">
        <w:fldChar w:fldCharType="separate"/>
      </w:r>
      <w:r w:rsidR="009745D3">
        <w:t>32</w:t>
      </w:r>
      <w:r w:rsidRPr="00131491">
        <w:fldChar w:fldCharType="end"/>
      </w:r>
      <w:r w:rsidRPr="00131491">
        <w:t>.</w:t>
      </w:r>
    </w:p>
    <w:p w14:paraId="5856AD45" w14:textId="68E18942" w:rsidR="004735BB" w:rsidRDefault="004735BB" w:rsidP="004735BB">
      <w:pPr>
        <w:pStyle w:val="BodyText1"/>
      </w:pPr>
      <w:bookmarkStart w:id="80" w:name="_Ref55901545"/>
      <w:r w:rsidRPr="00A805E3">
        <w:t xml:space="preserve">Where a life company conducts life insurance business in an overseas jurisdiction, collateral with respect to reinsurance of that business </w:t>
      </w:r>
      <w:r>
        <w:t xml:space="preserve">held in the overseas jurisdiction may </w:t>
      </w:r>
      <w:r w:rsidRPr="00A805E3">
        <w:t xml:space="preserve">also qualify for the treatment in paragraph </w:t>
      </w:r>
      <w:r>
        <w:fldChar w:fldCharType="begin"/>
      </w:r>
      <w:r>
        <w:instrText xml:space="preserve"> REF _Ref33016171 \r \h </w:instrText>
      </w:r>
      <w:r>
        <w:fldChar w:fldCharType="separate"/>
      </w:r>
      <w:r w:rsidR="009745D3">
        <w:t>32</w:t>
      </w:r>
      <w:r>
        <w:fldChar w:fldCharType="end"/>
      </w:r>
      <w:r>
        <w:t>. It will do so where:</w:t>
      </w:r>
    </w:p>
    <w:p w14:paraId="104216A5" w14:textId="77777777" w:rsidR="004735BB" w:rsidRDefault="004735BB" w:rsidP="004735BB">
      <w:pPr>
        <w:pStyle w:val="BodyText2"/>
      </w:pPr>
      <w:r>
        <w:t xml:space="preserve">the collateral arrangement is subject to the laws of that </w:t>
      </w:r>
      <w:proofErr w:type="gramStart"/>
      <w:r>
        <w:t>jurisdiction;</w:t>
      </w:r>
      <w:proofErr w:type="gramEnd"/>
    </w:p>
    <w:p w14:paraId="526B84F8" w14:textId="77777777" w:rsidR="004735BB" w:rsidRDefault="004735BB" w:rsidP="004735BB">
      <w:pPr>
        <w:pStyle w:val="BodyText2"/>
      </w:pPr>
      <w:r>
        <w:t>the seat</w:t>
      </w:r>
      <w:r w:rsidRPr="00A805E3">
        <w:t xml:space="preserve"> of arbitration</w:t>
      </w:r>
      <w:r>
        <w:t xml:space="preserve"> under the arrangement is located in a capital city in that </w:t>
      </w:r>
      <w:proofErr w:type="gramStart"/>
      <w:r>
        <w:t>jurisdiction;</w:t>
      </w:r>
      <w:proofErr w:type="gramEnd"/>
    </w:p>
    <w:p w14:paraId="01D8ED72" w14:textId="44BC9241" w:rsidR="004735BB" w:rsidRDefault="004735BB" w:rsidP="004735BB">
      <w:pPr>
        <w:pStyle w:val="BodyText2"/>
      </w:pPr>
      <w:r w:rsidRPr="00A805E3">
        <w:t xml:space="preserve">any deposits under the arrangement are held for and are under the control of the life company with a bank, as defined in paragraph </w:t>
      </w:r>
      <w:r>
        <w:fldChar w:fldCharType="begin"/>
      </w:r>
      <w:r>
        <w:instrText xml:space="preserve"> REF _Ref33428013 \r \h  \* MERGEFORMAT </w:instrText>
      </w:r>
      <w:r>
        <w:fldChar w:fldCharType="separate"/>
      </w:r>
      <w:r w:rsidR="009745D3">
        <w:t>25</w:t>
      </w:r>
      <w:r>
        <w:fldChar w:fldCharType="end"/>
      </w:r>
      <w:r w:rsidRPr="00A805E3">
        <w:t>, in that jurisdiction</w:t>
      </w:r>
      <w:r>
        <w:t>;</w:t>
      </w:r>
      <w:r w:rsidRPr="00A805E3">
        <w:t xml:space="preserve"> and </w:t>
      </w:r>
    </w:p>
    <w:p w14:paraId="7A19EF99" w14:textId="67B0122D" w:rsidR="004735BB" w:rsidRPr="00131491" w:rsidRDefault="004735BB" w:rsidP="004735BB">
      <w:pPr>
        <w:pStyle w:val="BodyText2"/>
      </w:pPr>
      <w:r w:rsidRPr="00A805E3">
        <w:t xml:space="preserve">the requirements of paragraph </w:t>
      </w:r>
      <w:r>
        <w:fldChar w:fldCharType="begin"/>
      </w:r>
      <w:r>
        <w:instrText xml:space="preserve"> REF _Ref56089835 \r \h  \* MERGEFORMAT </w:instrText>
      </w:r>
      <w:r>
        <w:fldChar w:fldCharType="separate"/>
      </w:r>
      <w:r w:rsidR="009745D3">
        <w:t>35</w:t>
      </w:r>
      <w:r>
        <w:fldChar w:fldCharType="end"/>
      </w:r>
      <w:r w:rsidRPr="00A805E3">
        <w:t xml:space="preserve"> are otherwise met.</w:t>
      </w:r>
      <w:bookmarkEnd w:id="80"/>
    </w:p>
    <w:p w14:paraId="5009C1D6" w14:textId="77777777" w:rsidR="004735BB" w:rsidRPr="00511C0B" w:rsidRDefault="004735BB" w:rsidP="004735BB">
      <w:pPr>
        <w:pStyle w:val="BodyText1"/>
      </w:pPr>
      <w:bookmarkStart w:id="81" w:name="_Hlk55320596"/>
      <w:r w:rsidRPr="00511C0B">
        <w:t xml:space="preserve">Where the </w:t>
      </w:r>
      <w:r w:rsidRPr="00511C0B">
        <w:rPr>
          <w:b/>
        </w:rPr>
        <w:t>fair value</w:t>
      </w:r>
      <w:r w:rsidRPr="00511C0B">
        <w:t xml:space="preserve"> of the collateral does not cover the full value of the asset, the collateral can only replace part of the asset. The remaining portion of the asset must be treated as an exposure to the underlying counterparty</w:t>
      </w:r>
      <w:bookmarkEnd w:id="81"/>
      <w:r w:rsidRPr="00511C0B">
        <w:t>.</w:t>
      </w:r>
    </w:p>
    <w:p w14:paraId="215E05E3" w14:textId="77777777" w:rsidR="004735BB" w:rsidRPr="00511C0B" w:rsidRDefault="004735BB" w:rsidP="004735BB">
      <w:pPr>
        <w:pStyle w:val="BodyText1"/>
      </w:pPr>
      <w:bookmarkStart w:id="82" w:name="_Hlk55320646"/>
      <w:r w:rsidRPr="00511C0B">
        <w:t xml:space="preserve">Given a </w:t>
      </w:r>
      <w:r>
        <w:t>provider</w:t>
      </w:r>
      <w:r w:rsidRPr="00511C0B">
        <w:t xml:space="preserve"> of collateral may fail to or not be required to post additional collateral in response to falls in the value of the collateral or</w:t>
      </w:r>
      <w:r>
        <w:t>, for a collateralised reinsurance asset,</w:t>
      </w:r>
      <w:r w:rsidRPr="00511C0B">
        <w:t xml:space="preserve"> increases in the value of the reinsurance </w:t>
      </w:r>
      <w:r>
        <w:t>asset</w:t>
      </w:r>
      <w:r w:rsidRPr="00511C0B">
        <w:t>, a material increase may occur in the Asset Concentration Risk Charge. This risk must be addressed in the life company’s ICAAP</w:t>
      </w:r>
      <w:bookmarkEnd w:id="82"/>
      <w:r w:rsidRPr="00511C0B">
        <w:t>.</w:t>
      </w:r>
    </w:p>
    <w:p w14:paraId="2F149275" w14:textId="77777777" w:rsidR="004735BB" w:rsidRPr="00511C0B" w:rsidRDefault="004735BB" w:rsidP="004735BB">
      <w:pPr>
        <w:pStyle w:val="BodyText1"/>
      </w:pPr>
      <w:bookmarkStart w:id="83" w:name="_Hlk55321410"/>
      <w:r w:rsidRPr="00511C0B">
        <w:t xml:space="preserve">If a collateral arrangement includes requirements for the poster of collateral to post additional collateral in response to falls in the value of the collateral or increases in the value of the collateralised asset, the collateral agreement must address the following matters: </w:t>
      </w:r>
    </w:p>
    <w:p w14:paraId="434366CC" w14:textId="77777777" w:rsidR="004735BB" w:rsidRPr="00511C0B" w:rsidRDefault="004735BB" w:rsidP="004735BB">
      <w:pPr>
        <w:pStyle w:val="BodyText2"/>
      </w:pPr>
      <w:r w:rsidRPr="00511C0B">
        <w:t xml:space="preserve">the method for determining the initial amount to be held under the collateral </w:t>
      </w:r>
      <w:proofErr w:type="gramStart"/>
      <w:r w:rsidRPr="00511C0B">
        <w:t>arrangement;</w:t>
      </w:r>
      <w:proofErr w:type="gramEnd"/>
    </w:p>
    <w:p w14:paraId="0BCB8737" w14:textId="77777777" w:rsidR="004735BB" w:rsidRPr="00511C0B" w:rsidRDefault="004735BB" w:rsidP="004735BB">
      <w:pPr>
        <w:pStyle w:val="BodyText2"/>
      </w:pPr>
      <w:r w:rsidRPr="00511C0B">
        <w:t xml:space="preserve">the method for adjusting the amount to be held as collateral and the timing of such </w:t>
      </w:r>
      <w:proofErr w:type="gramStart"/>
      <w:r w:rsidRPr="00511C0B">
        <w:t>adjustments;</w:t>
      </w:r>
      <w:proofErr w:type="gramEnd"/>
    </w:p>
    <w:p w14:paraId="1A0EFA10" w14:textId="77777777" w:rsidR="004735BB" w:rsidRPr="00511C0B" w:rsidRDefault="004735BB" w:rsidP="004735BB">
      <w:pPr>
        <w:pStyle w:val="BodyText2"/>
      </w:pPr>
      <w:r w:rsidRPr="00511C0B">
        <w:t xml:space="preserve">in the case of a collateralised reinsurance asset, valuation of the asset must be made by the Appointed Actuary of the life </w:t>
      </w:r>
      <w:proofErr w:type="gramStart"/>
      <w:r w:rsidRPr="00511C0B">
        <w:t>company;</w:t>
      </w:r>
      <w:proofErr w:type="gramEnd"/>
    </w:p>
    <w:p w14:paraId="4B9BEA50" w14:textId="77777777" w:rsidR="004735BB" w:rsidRPr="00511C0B" w:rsidRDefault="004735BB" w:rsidP="004735BB">
      <w:pPr>
        <w:pStyle w:val="BodyText2"/>
      </w:pPr>
      <w:r w:rsidRPr="00511C0B">
        <w:t>the monitoring and reporting of the value of the collateral and the value of the collateralised asset; and</w:t>
      </w:r>
    </w:p>
    <w:p w14:paraId="3778E93D" w14:textId="77777777" w:rsidR="004735BB" w:rsidRPr="00511C0B" w:rsidRDefault="004735BB" w:rsidP="004735BB">
      <w:pPr>
        <w:pStyle w:val="BodyText2"/>
      </w:pPr>
      <w:r w:rsidRPr="00511C0B">
        <w:lastRenderedPageBreak/>
        <w:t xml:space="preserve">the method for addressing any shortfall or excess between the value of the collateral and the value of the collateralised asset. In the case of a collateralised reinsurance asset, the Appointed Actuary of the life company must be responsible for determining adjustments to the required collateral amount. </w:t>
      </w:r>
    </w:p>
    <w:p w14:paraId="34988B66" w14:textId="77777777" w:rsidR="004735BB" w:rsidRPr="00511C0B" w:rsidRDefault="004735BB" w:rsidP="004735BB">
      <w:pPr>
        <w:pStyle w:val="Heading3"/>
      </w:pPr>
      <w:bookmarkStart w:id="84" w:name="_Toc130562067"/>
      <w:bookmarkStart w:id="85" w:name="_Toc158303350"/>
      <w:bookmarkStart w:id="86" w:name="_Toc158622311"/>
      <w:bookmarkStart w:id="87" w:name="_Toc171678330"/>
      <w:r w:rsidRPr="00511C0B">
        <w:t>Guarantees</w:t>
      </w:r>
      <w:bookmarkEnd w:id="84"/>
      <w:bookmarkEnd w:id="85"/>
      <w:bookmarkEnd w:id="86"/>
      <w:bookmarkEnd w:id="87"/>
    </w:p>
    <w:p w14:paraId="5B289168" w14:textId="77777777" w:rsidR="004735BB" w:rsidRPr="00511C0B" w:rsidRDefault="004735BB" w:rsidP="004735BB">
      <w:pPr>
        <w:pStyle w:val="BodyText1"/>
      </w:pPr>
      <w:bookmarkStart w:id="88" w:name="_Hlk55321796"/>
      <w:bookmarkStart w:id="89" w:name="_Ref34809842"/>
      <w:bookmarkStart w:id="90" w:name="_Ref33017749"/>
      <w:bookmarkEnd w:id="77"/>
      <w:bookmarkEnd w:id="83"/>
      <w:r w:rsidRPr="00511C0B">
        <w:t>Where a fund poss</w:t>
      </w:r>
      <w:r w:rsidRPr="00131491">
        <w:t>esses a</w:t>
      </w:r>
      <w:r w:rsidRPr="00131491" w:rsidDel="007C4C0E">
        <w:t xml:space="preserve"> </w:t>
      </w:r>
      <w:r>
        <w:t xml:space="preserve">non-reinsurance </w:t>
      </w:r>
      <w:r w:rsidRPr="00131491">
        <w:t>asset that</w:t>
      </w:r>
      <w:r w:rsidRPr="00511C0B">
        <w:t xml:space="preserve"> has been explicitly, </w:t>
      </w:r>
      <w:proofErr w:type="gramStart"/>
      <w:r w:rsidRPr="00511C0B">
        <w:t>unconditionally</w:t>
      </w:r>
      <w:proofErr w:type="gramEnd"/>
      <w:r w:rsidRPr="00511C0B">
        <w:t xml:space="preserve"> and irrevocably guaranteed for its remaining term to maturity by a guarantor with a counterparty rating (or for governments, the long-term foreign currency credit rating) of grade 1, 2 or 3, it may treat the underlying asset as an exposure to the guarantor. This means that the asset is </w:t>
      </w:r>
      <w:r>
        <w:t>subject to</w:t>
      </w:r>
      <w:r w:rsidRPr="00511C0B">
        <w:t xml:space="preserve"> the limits in Attachment A as an exposure to the guarantor, rather than an exposure to the underlying counterparty</w:t>
      </w:r>
      <w:bookmarkEnd w:id="88"/>
      <w:r w:rsidRPr="00511C0B">
        <w:t>.</w:t>
      </w:r>
      <w:bookmarkEnd w:id="89"/>
      <w:bookmarkEnd w:id="90"/>
      <w:r w:rsidRPr="00511C0B">
        <w:t xml:space="preserve"> </w:t>
      </w:r>
    </w:p>
    <w:p w14:paraId="3E5F3C51" w14:textId="1F999A29" w:rsidR="004735BB" w:rsidRPr="00511C0B" w:rsidRDefault="004735BB" w:rsidP="004735BB">
      <w:pPr>
        <w:pStyle w:val="BodyText1"/>
      </w:pPr>
      <w:bookmarkStart w:id="91" w:name="_Ref33017776"/>
      <w:r w:rsidRPr="00511C0B">
        <w:t xml:space="preserve">Guarantees provided to a fund by the life company’s own </w:t>
      </w:r>
      <w:proofErr w:type="gramStart"/>
      <w:r w:rsidRPr="00511C0B">
        <w:t>parent</w:t>
      </w:r>
      <w:proofErr w:type="gramEnd"/>
      <w:r w:rsidRPr="00511C0B">
        <w:t xml:space="preserve"> or a </w:t>
      </w:r>
      <w:r w:rsidRPr="00CA7D18">
        <w:rPr>
          <w:b/>
        </w:rPr>
        <w:t>related entity</w:t>
      </w:r>
      <w:r w:rsidRPr="00511C0B">
        <w:t xml:space="preserve"> are not eligible for the treatment provided for in paragraph </w:t>
      </w:r>
      <w:r w:rsidRPr="00511C0B">
        <w:fldChar w:fldCharType="begin"/>
      </w:r>
      <w:r w:rsidRPr="00511C0B">
        <w:instrText xml:space="preserve"> REF _Ref33017749 \r \h  \* MERGEFORMAT </w:instrText>
      </w:r>
      <w:r w:rsidRPr="00511C0B">
        <w:fldChar w:fldCharType="separate"/>
      </w:r>
      <w:r w:rsidR="009745D3">
        <w:t>40</w:t>
      </w:r>
      <w:r w:rsidRPr="00511C0B">
        <w:fldChar w:fldCharType="end"/>
      </w:r>
      <w:r w:rsidRPr="00511C0B">
        <w:t>.</w:t>
      </w:r>
      <w:bookmarkEnd w:id="91"/>
      <w:r w:rsidRPr="00511C0B">
        <w:t xml:space="preserve"> </w:t>
      </w:r>
    </w:p>
    <w:p w14:paraId="6699BABA" w14:textId="77777777" w:rsidR="004735BB" w:rsidRPr="000D167B" w:rsidRDefault="004735BB" w:rsidP="004735BB">
      <w:pPr>
        <w:pStyle w:val="BodyText1"/>
      </w:pPr>
      <w:bookmarkStart w:id="92" w:name="_Ref33019451"/>
      <w:bookmarkStart w:id="93" w:name="_Ref33019314"/>
      <w:bookmarkEnd w:id="92"/>
      <w:r w:rsidRPr="000D167B">
        <w:t xml:space="preserve">Where a statutory fund possesses a guarantee or letter of credit in respect of amounts payable by a reinsurer under a reinsurance contract (a reinsurance asset), it may treat the reinsurance asset as an exposure to the guarantor or the issuer of the letter of credit. This means that the asset is </w:t>
      </w:r>
      <w:r>
        <w:t>subject to</w:t>
      </w:r>
      <w:r w:rsidRPr="000D167B">
        <w:t xml:space="preserve"> the limits in Attachment A with </w:t>
      </w:r>
      <w:bookmarkStart w:id="94" w:name="_Hlk54962090"/>
      <w:r w:rsidRPr="000D167B">
        <w:t>respect to the guarantor or issuer of the letter of credit</w:t>
      </w:r>
      <w:bookmarkEnd w:id="94"/>
      <w:r w:rsidRPr="000D167B">
        <w:t>, rather than the underlying reinsurer. This paragraph applies only if:</w:t>
      </w:r>
      <w:bookmarkEnd w:id="93"/>
    </w:p>
    <w:p w14:paraId="329D6077" w14:textId="0E9FCA5B" w:rsidR="004735BB" w:rsidRPr="000D167B" w:rsidRDefault="004735BB" w:rsidP="004735BB">
      <w:pPr>
        <w:pStyle w:val="BodyText2"/>
      </w:pPr>
      <w:r w:rsidRPr="000D167B">
        <w:t xml:space="preserve">the guarantor or issuer of the letter of credit is a bank (as defined in paragraph </w:t>
      </w:r>
      <w:r w:rsidRPr="000D167B">
        <w:fldChar w:fldCharType="begin"/>
      </w:r>
      <w:r w:rsidRPr="000D167B">
        <w:instrText xml:space="preserve"> REF _Ref33428013 \r \h  \* MERGEFORMAT </w:instrText>
      </w:r>
      <w:r w:rsidRPr="000D167B">
        <w:fldChar w:fldCharType="separate"/>
      </w:r>
      <w:r w:rsidR="009745D3">
        <w:t>25</w:t>
      </w:r>
      <w:r w:rsidRPr="000D167B">
        <w:fldChar w:fldCharType="end"/>
      </w:r>
      <w:r w:rsidRPr="000D167B">
        <w:t xml:space="preserve">) </w:t>
      </w:r>
      <w:r>
        <w:t xml:space="preserve">with a counterparty grade of 1, 2 or 3 </w:t>
      </w:r>
      <w:r w:rsidRPr="000D167B">
        <w:t xml:space="preserve">and is not the life company’s parent entity or a related </w:t>
      </w:r>
      <w:proofErr w:type="gramStart"/>
      <w:r w:rsidRPr="000D167B">
        <w:t>entity;</w:t>
      </w:r>
      <w:proofErr w:type="gramEnd"/>
    </w:p>
    <w:p w14:paraId="5A8A8879" w14:textId="77777777" w:rsidR="004735BB" w:rsidRPr="000D167B" w:rsidRDefault="004735BB" w:rsidP="004735BB">
      <w:pPr>
        <w:pStyle w:val="BodyText2"/>
      </w:pPr>
      <w:r w:rsidRPr="000D167B">
        <w:t xml:space="preserve">the guarantee or letter of credit is explicit, </w:t>
      </w:r>
      <w:proofErr w:type="gramStart"/>
      <w:r w:rsidRPr="000D167B">
        <w:t>unconditional</w:t>
      </w:r>
      <w:proofErr w:type="gramEnd"/>
      <w:r w:rsidRPr="000D167B">
        <w:t xml:space="preserve"> and irrevocable but may provide for the assignment of a claim under a reinsurance contract to the guarantor where a draw</w:t>
      </w:r>
      <w:r>
        <w:t>-</w:t>
      </w:r>
      <w:r w:rsidRPr="000D167B">
        <w:t xml:space="preserve">down occurs under the guarantee or letter of credit in relation to the claim. The guarantor’s assigned claim must be subordinate to the claims of the reinsurer’s policyholders in the winding up of the </w:t>
      </w:r>
      <w:proofErr w:type="gramStart"/>
      <w:r w:rsidRPr="000D167B">
        <w:t>reinsurer;</w:t>
      </w:r>
      <w:proofErr w:type="gramEnd"/>
    </w:p>
    <w:p w14:paraId="0FA28298" w14:textId="77777777" w:rsidR="004735BB" w:rsidRPr="00131491" w:rsidRDefault="004735BB" w:rsidP="004735BB">
      <w:pPr>
        <w:pStyle w:val="BodyText2"/>
      </w:pPr>
      <w:r w:rsidRPr="00131491">
        <w:t xml:space="preserve">the guarantee or letter of credit </w:t>
      </w:r>
      <w:r>
        <w:t xml:space="preserve">(the instrument) </w:t>
      </w:r>
      <w:r w:rsidRPr="00131491">
        <w:t>must be effective for</w:t>
      </w:r>
      <w:r>
        <w:t>:</w:t>
      </w:r>
      <w:r w:rsidRPr="00131491">
        <w:t xml:space="preserve"> </w:t>
      </w:r>
    </w:p>
    <w:p w14:paraId="6878C5A0" w14:textId="77777777" w:rsidR="004735BB" w:rsidRPr="00131491" w:rsidRDefault="004735BB" w:rsidP="004735BB">
      <w:pPr>
        <w:pStyle w:val="BodyText3"/>
      </w:pPr>
      <w:r w:rsidRPr="00131491">
        <w:t>the period of the reinsurance asset; or</w:t>
      </w:r>
    </w:p>
    <w:p w14:paraId="7C42851B" w14:textId="77777777" w:rsidR="004735BB" w:rsidRPr="00FC7AE3" w:rsidRDefault="004735BB" w:rsidP="004735BB">
      <w:pPr>
        <w:pStyle w:val="BodyText3"/>
      </w:pPr>
      <w:r w:rsidRPr="00FC7AE3">
        <w:t xml:space="preserve">where that is impractical a period of at least </w:t>
      </w:r>
      <w:r>
        <w:t>three</w:t>
      </w:r>
      <w:r w:rsidRPr="00FC7AE3">
        <w:t xml:space="preserve"> years with the term of the letter of credit or guarantee being extended each year on the anniversary of its commencement (the extension date) for a further term of 12 months until such time as the issuer or the life company serves notice on the other party that the term of the letter of credit or guarantee will not be so extended for a further 12 month period (notice being required to be served on the other party at least 30 days before the extension date);</w:t>
      </w:r>
    </w:p>
    <w:p w14:paraId="1EF951ED" w14:textId="77777777" w:rsidR="004735BB" w:rsidRPr="00131491" w:rsidRDefault="004735BB" w:rsidP="004735BB">
      <w:pPr>
        <w:pStyle w:val="BodyText2"/>
      </w:pPr>
      <w:r w:rsidRPr="00131491">
        <w:lastRenderedPageBreak/>
        <w:t>the guarantee or letter of credit must specify the</w:t>
      </w:r>
      <w:r w:rsidRPr="00131491" w:rsidDel="0082581D">
        <w:t xml:space="preserve"> circumstances</w:t>
      </w:r>
      <w:r w:rsidRPr="00131491">
        <w:t>, if any,</w:t>
      </w:r>
      <w:r w:rsidRPr="00131491" w:rsidDel="0082581D">
        <w:t xml:space="preserve"> under which the </w:t>
      </w:r>
      <w:r w:rsidRPr="00131491">
        <w:t xml:space="preserve">fee charged by the bank can </w:t>
      </w:r>
      <w:r w:rsidRPr="00131491" w:rsidDel="0082581D">
        <w:t xml:space="preserve">be increased and </w:t>
      </w:r>
      <w:r w:rsidRPr="00131491">
        <w:t>the</w:t>
      </w:r>
      <w:r w:rsidRPr="00131491" w:rsidDel="0082581D">
        <w:t xml:space="preserve"> maximum fee tha</w:t>
      </w:r>
      <w:r w:rsidRPr="00FC7AE3" w:rsidDel="0082581D">
        <w:t xml:space="preserve">t can be </w:t>
      </w:r>
      <w:r w:rsidRPr="00FC7AE3">
        <w:t>charged</w:t>
      </w:r>
      <w:r>
        <w:t>.</w:t>
      </w:r>
      <w:r w:rsidRPr="00FC7AE3">
        <w:t xml:space="preserve"> </w:t>
      </w:r>
      <w:r>
        <w:t>N</w:t>
      </w:r>
      <w:r w:rsidRPr="00FC7AE3">
        <w:t xml:space="preserve">o adjustment </w:t>
      </w:r>
      <w:r>
        <w:t xml:space="preserve">to the fee </w:t>
      </w:r>
      <w:r w:rsidRPr="00FC7AE3">
        <w:t xml:space="preserve">is to apply should the life company or reinsurer breach its registration </w:t>
      </w:r>
      <w:proofErr w:type="gramStart"/>
      <w:r w:rsidRPr="00FC7AE3">
        <w:t>conditions</w:t>
      </w:r>
      <w:proofErr w:type="gramEnd"/>
      <w:r w:rsidRPr="00FC7AE3">
        <w:t xml:space="preserve"> or an external manager be appointed to either the life company or the reinsurer;</w:t>
      </w:r>
      <w:r w:rsidRPr="00131491">
        <w:t xml:space="preserve">   </w:t>
      </w:r>
    </w:p>
    <w:p w14:paraId="5DC8A0FA" w14:textId="77777777" w:rsidR="004735BB" w:rsidRPr="000D167B" w:rsidRDefault="004735BB" w:rsidP="004735BB">
      <w:pPr>
        <w:pStyle w:val="BodyText2"/>
      </w:pPr>
      <w:r w:rsidRPr="000D167B">
        <w:t xml:space="preserve">the guarantor or issuer of the letter of credit is obliged to pay the statutory fund in </w:t>
      </w:r>
      <w:proofErr w:type="gramStart"/>
      <w:r w:rsidRPr="000D167B">
        <w:t>Australia;</w:t>
      </w:r>
      <w:proofErr w:type="gramEnd"/>
      <w:r w:rsidRPr="000D167B">
        <w:t xml:space="preserve"> </w:t>
      </w:r>
    </w:p>
    <w:p w14:paraId="74D47347" w14:textId="77777777" w:rsidR="004735BB" w:rsidRPr="000D167B" w:rsidRDefault="004735BB" w:rsidP="004735BB">
      <w:pPr>
        <w:pStyle w:val="BodyText2"/>
      </w:pPr>
      <w:r w:rsidRPr="000D167B">
        <w:t xml:space="preserve">the guarantee or letter of credit must specify the reinsurance arrangements (the relevant reinsurance contracts) between the life company and the reinsurer to which the guarantee </w:t>
      </w:r>
      <w:proofErr w:type="gramStart"/>
      <w:r w:rsidRPr="000D167B">
        <w:t>relates;</w:t>
      </w:r>
      <w:proofErr w:type="gramEnd"/>
    </w:p>
    <w:p w14:paraId="1557708B" w14:textId="77777777" w:rsidR="004735BB" w:rsidRPr="000D167B" w:rsidRDefault="004735BB" w:rsidP="004735BB">
      <w:pPr>
        <w:pStyle w:val="BodyText2"/>
      </w:pPr>
      <w:r w:rsidRPr="000D167B">
        <w:t>the guarantee or letter of credit must provide that in the event of the reinsurer being subject to external administration (including through the appointment of a liquidator, provisional liquidator, a judicial manager or a statutory manager), the guarantor or the issuer of the letter of credit must pay the life company an amount not less than the discounted present value of reinsurance claims incurred but not yet paid and unearned reinsurance premiums, but subject to a limit of the face amount of the guarantee or letter of credit (less any prior draw-downs);</w:t>
      </w:r>
    </w:p>
    <w:p w14:paraId="568540D0" w14:textId="77777777" w:rsidR="004735BB" w:rsidRPr="000D167B" w:rsidRDefault="004735BB" w:rsidP="004735BB">
      <w:pPr>
        <w:pStyle w:val="BodyText2"/>
      </w:pPr>
      <w:r w:rsidRPr="000D167B">
        <w:t xml:space="preserve">the guarantee or letter of credit must specify the statutory fund of the life company in respect of which the guarantee or letter of credit is to </w:t>
      </w:r>
      <w:proofErr w:type="gramStart"/>
      <w:r w:rsidRPr="000D167B">
        <w:t>apply;</w:t>
      </w:r>
      <w:proofErr w:type="gramEnd"/>
    </w:p>
    <w:p w14:paraId="51144DDE" w14:textId="77777777" w:rsidR="004735BB" w:rsidRPr="000D167B" w:rsidRDefault="004735BB" w:rsidP="004735BB">
      <w:pPr>
        <w:pStyle w:val="BodyText2"/>
      </w:pPr>
      <w:r w:rsidRPr="000D167B">
        <w:t xml:space="preserve">the guarantee or letter of credit must allow </w:t>
      </w:r>
      <w:proofErr w:type="gramStart"/>
      <w:r w:rsidRPr="000D167B">
        <w:t>draw-downs</w:t>
      </w:r>
      <w:proofErr w:type="gramEnd"/>
      <w:r w:rsidRPr="000D167B">
        <w:t xml:space="preserve"> until such time as the guarantee or letter of credit is exhausted;</w:t>
      </w:r>
    </w:p>
    <w:p w14:paraId="12FC237B" w14:textId="77777777" w:rsidR="004735BB" w:rsidRPr="000D167B" w:rsidRDefault="004735BB" w:rsidP="004735BB">
      <w:pPr>
        <w:pStyle w:val="BodyText2"/>
      </w:pPr>
      <w:r w:rsidRPr="000D167B">
        <w:t xml:space="preserve">the guarantee or letter of </w:t>
      </w:r>
      <w:r w:rsidRPr="00734172">
        <w:t xml:space="preserve">credit must specify the date it commences and the date it </w:t>
      </w:r>
      <w:proofErr w:type="gramStart"/>
      <w:r w:rsidRPr="00734172">
        <w:t>expires;</w:t>
      </w:r>
      <w:proofErr w:type="gramEnd"/>
      <w:r w:rsidRPr="000D167B">
        <w:t xml:space="preserve"> </w:t>
      </w:r>
    </w:p>
    <w:p w14:paraId="6DE9D363" w14:textId="105F65CB" w:rsidR="004735BB" w:rsidRPr="000D167B" w:rsidRDefault="004735BB" w:rsidP="004735BB">
      <w:pPr>
        <w:pStyle w:val="BodyText2"/>
      </w:pPr>
      <w:r w:rsidRPr="000D167B">
        <w:t xml:space="preserve">the guarantor or issuer of the letter of credit must be required to make payments to a nominated account of the life company with a bank as defined in paragraph </w:t>
      </w:r>
      <w:r w:rsidRPr="000D167B">
        <w:fldChar w:fldCharType="begin"/>
      </w:r>
      <w:r w:rsidRPr="000D167B">
        <w:instrText xml:space="preserve"> REF _Ref33428013 \r \h  \* MERGEFORMAT </w:instrText>
      </w:r>
      <w:r w:rsidRPr="000D167B">
        <w:fldChar w:fldCharType="separate"/>
      </w:r>
      <w:r w:rsidR="009745D3">
        <w:t>25</w:t>
      </w:r>
      <w:r w:rsidRPr="000D167B">
        <w:fldChar w:fldCharType="end"/>
      </w:r>
      <w:r w:rsidRPr="000D167B">
        <w:t xml:space="preserve">. The nominated bank account must be used exclusively for money that constitutes assets of the statutory </w:t>
      </w:r>
      <w:proofErr w:type="gramStart"/>
      <w:r w:rsidRPr="000D167B">
        <w:t>fund;</w:t>
      </w:r>
      <w:proofErr w:type="gramEnd"/>
    </w:p>
    <w:p w14:paraId="3E5F7586" w14:textId="77777777" w:rsidR="004735BB" w:rsidRPr="000D167B" w:rsidRDefault="004735BB" w:rsidP="004735BB">
      <w:pPr>
        <w:pStyle w:val="BodyText2"/>
      </w:pPr>
      <w:r w:rsidRPr="000D167B">
        <w:t xml:space="preserve">upon presentation by the life company of a notice to the guarantor or issuer of the letter of credit specifying that an amount is due and payable under one or more specified contracts of reinsurance and has not been paid, the guarantor or issuer of the letter of credit is required to pay the amount due to the life company without further enquiry and within </w:t>
      </w:r>
      <w:r>
        <w:t>five</w:t>
      </w:r>
      <w:r w:rsidRPr="000D167B">
        <w:t xml:space="preserve"> business </w:t>
      </w:r>
      <w:proofErr w:type="gramStart"/>
      <w:r w:rsidRPr="000D167B">
        <w:t>days;</w:t>
      </w:r>
      <w:proofErr w:type="gramEnd"/>
    </w:p>
    <w:p w14:paraId="6F2C798E" w14:textId="77777777" w:rsidR="004735BB" w:rsidRPr="000D167B" w:rsidRDefault="004735BB" w:rsidP="004735BB">
      <w:pPr>
        <w:pStyle w:val="BodyText2"/>
      </w:pPr>
      <w:r w:rsidRPr="000D167B">
        <w:t>a pro forma sight draft must be attached to the letter of credit or the guarantee which sets out the wording to be used by the life company in making a demand under the arrangement (which must include a reference to the non-payment of an amount due under the relevant reinsurance contracts covered under the arrangement).</w:t>
      </w:r>
    </w:p>
    <w:p w14:paraId="184041A9" w14:textId="77777777" w:rsidR="004735BB" w:rsidRPr="00511C0B" w:rsidRDefault="004735BB" w:rsidP="004735BB">
      <w:pPr>
        <w:pStyle w:val="Heading3"/>
      </w:pPr>
      <w:bookmarkStart w:id="95" w:name="_Toc130562068"/>
      <w:bookmarkStart w:id="96" w:name="_Toc158303351"/>
      <w:bookmarkStart w:id="97" w:name="_Toc158622312"/>
      <w:bookmarkStart w:id="98" w:name="_Toc171678331"/>
      <w:bookmarkStart w:id="99" w:name="_Ref33446742"/>
      <w:r w:rsidRPr="00511C0B">
        <w:lastRenderedPageBreak/>
        <w:t>Limitation on recognition of risk mitigants</w:t>
      </w:r>
      <w:bookmarkEnd w:id="95"/>
      <w:bookmarkEnd w:id="96"/>
      <w:bookmarkEnd w:id="97"/>
      <w:bookmarkEnd w:id="98"/>
      <w:r w:rsidRPr="00511C0B">
        <w:t xml:space="preserve"> </w:t>
      </w:r>
    </w:p>
    <w:p w14:paraId="7423BAA5" w14:textId="0294BA9C" w:rsidR="004735BB" w:rsidRPr="00511C0B" w:rsidRDefault="004735BB" w:rsidP="004735BB">
      <w:pPr>
        <w:pStyle w:val="BodyText1"/>
      </w:pPr>
      <w:bookmarkStart w:id="100" w:name="_Ref55384155"/>
      <w:r w:rsidRPr="00511C0B">
        <w:t xml:space="preserve">Where a </w:t>
      </w:r>
      <w:r>
        <w:t xml:space="preserve">statutory fund </w:t>
      </w:r>
      <w:r w:rsidRPr="00511C0B">
        <w:t>has a reinsurance arrangement with a reinsurer that is not</w:t>
      </w:r>
      <w:bookmarkEnd w:id="100"/>
      <w:r>
        <w:t xml:space="preserve"> </w:t>
      </w:r>
      <w:r w:rsidRPr="00511C0B">
        <w:t>a registered life company</w:t>
      </w:r>
      <w:r>
        <w:t xml:space="preserve">, </w:t>
      </w:r>
      <w:bookmarkStart w:id="101" w:name="_Ref89246116"/>
      <w:bookmarkStart w:id="102" w:name="_Hlk93570117"/>
      <w:r w:rsidRPr="00511C0B">
        <w:t xml:space="preserve">a maximum of 50% of the </w:t>
      </w:r>
      <w:r>
        <w:t xml:space="preserve">stressed </w:t>
      </w:r>
      <w:r w:rsidRPr="00511C0B">
        <w:t>reinsurance assets held in respect of that reinsurer</w:t>
      </w:r>
      <w:r>
        <w:t xml:space="preserve"> (after applying netting according to paragraph </w:t>
      </w:r>
      <w:r>
        <w:fldChar w:fldCharType="begin"/>
      </w:r>
      <w:r>
        <w:instrText xml:space="preserve"> REF _Ref33455713 \r \h </w:instrText>
      </w:r>
      <w:r>
        <w:fldChar w:fldCharType="separate"/>
      </w:r>
      <w:r w:rsidR="009745D3">
        <w:t>28</w:t>
      </w:r>
      <w:r>
        <w:fldChar w:fldCharType="end"/>
      </w:r>
      <w:r>
        <w:t>)</w:t>
      </w:r>
      <w:r w:rsidRPr="00511C0B">
        <w:t xml:space="preserve"> can be treated as an exposure to eligible collateral, guarantors or issuers of letters of credit.</w:t>
      </w:r>
      <w:bookmarkEnd w:id="99"/>
      <w:bookmarkEnd w:id="101"/>
      <w:r>
        <w:t xml:space="preserve"> </w:t>
      </w:r>
      <w:r w:rsidRPr="00B34020">
        <w:t xml:space="preserve">If APRA is of the view that the stressed reinsurance assets do not adequately reflect a fund’s overall risk exposure to reinsurers that are not registered life companies, APRA may, in writing, adjust the asset concentration risk charge calculation for that fund. If such an adjustment is applied to a fund under this paragraph, a life company must comply with the adjusted calculation. Such an adjustment could be made to a fund whose stressed reinsurance assets are reduced </w:t>
      </w:r>
      <w:proofErr w:type="gramStart"/>
      <w:r w:rsidRPr="00B34020">
        <w:t>through the use of</w:t>
      </w:r>
      <w:proofErr w:type="gramEnd"/>
      <w:r w:rsidRPr="00B34020">
        <w:t xml:space="preserve"> netting arrangements.</w:t>
      </w:r>
    </w:p>
    <w:p w14:paraId="19BC4C5F" w14:textId="77777777" w:rsidR="004735BB" w:rsidRDefault="004735BB" w:rsidP="004735BB">
      <w:pPr>
        <w:pStyle w:val="BodyText1"/>
      </w:pPr>
      <w:bookmarkStart w:id="103" w:name="_Ref87458050"/>
      <w:bookmarkEnd w:id="102"/>
      <w:r w:rsidRPr="00511C0B">
        <w:t xml:space="preserve">Where a </w:t>
      </w:r>
      <w:r>
        <w:t>statutory fund</w:t>
      </w:r>
      <w:r w:rsidRPr="00511C0B">
        <w:t xml:space="preserve"> has a reinsurance arrangement with a reinsurer that is</w:t>
      </w:r>
      <w:r>
        <w:t>:</w:t>
      </w:r>
      <w:bookmarkEnd w:id="103"/>
    </w:p>
    <w:p w14:paraId="67CA98DF" w14:textId="24BD996A" w:rsidR="004735BB" w:rsidRDefault="00736915" w:rsidP="004735BB">
      <w:pPr>
        <w:pStyle w:val="BodyText2"/>
      </w:pPr>
      <w:r>
        <w:t>a</w:t>
      </w:r>
      <w:r w:rsidR="004735BB">
        <w:t>n affiliated entity of the life company that APRA has approved for the pu</w:t>
      </w:r>
      <w:r w:rsidR="004735BB" w:rsidRPr="00131491">
        <w:t>rposes of item</w:t>
      </w:r>
      <w:r w:rsidR="004735BB">
        <w:t xml:space="preserve"> 1</w:t>
      </w:r>
      <w:r w:rsidR="004735BB" w:rsidRPr="00131491">
        <w:t>(g) of Attachment A; or</w:t>
      </w:r>
    </w:p>
    <w:p w14:paraId="6257A456" w14:textId="1385BD74" w:rsidR="004735BB" w:rsidRDefault="004735BB" w:rsidP="004735BB">
      <w:pPr>
        <w:pStyle w:val="BodyText2"/>
      </w:pPr>
      <w:r>
        <w:t xml:space="preserve">an overseas parent, associated, or subsidiary company which, with APRA's agreement, has been identified as an appropriate </w:t>
      </w:r>
      <w:proofErr w:type="spellStart"/>
      <w:r>
        <w:t>retrocessionaire</w:t>
      </w:r>
      <w:proofErr w:type="spellEnd"/>
      <w:r>
        <w:t xml:space="preserve"> for the purposes of paragraph </w:t>
      </w:r>
      <w:r>
        <w:fldChar w:fldCharType="begin"/>
      </w:r>
      <w:r>
        <w:instrText xml:space="preserve"> REF _Ref68624394 \r \h  \* MERGEFORMAT </w:instrText>
      </w:r>
      <w:r>
        <w:fldChar w:fldCharType="separate"/>
      </w:r>
      <w:r w:rsidR="009745D3">
        <w:t>46</w:t>
      </w:r>
      <w:r>
        <w:fldChar w:fldCharType="end"/>
      </w:r>
      <w:r>
        <w:t>;</w:t>
      </w:r>
    </w:p>
    <w:p w14:paraId="574864B6" w14:textId="449B8C5D" w:rsidR="004735BB" w:rsidRDefault="004735BB" w:rsidP="004735BB">
      <w:pPr>
        <w:ind w:left="567"/>
      </w:pPr>
      <w:r w:rsidRPr="006D759E">
        <w:t xml:space="preserve">if APRA is of the view that there are prudential reasons for doing so, APRA may, in writing, </w:t>
      </w:r>
      <w:r>
        <w:t xml:space="preserve">waive the requirements of paragraph </w:t>
      </w:r>
      <w:r>
        <w:fldChar w:fldCharType="begin"/>
      </w:r>
      <w:r>
        <w:instrText xml:space="preserve"> REF _Ref89246116 \r \h </w:instrText>
      </w:r>
      <w:r>
        <w:fldChar w:fldCharType="separate"/>
      </w:r>
      <w:r w:rsidR="009745D3">
        <w:t>43</w:t>
      </w:r>
      <w:r>
        <w:fldChar w:fldCharType="end"/>
      </w:r>
      <w:r>
        <w:t xml:space="preserve"> and </w:t>
      </w:r>
      <w:r w:rsidRPr="006D759E">
        <w:t>determine a</w:t>
      </w:r>
      <w:r>
        <w:t>n alternative</w:t>
      </w:r>
      <w:r w:rsidRPr="006D759E">
        <w:t xml:space="preserve"> maximum percentage of the </w:t>
      </w:r>
      <w:r>
        <w:t xml:space="preserve">stressed </w:t>
      </w:r>
      <w:r w:rsidRPr="006D759E">
        <w:t xml:space="preserve">reinsurance assets held in respect of that reinsurer </w:t>
      </w:r>
      <w:r>
        <w:t>(after apply</w:t>
      </w:r>
      <w:r w:rsidR="006F173A">
        <w:t>ing</w:t>
      </w:r>
      <w:r>
        <w:t xml:space="preserve"> netting according to paragraph </w:t>
      </w:r>
      <w:r>
        <w:fldChar w:fldCharType="begin"/>
      </w:r>
      <w:r>
        <w:instrText xml:space="preserve"> REF _Ref33455713 \r \h </w:instrText>
      </w:r>
      <w:r>
        <w:fldChar w:fldCharType="separate"/>
      </w:r>
      <w:r w:rsidR="009745D3">
        <w:t>28</w:t>
      </w:r>
      <w:r>
        <w:fldChar w:fldCharType="end"/>
      </w:r>
      <w:r>
        <w:t>)</w:t>
      </w:r>
      <w:r w:rsidRPr="00511C0B">
        <w:t xml:space="preserve"> </w:t>
      </w:r>
      <w:r w:rsidRPr="006D759E">
        <w:t>that can be treated as an exposure to eligible collateral, guarantors or issue</w:t>
      </w:r>
      <w:r>
        <w:t>r</w:t>
      </w:r>
      <w:r w:rsidRPr="006D759E">
        <w:t xml:space="preserve"> of letters of credit</w:t>
      </w:r>
      <w:r w:rsidRPr="00511C0B">
        <w:t>.</w:t>
      </w:r>
    </w:p>
    <w:p w14:paraId="0F4C826C" w14:textId="77777777" w:rsidR="004735BB" w:rsidRPr="00511C0B" w:rsidRDefault="004735BB" w:rsidP="004735BB">
      <w:pPr>
        <w:pStyle w:val="Heading3"/>
      </w:pPr>
      <w:bookmarkStart w:id="104" w:name="_Toc130562069"/>
      <w:bookmarkStart w:id="105" w:name="_Toc158303352"/>
      <w:bookmarkStart w:id="106" w:name="_Toc158622313"/>
      <w:bookmarkStart w:id="107" w:name="_Toc171678332"/>
      <w:r w:rsidRPr="00511C0B">
        <w:t>APRA</w:t>
      </w:r>
      <w:r>
        <w:t>-</w:t>
      </w:r>
      <w:r w:rsidRPr="00511C0B">
        <w:t>specified treatment of risk mitigants</w:t>
      </w:r>
      <w:bookmarkEnd w:id="104"/>
      <w:bookmarkEnd w:id="105"/>
      <w:bookmarkEnd w:id="106"/>
      <w:bookmarkEnd w:id="107"/>
      <w:r w:rsidRPr="00511C0B">
        <w:t xml:space="preserve">  </w:t>
      </w:r>
    </w:p>
    <w:p w14:paraId="3F0120E4" w14:textId="3B1B2EAF" w:rsidR="004735BB" w:rsidRPr="00412BB0" w:rsidRDefault="004735BB" w:rsidP="004735BB">
      <w:pPr>
        <w:pStyle w:val="BodyText1"/>
      </w:pPr>
      <w:bookmarkStart w:id="108" w:name="_Ref33020247"/>
      <w:r w:rsidRPr="00511C0B">
        <w:t>APRA may require a life company to apply a specified treatment to reinsurance assets supported by collateral, guarantee</w:t>
      </w:r>
      <w:r>
        <w:t>s</w:t>
      </w:r>
      <w:r w:rsidRPr="00511C0B">
        <w:t xml:space="preserve"> or letter</w:t>
      </w:r>
      <w:r>
        <w:t>s</w:t>
      </w:r>
      <w:r w:rsidRPr="00511C0B">
        <w:t xml:space="preserve"> of credit, rather than the treatment that would otherwise apply under paragraphs </w:t>
      </w:r>
      <w:r>
        <w:fldChar w:fldCharType="begin"/>
      </w:r>
      <w:r>
        <w:instrText xml:space="preserve"> REF _Ref55902265 \r \h </w:instrText>
      </w:r>
      <w:r>
        <w:fldChar w:fldCharType="separate"/>
      </w:r>
      <w:r w:rsidR="009745D3">
        <w:t>31</w:t>
      </w:r>
      <w:r>
        <w:fldChar w:fldCharType="end"/>
      </w:r>
      <w:r w:rsidRPr="00511C0B">
        <w:t xml:space="preserve"> to</w:t>
      </w:r>
      <w:r w:rsidRPr="00511C0B" w:rsidDel="00533ECD">
        <w:t xml:space="preserve"> </w:t>
      </w:r>
      <w:r>
        <w:fldChar w:fldCharType="begin"/>
      </w:r>
      <w:r>
        <w:instrText xml:space="preserve"> REF _Ref33019314 \r \h </w:instrText>
      </w:r>
      <w:r>
        <w:fldChar w:fldCharType="separate"/>
      </w:r>
      <w:r w:rsidR="009745D3">
        <w:t>42</w:t>
      </w:r>
      <w:r>
        <w:fldChar w:fldCharType="end"/>
      </w:r>
      <w:r w:rsidRPr="00511C0B">
        <w:t>.</w:t>
      </w:r>
      <w:bookmarkEnd w:id="108"/>
    </w:p>
    <w:p w14:paraId="25E8DAC3" w14:textId="77777777" w:rsidR="004735BB" w:rsidRPr="00511C0B" w:rsidRDefault="004735BB" w:rsidP="004735BB">
      <w:pPr>
        <w:pStyle w:val="Heading1"/>
      </w:pPr>
      <w:bookmarkStart w:id="109" w:name="_Toc158303353"/>
      <w:bookmarkStart w:id="110" w:name="_Toc171678333"/>
      <w:r w:rsidRPr="003F6033">
        <w:t>Specialist</w:t>
      </w:r>
      <w:r w:rsidRPr="00511C0B">
        <w:t xml:space="preserve"> reinsurers</w:t>
      </w:r>
      <w:bookmarkEnd w:id="109"/>
      <w:bookmarkEnd w:id="110"/>
      <w:r w:rsidRPr="00511C0B">
        <w:t xml:space="preserve"> </w:t>
      </w:r>
    </w:p>
    <w:p w14:paraId="711D3671" w14:textId="77777777" w:rsidR="004735BB" w:rsidRPr="00511C0B" w:rsidRDefault="004735BB" w:rsidP="004735BB">
      <w:pPr>
        <w:pStyle w:val="BodyText1"/>
      </w:pPr>
      <w:bookmarkStart w:id="111" w:name="_Ref68624394"/>
      <w:r w:rsidRPr="00511C0B">
        <w:t xml:space="preserve">In the case of a specialist reinsurer, the following asset concentration limits apply in respect of retrocessions by that specialist reinsurer to an overseas parent, associated, or subsidiary company which, with APRA’s agreement, has been identified as an appropriate </w:t>
      </w:r>
      <w:proofErr w:type="spellStart"/>
      <w:r w:rsidRPr="00511C0B">
        <w:t>retrocessionaire</w:t>
      </w:r>
      <w:proofErr w:type="spellEnd"/>
      <w:r w:rsidRPr="00511C0B">
        <w:t xml:space="preserve"> for the purposes of this paragraph:</w:t>
      </w:r>
      <w:bookmarkEnd w:id="111"/>
    </w:p>
    <w:p w14:paraId="08BE7175" w14:textId="77777777" w:rsidR="004735BB" w:rsidRPr="00511C0B" w:rsidRDefault="004735BB" w:rsidP="00BA02E4">
      <w:pPr>
        <w:pStyle w:val="BodyText2"/>
      </w:pPr>
      <w:r w:rsidRPr="00511C0B">
        <w:t xml:space="preserve">where the </w:t>
      </w:r>
      <w:proofErr w:type="spellStart"/>
      <w:r w:rsidRPr="00511C0B">
        <w:t>retrocessionaire</w:t>
      </w:r>
      <w:proofErr w:type="spellEnd"/>
      <w:r w:rsidRPr="00511C0B">
        <w:t xml:space="preserve"> has a current counterparty grade of 1, 2 or 3 – 50 per cent of </w:t>
      </w:r>
      <w:proofErr w:type="gramStart"/>
      <w:r w:rsidRPr="00511C0B">
        <w:t>VAF;</w:t>
      </w:r>
      <w:proofErr w:type="gramEnd"/>
    </w:p>
    <w:p w14:paraId="0D135845" w14:textId="77777777" w:rsidR="004735BB" w:rsidRPr="00511C0B" w:rsidRDefault="004735BB" w:rsidP="00BA02E4">
      <w:pPr>
        <w:pStyle w:val="BodyText2"/>
      </w:pPr>
      <w:r w:rsidRPr="00511C0B">
        <w:t xml:space="preserve">where the </w:t>
      </w:r>
      <w:proofErr w:type="spellStart"/>
      <w:r w:rsidRPr="00511C0B">
        <w:t>retrocessionaire</w:t>
      </w:r>
      <w:proofErr w:type="spellEnd"/>
      <w:r w:rsidRPr="00511C0B">
        <w:t xml:space="preserve"> does not have a current counterparty grade of 1, 2 or 3, but had such a grade at the time the retrocession arrangement was entered </w:t>
      </w:r>
      <w:proofErr w:type="gramStart"/>
      <w:r w:rsidRPr="00511C0B">
        <w:t>into;</w:t>
      </w:r>
      <w:proofErr w:type="gramEnd"/>
    </w:p>
    <w:p w14:paraId="3A2DFC79" w14:textId="77777777" w:rsidR="004735BB" w:rsidRPr="00511C0B" w:rsidRDefault="004735BB" w:rsidP="00BA02E4">
      <w:pPr>
        <w:pStyle w:val="BodyText3"/>
      </w:pPr>
      <w:r w:rsidRPr="00511C0B">
        <w:lastRenderedPageBreak/>
        <w:t xml:space="preserve">within the first three months after the downgrade below Grade 3 – 50 per cent of </w:t>
      </w:r>
      <w:proofErr w:type="gramStart"/>
      <w:r w:rsidRPr="00511C0B">
        <w:t>VAF;</w:t>
      </w:r>
      <w:proofErr w:type="gramEnd"/>
    </w:p>
    <w:p w14:paraId="113B8AA6" w14:textId="77777777" w:rsidR="004735BB" w:rsidRPr="00511C0B" w:rsidRDefault="004735BB" w:rsidP="00BA02E4">
      <w:pPr>
        <w:pStyle w:val="BodyText3"/>
      </w:pPr>
      <w:r w:rsidRPr="00511C0B">
        <w:t xml:space="preserve">within the next nine months – 33 per cent of </w:t>
      </w:r>
      <w:proofErr w:type="gramStart"/>
      <w:r w:rsidRPr="00511C0B">
        <w:t>VAF;</w:t>
      </w:r>
      <w:proofErr w:type="gramEnd"/>
    </w:p>
    <w:p w14:paraId="3442A9DE" w14:textId="77777777" w:rsidR="004735BB" w:rsidRPr="00511C0B" w:rsidRDefault="004735BB" w:rsidP="00BA02E4">
      <w:pPr>
        <w:pStyle w:val="BodyText3"/>
      </w:pPr>
      <w:r w:rsidRPr="00511C0B">
        <w:t>within the second 12 months after the downgrade – 17 per cent of VAF; and</w:t>
      </w:r>
    </w:p>
    <w:p w14:paraId="7C7B7FE3" w14:textId="77777777" w:rsidR="004735BB" w:rsidRPr="00511C0B" w:rsidRDefault="004735BB" w:rsidP="00BA02E4">
      <w:pPr>
        <w:pStyle w:val="BodyText3"/>
      </w:pPr>
      <w:r w:rsidRPr="00511C0B">
        <w:t xml:space="preserve">thereafter, the retrocession arrangements do not qualify for the concessional treatment afforded to specialist </w:t>
      </w:r>
      <w:proofErr w:type="gramStart"/>
      <w:r w:rsidRPr="00511C0B">
        <w:t>reinsurers;</w:t>
      </w:r>
      <w:proofErr w:type="gramEnd"/>
    </w:p>
    <w:p w14:paraId="28E62A4B" w14:textId="77777777" w:rsidR="004735BB" w:rsidRPr="00511C0B" w:rsidDel="0082581D" w:rsidRDefault="004735BB" w:rsidP="00BA02E4">
      <w:pPr>
        <w:pStyle w:val="BodyText2"/>
      </w:pPr>
      <w:r w:rsidRPr="00511C0B">
        <w:t>in all other circumstances, the retrocession arrangements do not qualify for the concessional treatment afforded to specialist reinsurers.</w:t>
      </w:r>
    </w:p>
    <w:p w14:paraId="20F1386B" w14:textId="77777777" w:rsidR="004735BB" w:rsidRPr="00210679" w:rsidRDefault="004735BB" w:rsidP="00BA02E4">
      <w:pPr>
        <w:pStyle w:val="BodyText1"/>
      </w:pPr>
      <w:r>
        <w:t>I</w:t>
      </w:r>
      <w:r w:rsidRPr="00210679">
        <w:t>tem 1(g) of Attachment A do</w:t>
      </w:r>
      <w:r>
        <w:t>es</w:t>
      </w:r>
      <w:r w:rsidRPr="00210679">
        <w:t xml:space="preserve"> not apply to </w:t>
      </w:r>
      <w:r>
        <w:t xml:space="preserve">a </w:t>
      </w:r>
      <w:r w:rsidRPr="00210679">
        <w:t>specialist reinsurer.</w:t>
      </w:r>
    </w:p>
    <w:p w14:paraId="610E2B0C" w14:textId="77777777" w:rsidR="004735BB" w:rsidRPr="00511C0B" w:rsidRDefault="004735BB" w:rsidP="00BA02E4">
      <w:pPr>
        <w:pStyle w:val="Heading1"/>
      </w:pPr>
      <w:bookmarkStart w:id="112" w:name="_Toc158303354"/>
      <w:bookmarkStart w:id="113" w:name="_Toc171678334"/>
      <w:r w:rsidRPr="00511C0B">
        <w:t xml:space="preserve">Adjustments and </w:t>
      </w:r>
      <w:r w:rsidRPr="003F6033">
        <w:t>exclusions</w:t>
      </w:r>
      <w:bookmarkEnd w:id="112"/>
      <w:bookmarkEnd w:id="113"/>
    </w:p>
    <w:p w14:paraId="779664D1" w14:textId="77777777" w:rsidR="004735BB" w:rsidRDefault="004735BB" w:rsidP="00BA02E4">
      <w:pPr>
        <w:pStyle w:val="BodyText1"/>
      </w:pPr>
      <w:r w:rsidRPr="00511C0B">
        <w:t>APRA may, by notice in writing to a life company, adjust or exclude a specific requirement in this Prudential Standard in relation to that life company.</w:t>
      </w:r>
    </w:p>
    <w:p w14:paraId="07D4E75A" w14:textId="0E2F23C1" w:rsidR="7A30573A" w:rsidRDefault="7A30573A" w:rsidP="56BC94D1">
      <w:pPr>
        <w:pStyle w:val="Heading1"/>
        <w:spacing w:line="259" w:lineRule="auto"/>
      </w:pPr>
      <w:bookmarkStart w:id="114" w:name="_Toc171678335"/>
      <w:r>
        <w:t>Reliance on previous exercises of discretion</w:t>
      </w:r>
      <w:bookmarkEnd w:id="114"/>
    </w:p>
    <w:p w14:paraId="39DD53F4" w14:textId="6AB9211E" w:rsidR="00134B9C" w:rsidRPr="006F0775" w:rsidRDefault="450A3B49" w:rsidP="0080570E">
      <w:pPr>
        <w:pStyle w:val="BodyText1"/>
        <w:spacing w:line="259" w:lineRule="auto"/>
      </w:pPr>
      <w:r w:rsidRPr="14AB24EC">
        <w:t xml:space="preserve">A </w:t>
      </w:r>
      <w:r w:rsidRPr="14AB24EC">
        <w:rPr>
          <w:rFonts w:asciiTheme="minorHAnsi" w:eastAsiaTheme="minorEastAsia" w:hAnsiTheme="minorHAnsi" w:cstheme="minorBidi"/>
        </w:rPr>
        <w:t xml:space="preserve">regulated </w:t>
      </w:r>
      <w:r w:rsidR="095A7D13" w:rsidRPr="14AB24EC">
        <w:rPr>
          <w:rFonts w:asciiTheme="minorHAnsi" w:eastAsiaTheme="minorEastAsia" w:hAnsiTheme="minorHAnsi" w:cstheme="minorBidi"/>
        </w:rPr>
        <w:t>institution must contact APRA if it seeks to place reliance, for the purposes of complying with this Prudential Standard, on a previous exemption or other exercise of discretion made by APRA under a previous version of this Prudential Standard.</w:t>
      </w:r>
    </w:p>
    <w:p w14:paraId="5FA6909F" w14:textId="77777777" w:rsidR="004735BB" w:rsidRPr="00D040D4" w:rsidRDefault="004735BB" w:rsidP="00BA02E4">
      <w:pPr>
        <w:pStyle w:val="Heading1"/>
        <w:rPr>
          <w:rFonts w:cs="Arial"/>
        </w:rPr>
      </w:pPr>
      <w:bookmarkStart w:id="115" w:name="_Toc307393538"/>
      <w:bookmarkStart w:id="116" w:name="_Toc158303356"/>
      <w:bookmarkStart w:id="117" w:name="_Toc171678336"/>
      <w:r w:rsidRPr="0000558A">
        <w:t>Transition</w:t>
      </w:r>
      <w:bookmarkEnd w:id="115"/>
      <w:bookmarkEnd w:id="116"/>
      <w:bookmarkEnd w:id="117"/>
    </w:p>
    <w:p w14:paraId="5AF08A49" w14:textId="5666B50D" w:rsidR="00E83A76" w:rsidRPr="00E83A76" w:rsidRDefault="004735BB" w:rsidP="00FD43F5">
      <w:pPr>
        <w:pStyle w:val="BodyText1"/>
      </w:pPr>
      <w:r>
        <w:t>On application by a life company, APRA may grant transitional relief from the obligation for the life company to comply with any requirement in this Prudential Standard. Any relief granted by APRA under this paragraph will have effect until no later than two years after the commencement date of this standard.</w:t>
      </w:r>
      <w:bookmarkEnd w:id="24"/>
    </w:p>
    <w:p w14:paraId="0F3C5B8C" w14:textId="33E5C6F8" w:rsidR="0000558A" w:rsidRPr="0000558A" w:rsidRDefault="0000558A" w:rsidP="00783BED"/>
    <w:p w14:paraId="6E6ACC3A" w14:textId="77777777" w:rsidR="00DF539C" w:rsidRDefault="00DF539C" w:rsidP="0038413F">
      <w:pPr>
        <w:pStyle w:val="BodyText1"/>
        <w:numPr>
          <w:ilvl w:val="0"/>
          <w:numId w:val="0"/>
        </w:numPr>
        <w:sectPr w:rsidR="00DF539C" w:rsidSect="000D63A8">
          <w:pgSz w:w="11906" w:h="16838" w:code="9"/>
          <w:pgMar w:top="1440" w:right="1797" w:bottom="1440" w:left="1797" w:header="709" w:footer="709" w:gutter="0"/>
          <w:cols w:space="708"/>
          <w:docGrid w:linePitch="360"/>
        </w:sectPr>
      </w:pPr>
    </w:p>
    <w:p w14:paraId="1229CBED" w14:textId="7B80A86A" w:rsidR="0038413F" w:rsidRPr="001F6B8D" w:rsidRDefault="00E16DD9" w:rsidP="001F6B8D">
      <w:pPr>
        <w:pStyle w:val="Heading2"/>
        <w:tabs>
          <w:tab w:val="left" w:pos="2910"/>
        </w:tabs>
      </w:pPr>
      <w:bookmarkStart w:id="118" w:name="_Toc158303357"/>
      <w:bookmarkStart w:id="119" w:name="_Toc171678337"/>
      <w:r w:rsidRPr="001F6B8D">
        <w:lastRenderedPageBreak/>
        <w:t xml:space="preserve">Attachment </w:t>
      </w:r>
      <w:r w:rsidR="00B766FA" w:rsidRPr="001F6B8D">
        <w:rPr>
          <w:rStyle w:val="Attachmentfieldtext"/>
        </w:rPr>
        <w:fldChar w:fldCharType="begin"/>
      </w:r>
      <w:r w:rsidR="00B766FA" w:rsidRPr="001F6B8D">
        <w:rPr>
          <w:rStyle w:val="Attachmentfieldtext"/>
        </w:rPr>
        <w:instrText xml:space="preserve"> SEQ Attach \* ALPHABETIC \* MERGEFORMAT </w:instrText>
      </w:r>
      <w:r w:rsidR="00B766FA" w:rsidRPr="001F6B8D">
        <w:rPr>
          <w:rStyle w:val="Attachmentfieldtext"/>
        </w:rPr>
        <w:fldChar w:fldCharType="separate"/>
      </w:r>
      <w:r w:rsidR="00196A1B">
        <w:rPr>
          <w:rStyle w:val="Attachmentfieldtext"/>
          <w:noProof/>
        </w:rPr>
        <w:t>A</w:t>
      </w:r>
      <w:r w:rsidR="00B766FA" w:rsidRPr="001F6B8D">
        <w:rPr>
          <w:rStyle w:val="Attachmentfieldtext"/>
        </w:rPr>
        <w:fldChar w:fldCharType="end"/>
      </w:r>
      <w:r w:rsidR="001F6B8D" w:rsidRPr="001F6B8D">
        <w:t xml:space="preserve"> - </w:t>
      </w:r>
      <w:r w:rsidR="009903AD">
        <w:t>Asset exposure limits</w:t>
      </w:r>
      <w:bookmarkEnd w:id="118"/>
      <w:bookmarkEnd w:id="119"/>
    </w:p>
    <w:p w14:paraId="06A5D05C" w14:textId="77777777" w:rsidR="00FD43F5" w:rsidRDefault="00FD43F5" w:rsidP="00FD43F5">
      <w:pPr>
        <w:pStyle w:val="BodyText1"/>
        <w:numPr>
          <w:ilvl w:val="0"/>
          <w:numId w:val="42"/>
        </w:numPr>
      </w:pPr>
      <w:bookmarkStart w:id="120" w:name="_Ref26173568"/>
      <w:r>
        <w:t xml:space="preserve">The limits by type of asset exposure are: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4571"/>
        <w:gridCol w:w="3110"/>
      </w:tblGrid>
      <w:tr w:rsidR="00FD43F5" w:rsidRPr="00511C0B" w14:paraId="48C9F286" w14:textId="77777777" w:rsidTr="008E03DA">
        <w:tc>
          <w:tcPr>
            <w:tcW w:w="616" w:type="dxa"/>
          </w:tcPr>
          <w:p w14:paraId="2236FD8A" w14:textId="77777777" w:rsidR="00FD43F5" w:rsidRPr="00511C0B" w:rsidRDefault="00FD43F5" w:rsidP="008E03DA">
            <w:pPr>
              <w:rPr>
                <w:b/>
              </w:rPr>
            </w:pPr>
          </w:p>
        </w:tc>
        <w:tc>
          <w:tcPr>
            <w:tcW w:w="4571" w:type="dxa"/>
          </w:tcPr>
          <w:p w14:paraId="32A95FBD" w14:textId="77777777" w:rsidR="00FD43F5" w:rsidRPr="00511C0B" w:rsidRDefault="00FD43F5" w:rsidP="008E03DA">
            <w:pPr>
              <w:rPr>
                <w:b/>
              </w:rPr>
            </w:pPr>
            <w:r w:rsidRPr="00511C0B">
              <w:rPr>
                <w:b/>
              </w:rPr>
              <w:t>Asset exposure</w:t>
            </w:r>
          </w:p>
        </w:tc>
        <w:tc>
          <w:tcPr>
            <w:tcW w:w="3110" w:type="dxa"/>
          </w:tcPr>
          <w:p w14:paraId="26CAAFE0" w14:textId="77777777" w:rsidR="00FD43F5" w:rsidRPr="00511C0B" w:rsidRDefault="00FD43F5" w:rsidP="008E03DA">
            <w:pPr>
              <w:rPr>
                <w:b/>
              </w:rPr>
            </w:pPr>
            <w:r w:rsidRPr="00511C0B">
              <w:rPr>
                <w:b/>
              </w:rPr>
              <w:t>Limit</w:t>
            </w:r>
          </w:p>
        </w:tc>
      </w:tr>
      <w:tr w:rsidR="00FD43F5" w:rsidRPr="00511C0B" w14:paraId="52E1BD09" w14:textId="77777777" w:rsidTr="008E03DA">
        <w:trPr>
          <w:cantSplit/>
        </w:trPr>
        <w:tc>
          <w:tcPr>
            <w:tcW w:w="616" w:type="dxa"/>
          </w:tcPr>
          <w:p w14:paraId="0669E9D5" w14:textId="77777777" w:rsidR="00FD43F5" w:rsidRPr="00511C0B" w:rsidRDefault="00FD43F5" w:rsidP="008E03DA">
            <w:r w:rsidRPr="00511C0B">
              <w:t>(a)</w:t>
            </w:r>
          </w:p>
        </w:tc>
        <w:tc>
          <w:tcPr>
            <w:tcW w:w="4571" w:type="dxa"/>
          </w:tcPr>
          <w:p w14:paraId="283C3A1E" w14:textId="77777777" w:rsidR="00FD43F5" w:rsidRPr="00511C0B" w:rsidRDefault="00FD43F5" w:rsidP="008E03DA">
            <w:r w:rsidRPr="00511C0B">
              <w:t>Assets guaranteed by an Australian State or Federal government or by the national government of the country in whose currency the liabilities of the statutory fund or general fund are denominated:</w:t>
            </w:r>
          </w:p>
        </w:tc>
        <w:tc>
          <w:tcPr>
            <w:tcW w:w="3110" w:type="dxa"/>
          </w:tcPr>
          <w:p w14:paraId="298E4B0B" w14:textId="77777777" w:rsidR="00FD43F5" w:rsidRPr="00511C0B" w:rsidRDefault="00FD43F5" w:rsidP="008E03DA">
            <w:r w:rsidRPr="00511C0B">
              <w:t>No limit</w:t>
            </w:r>
          </w:p>
        </w:tc>
      </w:tr>
      <w:tr w:rsidR="00FD43F5" w:rsidRPr="00511C0B" w14:paraId="5515048D" w14:textId="77777777" w:rsidTr="008E03DA">
        <w:trPr>
          <w:cantSplit/>
        </w:trPr>
        <w:tc>
          <w:tcPr>
            <w:tcW w:w="616" w:type="dxa"/>
          </w:tcPr>
          <w:p w14:paraId="391DEC85" w14:textId="77777777" w:rsidR="00FD43F5" w:rsidRPr="00511C0B" w:rsidRDefault="00FD43F5" w:rsidP="008E03DA">
            <w:r w:rsidRPr="00511C0B">
              <w:t>(b)</w:t>
            </w:r>
          </w:p>
        </w:tc>
        <w:tc>
          <w:tcPr>
            <w:tcW w:w="4571" w:type="dxa"/>
          </w:tcPr>
          <w:p w14:paraId="4C077385" w14:textId="77777777" w:rsidR="00FD43F5" w:rsidRPr="00511C0B" w:rsidRDefault="00FD43F5" w:rsidP="008E03DA">
            <w:r w:rsidRPr="00511C0B">
              <w:t xml:space="preserve">A life insurance policy issued to the life company by </w:t>
            </w:r>
            <w:r w:rsidRPr="00D044B5">
              <w:t xml:space="preserve">a registered </w:t>
            </w:r>
            <w:r w:rsidRPr="00511C0B">
              <w:t>life company which is a related entity of the life company:</w:t>
            </w:r>
          </w:p>
        </w:tc>
        <w:tc>
          <w:tcPr>
            <w:tcW w:w="3110" w:type="dxa"/>
          </w:tcPr>
          <w:p w14:paraId="54E7A0EA" w14:textId="77777777" w:rsidR="00FD43F5" w:rsidRPr="00511C0B" w:rsidRDefault="00FD43F5" w:rsidP="008E03DA">
            <w:r w:rsidRPr="00511C0B">
              <w:t>No limit</w:t>
            </w:r>
          </w:p>
        </w:tc>
      </w:tr>
      <w:tr w:rsidR="00FD43F5" w:rsidRPr="00511C0B" w14:paraId="4DA4C005" w14:textId="77777777" w:rsidTr="008E03DA">
        <w:trPr>
          <w:cantSplit/>
        </w:trPr>
        <w:tc>
          <w:tcPr>
            <w:tcW w:w="616" w:type="dxa"/>
          </w:tcPr>
          <w:p w14:paraId="225C835F" w14:textId="77777777" w:rsidR="00FD43F5" w:rsidRPr="00511C0B" w:rsidRDefault="00FD43F5" w:rsidP="008E03DA">
            <w:r w:rsidRPr="00511C0B">
              <w:t>(c)</w:t>
            </w:r>
          </w:p>
        </w:tc>
        <w:tc>
          <w:tcPr>
            <w:tcW w:w="4571" w:type="dxa"/>
          </w:tcPr>
          <w:p w14:paraId="52288770" w14:textId="4607FA0A" w:rsidR="00FD43F5" w:rsidRPr="00511C0B" w:rsidRDefault="00FD43F5" w:rsidP="008E03DA">
            <w:r w:rsidRPr="00511C0B">
              <w:t>Bank bills, bank guarantees</w:t>
            </w:r>
            <w:r w:rsidR="00306E94">
              <w:t>,</w:t>
            </w:r>
            <w:r w:rsidRPr="00511C0B">
              <w:t xml:space="preserve"> letters of credit issued by a bank</w:t>
            </w:r>
            <w:r w:rsidR="004D2157">
              <w:t>, bank bonds</w:t>
            </w:r>
            <w:r w:rsidR="00341E69">
              <w:t xml:space="preserve"> and NCD</w:t>
            </w:r>
            <w:r w:rsidR="00594F29">
              <w:t>s</w:t>
            </w:r>
            <w:r w:rsidR="00341E69">
              <w:t xml:space="preserve"> issued by a bank</w:t>
            </w:r>
            <w:r w:rsidRPr="00511C0B">
              <w:t xml:space="preserve">; or </w:t>
            </w:r>
          </w:p>
          <w:p w14:paraId="77E0A8CE" w14:textId="77777777" w:rsidR="00FD43F5" w:rsidRPr="00511C0B" w:rsidRDefault="00FD43F5" w:rsidP="008E03DA">
            <w:r w:rsidRPr="00511C0B">
              <w:t>Assets guaranteed by an overseas provincial government (equivalent in status to an Australian State government), in the country in whose currency the liabilities of a statutory fund or a general fund are denominated:</w:t>
            </w:r>
          </w:p>
        </w:tc>
        <w:tc>
          <w:tcPr>
            <w:tcW w:w="3110" w:type="dxa"/>
          </w:tcPr>
          <w:p w14:paraId="00B8CDDE" w14:textId="77777777" w:rsidR="00FD43F5" w:rsidRPr="009A5A30" w:rsidRDefault="00FD43F5" w:rsidP="008E03DA">
            <w:r w:rsidRPr="009A5A30">
              <w:t>The greater of:</w:t>
            </w:r>
          </w:p>
          <w:p w14:paraId="4CBE67D5" w14:textId="77777777" w:rsidR="00FD43F5" w:rsidRPr="009A5A30" w:rsidRDefault="00FD43F5" w:rsidP="00FD43F5">
            <w:pPr>
              <w:pStyle w:val="ListParagraph"/>
              <w:numPr>
                <w:ilvl w:val="0"/>
                <w:numId w:val="32"/>
              </w:numPr>
              <w:spacing w:after="240"/>
              <w:ind w:left="372" w:hanging="372"/>
            </w:pPr>
            <w:r w:rsidRPr="009A5A30">
              <w:t>25% of VAF; and</w:t>
            </w:r>
          </w:p>
          <w:p w14:paraId="3FA23A56" w14:textId="77777777" w:rsidR="00FD43F5" w:rsidRPr="009A5A30" w:rsidRDefault="00FD43F5" w:rsidP="00FD43F5">
            <w:pPr>
              <w:pStyle w:val="ListParagraph"/>
              <w:numPr>
                <w:ilvl w:val="0"/>
                <w:numId w:val="32"/>
              </w:numPr>
              <w:spacing w:after="240"/>
              <w:ind w:left="372" w:hanging="372"/>
            </w:pPr>
            <w:r w:rsidRPr="009A5A30">
              <w:t>AUD 22 million.</w:t>
            </w:r>
          </w:p>
        </w:tc>
      </w:tr>
      <w:tr w:rsidR="00FD43F5" w:rsidRPr="00511C0B" w14:paraId="0C8DDF97" w14:textId="77777777" w:rsidTr="008E03DA">
        <w:trPr>
          <w:cantSplit/>
        </w:trPr>
        <w:tc>
          <w:tcPr>
            <w:tcW w:w="616" w:type="dxa"/>
          </w:tcPr>
          <w:p w14:paraId="4467644C" w14:textId="77777777" w:rsidR="00FD43F5" w:rsidRPr="00511C0B" w:rsidRDefault="00FD43F5" w:rsidP="008E03DA">
            <w:r w:rsidRPr="00511C0B">
              <w:t>(d)</w:t>
            </w:r>
          </w:p>
        </w:tc>
        <w:tc>
          <w:tcPr>
            <w:tcW w:w="4571" w:type="dxa"/>
          </w:tcPr>
          <w:p w14:paraId="4D7F8157" w14:textId="77777777" w:rsidR="00FD43F5" w:rsidRPr="00511C0B" w:rsidRDefault="00FD43F5" w:rsidP="008E03DA">
            <w:pPr>
              <w:tabs>
                <w:tab w:val="center" w:pos="4320"/>
                <w:tab w:val="right" w:pos="8640"/>
              </w:tabs>
            </w:pPr>
            <w:r w:rsidRPr="00511C0B">
              <w:t>Bank deposits</w:t>
            </w:r>
          </w:p>
        </w:tc>
        <w:tc>
          <w:tcPr>
            <w:tcW w:w="3110" w:type="dxa"/>
          </w:tcPr>
          <w:p w14:paraId="2F91B641" w14:textId="77777777" w:rsidR="00FD43F5" w:rsidRPr="009A5A30" w:rsidRDefault="00FD43F5" w:rsidP="008E03DA">
            <w:r w:rsidRPr="009A5A30">
              <w:t>The greatest of:</w:t>
            </w:r>
          </w:p>
          <w:p w14:paraId="0409B8AE" w14:textId="3B102DF2" w:rsidR="00FD43F5" w:rsidRPr="009A5A30" w:rsidRDefault="00FD43F5" w:rsidP="00FD43F5">
            <w:pPr>
              <w:pStyle w:val="ListParagraph"/>
              <w:numPr>
                <w:ilvl w:val="0"/>
                <w:numId w:val="33"/>
              </w:numPr>
              <w:spacing w:after="240"/>
              <w:ind w:left="372" w:hanging="372"/>
            </w:pPr>
            <w:r w:rsidRPr="009A5A30">
              <w:t>50% of VAF less the value of the assets of the fund secured by bank bills, bank guarantees</w:t>
            </w:r>
            <w:r w:rsidR="003263C0">
              <w:t>,</w:t>
            </w:r>
            <w:r w:rsidRPr="009A5A30">
              <w:t xml:space="preserve"> letters of credit issued by a bank</w:t>
            </w:r>
            <w:r w:rsidR="00446318">
              <w:t>, bank bonds and NCD</w:t>
            </w:r>
            <w:r w:rsidR="00594F29">
              <w:t xml:space="preserve">s </w:t>
            </w:r>
            <w:r w:rsidR="00446318">
              <w:t xml:space="preserve">issued by a </w:t>
            </w:r>
            <w:proofErr w:type="gramStart"/>
            <w:r w:rsidR="00446318">
              <w:t>bank</w:t>
            </w:r>
            <w:r w:rsidRPr="009A5A30">
              <w:t>;</w:t>
            </w:r>
            <w:proofErr w:type="gramEnd"/>
          </w:p>
          <w:p w14:paraId="03FE8F41" w14:textId="77777777" w:rsidR="00FD43F5" w:rsidRPr="009A5A30" w:rsidRDefault="00FD43F5" w:rsidP="00FD43F5">
            <w:pPr>
              <w:pStyle w:val="ListParagraph"/>
              <w:numPr>
                <w:ilvl w:val="0"/>
                <w:numId w:val="33"/>
              </w:numPr>
              <w:spacing w:after="240"/>
              <w:ind w:left="372" w:hanging="372"/>
            </w:pPr>
            <w:r w:rsidRPr="009A5A30">
              <w:t>25% of VAF; and</w:t>
            </w:r>
          </w:p>
          <w:p w14:paraId="57CA7240" w14:textId="77777777" w:rsidR="00FD43F5" w:rsidRPr="009A5A30" w:rsidRDefault="00FD43F5" w:rsidP="00FD43F5">
            <w:pPr>
              <w:pStyle w:val="ListParagraph"/>
              <w:numPr>
                <w:ilvl w:val="0"/>
                <w:numId w:val="33"/>
              </w:numPr>
              <w:spacing w:after="240"/>
              <w:ind w:left="372" w:hanging="372"/>
            </w:pPr>
            <w:r w:rsidRPr="009A5A30">
              <w:t>AUD 22 million.</w:t>
            </w:r>
          </w:p>
        </w:tc>
      </w:tr>
      <w:tr w:rsidR="00FD43F5" w:rsidRPr="00511C0B" w14:paraId="2DE1D1C3" w14:textId="77777777" w:rsidTr="008E03DA">
        <w:trPr>
          <w:cantSplit/>
        </w:trPr>
        <w:tc>
          <w:tcPr>
            <w:tcW w:w="616" w:type="dxa"/>
          </w:tcPr>
          <w:p w14:paraId="39C74B45" w14:textId="77777777" w:rsidR="00FD43F5" w:rsidRPr="007753A9" w:rsidRDefault="00FD43F5" w:rsidP="008E03DA">
            <w:r w:rsidRPr="007753A9">
              <w:t>(e)</w:t>
            </w:r>
          </w:p>
        </w:tc>
        <w:tc>
          <w:tcPr>
            <w:tcW w:w="4571" w:type="dxa"/>
          </w:tcPr>
          <w:p w14:paraId="2D9F5E60" w14:textId="77777777" w:rsidR="00FD43F5" w:rsidRPr="007753A9" w:rsidRDefault="00FD43F5" w:rsidP="008E03DA">
            <w:pPr>
              <w:pStyle w:val="ListParagraph"/>
              <w:spacing w:after="240"/>
              <w:ind w:left="0"/>
            </w:pPr>
            <w:r w:rsidRPr="007753A9">
              <w:t>A reinsurance arrangement with a registered life company with a counterparty grade of 1, 2 or 3 that is not a related entity of the life company; or</w:t>
            </w:r>
          </w:p>
          <w:p w14:paraId="55F44737" w14:textId="77777777" w:rsidR="00FD43F5" w:rsidRPr="007753A9" w:rsidRDefault="00FD43F5" w:rsidP="008E03DA">
            <w:pPr>
              <w:pStyle w:val="ListParagraph"/>
              <w:spacing w:after="240"/>
              <w:ind w:left="0"/>
            </w:pPr>
            <w:r w:rsidRPr="007753A9">
              <w:t xml:space="preserve">With APRA’s written approval, a reinsurance arrangement in respect of overseas business, with a related entity with a counterparty grade of 1, 2 or 3 of a registered life company that has a statutory fund which is a specialist reinsurer:  </w:t>
            </w:r>
          </w:p>
        </w:tc>
        <w:tc>
          <w:tcPr>
            <w:tcW w:w="3110" w:type="dxa"/>
          </w:tcPr>
          <w:p w14:paraId="175CE79E" w14:textId="77777777" w:rsidR="00FD43F5" w:rsidRPr="009A5A30" w:rsidRDefault="00FD43F5" w:rsidP="008E03DA">
            <w:r w:rsidRPr="009A5A30">
              <w:t>The greatest of:</w:t>
            </w:r>
          </w:p>
          <w:p w14:paraId="622E5BAF" w14:textId="77777777" w:rsidR="00FD43F5" w:rsidRPr="009A5A30" w:rsidRDefault="00FD43F5" w:rsidP="00FD43F5">
            <w:pPr>
              <w:pStyle w:val="ListParagraph"/>
              <w:numPr>
                <w:ilvl w:val="0"/>
                <w:numId w:val="34"/>
              </w:numPr>
              <w:spacing w:after="240"/>
              <w:ind w:left="372" w:hanging="372"/>
            </w:pPr>
            <w:r w:rsidRPr="009A5A30">
              <w:t xml:space="preserve">25% of </w:t>
            </w:r>
            <w:proofErr w:type="gramStart"/>
            <w:r w:rsidRPr="009A5A30">
              <w:t>VAF;</w:t>
            </w:r>
            <w:proofErr w:type="gramEnd"/>
          </w:p>
          <w:p w14:paraId="278026C3" w14:textId="77777777" w:rsidR="00FD43F5" w:rsidRPr="009A5A30" w:rsidRDefault="00FD43F5" w:rsidP="00FD43F5">
            <w:pPr>
              <w:pStyle w:val="ListParagraph"/>
              <w:numPr>
                <w:ilvl w:val="0"/>
                <w:numId w:val="34"/>
              </w:numPr>
              <w:spacing w:after="240"/>
              <w:ind w:left="372" w:hanging="372"/>
            </w:pPr>
            <w:r w:rsidRPr="009A5A30">
              <w:t>125% of capital base; and</w:t>
            </w:r>
          </w:p>
          <w:p w14:paraId="7A5BC6AD" w14:textId="77777777" w:rsidR="00FD43F5" w:rsidRPr="009A5A30" w:rsidRDefault="00FD43F5" w:rsidP="00FD43F5">
            <w:pPr>
              <w:pStyle w:val="ListParagraph"/>
              <w:numPr>
                <w:ilvl w:val="0"/>
                <w:numId w:val="34"/>
              </w:numPr>
              <w:spacing w:after="240"/>
              <w:ind w:left="372" w:hanging="372"/>
            </w:pPr>
            <w:r w:rsidRPr="009A5A30">
              <w:t>AUD 22 million.</w:t>
            </w:r>
          </w:p>
        </w:tc>
      </w:tr>
      <w:tr w:rsidR="00FD43F5" w:rsidRPr="00511C0B" w14:paraId="0B0D262A" w14:textId="77777777" w:rsidTr="008E03DA">
        <w:trPr>
          <w:cantSplit/>
        </w:trPr>
        <w:tc>
          <w:tcPr>
            <w:tcW w:w="616" w:type="dxa"/>
          </w:tcPr>
          <w:p w14:paraId="4B38E381" w14:textId="77777777" w:rsidR="00FD43F5" w:rsidRPr="00511C0B" w:rsidRDefault="00FD43F5" w:rsidP="008E03DA">
            <w:r w:rsidRPr="00511C0B">
              <w:lastRenderedPageBreak/>
              <w:t>(f)</w:t>
            </w:r>
          </w:p>
        </w:tc>
        <w:tc>
          <w:tcPr>
            <w:tcW w:w="4571" w:type="dxa"/>
          </w:tcPr>
          <w:p w14:paraId="607CB882" w14:textId="77777777" w:rsidR="00FD43F5" w:rsidRPr="00315BB0" w:rsidRDefault="00FD43F5" w:rsidP="008E03DA">
            <w:r w:rsidRPr="00315BB0">
              <w:t>Outstanding premiums receivable by a reinsurer under a reinsurance policy with a registered life company with a counterparty grade of 1, 2 or 3:</w:t>
            </w:r>
          </w:p>
        </w:tc>
        <w:tc>
          <w:tcPr>
            <w:tcW w:w="3110" w:type="dxa"/>
          </w:tcPr>
          <w:p w14:paraId="2BBF3B9A" w14:textId="77777777" w:rsidR="00FD43F5" w:rsidRPr="00511C0B" w:rsidRDefault="00FD43F5" w:rsidP="008E03DA">
            <w:r w:rsidRPr="00511C0B">
              <w:t>The great</w:t>
            </w:r>
            <w:r>
              <w:t>est</w:t>
            </w:r>
            <w:r w:rsidRPr="00511C0B">
              <w:t xml:space="preserve"> of:</w:t>
            </w:r>
          </w:p>
          <w:p w14:paraId="625E5DC2" w14:textId="77777777" w:rsidR="00FD43F5" w:rsidRPr="00511C0B" w:rsidRDefault="00FD43F5" w:rsidP="00FD43F5">
            <w:pPr>
              <w:pStyle w:val="ListParagraph"/>
              <w:numPr>
                <w:ilvl w:val="0"/>
                <w:numId w:val="35"/>
              </w:numPr>
              <w:spacing w:after="240"/>
              <w:ind w:left="372" w:hanging="372"/>
            </w:pPr>
            <w:r w:rsidRPr="00511C0B">
              <w:t xml:space="preserve">25% of </w:t>
            </w:r>
            <w:proofErr w:type="gramStart"/>
            <w:r w:rsidRPr="00511C0B">
              <w:t>VAF;</w:t>
            </w:r>
            <w:proofErr w:type="gramEnd"/>
            <w:r w:rsidRPr="00511C0B">
              <w:t xml:space="preserve"> </w:t>
            </w:r>
          </w:p>
          <w:p w14:paraId="593FBB02" w14:textId="77777777" w:rsidR="00FD43F5" w:rsidRPr="009A5A30" w:rsidRDefault="00FD43F5" w:rsidP="00FD43F5">
            <w:pPr>
              <w:pStyle w:val="ListParagraph"/>
              <w:numPr>
                <w:ilvl w:val="0"/>
                <w:numId w:val="35"/>
              </w:numPr>
              <w:spacing w:after="240"/>
              <w:ind w:left="372" w:hanging="372"/>
            </w:pPr>
            <w:r w:rsidRPr="009A5A30">
              <w:t>125% of capital base; and</w:t>
            </w:r>
          </w:p>
          <w:p w14:paraId="7CF62C44" w14:textId="77777777" w:rsidR="00FD43F5" w:rsidRPr="00511C0B" w:rsidRDefault="00FD43F5" w:rsidP="00FD43F5">
            <w:pPr>
              <w:pStyle w:val="ListParagraph"/>
              <w:numPr>
                <w:ilvl w:val="0"/>
                <w:numId w:val="35"/>
              </w:numPr>
              <w:spacing w:after="240"/>
              <w:ind w:left="372" w:hanging="372"/>
            </w:pPr>
            <w:r w:rsidRPr="009A5A30">
              <w:t>AUD 22 million.</w:t>
            </w:r>
          </w:p>
        </w:tc>
      </w:tr>
      <w:tr w:rsidR="00FD43F5" w:rsidRPr="00511C0B" w14:paraId="2FADDECF" w14:textId="77777777" w:rsidTr="008E03DA">
        <w:trPr>
          <w:cantSplit/>
        </w:trPr>
        <w:tc>
          <w:tcPr>
            <w:tcW w:w="616" w:type="dxa"/>
          </w:tcPr>
          <w:p w14:paraId="127DDDAC" w14:textId="77777777" w:rsidR="00FD43F5" w:rsidRPr="00A3729E" w:rsidRDefault="00FD43F5" w:rsidP="008E03DA">
            <w:r w:rsidRPr="00A3729E">
              <w:t>(g)</w:t>
            </w:r>
          </w:p>
        </w:tc>
        <w:tc>
          <w:tcPr>
            <w:tcW w:w="4571" w:type="dxa"/>
          </w:tcPr>
          <w:p w14:paraId="01ADBCBF" w14:textId="77777777" w:rsidR="00FD43F5" w:rsidRPr="00A3729E" w:rsidRDefault="00FD43F5" w:rsidP="008E03DA">
            <w:r w:rsidRPr="00A3729E">
              <w:t>A reinsurance arrangement with an APRA approved affiliated entity of the life company that is not a registered life company, where the related entity has a counterparty grade of 1, 2 or 3:</w:t>
            </w:r>
          </w:p>
        </w:tc>
        <w:tc>
          <w:tcPr>
            <w:tcW w:w="3110" w:type="dxa"/>
          </w:tcPr>
          <w:p w14:paraId="012E93C7" w14:textId="77777777" w:rsidR="00FD43F5" w:rsidRPr="00A3729E" w:rsidRDefault="00FD43F5" w:rsidP="008E03DA">
            <w:r w:rsidRPr="00A3729E">
              <w:t>The greater of:</w:t>
            </w:r>
          </w:p>
          <w:p w14:paraId="72E7E919" w14:textId="77777777" w:rsidR="00FD43F5" w:rsidRPr="00A3729E" w:rsidRDefault="00FD43F5" w:rsidP="00FD43F5">
            <w:pPr>
              <w:pStyle w:val="ListParagraph"/>
              <w:numPr>
                <w:ilvl w:val="0"/>
                <w:numId w:val="36"/>
              </w:numPr>
              <w:spacing w:after="240"/>
              <w:ind w:left="372" w:hanging="372"/>
            </w:pPr>
            <w:r w:rsidRPr="00A3729E">
              <w:t>12.5% of VAF; and</w:t>
            </w:r>
          </w:p>
          <w:p w14:paraId="45E65093" w14:textId="77777777" w:rsidR="00FD43F5" w:rsidRPr="00A3729E" w:rsidRDefault="00FD43F5" w:rsidP="00FD43F5">
            <w:pPr>
              <w:pStyle w:val="ListParagraph"/>
              <w:numPr>
                <w:ilvl w:val="0"/>
                <w:numId w:val="36"/>
              </w:numPr>
              <w:spacing w:after="240"/>
              <w:ind w:left="372" w:hanging="372"/>
            </w:pPr>
            <w:r w:rsidRPr="00A3729E">
              <w:t>62.5% of capital base.</w:t>
            </w:r>
          </w:p>
        </w:tc>
      </w:tr>
      <w:tr w:rsidR="00FD43F5" w:rsidRPr="00511C0B" w14:paraId="7309F8CF" w14:textId="77777777" w:rsidTr="008E03DA">
        <w:trPr>
          <w:cantSplit/>
        </w:trPr>
        <w:tc>
          <w:tcPr>
            <w:tcW w:w="616" w:type="dxa"/>
          </w:tcPr>
          <w:p w14:paraId="3C498903" w14:textId="77777777" w:rsidR="00FD43F5" w:rsidRPr="00511C0B" w:rsidRDefault="00FD43F5" w:rsidP="008E03DA">
            <w:r w:rsidRPr="00511C0B">
              <w:t>(h)</w:t>
            </w:r>
          </w:p>
        </w:tc>
        <w:tc>
          <w:tcPr>
            <w:tcW w:w="4571" w:type="dxa"/>
          </w:tcPr>
          <w:p w14:paraId="6C19FB73" w14:textId="77777777" w:rsidR="00FD43F5" w:rsidRPr="00511C0B" w:rsidRDefault="00FD43F5" w:rsidP="008E03DA">
            <w:pPr>
              <w:ind w:left="317" w:hanging="317"/>
            </w:pPr>
            <w:proofErr w:type="spellStart"/>
            <w:r w:rsidRPr="00511C0B">
              <w:t>i</w:t>
            </w:r>
            <w:proofErr w:type="spellEnd"/>
            <w:r w:rsidRPr="00511C0B">
              <w:t xml:space="preserve">) </w:t>
            </w:r>
            <w:r w:rsidRPr="00511C0B">
              <w:tab/>
              <w:t xml:space="preserve">any other actively traded </w:t>
            </w:r>
            <w:proofErr w:type="gramStart"/>
            <w:r w:rsidRPr="00511C0B">
              <w:t>security;</w:t>
            </w:r>
            <w:proofErr w:type="gramEnd"/>
          </w:p>
          <w:p w14:paraId="3BD04FEE" w14:textId="77777777" w:rsidR="00FD43F5" w:rsidRPr="00511C0B" w:rsidRDefault="00FD43F5" w:rsidP="008E03DA">
            <w:pPr>
              <w:ind w:left="317" w:hanging="317"/>
            </w:pPr>
            <w:r w:rsidRPr="00511C0B">
              <w:t xml:space="preserve">ii) </w:t>
            </w:r>
            <w:r w:rsidRPr="00511C0B">
              <w:tab/>
              <w:t xml:space="preserve">a non-traded security, loan, or reinsurance arrangement </w:t>
            </w:r>
            <w:r w:rsidRPr="00315BB0">
              <w:t xml:space="preserve">with </w:t>
            </w:r>
            <w:r w:rsidRPr="00511C0B">
              <w:t xml:space="preserve">a counterparty grade of 1, 2 or </w:t>
            </w:r>
            <w:proofErr w:type="gramStart"/>
            <w:r w:rsidRPr="00511C0B">
              <w:t>3;</w:t>
            </w:r>
            <w:proofErr w:type="gramEnd"/>
          </w:p>
          <w:p w14:paraId="41973FB1" w14:textId="77777777" w:rsidR="00FD43F5" w:rsidRPr="00511C0B" w:rsidRDefault="00FD43F5" w:rsidP="008E03DA">
            <w:pPr>
              <w:ind w:left="317" w:hanging="317"/>
            </w:pPr>
            <w:r w:rsidRPr="00511C0B">
              <w:t>iii) real estate; or</w:t>
            </w:r>
          </w:p>
          <w:p w14:paraId="62734829" w14:textId="77777777" w:rsidR="00FD43F5" w:rsidRPr="00511C0B" w:rsidRDefault="00FD43F5" w:rsidP="008E03DA">
            <w:pPr>
              <w:ind w:left="317" w:hanging="317"/>
            </w:pPr>
            <w:r w:rsidRPr="00511C0B">
              <w:t>iv) other income producing real property asset:</w:t>
            </w:r>
          </w:p>
        </w:tc>
        <w:tc>
          <w:tcPr>
            <w:tcW w:w="3110" w:type="dxa"/>
          </w:tcPr>
          <w:p w14:paraId="7BA42515" w14:textId="77777777" w:rsidR="00FD43F5" w:rsidRPr="00511C0B" w:rsidRDefault="00FD43F5" w:rsidP="008E03DA">
            <w:r w:rsidRPr="00511C0B">
              <w:t>The greater of:</w:t>
            </w:r>
          </w:p>
          <w:p w14:paraId="632F8ED0" w14:textId="77777777" w:rsidR="00FD43F5" w:rsidRPr="00511C0B" w:rsidRDefault="00FD43F5" w:rsidP="00FD43F5">
            <w:pPr>
              <w:pStyle w:val="ListParagraph"/>
              <w:numPr>
                <w:ilvl w:val="0"/>
                <w:numId w:val="38"/>
              </w:numPr>
              <w:spacing w:after="240"/>
              <w:ind w:left="362"/>
            </w:pPr>
            <w:r w:rsidRPr="00A3729E">
              <w:t>5% of VAF</w:t>
            </w:r>
            <w:r w:rsidRPr="00511C0B">
              <w:t>; and</w:t>
            </w:r>
          </w:p>
          <w:p w14:paraId="3286A8E4" w14:textId="77777777" w:rsidR="00FD43F5" w:rsidRPr="00511C0B" w:rsidRDefault="00FD43F5" w:rsidP="00FD43F5">
            <w:pPr>
              <w:pStyle w:val="ListParagraph"/>
              <w:numPr>
                <w:ilvl w:val="0"/>
                <w:numId w:val="38"/>
              </w:numPr>
              <w:spacing w:after="240"/>
              <w:ind w:left="372" w:hanging="372"/>
            </w:pPr>
            <w:r w:rsidRPr="00511C0B">
              <w:t>25% of capital base.</w:t>
            </w:r>
          </w:p>
        </w:tc>
      </w:tr>
      <w:tr w:rsidR="00FD43F5" w:rsidRPr="00511C0B" w14:paraId="09190342" w14:textId="77777777" w:rsidTr="008E03DA">
        <w:trPr>
          <w:cantSplit/>
        </w:trPr>
        <w:tc>
          <w:tcPr>
            <w:tcW w:w="616" w:type="dxa"/>
          </w:tcPr>
          <w:p w14:paraId="609B1010" w14:textId="77777777" w:rsidR="00FD43F5" w:rsidRPr="00511C0B" w:rsidRDefault="00FD43F5" w:rsidP="008E03DA">
            <w:r w:rsidRPr="00511C0B">
              <w:t>(</w:t>
            </w:r>
            <w:proofErr w:type="spellStart"/>
            <w:r w:rsidRPr="00511C0B">
              <w:t>i</w:t>
            </w:r>
            <w:proofErr w:type="spellEnd"/>
            <w:r w:rsidRPr="00511C0B">
              <w:t>)</w:t>
            </w:r>
          </w:p>
        </w:tc>
        <w:tc>
          <w:tcPr>
            <w:tcW w:w="4571" w:type="dxa"/>
          </w:tcPr>
          <w:p w14:paraId="37C42130" w14:textId="77777777" w:rsidR="00FD43F5" w:rsidRPr="00511C0B" w:rsidRDefault="00FD43F5" w:rsidP="008E03DA">
            <w:r w:rsidRPr="00511C0B">
              <w:t>Any asset not covered by any of the above categories:</w:t>
            </w:r>
          </w:p>
        </w:tc>
        <w:tc>
          <w:tcPr>
            <w:tcW w:w="3110" w:type="dxa"/>
          </w:tcPr>
          <w:p w14:paraId="7A39ED13" w14:textId="77777777" w:rsidR="00FD43F5" w:rsidRPr="00511C0B" w:rsidRDefault="00FD43F5" w:rsidP="008E03DA">
            <w:r w:rsidRPr="00511C0B">
              <w:t>The greater of:</w:t>
            </w:r>
          </w:p>
          <w:p w14:paraId="1B48EC6A" w14:textId="77777777" w:rsidR="00FD43F5" w:rsidRPr="00511C0B" w:rsidRDefault="00FD43F5" w:rsidP="00FD43F5">
            <w:pPr>
              <w:pStyle w:val="ListParagraph"/>
              <w:numPr>
                <w:ilvl w:val="0"/>
                <w:numId w:val="37"/>
              </w:numPr>
              <w:spacing w:after="240"/>
              <w:ind w:left="372" w:hanging="372"/>
            </w:pPr>
            <w:r w:rsidRPr="00511C0B">
              <w:t>2.5% of VAF; and</w:t>
            </w:r>
          </w:p>
          <w:p w14:paraId="57A25162" w14:textId="77777777" w:rsidR="00FD43F5" w:rsidRPr="00511C0B" w:rsidRDefault="00FD43F5" w:rsidP="00FD43F5">
            <w:pPr>
              <w:pStyle w:val="ListParagraph"/>
              <w:numPr>
                <w:ilvl w:val="0"/>
                <w:numId w:val="37"/>
              </w:numPr>
              <w:spacing w:after="240"/>
              <w:ind w:left="372" w:hanging="372"/>
            </w:pPr>
            <w:r w:rsidRPr="00511C0B">
              <w:t>12.5% of capital base.</w:t>
            </w:r>
          </w:p>
        </w:tc>
      </w:tr>
    </w:tbl>
    <w:p w14:paraId="1F9EA89C" w14:textId="77777777" w:rsidR="00FD43F5" w:rsidRDefault="00FD43F5" w:rsidP="00FD43F5"/>
    <w:p w14:paraId="24B733E7" w14:textId="77777777" w:rsidR="00FD43F5" w:rsidRPr="00511C0B" w:rsidRDefault="00FD43F5" w:rsidP="00FD43F5">
      <w:pPr>
        <w:pStyle w:val="BodyText1"/>
      </w:pPr>
      <w:r w:rsidRPr="00511C0B">
        <w:t xml:space="preserve">For reinsurance arrangements that were included in item (e) or (g) at the time the reinsurance arrangement was entered </w:t>
      </w:r>
      <w:proofErr w:type="gramStart"/>
      <w:r w:rsidRPr="00511C0B">
        <w:t>into</w:t>
      </w:r>
      <w:proofErr w:type="gramEnd"/>
      <w:r w:rsidRPr="00511C0B">
        <w:t xml:space="preserve"> but which no longer have a counterparty grade of 1, 2 or 3:</w:t>
      </w:r>
      <w:bookmarkEnd w:id="120"/>
    </w:p>
    <w:p w14:paraId="234EE67B" w14:textId="77777777" w:rsidR="00FD43F5" w:rsidRPr="00511C0B" w:rsidRDefault="00FD43F5" w:rsidP="00FD43F5">
      <w:pPr>
        <w:pStyle w:val="BodyText2"/>
      </w:pPr>
      <w:r w:rsidRPr="00511C0B">
        <w:t>within the first 3 months of the downgrade below Grade 3 the arrangement continues to have the limit specified in (e) or (g</w:t>
      </w:r>
      <w:proofErr w:type="gramStart"/>
      <w:r w:rsidRPr="00511C0B">
        <w:t>);</w:t>
      </w:r>
      <w:proofErr w:type="gramEnd"/>
    </w:p>
    <w:p w14:paraId="24ECD40D" w14:textId="77777777" w:rsidR="00FD43F5" w:rsidRPr="00511C0B" w:rsidRDefault="00FD43F5" w:rsidP="00FD43F5">
      <w:pPr>
        <w:pStyle w:val="BodyText2"/>
      </w:pPr>
      <w:r w:rsidRPr="00511C0B">
        <w:t>within the next 9 months the limit specified in (e) or (g) is reduced by 34</w:t>
      </w:r>
      <w:r>
        <w:t xml:space="preserve"> per </w:t>
      </w:r>
      <w:proofErr w:type="gramStart"/>
      <w:r>
        <w:t>cent</w:t>
      </w:r>
      <w:r w:rsidRPr="00511C0B">
        <w:t>;</w:t>
      </w:r>
      <w:proofErr w:type="gramEnd"/>
    </w:p>
    <w:p w14:paraId="2C8FC89F" w14:textId="77777777" w:rsidR="00FD43F5" w:rsidRPr="00511C0B" w:rsidRDefault="00FD43F5" w:rsidP="00FD43F5">
      <w:pPr>
        <w:pStyle w:val="BodyText2"/>
      </w:pPr>
      <w:r w:rsidRPr="00511C0B">
        <w:t>within the second 12 months after the downgrade the limit specified in (e) or (g) is reduced by 66</w:t>
      </w:r>
      <w:r>
        <w:t xml:space="preserve"> per </w:t>
      </w:r>
      <w:proofErr w:type="gramStart"/>
      <w:r>
        <w:t>cent</w:t>
      </w:r>
      <w:r w:rsidRPr="00511C0B">
        <w:t>;</w:t>
      </w:r>
      <w:proofErr w:type="gramEnd"/>
    </w:p>
    <w:p w14:paraId="231043B2" w14:textId="77777777" w:rsidR="00FD43F5" w:rsidRPr="00511C0B" w:rsidRDefault="00FD43F5" w:rsidP="00FD43F5">
      <w:pPr>
        <w:pStyle w:val="BodyText2"/>
      </w:pPr>
      <w:r w:rsidRPr="00511C0B">
        <w:t>thereafter, the reinsurance arrangement is included in item (</w:t>
      </w:r>
      <w:proofErr w:type="spellStart"/>
      <w:r w:rsidRPr="00511C0B">
        <w:t>i</w:t>
      </w:r>
      <w:proofErr w:type="spellEnd"/>
      <w:r w:rsidRPr="00511C0B">
        <w:t xml:space="preserve">).  </w:t>
      </w:r>
    </w:p>
    <w:p w14:paraId="4201C587" w14:textId="77777777" w:rsidR="00FD43F5" w:rsidRPr="00511C0B" w:rsidRDefault="00FD43F5" w:rsidP="00FD43F5">
      <w:pPr>
        <w:pStyle w:val="BodyText1"/>
      </w:pPr>
      <w:bookmarkStart w:id="121" w:name="_Ref26182275"/>
      <w:bookmarkStart w:id="122" w:name="_Ref26346440"/>
      <w:bookmarkEnd w:id="121"/>
      <w:r w:rsidRPr="00511C0B">
        <w:t>For reinsurance arrangements included in items (g), (h) and (</w:t>
      </w:r>
      <w:proofErr w:type="spellStart"/>
      <w:r w:rsidRPr="00511C0B">
        <w:t>i</w:t>
      </w:r>
      <w:proofErr w:type="spellEnd"/>
      <w:r w:rsidRPr="00511C0B">
        <w:t>) which are not with a registered life company</w:t>
      </w:r>
      <w:r>
        <w:t xml:space="preserve"> or appropriate </w:t>
      </w:r>
      <w:proofErr w:type="spellStart"/>
      <w:r>
        <w:t>retrocessionaire</w:t>
      </w:r>
      <w:proofErr w:type="spellEnd"/>
      <w:r w:rsidRPr="00511C0B">
        <w:t>, an aggregate limit for all such arrangements applies, equal to the greater of:</w:t>
      </w:r>
      <w:bookmarkEnd w:id="122"/>
    </w:p>
    <w:p w14:paraId="590398EB" w14:textId="77777777" w:rsidR="00FD43F5" w:rsidRPr="00511C0B" w:rsidRDefault="00FD43F5" w:rsidP="00FD43F5">
      <w:pPr>
        <w:pStyle w:val="BodyText2"/>
      </w:pPr>
      <w:r w:rsidRPr="00511C0B">
        <w:t>12.5</w:t>
      </w:r>
      <w:r>
        <w:t xml:space="preserve"> per cent</w:t>
      </w:r>
      <w:r w:rsidRPr="00511C0B">
        <w:t xml:space="preserve"> of VAF; and</w:t>
      </w:r>
    </w:p>
    <w:p w14:paraId="7A0E5725" w14:textId="77777777" w:rsidR="00FD43F5" w:rsidRPr="00511C0B" w:rsidRDefault="00FD43F5" w:rsidP="00FD43F5">
      <w:pPr>
        <w:pStyle w:val="BodyText2"/>
      </w:pPr>
      <w:r w:rsidRPr="00511C0B">
        <w:t>62.5</w:t>
      </w:r>
      <w:r>
        <w:t xml:space="preserve"> per cent</w:t>
      </w:r>
      <w:r w:rsidRPr="00511C0B">
        <w:t xml:space="preserve"> of capital base.</w:t>
      </w:r>
    </w:p>
    <w:p w14:paraId="1332163D" w14:textId="77777777" w:rsidR="00FD43F5" w:rsidRDefault="00FD43F5" w:rsidP="00FD43F5">
      <w:pPr>
        <w:ind w:left="567"/>
      </w:pPr>
      <w:r w:rsidRPr="00511C0B">
        <w:lastRenderedPageBreak/>
        <w:t xml:space="preserve">To avoid double counting of excess exposures, for the purposes of </w:t>
      </w:r>
      <w:r>
        <w:t xml:space="preserve">this paragraph </w:t>
      </w:r>
      <w:r w:rsidRPr="00511C0B">
        <w:t>the asset value for each reinsurance arrangement is subject to a maximum of the individual limit for the arrangement.</w:t>
      </w:r>
      <w:r>
        <w:t xml:space="preserve"> </w:t>
      </w:r>
    </w:p>
    <w:p w14:paraId="038BD5F1" w14:textId="77777777" w:rsidR="00FD43F5" w:rsidRDefault="00FD43F5" w:rsidP="00FD43F5">
      <w:pPr>
        <w:ind w:left="567"/>
      </w:pPr>
      <w:r>
        <w:t>If the asset value of a reinsurance arrangement is negative it must not be included in the aggregate value.</w:t>
      </w:r>
    </w:p>
    <w:p w14:paraId="4AB135B0" w14:textId="5295A496" w:rsidR="0029455F" w:rsidRDefault="00FD43F5" w:rsidP="00FD43F5">
      <w:pPr>
        <w:pStyle w:val="BodyText1"/>
      </w:pPr>
      <w:proofErr w:type="gramStart"/>
      <w:r>
        <w:rPr>
          <w:snapToGrid w:val="0"/>
          <w:lang w:eastAsia="en-US"/>
        </w:rPr>
        <w:t>For the purpose of</w:t>
      </w:r>
      <w:proofErr w:type="gramEnd"/>
      <w:r w:rsidRPr="00152FB8">
        <w:rPr>
          <w:snapToGrid w:val="0"/>
          <w:lang w:eastAsia="en-US"/>
        </w:rPr>
        <w:t xml:space="preserve"> calculating the Asset Risk Charge according to LPS 114</w:t>
      </w:r>
      <w:r>
        <w:rPr>
          <w:snapToGrid w:val="0"/>
          <w:lang w:eastAsia="en-US"/>
        </w:rPr>
        <w:t xml:space="preserve">, any Asset Concentration Risk Charge that results from applying the aggregate limit must be allocated across reinsurance arrangements which are not with a registered life company or appropriate </w:t>
      </w:r>
      <w:proofErr w:type="spellStart"/>
      <w:r>
        <w:rPr>
          <w:snapToGrid w:val="0"/>
          <w:lang w:eastAsia="en-US"/>
        </w:rPr>
        <w:t>retrocessionaire</w:t>
      </w:r>
      <w:proofErr w:type="spellEnd"/>
      <w:r>
        <w:rPr>
          <w:snapToGrid w:val="0"/>
          <w:lang w:eastAsia="en-US"/>
        </w:rPr>
        <w:t xml:space="preserve"> </w:t>
      </w:r>
      <w:r w:rsidRPr="00327CBA">
        <w:rPr>
          <w:snapToGrid w:val="0"/>
          <w:lang w:eastAsia="en-US"/>
        </w:rPr>
        <w:t xml:space="preserve">in proportion to the exposure amount </w:t>
      </w:r>
      <w:r>
        <w:rPr>
          <w:snapToGrid w:val="0"/>
          <w:lang w:eastAsia="en-US"/>
        </w:rPr>
        <w:t xml:space="preserve">for the arrangement that is </w:t>
      </w:r>
      <w:r w:rsidRPr="00327CBA">
        <w:rPr>
          <w:snapToGrid w:val="0"/>
          <w:lang w:eastAsia="en-US"/>
        </w:rPr>
        <w:t>being assessed against the aggregate limit</w:t>
      </w:r>
      <w:r>
        <w:rPr>
          <w:snapToGrid w:val="0"/>
          <w:lang w:eastAsia="en-US"/>
        </w:rPr>
        <w:t>.</w:t>
      </w:r>
    </w:p>
    <w:p w14:paraId="70514667" w14:textId="77777777" w:rsidR="007D2D7F" w:rsidRDefault="007D2D7F" w:rsidP="0038413F">
      <w:pPr>
        <w:pStyle w:val="Heading2"/>
        <w:rPr>
          <w:rFonts w:ascii="Times New Roman" w:eastAsia="Calibri" w:hAnsi="Times New Roman" w:cs="Times New Roman"/>
          <w:b w:val="0"/>
          <w:bCs w:val="0"/>
          <w:sz w:val="24"/>
        </w:rPr>
      </w:pPr>
    </w:p>
    <w:sectPr w:rsidR="007D2D7F" w:rsidSect="000D63A8">
      <w:footerReference w:type="default" r:id="rId16"/>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2548A" w14:textId="77777777" w:rsidR="00BB0D78" w:rsidRDefault="00BB0D78" w:rsidP="006A6A52">
      <w:pPr>
        <w:spacing w:after="0"/>
      </w:pPr>
      <w:r>
        <w:separator/>
      </w:r>
    </w:p>
  </w:endnote>
  <w:endnote w:type="continuationSeparator" w:id="0">
    <w:p w14:paraId="28A65F82" w14:textId="77777777" w:rsidR="00BB0D78" w:rsidRDefault="00BB0D78" w:rsidP="006A6A52">
      <w:pPr>
        <w:spacing w:after="0"/>
      </w:pPr>
      <w:r>
        <w:continuationSeparator/>
      </w:r>
    </w:p>
  </w:endnote>
  <w:endnote w:type="continuationNotice" w:id="1">
    <w:p w14:paraId="5FE2905C" w14:textId="77777777" w:rsidR="00BB0D78" w:rsidRDefault="00BB0D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S PMincho">
    <w:altName w:val="ＭＳ Ｐ明朝"/>
    <w:panose1 w:val="00000000000000000000"/>
    <w:charset w:val="80"/>
    <w:family w:val="roman"/>
    <w:notTrueType/>
    <w:pitch w:val="default"/>
  </w:font>
  <w:font w:name="MS Mincho">
    <w:altName w:val="Yu Gothic"/>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2DBF9" w14:textId="46601B3A" w:rsidR="00745B81" w:rsidRPr="00842FBD" w:rsidRDefault="000509A9" w:rsidP="00842FBD">
    <w:pPr>
      <w:pStyle w:val="Footer"/>
    </w:pPr>
    <w:fldSimple w:instr="STYLEREF  &quot;PS No. field text&quot;  \* MERGEFORMAT">
      <w:r w:rsidR="000A32C6">
        <w:rPr>
          <w:noProof/>
        </w:rPr>
        <w:t>LPS 117</w:t>
      </w:r>
    </w:fldSimple>
    <w:r w:rsidR="001F6B8D">
      <w:t xml:space="preserve"> </w:t>
    </w:r>
    <w:r w:rsidR="00521673">
      <w:t xml:space="preserve">- </w:t>
    </w:r>
    <w:r w:rsidR="00745B81" w:rsidRPr="00842FBD">
      <w:fldChar w:fldCharType="begin"/>
    </w:r>
    <w:r w:rsidR="00745B81" w:rsidRPr="00842FBD">
      <w:instrText xml:space="preserve"> PAGE </w:instrText>
    </w:r>
    <w:r w:rsidR="00745B81" w:rsidRPr="00842FBD">
      <w:fldChar w:fldCharType="separate"/>
    </w:r>
    <w:r w:rsidR="009E76B1">
      <w:rPr>
        <w:noProof/>
      </w:rPr>
      <w:t>2</w:t>
    </w:r>
    <w:r w:rsidR="00745B81" w:rsidRPr="00842FB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67D6A" w14:textId="126CF7D2" w:rsidR="00867092" w:rsidRPr="00842FBD" w:rsidRDefault="000509A9" w:rsidP="00842FBD">
    <w:pPr>
      <w:pStyle w:val="Footer"/>
    </w:pPr>
    <w:fldSimple w:instr="STYLEREF  &quot;PS No. field text&quot;  \* MERGEFORMAT">
      <w:r w:rsidR="000A32C6">
        <w:rPr>
          <w:noProof/>
        </w:rPr>
        <w:t>LPS 117</w:t>
      </w:r>
    </w:fldSimple>
    <w:r w:rsidR="001F6B8D">
      <w:t xml:space="preserve"> </w:t>
    </w:r>
    <w:r w:rsidR="00B766FA">
      <w:t>–</w:t>
    </w:r>
    <w:r w:rsidR="00867092">
      <w:t xml:space="preserve"> </w:t>
    </w:r>
    <w:r w:rsidR="00B766FA">
      <w:t xml:space="preserve">Attachment </w:t>
    </w:r>
    <w:fldSimple w:instr="STYLEREF  &quot;Attachment field text&quot;  \* MERGEFORMAT">
      <w:r w:rsidR="000A32C6">
        <w:rPr>
          <w:noProof/>
        </w:rPr>
        <w:t>A</w:t>
      </w:r>
    </w:fldSimple>
    <w:r w:rsidR="005B6DC2">
      <w:t xml:space="preserve"> </w:t>
    </w:r>
    <w:r w:rsidR="00867092">
      <w:t xml:space="preserve">- </w:t>
    </w:r>
    <w:r w:rsidR="00867092" w:rsidRPr="00842FBD">
      <w:fldChar w:fldCharType="begin"/>
    </w:r>
    <w:r w:rsidR="00867092" w:rsidRPr="00842FBD">
      <w:instrText xml:space="preserve"> PAGE </w:instrText>
    </w:r>
    <w:r w:rsidR="00867092" w:rsidRPr="00842FBD">
      <w:fldChar w:fldCharType="separate"/>
    </w:r>
    <w:r w:rsidR="009E76B1">
      <w:rPr>
        <w:noProof/>
      </w:rPr>
      <w:t>5</w:t>
    </w:r>
    <w:r w:rsidR="00867092" w:rsidRPr="00842F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87084" w14:textId="77777777" w:rsidR="00BB0D78" w:rsidRDefault="00BB0D78" w:rsidP="006A6A52">
      <w:pPr>
        <w:spacing w:after="0"/>
      </w:pPr>
      <w:r>
        <w:separator/>
      </w:r>
    </w:p>
  </w:footnote>
  <w:footnote w:type="continuationSeparator" w:id="0">
    <w:p w14:paraId="08BC228D" w14:textId="77777777" w:rsidR="00BB0D78" w:rsidRDefault="00BB0D78" w:rsidP="006A6A52">
      <w:pPr>
        <w:spacing w:after="0"/>
      </w:pPr>
      <w:r>
        <w:continuationSeparator/>
      </w:r>
    </w:p>
  </w:footnote>
  <w:footnote w:type="continuationNotice" w:id="1">
    <w:p w14:paraId="187B7491" w14:textId="77777777" w:rsidR="00BB0D78" w:rsidRDefault="00BB0D78">
      <w:pPr>
        <w:spacing w:after="0"/>
      </w:pPr>
    </w:p>
  </w:footnote>
  <w:footnote w:id="2">
    <w:p w14:paraId="5D77E4ED" w14:textId="77777777" w:rsidR="004735BB" w:rsidRPr="00CC5346" w:rsidRDefault="004735BB" w:rsidP="004735BB">
      <w:pPr>
        <w:pStyle w:val="FootnoteText"/>
        <w:tabs>
          <w:tab w:val="left" w:pos="567"/>
        </w:tabs>
        <w:rPr>
          <w:rStyle w:val="FootnoteReference"/>
        </w:rPr>
      </w:pPr>
      <w:r w:rsidRPr="00CC5346">
        <w:rPr>
          <w:rStyle w:val="FootnoteReference"/>
        </w:rPr>
        <w:footnoteRef/>
      </w:r>
      <w:r w:rsidRPr="00CC5346">
        <w:rPr>
          <w:rStyle w:val="FootnoteReference"/>
        </w:rPr>
        <w:t xml:space="preserve"> </w:t>
      </w:r>
      <w:r>
        <w:tab/>
        <w:t>Refer to sub</w:t>
      </w:r>
      <w:r w:rsidRPr="00D66D20">
        <w:t xml:space="preserve">section </w:t>
      </w:r>
      <w:r>
        <w:t>21(1</w:t>
      </w:r>
      <w:r w:rsidRPr="00D66D20">
        <w:t>) of the Act.</w:t>
      </w:r>
    </w:p>
  </w:footnote>
  <w:footnote w:id="3">
    <w:p w14:paraId="5B964F15" w14:textId="77777777" w:rsidR="004735BB" w:rsidRDefault="004735BB" w:rsidP="004735BB">
      <w:pPr>
        <w:pStyle w:val="FootnoteText"/>
        <w:tabs>
          <w:tab w:val="left" w:pos="567"/>
        </w:tabs>
      </w:pPr>
      <w:r>
        <w:rPr>
          <w:rStyle w:val="FootnoteReference"/>
        </w:rPr>
        <w:footnoteRef/>
      </w:r>
      <w:r>
        <w:t xml:space="preserve"> </w:t>
      </w:r>
      <w:r>
        <w:tab/>
        <w:t>Refer to section 1</w:t>
      </w:r>
      <w:r w:rsidRPr="008F3A2B">
        <w:t>6</w:t>
      </w:r>
      <w:r>
        <w:t>ZD of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4156"/>
      <w:gridCol w:w="4156"/>
    </w:tblGrid>
    <w:tr w:rsidR="00D05FEB" w14:paraId="5EFB9EE3" w14:textId="77777777" w:rsidTr="000D63A8">
      <w:tc>
        <w:tcPr>
          <w:tcW w:w="4264" w:type="dxa"/>
          <w:tcBorders>
            <w:top w:val="nil"/>
            <w:left w:val="nil"/>
            <w:bottom w:val="nil"/>
            <w:right w:val="nil"/>
          </w:tcBorders>
        </w:tcPr>
        <w:p w14:paraId="53183CFB" w14:textId="77777777" w:rsidR="00D05FEB" w:rsidRDefault="00D05FEB" w:rsidP="00FF513E">
          <w:pPr>
            <w:pStyle w:val="Header"/>
          </w:pPr>
        </w:p>
      </w:tc>
      <w:tc>
        <w:tcPr>
          <w:tcW w:w="4264" w:type="dxa"/>
          <w:tcBorders>
            <w:top w:val="nil"/>
            <w:left w:val="nil"/>
            <w:bottom w:val="nil"/>
            <w:right w:val="nil"/>
          </w:tcBorders>
        </w:tcPr>
        <w:p w14:paraId="63E839BB" w14:textId="77777777" w:rsidR="00D05FEB" w:rsidRDefault="00D05FEB" w:rsidP="000D63A8">
          <w:pPr>
            <w:pStyle w:val="Header"/>
          </w:pPr>
        </w:p>
      </w:tc>
    </w:tr>
  </w:tbl>
  <w:p w14:paraId="760B5024" w14:textId="77777777" w:rsidR="00D05FEB" w:rsidRDefault="00D05F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4144"/>
      <w:gridCol w:w="4168"/>
    </w:tblGrid>
    <w:tr w:rsidR="00745B81" w14:paraId="7F22BEE9" w14:textId="77777777" w:rsidTr="000D63A8">
      <w:tc>
        <w:tcPr>
          <w:tcW w:w="4264" w:type="dxa"/>
          <w:tcBorders>
            <w:top w:val="nil"/>
            <w:left w:val="nil"/>
            <w:bottom w:val="nil"/>
            <w:right w:val="nil"/>
          </w:tcBorders>
        </w:tcPr>
        <w:p w14:paraId="17E11EAB" w14:textId="11C9F055" w:rsidR="00745B81" w:rsidRDefault="00745B81" w:rsidP="00FF513E">
          <w:pPr>
            <w:pStyle w:val="Header"/>
          </w:pPr>
        </w:p>
      </w:tc>
      <w:tc>
        <w:tcPr>
          <w:tcW w:w="4264" w:type="dxa"/>
          <w:tcBorders>
            <w:top w:val="nil"/>
            <w:left w:val="nil"/>
            <w:bottom w:val="nil"/>
            <w:right w:val="nil"/>
          </w:tcBorders>
        </w:tcPr>
        <w:p w14:paraId="326245F6" w14:textId="0301D483" w:rsidR="00745B81" w:rsidRDefault="005948B4" w:rsidP="000D63A8">
          <w:pPr>
            <w:pStyle w:val="Header"/>
          </w:pPr>
          <w:r>
            <w:t>October 2024</w:t>
          </w:r>
        </w:p>
      </w:tc>
    </w:tr>
  </w:tbl>
  <w:p w14:paraId="7302FAF6" w14:textId="77777777" w:rsidR="00745B81" w:rsidRDefault="00745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954EC2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2CAEEC"/>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C4826C4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43044A"/>
    <w:multiLevelType w:val="hybridMultilevel"/>
    <w:tmpl w:val="A508D564"/>
    <w:lvl w:ilvl="0" w:tplc="803CE0E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1CB04FB"/>
    <w:multiLevelType w:val="hybridMultilevel"/>
    <w:tmpl w:val="17407162"/>
    <w:lvl w:ilvl="0" w:tplc="31CA5904">
      <w:start w:val="1"/>
      <w:numFmt w:val="lowerLetter"/>
      <w:lvlText w:val="(%1)"/>
      <w:lvlJc w:val="left"/>
      <w:pPr>
        <w:ind w:left="1287" w:hanging="360"/>
      </w:pPr>
      <w:rPr>
        <w:rFonts w:ascii="Times New Roman" w:eastAsia="Times New Roman" w:hAnsi="Times New Roman" w:cs="Times New Roman"/>
      </w:rPr>
    </w:lvl>
    <w:lvl w:ilvl="1" w:tplc="64DA7346">
      <w:start w:val="1"/>
      <w:numFmt w:val="lowerLetter"/>
      <w:lvlText w:val="(%2)"/>
      <w:lvlJc w:val="left"/>
      <w:pPr>
        <w:ind w:left="2367" w:hanging="720"/>
      </w:pPr>
      <w:rPr>
        <w:rFonts w:hint="default"/>
        <w:b w:val="0"/>
      </w:rPr>
    </w:lvl>
    <w:lvl w:ilvl="2" w:tplc="31201C24" w:tentative="1">
      <w:start w:val="1"/>
      <w:numFmt w:val="lowerRoman"/>
      <w:lvlText w:val="%3."/>
      <w:lvlJc w:val="right"/>
      <w:pPr>
        <w:ind w:left="2727" w:hanging="180"/>
      </w:pPr>
    </w:lvl>
    <w:lvl w:ilvl="3" w:tplc="D3469A10" w:tentative="1">
      <w:start w:val="1"/>
      <w:numFmt w:val="decimal"/>
      <w:lvlText w:val="%4."/>
      <w:lvlJc w:val="left"/>
      <w:pPr>
        <w:ind w:left="3447" w:hanging="360"/>
      </w:pPr>
    </w:lvl>
    <w:lvl w:ilvl="4" w:tplc="CE925F66" w:tentative="1">
      <w:start w:val="1"/>
      <w:numFmt w:val="lowerLetter"/>
      <w:lvlText w:val="%5."/>
      <w:lvlJc w:val="left"/>
      <w:pPr>
        <w:ind w:left="4167" w:hanging="360"/>
      </w:pPr>
    </w:lvl>
    <w:lvl w:ilvl="5" w:tplc="4B70969C" w:tentative="1">
      <w:start w:val="1"/>
      <w:numFmt w:val="lowerRoman"/>
      <w:lvlText w:val="%6."/>
      <w:lvlJc w:val="right"/>
      <w:pPr>
        <w:ind w:left="4887" w:hanging="180"/>
      </w:pPr>
    </w:lvl>
    <w:lvl w:ilvl="6" w:tplc="50821222" w:tentative="1">
      <w:start w:val="1"/>
      <w:numFmt w:val="decimal"/>
      <w:lvlText w:val="%7."/>
      <w:lvlJc w:val="left"/>
      <w:pPr>
        <w:ind w:left="5607" w:hanging="360"/>
      </w:pPr>
    </w:lvl>
    <w:lvl w:ilvl="7" w:tplc="05529E4A" w:tentative="1">
      <w:start w:val="1"/>
      <w:numFmt w:val="lowerLetter"/>
      <w:lvlText w:val="%8."/>
      <w:lvlJc w:val="left"/>
      <w:pPr>
        <w:ind w:left="6327" w:hanging="360"/>
      </w:pPr>
    </w:lvl>
    <w:lvl w:ilvl="8" w:tplc="FE34C282" w:tentative="1">
      <w:start w:val="1"/>
      <w:numFmt w:val="lowerRoman"/>
      <w:lvlText w:val="%9."/>
      <w:lvlJc w:val="right"/>
      <w:pPr>
        <w:ind w:left="7047" w:hanging="180"/>
      </w:pPr>
    </w:lvl>
  </w:abstractNum>
  <w:abstractNum w:abstractNumId="6" w15:restartNumberingAfterBreak="0">
    <w:nsid w:val="044E42A3"/>
    <w:multiLevelType w:val="hybridMultilevel"/>
    <w:tmpl w:val="3F945E1E"/>
    <w:lvl w:ilvl="0" w:tplc="FF54C4D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092736C"/>
    <w:multiLevelType w:val="hybridMultilevel"/>
    <w:tmpl w:val="F5CC55C4"/>
    <w:lvl w:ilvl="0" w:tplc="87901610">
      <w:start w:val="1"/>
      <w:numFmt w:val="decimal"/>
      <w:lvlText w:val="%1."/>
      <w:lvlJc w:val="left"/>
      <w:pPr>
        <w:tabs>
          <w:tab w:val="num" w:pos="567"/>
        </w:tabs>
        <w:ind w:left="567" w:hanging="567"/>
      </w:pPr>
      <w:rPr>
        <w:rFonts w:ascii="Times New Roman" w:hAnsi="Times New Roman" w:cs="Times New Roman" w:hint="default"/>
        <w:b w:val="0"/>
      </w:rPr>
    </w:lvl>
    <w:lvl w:ilvl="1" w:tplc="64DA7346">
      <w:start w:val="1"/>
      <w:numFmt w:val="lowerLetter"/>
      <w:lvlText w:val="(%2)"/>
      <w:lvlJc w:val="left"/>
      <w:pPr>
        <w:tabs>
          <w:tab w:val="num" w:pos="1210"/>
        </w:tabs>
        <w:ind w:left="1210" w:hanging="360"/>
      </w:pPr>
      <w:rPr>
        <w:rFonts w:hint="default"/>
        <w:b w:val="0"/>
      </w:rPr>
    </w:lvl>
    <w:lvl w:ilvl="2" w:tplc="803CE0E0">
      <w:start w:val="1"/>
      <w:numFmt w:val="lowerRoman"/>
      <w:lvlText w:val="(%3)"/>
      <w:lvlJc w:val="left"/>
      <w:pPr>
        <w:tabs>
          <w:tab w:val="num" w:pos="2160"/>
        </w:tabs>
        <w:ind w:left="1701"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12A19E6"/>
    <w:multiLevelType w:val="multilevel"/>
    <w:tmpl w:val="793A46B4"/>
    <w:lvl w:ilvl="0">
      <w:start w:val="1"/>
      <w:numFmt w:val="decimal"/>
      <w:lvlText w:val="%1."/>
      <w:lvlJc w:val="left"/>
      <w:pPr>
        <w:ind w:left="360" w:hanging="360"/>
      </w:pPr>
      <w:rPr>
        <w:rFonts w:ascii="Times New Roman" w:hAnsi="Times New Roman" w:cs="Times New Roman" w:hint="default"/>
        <w:b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463545"/>
    <w:multiLevelType w:val="multilevel"/>
    <w:tmpl w:val="2F5C22D0"/>
    <w:lvl w:ilvl="0">
      <w:start w:val="1"/>
      <w:numFmt w:val="decimal"/>
      <w:pStyle w:val="BodyText1"/>
      <w:lvlText w:val="%1."/>
      <w:lvlJc w:val="left"/>
      <w:pPr>
        <w:tabs>
          <w:tab w:val="num" w:pos="567"/>
        </w:tabs>
        <w:ind w:left="567" w:hanging="567"/>
      </w:pPr>
      <w:rPr>
        <w:rFonts w:hint="default"/>
        <w:b w:val="0"/>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6FC6F47"/>
    <w:multiLevelType w:val="hybridMultilevel"/>
    <w:tmpl w:val="CD943F00"/>
    <w:lvl w:ilvl="0" w:tplc="87901610">
      <w:start w:val="1"/>
      <w:numFmt w:val="decimal"/>
      <w:lvlText w:val="%1."/>
      <w:lvlJc w:val="left"/>
      <w:pPr>
        <w:tabs>
          <w:tab w:val="num" w:pos="567"/>
        </w:tabs>
        <w:ind w:left="567" w:hanging="567"/>
      </w:pPr>
      <w:rPr>
        <w:rFonts w:ascii="Times New Roman" w:hAnsi="Times New Roman" w:cs="Times New Roman" w:hint="default"/>
        <w:b w:val="0"/>
      </w:rPr>
    </w:lvl>
    <w:lvl w:ilvl="1" w:tplc="64DA7346">
      <w:start w:val="1"/>
      <w:numFmt w:val="lowerLetter"/>
      <w:lvlText w:val="(%2)"/>
      <w:lvlJc w:val="left"/>
      <w:pPr>
        <w:tabs>
          <w:tab w:val="num" w:pos="1210"/>
        </w:tabs>
        <w:ind w:left="1210" w:hanging="360"/>
      </w:pPr>
      <w:rPr>
        <w:rFonts w:hint="default"/>
        <w:b w:val="0"/>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F6646A2"/>
    <w:multiLevelType w:val="hybridMultilevel"/>
    <w:tmpl w:val="EB4C815E"/>
    <w:lvl w:ilvl="0" w:tplc="00808090">
      <w:start w:val="1"/>
      <w:numFmt w:val="lowerRoman"/>
      <w:lvlText w:val="%1)"/>
      <w:lvlJc w:val="left"/>
      <w:pPr>
        <w:ind w:left="720" w:hanging="360"/>
      </w:pPr>
      <w:rPr>
        <w:rFonts w:hint="default"/>
      </w:rPr>
    </w:lvl>
    <w:lvl w:ilvl="1" w:tplc="A824FCB6" w:tentative="1">
      <w:start w:val="1"/>
      <w:numFmt w:val="lowerLetter"/>
      <w:lvlText w:val="%2."/>
      <w:lvlJc w:val="left"/>
      <w:pPr>
        <w:ind w:left="1440" w:hanging="360"/>
      </w:pPr>
    </w:lvl>
    <w:lvl w:ilvl="2" w:tplc="7C60E5AE" w:tentative="1">
      <w:start w:val="1"/>
      <w:numFmt w:val="lowerRoman"/>
      <w:lvlText w:val="%3."/>
      <w:lvlJc w:val="right"/>
      <w:pPr>
        <w:ind w:left="2160" w:hanging="180"/>
      </w:pPr>
    </w:lvl>
    <w:lvl w:ilvl="3" w:tplc="E850C3AA" w:tentative="1">
      <w:start w:val="1"/>
      <w:numFmt w:val="decimal"/>
      <w:lvlText w:val="%4."/>
      <w:lvlJc w:val="left"/>
      <w:pPr>
        <w:ind w:left="2880" w:hanging="360"/>
      </w:pPr>
    </w:lvl>
    <w:lvl w:ilvl="4" w:tplc="DABC06B0" w:tentative="1">
      <w:start w:val="1"/>
      <w:numFmt w:val="lowerLetter"/>
      <w:lvlText w:val="%5."/>
      <w:lvlJc w:val="left"/>
      <w:pPr>
        <w:ind w:left="3600" w:hanging="360"/>
      </w:pPr>
    </w:lvl>
    <w:lvl w:ilvl="5" w:tplc="D7AEE792" w:tentative="1">
      <w:start w:val="1"/>
      <w:numFmt w:val="lowerRoman"/>
      <w:lvlText w:val="%6."/>
      <w:lvlJc w:val="right"/>
      <w:pPr>
        <w:ind w:left="4320" w:hanging="180"/>
      </w:pPr>
    </w:lvl>
    <w:lvl w:ilvl="6" w:tplc="75D03DE0" w:tentative="1">
      <w:start w:val="1"/>
      <w:numFmt w:val="decimal"/>
      <w:lvlText w:val="%7."/>
      <w:lvlJc w:val="left"/>
      <w:pPr>
        <w:ind w:left="5040" w:hanging="360"/>
      </w:pPr>
    </w:lvl>
    <w:lvl w:ilvl="7" w:tplc="3B3E3766" w:tentative="1">
      <w:start w:val="1"/>
      <w:numFmt w:val="lowerLetter"/>
      <w:lvlText w:val="%8."/>
      <w:lvlJc w:val="left"/>
      <w:pPr>
        <w:ind w:left="5760" w:hanging="360"/>
      </w:pPr>
    </w:lvl>
    <w:lvl w:ilvl="8" w:tplc="BB369744" w:tentative="1">
      <w:start w:val="1"/>
      <w:numFmt w:val="lowerRoman"/>
      <w:lvlText w:val="%9."/>
      <w:lvlJc w:val="right"/>
      <w:pPr>
        <w:ind w:left="6480" w:hanging="180"/>
      </w:pPr>
    </w:lvl>
  </w:abstractNum>
  <w:abstractNum w:abstractNumId="14"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3D64B54"/>
    <w:multiLevelType w:val="hybridMultilevel"/>
    <w:tmpl w:val="15AAA21E"/>
    <w:lvl w:ilvl="0" w:tplc="803CE0E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0608EE"/>
    <w:multiLevelType w:val="hybridMultilevel"/>
    <w:tmpl w:val="A01E1C54"/>
    <w:lvl w:ilvl="0" w:tplc="AC56D54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416218"/>
    <w:multiLevelType w:val="hybridMultilevel"/>
    <w:tmpl w:val="D91C9C72"/>
    <w:lvl w:ilvl="0" w:tplc="CFD23CC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5556CF"/>
    <w:multiLevelType w:val="hybridMultilevel"/>
    <w:tmpl w:val="D71CF2E0"/>
    <w:lvl w:ilvl="0" w:tplc="66E24600">
      <w:start w:val="1"/>
      <w:numFmt w:val="lowerLetter"/>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3B4F08E6"/>
    <w:multiLevelType w:val="hybridMultilevel"/>
    <w:tmpl w:val="7AD226EE"/>
    <w:lvl w:ilvl="0" w:tplc="8804A2D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15:restartNumberingAfterBreak="0">
    <w:nsid w:val="3BD50EAD"/>
    <w:multiLevelType w:val="hybridMultilevel"/>
    <w:tmpl w:val="AFBAF938"/>
    <w:lvl w:ilvl="0" w:tplc="64DA7346">
      <w:start w:val="1"/>
      <w:numFmt w:val="lowerLetter"/>
      <w:lvlText w:val="(%1)"/>
      <w:lvlJc w:val="left"/>
      <w:pPr>
        <w:ind w:left="2367"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CCD500B"/>
    <w:multiLevelType w:val="hybridMultilevel"/>
    <w:tmpl w:val="03F077D8"/>
    <w:lvl w:ilvl="0" w:tplc="C17A21E8">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4"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25"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6"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7" w15:restartNumberingAfterBreak="0">
    <w:nsid w:val="4A6A7E4A"/>
    <w:multiLevelType w:val="hybridMultilevel"/>
    <w:tmpl w:val="6916CCAA"/>
    <w:lvl w:ilvl="0" w:tplc="6D9EC266">
      <w:start w:val="1"/>
      <w:numFmt w:val="lowerRoman"/>
      <w:lvlText w:val="(%1)"/>
      <w:lvlJc w:val="left"/>
      <w:pPr>
        <w:tabs>
          <w:tab w:val="num" w:pos="1701"/>
        </w:tabs>
        <w:ind w:left="1701" w:hanging="567"/>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8" w15:restartNumberingAfterBreak="0">
    <w:nsid w:val="4C010F6E"/>
    <w:multiLevelType w:val="hybridMultilevel"/>
    <w:tmpl w:val="56847D4A"/>
    <w:lvl w:ilvl="0" w:tplc="329E337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07B4A1C"/>
    <w:multiLevelType w:val="hybridMultilevel"/>
    <w:tmpl w:val="38940C4E"/>
    <w:lvl w:ilvl="0" w:tplc="F80C95C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2"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33" w15:restartNumberingAfterBreak="0">
    <w:nsid w:val="5D2F11A1"/>
    <w:multiLevelType w:val="hybridMultilevel"/>
    <w:tmpl w:val="19C0561A"/>
    <w:lvl w:ilvl="0" w:tplc="CD2A7C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F7D766D"/>
    <w:multiLevelType w:val="multilevel"/>
    <w:tmpl w:val="076878CC"/>
    <w:lvl w:ilvl="0">
      <w:start w:val="1"/>
      <w:numFmt w:val="decimal"/>
      <w:lvlText w:val="%1."/>
      <w:lvlJc w:val="left"/>
      <w:pPr>
        <w:ind w:left="360" w:hanging="360"/>
      </w:pPr>
      <w:rPr>
        <w:rFonts w:ascii="Times New Roman" w:hAnsi="Times New Roman" w:cs="Times New Roman" w:hint="default"/>
        <w:b w:val="0"/>
      </w:rPr>
    </w:lvl>
    <w:lvl w:ilvl="1">
      <w:start w:val="1"/>
      <w:numFmt w:val="lowerLetter"/>
      <w:lvlText w:val="(%2)"/>
      <w:lvlJc w:val="left"/>
      <w:pPr>
        <w:ind w:left="1134" w:hanging="567"/>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1791F67"/>
    <w:multiLevelType w:val="hybridMultilevel"/>
    <w:tmpl w:val="6916CCAA"/>
    <w:lvl w:ilvl="0" w:tplc="6D9EC266">
      <w:start w:val="1"/>
      <w:numFmt w:val="lowerRoman"/>
      <w:lvlText w:val="(%1)"/>
      <w:lvlJc w:val="left"/>
      <w:pPr>
        <w:tabs>
          <w:tab w:val="num" w:pos="1701"/>
        </w:tabs>
        <w:ind w:left="1701" w:hanging="567"/>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6" w15:restartNumberingAfterBreak="0">
    <w:nsid w:val="61E1339E"/>
    <w:multiLevelType w:val="hybridMultilevel"/>
    <w:tmpl w:val="C59C942A"/>
    <w:lvl w:ilvl="0" w:tplc="21AC36F6">
      <w:start w:val="1"/>
      <w:numFmt w:val="decimal"/>
      <w:lvlText w:val="%1."/>
      <w:lvlJc w:val="left"/>
      <w:pPr>
        <w:tabs>
          <w:tab w:val="num" w:pos="567"/>
        </w:tabs>
        <w:ind w:left="567" w:hanging="567"/>
      </w:pPr>
      <w:rPr>
        <w:rFonts w:ascii="Times New Roman" w:hAnsi="Times New Roman" w:cs="Times New Roman" w:hint="default"/>
        <w:b w:val="0"/>
      </w:rPr>
    </w:lvl>
    <w:lvl w:ilvl="1" w:tplc="FFEEF126">
      <w:start w:val="1"/>
      <w:numFmt w:val="lowerLetter"/>
      <w:lvlText w:val="(%2)"/>
      <w:lvlJc w:val="left"/>
      <w:pPr>
        <w:tabs>
          <w:tab w:val="num" w:pos="1440"/>
        </w:tabs>
        <w:ind w:left="1440" w:hanging="360"/>
      </w:pPr>
      <w:rPr>
        <w:rFonts w:hint="default"/>
        <w:b w:val="0"/>
      </w:rPr>
    </w:lvl>
    <w:lvl w:ilvl="2" w:tplc="EFC60692">
      <w:start w:val="1"/>
      <w:numFmt w:val="lowerRoman"/>
      <w:lvlText w:val="%3."/>
      <w:lvlJc w:val="right"/>
      <w:pPr>
        <w:tabs>
          <w:tab w:val="num" w:pos="2160"/>
        </w:tabs>
        <w:ind w:left="2160" w:hanging="180"/>
      </w:pPr>
    </w:lvl>
    <w:lvl w:ilvl="3" w:tplc="5C3250B4" w:tentative="1">
      <w:start w:val="1"/>
      <w:numFmt w:val="decimal"/>
      <w:lvlText w:val="%4."/>
      <w:lvlJc w:val="left"/>
      <w:pPr>
        <w:tabs>
          <w:tab w:val="num" w:pos="2880"/>
        </w:tabs>
        <w:ind w:left="2880" w:hanging="360"/>
      </w:pPr>
    </w:lvl>
    <w:lvl w:ilvl="4" w:tplc="5B30B2A8" w:tentative="1">
      <w:start w:val="1"/>
      <w:numFmt w:val="lowerLetter"/>
      <w:lvlText w:val="%5."/>
      <w:lvlJc w:val="left"/>
      <w:pPr>
        <w:tabs>
          <w:tab w:val="num" w:pos="3600"/>
        </w:tabs>
        <w:ind w:left="3600" w:hanging="360"/>
      </w:pPr>
    </w:lvl>
    <w:lvl w:ilvl="5" w:tplc="6BA62B50" w:tentative="1">
      <w:start w:val="1"/>
      <w:numFmt w:val="lowerRoman"/>
      <w:lvlText w:val="%6."/>
      <w:lvlJc w:val="right"/>
      <w:pPr>
        <w:tabs>
          <w:tab w:val="num" w:pos="4320"/>
        </w:tabs>
        <w:ind w:left="4320" w:hanging="180"/>
      </w:pPr>
    </w:lvl>
    <w:lvl w:ilvl="6" w:tplc="06A08992" w:tentative="1">
      <w:start w:val="1"/>
      <w:numFmt w:val="decimal"/>
      <w:lvlText w:val="%7."/>
      <w:lvlJc w:val="left"/>
      <w:pPr>
        <w:tabs>
          <w:tab w:val="num" w:pos="5040"/>
        </w:tabs>
        <w:ind w:left="5040" w:hanging="360"/>
      </w:pPr>
    </w:lvl>
    <w:lvl w:ilvl="7" w:tplc="122A4AB0" w:tentative="1">
      <w:start w:val="1"/>
      <w:numFmt w:val="lowerLetter"/>
      <w:lvlText w:val="%8."/>
      <w:lvlJc w:val="left"/>
      <w:pPr>
        <w:tabs>
          <w:tab w:val="num" w:pos="5760"/>
        </w:tabs>
        <w:ind w:left="5760" w:hanging="360"/>
      </w:pPr>
    </w:lvl>
    <w:lvl w:ilvl="8" w:tplc="BCBCE9CE" w:tentative="1">
      <w:start w:val="1"/>
      <w:numFmt w:val="lowerRoman"/>
      <w:lvlText w:val="%9."/>
      <w:lvlJc w:val="right"/>
      <w:pPr>
        <w:tabs>
          <w:tab w:val="num" w:pos="6480"/>
        </w:tabs>
        <w:ind w:left="6480" w:hanging="180"/>
      </w:pPr>
    </w:lvl>
  </w:abstractNum>
  <w:abstractNum w:abstractNumId="37" w15:restartNumberingAfterBreak="0">
    <w:nsid w:val="68D57296"/>
    <w:multiLevelType w:val="hybridMultilevel"/>
    <w:tmpl w:val="EB4C815E"/>
    <w:lvl w:ilvl="0" w:tplc="00808090">
      <w:start w:val="1"/>
      <w:numFmt w:val="lowerRoman"/>
      <w:lvlText w:val="%1)"/>
      <w:lvlJc w:val="left"/>
      <w:pPr>
        <w:ind w:left="720" w:hanging="360"/>
      </w:pPr>
      <w:rPr>
        <w:rFonts w:hint="default"/>
      </w:rPr>
    </w:lvl>
    <w:lvl w:ilvl="1" w:tplc="A824FCB6" w:tentative="1">
      <w:start w:val="1"/>
      <w:numFmt w:val="lowerLetter"/>
      <w:lvlText w:val="%2."/>
      <w:lvlJc w:val="left"/>
      <w:pPr>
        <w:ind w:left="1440" w:hanging="360"/>
      </w:pPr>
    </w:lvl>
    <w:lvl w:ilvl="2" w:tplc="7C60E5AE" w:tentative="1">
      <w:start w:val="1"/>
      <w:numFmt w:val="lowerRoman"/>
      <w:lvlText w:val="%3."/>
      <w:lvlJc w:val="right"/>
      <w:pPr>
        <w:ind w:left="2160" w:hanging="180"/>
      </w:pPr>
    </w:lvl>
    <w:lvl w:ilvl="3" w:tplc="E850C3AA" w:tentative="1">
      <w:start w:val="1"/>
      <w:numFmt w:val="decimal"/>
      <w:lvlText w:val="%4."/>
      <w:lvlJc w:val="left"/>
      <w:pPr>
        <w:ind w:left="2880" w:hanging="360"/>
      </w:pPr>
    </w:lvl>
    <w:lvl w:ilvl="4" w:tplc="DABC06B0" w:tentative="1">
      <w:start w:val="1"/>
      <w:numFmt w:val="lowerLetter"/>
      <w:lvlText w:val="%5."/>
      <w:lvlJc w:val="left"/>
      <w:pPr>
        <w:ind w:left="3600" w:hanging="360"/>
      </w:pPr>
    </w:lvl>
    <w:lvl w:ilvl="5" w:tplc="D7AEE792" w:tentative="1">
      <w:start w:val="1"/>
      <w:numFmt w:val="lowerRoman"/>
      <w:lvlText w:val="%6."/>
      <w:lvlJc w:val="right"/>
      <w:pPr>
        <w:ind w:left="4320" w:hanging="180"/>
      </w:pPr>
    </w:lvl>
    <w:lvl w:ilvl="6" w:tplc="75D03DE0" w:tentative="1">
      <w:start w:val="1"/>
      <w:numFmt w:val="decimal"/>
      <w:lvlText w:val="%7."/>
      <w:lvlJc w:val="left"/>
      <w:pPr>
        <w:ind w:left="5040" w:hanging="360"/>
      </w:pPr>
    </w:lvl>
    <w:lvl w:ilvl="7" w:tplc="3B3E3766" w:tentative="1">
      <w:start w:val="1"/>
      <w:numFmt w:val="lowerLetter"/>
      <w:lvlText w:val="%8."/>
      <w:lvlJc w:val="left"/>
      <w:pPr>
        <w:ind w:left="5760" w:hanging="360"/>
      </w:pPr>
    </w:lvl>
    <w:lvl w:ilvl="8" w:tplc="BB369744" w:tentative="1">
      <w:start w:val="1"/>
      <w:numFmt w:val="lowerRoman"/>
      <w:lvlText w:val="%9."/>
      <w:lvlJc w:val="right"/>
      <w:pPr>
        <w:ind w:left="6480" w:hanging="180"/>
      </w:pPr>
    </w:lvl>
  </w:abstractNum>
  <w:abstractNum w:abstractNumId="38" w15:restartNumberingAfterBreak="0">
    <w:nsid w:val="6B6A021C"/>
    <w:multiLevelType w:val="hybridMultilevel"/>
    <w:tmpl w:val="4698A374"/>
    <w:lvl w:ilvl="0" w:tplc="574C688A">
      <w:start w:val="1"/>
      <w:numFmt w:val="lowerLetter"/>
      <w:pStyle w:val="bullet"/>
      <w:lvlText w:val="(%1)"/>
      <w:lvlJc w:val="left"/>
      <w:pPr>
        <w:tabs>
          <w:tab w:val="num" w:pos="1134"/>
        </w:tabs>
        <w:ind w:left="1134" w:hanging="567"/>
      </w:pPr>
      <w:rPr>
        <w:rFonts w:hint="default"/>
      </w:rPr>
    </w:lvl>
    <w:lvl w:ilvl="1" w:tplc="17E4CA5C" w:tentative="1">
      <w:start w:val="1"/>
      <w:numFmt w:val="lowerLetter"/>
      <w:lvlText w:val="%2."/>
      <w:lvlJc w:val="left"/>
      <w:pPr>
        <w:tabs>
          <w:tab w:val="num" w:pos="1440"/>
        </w:tabs>
        <w:ind w:left="1440" w:hanging="360"/>
      </w:pPr>
    </w:lvl>
    <w:lvl w:ilvl="2" w:tplc="AA3AFACA" w:tentative="1">
      <w:start w:val="1"/>
      <w:numFmt w:val="lowerRoman"/>
      <w:lvlText w:val="%3."/>
      <w:lvlJc w:val="right"/>
      <w:pPr>
        <w:tabs>
          <w:tab w:val="num" w:pos="2160"/>
        </w:tabs>
        <w:ind w:left="2160" w:hanging="180"/>
      </w:pPr>
    </w:lvl>
    <w:lvl w:ilvl="3" w:tplc="B064A224" w:tentative="1">
      <w:start w:val="1"/>
      <w:numFmt w:val="decimal"/>
      <w:lvlText w:val="%4."/>
      <w:lvlJc w:val="left"/>
      <w:pPr>
        <w:tabs>
          <w:tab w:val="num" w:pos="2880"/>
        </w:tabs>
        <w:ind w:left="2880" w:hanging="360"/>
      </w:pPr>
    </w:lvl>
    <w:lvl w:ilvl="4" w:tplc="C2FA9B52" w:tentative="1">
      <w:start w:val="1"/>
      <w:numFmt w:val="lowerLetter"/>
      <w:lvlText w:val="%5."/>
      <w:lvlJc w:val="left"/>
      <w:pPr>
        <w:tabs>
          <w:tab w:val="num" w:pos="3600"/>
        </w:tabs>
        <w:ind w:left="3600" w:hanging="360"/>
      </w:pPr>
    </w:lvl>
    <w:lvl w:ilvl="5" w:tplc="0160FF66" w:tentative="1">
      <w:start w:val="1"/>
      <w:numFmt w:val="lowerRoman"/>
      <w:lvlText w:val="%6."/>
      <w:lvlJc w:val="right"/>
      <w:pPr>
        <w:tabs>
          <w:tab w:val="num" w:pos="4320"/>
        </w:tabs>
        <w:ind w:left="4320" w:hanging="180"/>
      </w:pPr>
    </w:lvl>
    <w:lvl w:ilvl="6" w:tplc="B37628DC" w:tentative="1">
      <w:start w:val="1"/>
      <w:numFmt w:val="decimal"/>
      <w:lvlText w:val="%7."/>
      <w:lvlJc w:val="left"/>
      <w:pPr>
        <w:tabs>
          <w:tab w:val="num" w:pos="5040"/>
        </w:tabs>
        <w:ind w:left="5040" w:hanging="360"/>
      </w:pPr>
    </w:lvl>
    <w:lvl w:ilvl="7" w:tplc="0C6CFBC4" w:tentative="1">
      <w:start w:val="1"/>
      <w:numFmt w:val="lowerLetter"/>
      <w:lvlText w:val="%8."/>
      <w:lvlJc w:val="left"/>
      <w:pPr>
        <w:tabs>
          <w:tab w:val="num" w:pos="5760"/>
        </w:tabs>
        <w:ind w:left="5760" w:hanging="360"/>
      </w:pPr>
    </w:lvl>
    <w:lvl w:ilvl="8" w:tplc="42365F9E" w:tentative="1">
      <w:start w:val="1"/>
      <w:numFmt w:val="lowerRoman"/>
      <w:lvlText w:val="%9."/>
      <w:lvlJc w:val="right"/>
      <w:pPr>
        <w:tabs>
          <w:tab w:val="num" w:pos="6480"/>
        </w:tabs>
        <w:ind w:left="6480" w:hanging="180"/>
      </w:pPr>
    </w:lvl>
  </w:abstractNum>
  <w:abstractNum w:abstractNumId="39" w15:restartNumberingAfterBreak="0">
    <w:nsid w:val="6BA32579"/>
    <w:multiLevelType w:val="hybridMultilevel"/>
    <w:tmpl w:val="85DE3AB2"/>
    <w:lvl w:ilvl="0" w:tplc="05808222">
      <w:start w:val="1"/>
      <w:numFmt w:val="lowerRoman"/>
      <w:lvlText w:val="%1)"/>
      <w:lvlJc w:val="left"/>
      <w:pPr>
        <w:ind w:left="720" w:hanging="360"/>
      </w:pPr>
      <w:rPr>
        <w:rFonts w:hint="default"/>
      </w:rPr>
    </w:lvl>
    <w:lvl w:ilvl="1" w:tplc="C84EE100" w:tentative="1">
      <w:start w:val="1"/>
      <w:numFmt w:val="lowerLetter"/>
      <w:lvlText w:val="%2."/>
      <w:lvlJc w:val="left"/>
      <w:pPr>
        <w:ind w:left="1440" w:hanging="360"/>
      </w:pPr>
    </w:lvl>
    <w:lvl w:ilvl="2" w:tplc="7280F90E" w:tentative="1">
      <w:start w:val="1"/>
      <w:numFmt w:val="lowerRoman"/>
      <w:lvlText w:val="%3."/>
      <w:lvlJc w:val="right"/>
      <w:pPr>
        <w:ind w:left="2160" w:hanging="180"/>
      </w:pPr>
    </w:lvl>
    <w:lvl w:ilvl="3" w:tplc="18C46C1E" w:tentative="1">
      <w:start w:val="1"/>
      <w:numFmt w:val="decimal"/>
      <w:lvlText w:val="%4."/>
      <w:lvlJc w:val="left"/>
      <w:pPr>
        <w:ind w:left="2880" w:hanging="360"/>
      </w:pPr>
    </w:lvl>
    <w:lvl w:ilvl="4" w:tplc="245AF748" w:tentative="1">
      <w:start w:val="1"/>
      <w:numFmt w:val="lowerLetter"/>
      <w:lvlText w:val="%5."/>
      <w:lvlJc w:val="left"/>
      <w:pPr>
        <w:ind w:left="3600" w:hanging="360"/>
      </w:pPr>
    </w:lvl>
    <w:lvl w:ilvl="5" w:tplc="3C223BF6" w:tentative="1">
      <w:start w:val="1"/>
      <w:numFmt w:val="lowerRoman"/>
      <w:lvlText w:val="%6."/>
      <w:lvlJc w:val="right"/>
      <w:pPr>
        <w:ind w:left="4320" w:hanging="180"/>
      </w:pPr>
    </w:lvl>
    <w:lvl w:ilvl="6" w:tplc="B956C7E8" w:tentative="1">
      <w:start w:val="1"/>
      <w:numFmt w:val="decimal"/>
      <w:lvlText w:val="%7."/>
      <w:lvlJc w:val="left"/>
      <w:pPr>
        <w:ind w:left="5040" w:hanging="360"/>
      </w:pPr>
    </w:lvl>
    <w:lvl w:ilvl="7" w:tplc="85ACBB3E" w:tentative="1">
      <w:start w:val="1"/>
      <w:numFmt w:val="lowerLetter"/>
      <w:lvlText w:val="%8."/>
      <w:lvlJc w:val="left"/>
      <w:pPr>
        <w:ind w:left="5760" w:hanging="360"/>
      </w:pPr>
    </w:lvl>
    <w:lvl w:ilvl="8" w:tplc="D3C61254" w:tentative="1">
      <w:start w:val="1"/>
      <w:numFmt w:val="lowerRoman"/>
      <w:lvlText w:val="%9."/>
      <w:lvlJc w:val="right"/>
      <w:pPr>
        <w:ind w:left="6480" w:hanging="180"/>
      </w:pPr>
    </w:lvl>
  </w:abstractNum>
  <w:abstractNum w:abstractNumId="40"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41"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907642"/>
    <w:multiLevelType w:val="hybridMultilevel"/>
    <w:tmpl w:val="17407162"/>
    <w:lvl w:ilvl="0" w:tplc="31CA5904">
      <w:start w:val="1"/>
      <w:numFmt w:val="lowerLetter"/>
      <w:lvlText w:val="(%1)"/>
      <w:lvlJc w:val="left"/>
      <w:pPr>
        <w:ind w:left="1287" w:hanging="360"/>
      </w:pPr>
      <w:rPr>
        <w:rFonts w:ascii="Times New Roman" w:eastAsia="Times New Roman" w:hAnsi="Times New Roman" w:cs="Times New Roman"/>
      </w:rPr>
    </w:lvl>
    <w:lvl w:ilvl="1" w:tplc="64DA7346">
      <w:start w:val="1"/>
      <w:numFmt w:val="lowerLetter"/>
      <w:lvlText w:val="(%2)"/>
      <w:lvlJc w:val="left"/>
      <w:pPr>
        <w:ind w:left="2367" w:hanging="720"/>
      </w:pPr>
      <w:rPr>
        <w:rFonts w:hint="default"/>
        <w:b w:val="0"/>
      </w:rPr>
    </w:lvl>
    <w:lvl w:ilvl="2" w:tplc="31201C24" w:tentative="1">
      <w:start w:val="1"/>
      <w:numFmt w:val="lowerRoman"/>
      <w:lvlText w:val="%3."/>
      <w:lvlJc w:val="right"/>
      <w:pPr>
        <w:ind w:left="2727" w:hanging="180"/>
      </w:pPr>
    </w:lvl>
    <w:lvl w:ilvl="3" w:tplc="D3469A10" w:tentative="1">
      <w:start w:val="1"/>
      <w:numFmt w:val="decimal"/>
      <w:lvlText w:val="%4."/>
      <w:lvlJc w:val="left"/>
      <w:pPr>
        <w:ind w:left="3447" w:hanging="360"/>
      </w:pPr>
    </w:lvl>
    <w:lvl w:ilvl="4" w:tplc="CE925F66" w:tentative="1">
      <w:start w:val="1"/>
      <w:numFmt w:val="lowerLetter"/>
      <w:lvlText w:val="%5."/>
      <w:lvlJc w:val="left"/>
      <w:pPr>
        <w:ind w:left="4167" w:hanging="360"/>
      </w:pPr>
    </w:lvl>
    <w:lvl w:ilvl="5" w:tplc="4B70969C" w:tentative="1">
      <w:start w:val="1"/>
      <w:numFmt w:val="lowerRoman"/>
      <w:lvlText w:val="%6."/>
      <w:lvlJc w:val="right"/>
      <w:pPr>
        <w:ind w:left="4887" w:hanging="180"/>
      </w:pPr>
    </w:lvl>
    <w:lvl w:ilvl="6" w:tplc="50821222" w:tentative="1">
      <w:start w:val="1"/>
      <w:numFmt w:val="decimal"/>
      <w:lvlText w:val="%7."/>
      <w:lvlJc w:val="left"/>
      <w:pPr>
        <w:ind w:left="5607" w:hanging="360"/>
      </w:pPr>
    </w:lvl>
    <w:lvl w:ilvl="7" w:tplc="05529E4A" w:tentative="1">
      <w:start w:val="1"/>
      <w:numFmt w:val="lowerLetter"/>
      <w:lvlText w:val="%8."/>
      <w:lvlJc w:val="left"/>
      <w:pPr>
        <w:ind w:left="6327" w:hanging="360"/>
      </w:pPr>
    </w:lvl>
    <w:lvl w:ilvl="8" w:tplc="FE34C282" w:tentative="1">
      <w:start w:val="1"/>
      <w:numFmt w:val="lowerRoman"/>
      <w:lvlText w:val="%9."/>
      <w:lvlJc w:val="right"/>
      <w:pPr>
        <w:ind w:left="7047" w:hanging="180"/>
      </w:pPr>
    </w:lvl>
  </w:abstractNum>
  <w:abstractNum w:abstractNumId="43" w15:restartNumberingAfterBreak="0">
    <w:nsid w:val="7B0E0F93"/>
    <w:multiLevelType w:val="hybridMultilevel"/>
    <w:tmpl w:val="766CA296"/>
    <w:lvl w:ilvl="0" w:tplc="803CE0E0">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2059161896">
    <w:abstractNumId w:val="23"/>
  </w:num>
  <w:num w:numId="2" w16cid:durableId="1004167373">
    <w:abstractNumId w:val="26"/>
  </w:num>
  <w:num w:numId="3" w16cid:durableId="579099178">
    <w:abstractNumId w:val="7"/>
  </w:num>
  <w:num w:numId="4" w16cid:durableId="1995834749">
    <w:abstractNumId w:val="19"/>
  </w:num>
  <w:num w:numId="5" w16cid:durableId="1487164064">
    <w:abstractNumId w:val="44"/>
  </w:num>
  <w:num w:numId="6" w16cid:durableId="611983897">
    <w:abstractNumId w:val="14"/>
  </w:num>
  <w:num w:numId="7" w16cid:durableId="1046445193">
    <w:abstractNumId w:val="41"/>
  </w:num>
  <w:num w:numId="8" w16cid:durableId="8333491">
    <w:abstractNumId w:val="32"/>
  </w:num>
  <w:num w:numId="9" w16cid:durableId="1806578029">
    <w:abstractNumId w:val="40"/>
  </w:num>
  <w:num w:numId="10" w16cid:durableId="348530560">
    <w:abstractNumId w:val="30"/>
  </w:num>
  <w:num w:numId="11" w16cid:durableId="1963075038">
    <w:abstractNumId w:val="3"/>
  </w:num>
  <w:num w:numId="12" w16cid:durableId="1464736216">
    <w:abstractNumId w:val="0"/>
  </w:num>
  <w:num w:numId="13" w16cid:durableId="1733000804">
    <w:abstractNumId w:val="2"/>
  </w:num>
  <w:num w:numId="14" w16cid:durableId="221989887">
    <w:abstractNumId w:val="1"/>
  </w:num>
  <w:num w:numId="15" w16cid:durableId="1836528759">
    <w:abstractNumId w:val="29"/>
  </w:num>
  <w:num w:numId="16" w16cid:durableId="1093554721">
    <w:abstractNumId w:val="10"/>
  </w:num>
  <w:num w:numId="17" w16cid:durableId="1087574434">
    <w:abstractNumId w:val="25"/>
  </w:num>
  <w:num w:numId="18" w16cid:durableId="230383889">
    <w:abstractNumId w:val="24"/>
  </w:num>
  <w:num w:numId="19" w16cid:durableId="1665233080">
    <w:abstractNumId w:val="11"/>
  </w:num>
  <w:num w:numId="20" w16cid:durableId="3975550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82202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83319552">
    <w:abstractNumId w:val="8"/>
  </w:num>
  <w:num w:numId="23" w16cid:durableId="1973364423">
    <w:abstractNumId w:val="36"/>
  </w:num>
  <w:num w:numId="24" w16cid:durableId="860435216">
    <w:abstractNumId w:val="43"/>
  </w:num>
  <w:num w:numId="25" w16cid:durableId="1220358017">
    <w:abstractNumId w:val="38"/>
  </w:num>
  <w:num w:numId="26" w16cid:durableId="1309936903">
    <w:abstractNumId w:val="9"/>
  </w:num>
  <w:num w:numId="27" w16cid:durableId="1287658973">
    <w:abstractNumId w:val="27"/>
  </w:num>
  <w:num w:numId="28" w16cid:durableId="1970239607">
    <w:abstractNumId w:val="35"/>
  </w:num>
  <w:num w:numId="29" w16cid:durableId="1991057461">
    <w:abstractNumId w:val="34"/>
  </w:num>
  <w:num w:numId="30" w16cid:durableId="567691017">
    <w:abstractNumId w:val="42"/>
  </w:num>
  <w:num w:numId="31" w16cid:durableId="780031622">
    <w:abstractNumId w:val="15"/>
  </w:num>
  <w:num w:numId="32" w16cid:durableId="727268728">
    <w:abstractNumId w:val="4"/>
  </w:num>
  <w:num w:numId="33" w16cid:durableId="25444774">
    <w:abstractNumId w:val="6"/>
  </w:num>
  <w:num w:numId="34" w16cid:durableId="871383091">
    <w:abstractNumId w:val="16"/>
  </w:num>
  <w:num w:numId="35" w16cid:durableId="1114255681">
    <w:abstractNumId w:val="17"/>
  </w:num>
  <w:num w:numId="36" w16cid:durableId="129828653">
    <w:abstractNumId w:val="13"/>
  </w:num>
  <w:num w:numId="37" w16cid:durableId="472714815">
    <w:abstractNumId w:val="39"/>
  </w:num>
  <w:num w:numId="38" w16cid:durableId="972636718">
    <w:abstractNumId w:val="37"/>
  </w:num>
  <w:num w:numId="39" w16cid:durableId="87641">
    <w:abstractNumId w:val="21"/>
  </w:num>
  <w:num w:numId="40" w16cid:durableId="228351435">
    <w:abstractNumId w:val="12"/>
  </w:num>
  <w:num w:numId="41" w16cid:durableId="697391538">
    <w:abstractNumId w:val="5"/>
  </w:num>
  <w:num w:numId="42" w16cid:durableId="18109039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10817102">
    <w:abstractNumId w:val="11"/>
  </w:num>
  <w:num w:numId="44" w16cid:durableId="224492170">
    <w:abstractNumId w:val="20"/>
  </w:num>
  <w:num w:numId="45" w16cid:durableId="1352105378">
    <w:abstractNumId w:val="31"/>
  </w:num>
  <w:num w:numId="46" w16cid:durableId="2032757784">
    <w:abstractNumId w:val="18"/>
  </w:num>
  <w:num w:numId="47" w16cid:durableId="1920358803">
    <w:abstractNumId w:val="28"/>
  </w:num>
  <w:num w:numId="48" w16cid:durableId="2052000286">
    <w:abstractNumId w:val="22"/>
  </w:num>
  <w:num w:numId="49" w16cid:durableId="8962112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67"/>
    <w:rsid w:val="0000183A"/>
    <w:rsid w:val="00001D43"/>
    <w:rsid w:val="00003F1C"/>
    <w:rsid w:val="0000558A"/>
    <w:rsid w:val="00006989"/>
    <w:rsid w:val="00012702"/>
    <w:rsid w:val="000207A5"/>
    <w:rsid w:val="000509A9"/>
    <w:rsid w:val="000518B9"/>
    <w:rsid w:val="0005491C"/>
    <w:rsid w:val="00056DDD"/>
    <w:rsid w:val="0006337F"/>
    <w:rsid w:val="000722B3"/>
    <w:rsid w:val="0008042D"/>
    <w:rsid w:val="00081DF2"/>
    <w:rsid w:val="00087D3E"/>
    <w:rsid w:val="000A2609"/>
    <w:rsid w:val="000A32C6"/>
    <w:rsid w:val="000A7DD7"/>
    <w:rsid w:val="000B605B"/>
    <w:rsid w:val="000C02B4"/>
    <w:rsid w:val="000C3FE5"/>
    <w:rsid w:val="000C5688"/>
    <w:rsid w:val="000D63A8"/>
    <w:rsid w:val="000D6F1D"/>
    <w:rsid w:val="000D7A9C"/>
    <w:rsid w:val="000E105E"/>
    <w:rsid w:val="000E51F5"/>
    <w:rsid w:val="000E7C11"/>
    <w:rsid w:val="00106193"/>
    <w:rsid w:val="00110917"/>
    <w:rsid w:val="00110A0F"/>
    <w:rsid w:val="0012284A"/>
    <w:rsid w:val="001258A2"/>
    <w:rsid w:val="0013237B"/>
    <w:rsid w:val="00134B9C"/>
    <w:rsid w:val="00136618"/>
    <w:rsid w:val="00141CA6"/>
    <w:rsid w:val="001468FE"/>
    <w:rsid w:val="00147C4E"/>
    <w:rsid w:val="00151AA4"/>
    <w:rsid w:val="00153BFF"/>
    <w:rsid w:val="001563B8"/>
    <w:rsid w:val="00160ADF"/>
    <w:rsid w:val="00173A04"/>
    <w:rsid w:val="00176EE7"/>
    <w:rsid w:val="00182A89"/>
    <w:rsid w:val="00182FA1"/>
    <w:rsid w:val="0019513E"/>
    <w:rsid w:val="00196A1B"/>
    <w:rsid w:val="001B00C0"/>
    <w:rsid w:val="001B1C6A"/>
    <w:rsid w:val="001B6D44"/>
    <w:rsid w:val="001C1388"/>
    <w:rsid w:val="001C1958"/>
    <w:rsid w:val="001C297B"/>
    <w:rsid w:val="001C755C"/>
    <w:rsid w:val="001D3886"/>
    <w:rsid w:val="001E7EA9"/>
    <w:rsid w:val="001F6B8D"/>
    <w:rsid w:val="001F7DA7"/>
    <w:rsid w:val="00202157"/>
    <w:rsid w:val="00203342"/>
    <w:rsid w:val="00206EBC"/>
    <w:rsid w:val="00220189"/>
    <w:rsid w:val="00244435"/>
    <w:rsid w:val="0024490A"/>
    <w:rsid w:val="002500F9"/>
    <w:rsid w:val="00271C7B"/>
    <w:rsid w:val="002927B2"/>
    <w:rsid w:val="0029455F"/>
    <w:rsid w:val="002A07F8"/>
    <w:rsid w:val="002A56F2"/>
    <w:rsid w:val="002B1CA3"/>
    <w:rsid w:val="002C78A6"/>
    <w:rsid w:val="002F3ADF"/>
    <w:rsid w:val="002F4CC9"/>
    <w:rsid w:val="0030011D"/>
    <w:rsid w:val="00306E94"/>
    <w:rsid w:val="003263C0"/>
    <w:rsid w:val="003278B5"/>
    <w:rsid w:val="00341E69"/>
    <w:rsid w:val="00343D59"/>
    <w:rsid w:val="00344849"/>
    <w:rsid w:val="003448FC"/>
    <w:rsid w:val="00345FE9"/>
    <w:rsid w:val="003644FE"/>
    <w:rsid w:val="0037343B"/>
    <w:rsid w:val="00376313"/>
    <w:rsid w:val="0038413F"/>
    <w:rsid w:val="00391AD7"/>
    <w:rsid w:val="003936EA"/>
    <w:rsid w:val="00393F9C"/>
    <w:rsid w:val="003A4E7D"/>
    <w:rsid w:val="003A5383"/>
    <w:rsid w:val="003A5503"/>
    <w:rsid w:val="003B3137"/>
    <w:rsid w:val="003B52EB"/>
    <w:rsid w:val="003B55C8"/>
    <w:rsid w:val="003C46D7"/>
    <w:rsid w:val="003C5608"/>
    <w:rsid w:val="003C5B94"/>
    <w:rsid w:val="003D1EE6"/>
    <w:rsid w:val="003D5032"/>
    <w:rsid w:val="003E0D90"/>
    <w:rsid w:val="003E1331"/>
    <w:rsid w:val="003E565A"/>
    <w:rsid w:val="003F13D5"/>
    <w:rsid w:val="003F2FC0"/>
    <w:rsid w:val="003F3559"/>
    <w:rsid w:val="003F664B"/>
    <w:rsid w:val="003F6935"/>
    <w:rsid w:val="00401BD8"/>
    <w:rsid w:val="00402D95"/>
    <w:rsid w:val="00403235"/>
    <w:rsid w:val="00406116"/>
    <w:rsid w:val="004323FD"/>
    <w:rsid w:val="0043604B"/>
    <w:rsid w:val="0044438F"/>
    <w:rsid w:val="00446318"/>
    <w:rsid w:val="00447620"/>
    <w:rsid w:val="00453E3A"/>
    <w:rsid w:val="004560E3"/>
    <w:rsid w:val="00457471"/>
    <w:rsid w:val="004647DC"/>
    <w:rsid w:val="004735BB"/>
    <w:rsid w:val="00473CA8"/>
    <w:rsid w:val="004776D4"/>
    <w:rsid w:val="00480098"/>
    <w:rsid w:val="00483D99"/>
    <w:rsid w:val="0048511B"/>
    <w:rsid w:val="00496B62"/>
    <w:rsid w:val="004A14E1"/>
    <w:rsid w:val="004A192E"/>
    <w:rsid w:val="004A593E"/>
    <w:rsid w:val="004B35AD"/>
    <w:rsid w:val="004B36FD"/>
    <w:rsid w:val="004B646B"/>
    <w:rsid w:val="004C2420"/>
    <w:rsid w:val="004C3D07"/>
    <w:rsid w:val="004D2157"/>
    <w:rsid w:val="004D5D9E"/>
    <w:rsid w:val="004E0F4C"/>
    <w:rsid w:val="004E274C"/>
    <w:rsid w:val="004E7F45"/>
    <w:rsid w:val="004F2AC1"/>
    <w:rsid w:val="004F74D2"/>
    <w:rsid w:val="00500E5C"/>
    <w:rsid w:val="005042AF"/>
    <w:rsid w:val="005050E8"/>
    <w:rsid w:val="005059B4"/>
    <w:rsid w:val="00506079"/>
    <w:rsid w:val="00521673"/>
    <w:rsid w:val="00521DCB"/>
    <w:rsid w:val="0052633B"/>
    <w:rsid w:val="005339EA"/>
    <w:rsid w:val="00534FFE"/>
    <w:rsid w:val="00544072"/>
    <w:rsid w:val="0054518A"/>
    <w:rsid w:val="00551C22"/>
    <w:rsid w:val="005550A8"/>
    <w:rsid w:val="00563C12"/>
    <w:rsid w:val="00567F0C"/>
    <w:rsid w:val="00576882"/>
    <w:rsid w:val="005948B4"/>
    <w:rsid w:val="00594F29"/>
    <w:rsid w:val="005A056B"/>
    <w:rsid w:val="005A0CE0"/>
    <w:rsid w:val="005A17EC"/>
    <w:rsid w:val="005A75C6"/>
    <w:rsid w:val="005B6DC2"/>
    <w:rsid w:val="005B751D"/>
    <w:rsid w:val="005C420C"/>
    <w:rsid w:val="005D3975"/>
    <w:rsid w:val="005D7306"/>
    <w:rsid w:val="005E1E75"/>
    <w:rsid w:val="005E3C37"/>
    <w:rsid w:val="005E5663"/>
    <w:rsid w:val="005E5910"/>
    <w:rsid w:val="005E6D1E"/>
    <w:rsid w:val="005E75AB"/>
    <w:rsid w:val="005F2656"/>
    <w:rsid w:val="005F5225"/>
    <w:rsid w:val="005F659A"/>
    <w:rsid w:val="005F6F74"/>
    <w:rsid w:val="00607FDE"/>
    <w:rsid w:val="006111A3"/>
    <w:rsid w:val="00622137"/>
    <w:rsid w:val="00622480"/>
    <w:rsid w:val="006231B2"/>
    <w:rsid w:val="00640631"/>
    <w:rsid w:val="00643965"/>
    <w:rsid w:val="006468A0"/>
    <w:rsid w:val="00647D58"/>
    <w:rsid w:val="00650938"/>
    <w:rsid w:val="0065107D"/>
    <w:rsid w:val="0065592C"/>
    <w:rsid w:val="00656D42"/>
    <w:rsid w:val="00662151"/>
    <w:rsid w:val="00662FCA"/>
    <w:rsid w:val="00676CEB"/>
    <w:rsid w:val="00684F73"/>
    <w:rsid w:val="00691E04"/>
    <w:rsid w:val="00693602"/>
    <w:rsid w:val="00696E43"/>
    <w:rsid w:val="006A3541"/>
    <w:rsid w:val="006A6A52"/>
    <w:rsid w:val="006B2F40"/>
    <w:rsid w:val="006B4514"/>
    <w:rsid w:val="006B4C94"/>
    <w:rsid w:val="006B7B58"/>
    <w:rsid w:val="006C06E6"/>
    <w:rsid w:val="006E124B"/>
    <w:rsid w:val="006E12B8"/>
    <w:rsid w:val="006E1E08"/>
    <w:rsid w:val="006E5DD8"/>
    <w:rsid w:val="006F0775"/>
    <w:rsid w:val="006F0BB2"/>
    <w:rsid w:val="006F173A"/>
    <w:rsid w:val="006F5DA3"/>
    <w:rsid w:val="00701092"/>
    <w:rsid w:val="00702944"/>
    <w:rsid w:val="007031F4"/>
    <w:rsid w:val="00711FE8"/>
    <w:rsid w:val="00717643"/>
    <w:rsid w:val="00724BE1"/>
    <w:rsid w:val="00725AA6"/>
    <w:rsid w:val="00734BAA"/>
    <w:rsid w:val="00736915"/>
    <w:rsid w:val="00745B81"/>
    <w:rsid w:val="00761654"/>
    <w:rsid w:val="00771D2C"/>
    <w:rsid w:val="00772E0C"/>
    <w:rsid w:val="007767B1"/>
    <w:rsid w:val="00776D66"/>
    <w:rsid w:val="00777ACD"/>
    <w:rsid w:val="00782CF5"/>
    <w:rsid w:val="0078321B"/>
    <w:rsid w:val="00783BED"/>
    <w:rsid w:val="00787FA9"/>
    <w:rsid w:val="007942A5"/>
    <w:rsid w:val="00797DA9"/>
    <w:rsid w:val="007A2806"/>
    <w:rsid w:val="007A2B5C"/>
    <w:rsid w:val="007A33E6"/>
    <w:rsid w:val="007A53AC"/>
    <w:rsid w:val="007A7B3F"/>
    <w:rsid w:val="007C05A4"/>
    <w:rsid w:val="007C3354"/>
    <w:rsid w:val="007D2D7F"/>
    <w:rsid w:val="007D57E8"/>
    <w:rsid w:val="007E0357"/>
    <w:rsid w:val="007E3D59"/>
    <w:rsid w:val="007E5AF2"/>
    <w:rsid w:val="007F2772"/>
    <w:rsid w:val="007F39D0"/>
    <w:rsid w:val="0080570E"/>
    <w:rsid w:val="0081073A"/>
    <w:rsid w:val="0081289C"/>
    <w:rsid w:val="00815BEB"/>
    <w:rsid w:val="008330C6"/>
    <w:rsid w:val="00842FBD"/>
    <w:rsid w:val="0084330D"/>
    <w:rsid w:val="00846AEA"/>
    <w:rsid w:val="00851EA3"/>
    <w:rsid w:val="0086194F"/>
    <w:rsid w:val="00867092"/>
    <w:rsid w:val="0086765D"/>
    <w:rsid w:val="008676A7"/>
    <w:rsid w:val="00872522"/>
    <w:rsid w:val="008761ED"/>
    <w:rsid w:val="00887222"/>
    <w:rsid w:val="008A1E4D"/>
    <w:rsid w:val="008A2832"/>
    <w:rsid w:val="008A4033"/>
    <w:rsid w:val="008A484C"/>
    <w:rsid w:val="008C3D9F"/>
    <w:rsid w:val="008D2194"/>
    <w:rsid w:val="008D5046"/>
    <w:rsid w:val="008D5DF5"/>
    <w:rsid w:val="008D7318"/>
    <w:rsid w:val="008D76C5"/>
    <w:rsid w:val="008E03DA"/>
    <w:rsid w:val="009019A0"/>
    <w:rsid w:val="009101E1"/>
    <w:rsid w:val="00910BE7"/>
    <w:rsid w:val="00924114"/>
    <w:rsid w:val="00940045"/>
    <w:rsid w:val="00945252"/>
    <w:rsid w:val="009519D1"/>
    <w:rsid w:val="00953A52"/>
    <w:rsid w:val="00953AFE"/>
    <w:rsid w:val="00955AF5"/>
    <w:rsid w:val="00956C89"/>
    <w:rsid w:val="00971180"/>
    <w:rsid w:val="00971EB6"/>
    <w:rsid w:val="009727F9"/>
    <w:rsid w:val="009745D3"/>
    <w:rsid w:val="009808A0"/>
    <w:rsid w:val="0098213D"/>
    <w:rsid w:val="009871FB"/>
    <w:rsid w:val="009903AD"/>
    <w:rsid w:val="00994A50"/>
    <w:rsid w:val="009961C7"/>
    <w:rsid w:val="00996C67"/>
    <w:rsid w:val="009B0A33"/>
    <w:rsid w:val="009B1150"/>
    <w:rsid w:val="009B28A5"/>
    <w:rsid w:val="009B2987"/>
    <w:rsid w:val="009B6212"/>
    <w:rsid w:val="009C5368"/>
    <w:rsid w:val="009C62A9"/>
    <w:rsid w:val="009C6F59"/>
    <w:rsid w:val="009C77A0"/>
    <w:rsid w:val="009C7867"/>
    <w:rsid w:val="009D3DB4"/>
    <w:rsid w:val="009D467A"/>
    <w:rsid w:val="009D70C3"/>
    <w:rsid w:val="009E0D4B"/>
    <w:rsid w:val="009E76B1"/>
    <w:rsid w:val="009F03B0"/>
    <w:rsid w:val="009F3CC0"/>
    <w:rsid w:val="009F7699"/>
    <w:rsid w:val="00A00B03"/>
    <w:rsid w:val="00A104F0"/>
    <w:rsid w:val="00A207EA"/>
    <w:rsid w:val="00A2190F"/>
    <w:rsid w:val="00A24B5C"/>
    <w:rsid w:val="00A27401"/>
    <w:rsid w:val="00A3729E"/>
    <w:rsid w:val="00A50372"/>
    <w:rsid w:val="00A5159D"/>
    <w:rsid w:val="00A63800"/>
    <w:rsid w:val="00A63A2B"/>
    <w:rsid w:val="00A82525"/>
    <w:rsid w:val="00A86DAD"/>
    <w:rsid w:val="00A95723"/>
    <w:rsid w:val="00A96D2F"/>
    <w:rsid w:val="00A97802"/>
    <w:rsid w:val="00AA3D2D"/>
    <w:rsid w:val="00AB36B3"/>
    <w:rsid w:val="00AB77F9"/>
    <w:rsid w:val="00AB7B8E"/>
    <w:rsid w:val="00AC05B4"/>
    <w:rsid w:val="00AC2517"/>
    <w:rsid w:val="00AC3B8E"/>
    <w:rsid w:val="00AD025B"/>
    <w:rsid w:val="00AE1650"/>
    <w:rsid w:val="00AF3181"/>
    <w:rsid w:val="00AF49DD"/>
    <w:rsid w:val="00AF6F8F"/>
    <w:rsid w:val="00B03ACD"/>
    <w:rsid w:val="00B0415B"/>
    <w:rsid w:val="00B04B20"/>
    <w:rsid w:val="00B04C5F"/>
    <w:rsid w:val="00B100C1"/>
    <w:rsid w:val="00B13D40"/>
    <w:rsid w:val="00B14302"/>
    <w:rsid w:val="00B14E9B"/>
    <w:rsid w:val="00B2232C"/>
    <w:rsid w:val="00B22691"/>
    <w:rsid w:val="00B24DEF"/>
    <w:rsid w:val="00B268D7"/>
    <w:rsid w:val="00B34651"/>
    <w:rsid w:val="00B47BD7"/>
    <w:rsid w:val="00B5176C"/>
    <w:rsid w:val="00B6068B"/>
    <w:rsid w:val="00B640BE"/>
    <w:rsid w:val="00B66C99"/>
    <w:rsid w:val="00B766FA"/>
    <w:rsid w:val="00B872F5"/>
    <w:rsid w:val="00B87ABC"/>
    <w:rsid w:val="00B9456D"/>
    <w:rsid w:val="00BA02E4"/>
    <w:rsid w:val="00BA3893"/>
    <w:rsid w:val="00BA4C45"/>
    <w:rsid w:val="00BA670B"/>
    <w:rsid w:val="00BA6D10"/>
    <w:rsid w:val="00BB0165"/>
    <w:rsid w:val="00BB0D78"/>
    <w:rsid w:val="00BB3720"/>
    <w:rsid w:val="00BB3FF6"/>
    <w:rsid w:val="00BB4282"/>
    <w:rsid w:val="00BC2D08"/>
    <w:rsid w:val="00BC31F6"/>
    <w:rsid w:val="00BC3D29"/>
    <w:rsid w:val="00BC79D4"/>
    <w:rsid w:val="00BD063F"/>
    <w:rsid w:val="00BE2153"/>
    <w:rsid w:val="00BE59F9"/>
    <w:rsid w:val="00BF6CDF"/>
    <w:rsid w:val="00C0120F"/>
    <w:rsid w:val="00C01B9A"/>
    <w:rsid w:val="00C14367"/>
    <w:rsid w:val="00C21A2A"/>
    <w:rsid w:val="00C302FA"/>
    <w:rsid w:val="00C3647A"/>
    <w:rsid w:val="00C419F2"/>
    <w:rsid w:val="00C41CEB"/>
    <w:rsid w:val="00C560EA"/>
    <w:rsid w:val="00C5686C"/>
    <w:rsid w:val="00C6788C"/>
    <w:rsid w:val="00C67A76"/>
    <w:rsid w:val="00C73805"/>
    <w:rsid w:val="00C74819"/>
    <w:rsid w:val="00C85A7E"/>
    <w:rsid w:val="00C86748"/>
    <w:rsid w:val="00C96663"/>
    <w:rsid w:val="00CA061E"/>
    <w:rsid w:val="00CA6032"/>
    <w:rsid w:val="00CA6CB3"/>
    <w:rsid w:val="00CB03E3"/>
    <w:rsid w:val="00CB4731"/>
    <w:rsid w:val="00CB7762"/>
    <w:rsid w:val="00CC6F94"/>
    <w:rsid w:val="00CD71C7"/>
    <w:rsid w:val="00CE388B"/>
    <w:rsid w:val="00CE6FC7"/>
    <w:rsid w:val="00CF3F78"/>
    <w:rsid w:val="00D01427"/>
    <w:rsid w:val="00D05FEB"/>
    <w:rsid w:val="00D11585"/>
    <w:rsid w:val="00D124EA"/>
    <w:rsid w:val="00D14047"/>
    <w:rsid w:val="00D16061"/>
    <w:rsid w:val="00D17B10"/>
    <w:rsid w:val="00D22147"/>
    <w:rsid w:val="00D2502B"/>
    <w:rsid w:val="00D27736"/>
    <w:rsid w:val="00D3278A"/>
    <w:rsid w:val="00D33F34"/>
    <w:rsid w:val="00D34E5E"/>
    <w:rsid w:val="00D3608F"/>
    <w:rsid w:val="00D368C4"/>
    <w:rsid w:val="00D37086"/>
    <w:rsid w:val="00D47051"/>
    <w:rsid w:val="00D62EFA"/>
    <w:rsid w:val="00D631D7"/>
    <w:rsid w:val="00D64906"/>
    <w:rsid w:val="00D853F4"/>
    <w:rsid w:val="00D857C7"/>
    <w:rsid w:val="00D952F4"/>
    <w:rsid w:val="00D969AD"/>
    <w:rsid w:val="00DA3651"/>
    <w:rsid w:val="00DB1FAF"/>
    <w:rsid w:val="00DC0511"/>
    <w:rsid w:val="00DC5277"/>
    <w:rsid w:val="00DC52E3"/>
    <w:rsid w:val="00DC5E13"/>
    <w:rsid w:val="00DD1BB1"/>
    <w:rsid w:val="00DE053F"/>
    <w:rsid w:val="00DE0573"/>
    <w:rsid w:val="00DE3174"/>
    <w:rsid w:val="00DF1E72"/>
    <w:rsid w:val="00DF529D"/>
    <w:rsid w:val="00DF539C"/>
    <w:rsid w:val="00E05BC3"/>
    <w:rsid w:val="00E07F40"/>
    <w:rsid w:val="00E13479"/>
    <w:rsid w:val="00E15497"/>
    <w:rsid w:val="00E1667E"/>
    <w:rsid w:val="00E16DD9"/>
    <w:rsid w:val="00E201A8"/>
    <w:rsid w:val="00E219B1"/>
    <w:rsid w:val="00E36A81"/>
    <w:rsid w:val="00E43C59"/>
    <w:rsid w:val="00E44E56"/>
    <w:rsid w:val="00E46716"/>
    <w:rsid w:val="00E5478B"/>
    <w:rsid w:val="00E738F3"/>
    <w:rsid w:val="00E83A76"/>
    <w:rsid w:val="00E90C89"/>
    <w:rsid w:val="00E96B6D"/>
    <w:rsid w:val="00E9772D"/>
    <w:rsid w:val="00EA18F8"/>
    <w:rsid w:val="00EA1C8C"/>
    <w:rsid w:val="00EA4B3F"/>
    <w:rsid w:val="00EA78C1"/>
    <w:rsid w:val="00EB2456"/>
    <w:rsid w:val="00EC1E5C"/>
    <w:rsid w:val="00EC5653"/>
    <w:rsid w:val="00EC6337"/>
    <w:rsid w:val="00EE39F1"/>
    <w:rsid w:val="00EF4D19"/>
    <w:rsid w:val="00EF786E"/>
    <w:rsid w:val="00F16D46"/>
    <w:rsid w:val="00F21AA1"/>
    <w:rsid w:val="00F25D8B"/>
    <w:rsid w:val="00F446B3"/>
    <w:rsid w:val="00F6431E"/>
    <w:rsid w:val="00F67498"/>
    <w:rsid w:val="00F708EB"/>
    <w:rsid w:val="00F7706D"/>
    <w:rsid w:val="00F808B8"/>
    <w:rsid w:val="00F81036"/>
    <w:rsid w:val="00F81DDA"/>
    <w:rsid w:val="00F86281"/>
    <w:rsid w:val="00F8765B"/>
    <w:rsid w:val="00F9118C"/>
    <w:rsid w:val="00F93AF6"/>
    <w:rsid w:val="00FA5345"/>
    <w:rsid w:val="00FB3240"/>
    <w:rsid w:val="00FB3900"/>
    <w:rsid w:val="00FB3C9C"/>
    <w:rsid w:val="00FC7769"/>
    <w:rsid w:val="00FD0557"/>
    <w:rsid w:val="00FD421B"/>
    <w:rsid w:val="00FD43F5"/>
    <w:rsid w:val="00FD6094"/>
    <w:rsid w:val="00FE0ED3"/>
    <w:rsid w:val="00FE4638"/>
    <w:rsid w:val="00FE67B0"/>
    <w:rsid w:val="00FF0A7F"/>
    <w:rsid w:val="00FF0F1C"/>
    <w:rsid w:val="00FF513E"/>
    <w:rsid w:val="095A7D13"/>
    <w:rsid w:val="108F36A1"/>
    <w:rsid w:val="14AB24EC"/>
    <w:rsid w:val="2C5C64C9"/>
    <w:rsid w:val="341CF9CD"/>
    <w:rsid w:val="416AB02F"/>
    <w:rsid w:val="450A3B49"/>
    <w:rsid w:val="53252793"/>
    <w:rsid w:val="5492E27E"/>
    <w:rsid w:val="56BC94D1"/>
    <w:rsid w:val="59B0A13A"/>
    <w:rsid w:val="6A889380"/>
    <w:rsid w:val="7A30573A"/>
    <w:rsid w:val="7DEB11A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B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6" w:unhideWhenUsed="1" w:qFormat="1"/>
    <w:lsdException w:name="heading 3" w:semiHidden="1" w:uiPriority="0"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4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49"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A76"/>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56D42"/>
    <w:pPr>
      <w:numPr>
        <w:ilvl w:val="1"/>
        <w:numId w:val="19"/>
      </w:numPr>
    </w:pPr>
  </w:style>
  <w:style w:type="character" w:customStyle="1" w:styleId="BodyText2Char">
    <w:name w:val="Body Text 2 Char"/>
    <w:basedOn w:val="DefaultParagraphFont"/>
    <w:link w:val="BodyText2"/>
    <w:rsid w:val="00656D42"/>
  </w:style>
  <w:style w:type="paragraph" w:styleId="ListBullet">
    <w:name w:val="List Bullet"/>
    <w:basedOn w:val="Normal"/>
    <w:uiPriority w:val="38"/>
    <w:semiHidden/>
    <w:unhideWhenUsed/>
    <w:rsid w:val="005050E8"/>
    <w:pPr>
      <w:numPr>
        <w:numId w:val="11"/>
      </w:numPr>
      <w:ind w:left="357" w:hanging="357"/>
      <w:contextualSpacing/>
    </w:pPr>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1"/>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1"/>
    <w:rsid w:val="00E83A76"/>
    <w:rPr>
      <w:b/>
    </w:rPr>
  </w:style>
  <w:style w:type="paragraph" w:styleId="FootnoteText">
    <w:name w:val="footnote text"/>
    <w:aliases w:val=" Char"/>
    <w:basedOn w:val="Normal"/>
    <w:link w:val="FootnoteTextChar"/>
    <w:semiHidden/>
    <w:rsid w:val="00E83A76"/>
    <w:pPr>
      <w:spacing w:after="0"/>
      <w:ind w:left="567" w:hanging="567"/>
      <w:jc w:val="both"/>
    </w:pPr>
    <w:rPr>
      <w:sz w:val="20"/>
    </w:rPr>
  </w:style>
  <w:style w:type="character" w:customStyle="1" w:styleId="FootnoteTextChar">
    <w:name w:val="Footnote Text Char"/>
    <w:aliases w:val=" Char Char"/>
    <w:basedOn w:val="DefaultParagraphFont"/>
    <w:link w:val="FootnoteText"/>
    <w:semiHidden/>
    <w:rsid w:val="00E83A76"/>
    <w:rPr>
      <w:sz w:val="20"/>
    </w:rPr>
  </w:style>
  <w:style w:type="character" w:styleId="FootnoteReference">
    <w:name w:val="footnote reference"/>
    <w:basedOn w:val="DefaultParagraphFont"/>
    <w:semiHidden/>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5F659A"/>
    <w:pPr>
      <w:tabs>
        <w:tab w:val="right" w:leader="dot" w:pos="8302"/>
      </w:tabs>
      <w:spacing w:after="120"/>
      <w:ind w:right="567"/>
    </w:pPr>
    <w:rPr>
      <w:rFonts w:ascii="Arial" w:hAnsi="Arial"/>
      <w:noProof/>
    </w:rPr>
  </w:style>
  <w:style w:type="paragraph" w:styleId="TOC3">
    <w:name w:val="toc 3"/>
    <w:basedOn w:val="Normal"/>
    <w:next w:val="Normal"/>
    <w:autoRedefine/>
    <w:uiPriority w:val="39"/>
    <w:rsid w:val="00E43C59"/>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E07F40"/>
    <w:pPr>
      <w:numPr>
        <w:numId w:val="19"/>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19"/>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qFormat/>
    <w:rsid w:val="00C67A76"/>
    <w:pPr>
      <w:spacing w:before="120"/>
    </w:pPr>
    <w:rPr>
      <w:rFonts w:asciiTheme="majorHAnsi" w:hAnsiTheme="majorHAnsi"/>
      <w:b/>
      <w:sz w:val="40"/>
    </w:rPr>
  </w:style>
  <w:style w:type="character" w:customStyle="1" w:styleId="TitleChar">
    <w:name w:val="Title Char"/>
    <w:basedOn w:val="DefaultParagraphFont"/>
    <w:link w:val="Title"/>
    <w:rsid w:val="00C67A76"/>
    <w:rPr>
      <w:rFonts w:asciiTheme="majorHAnsi" w:hAnsiTheme="majorHAnsi"/>
      <w:b/>
      <w:sz w:val="40"/>
    </w:rPr>
  </w:style>
  <w:style w:type="paragraph" w:styleId="TOC1">
    <w:name w:val="toc 1"/>
    <w:basedOn w:val="Normal"/>
    <w:next w:val="Normal"/>
    <w:autoRedefine/>
    <w:uiPriority w:val="39"/>
    <w:rsid w:val="008A1E4D"/>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semiHidden/>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19"/>
      </w:numPr>
    </w:pPr>
  </w:style>
  <w:style w:type="paragraph" w:styleId="ListParagraph">
    <w:name w:val="List Paragraph"/>
    <w:basedOn w:val="Normal"/>
    <w:link w:val="ListParagraphChar"/>
    <w:uiPriority w:val="34"/>
    <w:qFormat/>
    <w:rsid w:val="004735BB"/>
    <w:pPr>
      <w:spacing w:after="0"/>
      <w:ind w:left="720"/>
      <w:contextualSpacing/>
      <w:jc w:val="both"/>
    </w:pPr>
    <w:rPr>
      <w:rFonts w:eastAsia="Times New Roman"/>
      <w:szCs w:val="20"/>
    </w:rPr>
  </w:style>
  <w:style w:type="character" w:styleId="CommentReference">
    <w:name w:val="annotation reference"/>
    <w:basedOn w:val="DefaultParagraphFont"/>
    <w:uiPriority w:val="49"/>
    <w:semiHidden/>
    <w:unhideWhenUsed/>
    <w:rsid w:val="004735BB"/>
    <w:rPr>
      <w:sz w:val="16"/>
      <w:szCs w:val="16"/>
    </w:rPr>
  </w:style>
  <w:style w:type="paragraph" w:styleId="CommentText">
    <w:name w:val="annotation text"/>
    <w:basedOn w:val="Normal"/>
    <w:link w:val="CommentTextChar"/>
    <w:uiPriority w:val="49"/>
    <w:unhideWhenUsed/>
    <w:rsid w:val="004735BB"/>
    <w:rPr>
      <w:sz w:val="20"/>
      <w:szCs w:val="20"/>
    </w:rPr>
  </w:style>
  <w:style w:type="character" w:customStyle="1" w:styleId="CommentTextChar">
    <w:name w:val="Comment Text Char"/>
    <w:basedOn w:val="DefaultParagraphFont"/>
    <w:link w:val="CommentText"/>
    <w:uiPriority w:val="49"/>
    <w:rsid w:val="004735BB"/>
    <w:rPr>
      <w:sz w:val="20"/>
      <w:szCs w:val="20"/>
    </w:rPr>
  </w:style>
  <w:style w:type="paragraph" w:styleId="CommentSubject">
    <w:name w:val="annotation subject"/>
    <w:basedOn w:val="CommentText"/>
    <w:next w:val="CommentText"/>
    <w:link w:val="CommentSubjectChar"/>
    <w:uiPriority w:val="49"/>
    <w:semiHidden/>
    <w:unhideWhenUsed/>
    <w:rsid w:val="004735BB"/>
    <w:rPr>
      <w:b/>
      <w:bCs/>
    </w:rPr>
  </w:style>
  <w:style w:type="character" w:customStyle="1" w:styleId="CommentSubjectChar">
    <w:name w:val="Comment Subject Char"/>
    <w:basedOn w:val="CommentTextChar"/>
    <w:link w:val="CommentSubject"/>
    <w:uiPriority w:val="49"/>
    <w:semiHidden/>
    <w:rsid w:val="004735BB"/>
    <w:rPr>
      <w:b/>
      <w:bCs/>
      <w:sz w:val="20"/>
      <w:szCs w:val="20"/>
    </w:rPr>
  </w:style>
  <w:style w:type="paragraph" w:customStyle="1" w:styleId="bullet">
    <w:name w:val="bullet"/>
    <w:basedOn w:val="BodyText"/>
    <w:rsid w:val="004735BB"/>
    <w:pPr>
      <w:numPr>
        <w:numId w:val="25"/>
      </w:numPr>
      <w:tabs>
        <w:tab w:val="clear" w:pos="1134"/>
        <w:tab w:val="num" w:pos="360"/>
      </w:tabs>
      <w:spacing w:after="240" w:line="360" w:lineRule="auto"/>
      <w:ind w:left="360" w:hanging="360"/>
      <w:jc w:val="both"/>
    </w:pPr>
    <w:rPr>
      <w:rFonts w:eastAsia="Times New Roman"/>
      <w:sz w:val="28"/>
      <w:szCs w:val="20"/>
    </w:rPr>
  </w:style>
  <w:style w:type="paragraph" w:styleId="BodyText">
    <w:name w:val="Body Text"/>
    <w:basedOn w:val="Normal"/>
    <w:link w:val="BodyTextChar"/>
    <w:uiPriority w:val="49"/>
    <w:semiHidden/>
    <w:unhideWhenUsed/>
    <w:rsid w:val="004735BB"/>
    <w:pPr>
      <w:spacing w:after="120"/>
    </w:pPr>
  </w:style>
  <w:style w:type="character" w:customStyle="1" w:styleId="BodyTextChar">
    <w:name w:val="Body Text Char"/>
    <w:basedOn w:val="DefaultParagraphFont"/>
    <w:link w:val="BodyText"/>
    <w:uiPriority w:val="49"/>
    <w:semiHidden/>
    <w:rsid w:val="004735BB"/>
  </w:style>
  <w:style w:type="paragraph" w:styleId="Revision">
    <w:name w:val="Revision"/>
    <w:hidden/>
    <w:uiPriority w:val="99"/>
    <w:semiHidden/>
    <w:rsid w:val="00F8765B"/>
    <w:pPr>
      <w:spacing w:after="0"/>
    </w:pPr>
  </w:style>
  <w:style w:type="character" w:styleId="FollowedHyperlink">
    <w:name w:val="FollowedHyperlink"/>
    <w:basedOn w:val="DefaultParagraphFont"/>
    <w:uiPriority w:val="49"/>
    <w:semiHidden/>
    <w:unhideWhenUsed/>
    <w:rsid w:val="00F8765B"/>
    <w:rPr>
      <w:color w:val="919191" w:themeColor="followedHyperlink"/>
      <w:u w:val="single"/>
    </w:rPr>
  </w:style>
  <w:style w:type="character" w:customStyle="1" w:styleId="ListParagraphChar">
    <w:name w:val="List Paragraph Char"/>
    <w:link w:val="ListParagraph"/>
    <w:uiPriority w:val="34"/>
    <w:rsid w:val="00D05FEB"/>
    <w:rPr>
      <w:rFonts w:eastAsia="Times New Roman"/>
      <w:szCs w:val="20"/>
    </w:rPr>
  </w:style>
  <w:style w:type="paragraph" w:customStyle="1" w:styleId="ActTitle">
    <w:name w:val="Act Title"/>
    <w:basedOn w:val="Normal"/>
    <w:next w:val="Normal"/>
    <w:rsid w:val="00D05FEB"/>
    <w:pPr>
      <w:pBdr>
        <w:bottom w:val="single" w:sz="4" w:space="3" w:color="auto"/>
      </w:pBdr>
      <w:spacing w:before="480"/>
    </w:pPr>
    <w:rPr>
      <w:rFonts w:ascii="Arial" w:eastAsia="Times New Roman" w:hAnsi="Arial"/>
      <w:i/>
      <w:iCs/>
      <w:sz w:val="28"/>
      <w:szCs w:val="20"/>
    </w:rPr>
  </w:style>
  <w:style w:type="paragraph" w:customStyle="1" w:styleId="IntroTo">
    <w:name w:val="IntroTo:"/>
    <w:basedOn w:val="Normal"/>
    <w:rsid w:val="00D05FEB"/>
    <w:pPr>
      <w:spacing w:after="0"/>
      <w:ind w:left="720" w:hanging="720"/>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9530295-9eea-494d-b82a-9ff74409eafc">
      <UserInfo>
        <DisplayName>Benjamin Fogwell</DisplayName>
        <AccountId>80</AccountId>
        <AccountType/>
      </UserInfo>
      <UserInfo>
        <DisplayName>Kara Hooper</DisplayName>
        <AccountId>23</AccountId>
        <AccountType/>
      </UserInfo>
      <UserInfo>
        <DisplayName>Vasili Pirozek</DisplayName>
        <AccountId>338</AccountId>
        <AccountType/>
      </UserInfo>
      <UserInfo>
        <DisplayName>Sarah Brodie</DisplayName>
        <AccountId>319</AccountId>
        <AccountType/>
      </UserInfo>
      <UserInfo>
        <DisplayName>Steven Thai</DisplayName>
        <AccountId>315</AccountId>
        <AccountType/>
      </UserInfo>
      <UserInfo>
        <DisplayName>Mark Pinto</DisplayName>
        <AccountId>390</AccountId>
        <AccountType/>
      </UserInfo>
      <UserInfo>
        <DisplayName>Cindy Wang</DisplayName>
        <AccountId>564</AccountId>
        <AccountType/>
      </UserInfo>
      <UserInfo>
        <DisplayName>Ajay Parshotam</DisplayName>
        <AccountId>331</AccountId>
        <AccountType/>
      </UserInfo>
      <UserInfo>
        <DisplayName>Vicky Kim</DisplayName>
        <AccountId>347</AccountId>
        <AccountType/>
      </UserInfo>
      <UserInfo>
        <DisplayName>Jack Hargreaves</DisplayName>
        <AccountId>570</AccountId>
        <AccountType/>
      </UserInfo>
      <UserInfo>
        <DisplayName>Ashley Toh</DisplayName>
        <AccountId>413</AccountId>
        <AccountType/>
      </UserInfo>
      <UserInfo>
        <DisplayName>Zoe Cox</DisplayName>
        <AccountId>518</AccountId>
        <AccountType/>
      </UserInfo>
      <UserInfo>
        <DisplayName>Chester Lee</DisplayName>
        <AccountId>89</AccountId>
        <AccountType/>
      </UserInfo>
    </SharedWithUsers>
    <lcf76f155ced4ddcb4097134ff3c332f xmlns="5664482d-1961-4d38-bfc2-b109b3418834">
      <Terms xmlns="http://schemas.microsoft.com/office/infopath/2007/PartnerControls"/>
    </lcf76f155ced4ddcb4097134ff3c332f>
    <TaxCatchAll xmlns="79530295-9eea-494d-b82a-9ff74409eaf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12" ma:contentTypeDescription="Create a new document." ma:contentTypeScope="" ma:versionID="b3c4fbba4cc15f215fa608836df0bd53">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eddc1fce0b015495a74eeaa7333b0567"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538fce-e890-4b7b-80be-36737fc852f6}" ma:internalName="TaxCatchAll" ma:showField="CatchAllData" ma:web="79530295-9eea-494d-b82a-9ff74409e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CC5F8B-3CF4-467B-B5A8-FA54CB1C2B0C}">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5664482d-1961-4d38-bfc2-b109b3418834"/>
    <ds:schemaRef ds:uri="http://www.w3.org/XML/1998/namespace"/>
    <ds:schemaRef ds:uri="http://schemas.microsoft.com/office/2006/metadata/properties"/>
    <ds:schemaRef ds:uri="79530295-9eea-494d-b82a-9ff74409eafc"/>
    <ds:schemaRef ds:uri="http://purl.org/dc/dcmitype/"/>
  </ds:schemaRefs>
</ds:datastoreItem>
</file>

<file path=customXml/itemProps2.xml><?xml version="1.0" encoding="utf-8"?>
<ds:datastoreItem xmlns:ds="http://schemas.openxmlformats.org/officeDocument/2006/customXml" ds:itemID="{09DC7A38-107B-4B15-9276-8D918DB4E18E}">
  <ds:schemaRefs>
    <ds:schemaRef ds:uri="http://schemas.openxmlformats.org/officeDocument/2006/bibliography"/>
  </ds:schemaRefs>
</ds:datastoreItem>
</file>

<file path=customXml/itemProps3.xml><?xml version="1.0" encoding="utf-8"?>
<ds:datastoreItem xmlns:ds="http://schemas.openxmlformats.org/officeDocument/2006/customXml" ds:itemID="{EECF9EEF-62A2-4A91-838C-7CCCB8E7B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607121-0A9F-49FF-BE81-0EDB0DC99B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5732</Words>
  <Characters>29483</Characters>
  <Application>Microsoft Office Word</Application>
  <DocSecurity>0</DocSecurity>
  <Lines>638</Lines>
  <Paragraphs>252</Paragraphs>
  <ScaleCrop>false</ScaleCrop>
  <Company/>
  <LinksUpToDate>false</LinksUpToDate>
  <CharactersWithSpaces>35020</CharactersWithSpaces>
  <SharedDoc>false</SharedDoc>
  <HLinks>
    <vt:vector size="66" baseType="variant">
      <vt:variant>
        <vt:i4>1507384</vt:i4>
      </vt:variant>
      <vt:variant>
        <vt:i4>62</vt:i4>
      </vt:variant>
      <vt:variant>
        <vt:i4>0</vt:i4>
      </vt:variant>
      <vt:variant>
        <vt:i4>5</vt:i4>
      </vt:variant>
      <vt:variant>
        <vt:lpwstr/>
      </vt:variant>
      <vt:variant>
        <vt:lpwstr>_Toc158622318</vt:lpwstr>
      </vt:variant>
      <vt:variant>
        <vt:i4>1507384</vt:i4>
      </vt:variant>
      <vt:variant>
        <vt:i4>56</vt:i4>
      </vt:variant>
      <vt:variant>
        <vt:i4>0</vt:i4>
      </vt:variant>
      <vt:variant>
        <vt:i4>5</vt:i4>
      </vt:variant>
      <vt:variant>
        <vt:lpwstr/>
      </vt:variant>
      <vt:variant>
        <vt:lpwstr>_Toc158622317</vt:lpwstr>
      </vt:variant>
      <vt:variant>
        <vt:i4>1507384</vt:i4>
      </vt:variant>
      <vt:variant>
        <vt:i4>50</vt:i4>
      </vt:variant>
      <vt:variant>
        <vt:i4>0</vt:i4>
      </vt:variant>
      <vt:variant>
        <vt:i4>5</vt:i4>
      </vt:variant>
      <vt:variant>
        <vt:lpwstr/>
      </vt:variant>
      <vt:variant>
        <vt:lpwstr>_Toc158622316</vt:lpwstr>
      </vt:variant>
      <vt:variant>
        <vt:i4>1507384</vt:i4>
      </vt:variant>
      <vt:variant>
        <vt:i4>44</vt:i4>
      </vt:variant>
      <vt:variant>
        <vt:i4>0</vt:i4>
      </vt:variant>
      <vt:variant>
        <vt:i4>5</vt:i4>
      </vt:variant>
      <vt:variant>
        <vt:lpwstr/>
      </vt:variant>
      <vt:variant>
        <vt:lpwstr>_Toc158622315</vt:lpwstr>
      </vt:variant>
      <vt:variant>
        <vt:i4>1507384</vt:i4>
      </vt:variant>
      <vt:variant>
        <vt:i4>38</vt:i4>
      </vt:variant>
      <vt:variant>
        <vt:i4>0</vt:i4>
      </vt:variant>
      <vt:variant>
        <vt:i4>5</vt:i4>
      </vt:variant>
      <vt:variant>
        <vt:lpwstr/>
      </vt:variant>
      <vt:variant>
        <vt:lpwstr>_Toc158622314</vt:lpwstr>
      </vt:variant>
      <vt:variant>
        <vt:i4>1441848</vt:i4>
      </vt:variant>
      <vt:variant>
        <vt:i4>32</vt:i4>
      </vt:variant>
      <vt:variant>
        <vt:i4>0</vt:i4>
      </vt:variant>
      <vt:variant>
        <vt:i4>5</vt:i4>
      </vt:variant>
      <vt:variant>
        <vt:lpwstr/>
      </vt:variant>
      <vt:variant>
        <vt:lpwstr>_Toc158622309</vt:lpwstr>
      </vt:variant>
      <vt:variant>
        <vt:i4>1441848</vt:i4>
      </vt:variant>
      <vt:variant>
        <vt:i4>26</vt:i4>
      </vt:variant>
      <vt:variant>
        <vt:i4>0</vt:i4>
      </vt:variant>
      <vt:variant>
        <vt:i4>5</vt:i4>
      </vt:variant>
      <vt:variant>
        <vt:lpwstr/>
      </vt:variant>
      <vt:variant>
        <vt:lpwstr>_Toc158622308</vt:lpwstr>
      </vt:variant>
      <vt:variant>
        <vt:i4>1441848</vt:i4>
      </vt:variant>
      <vt:variant>
        <vt:i4>20</vt:i4>
      </vt:variant>
      <vt:variant>
        <vt:i4>0</vt:i4>
      </vt:variant>
      <vt:variant>
        <vt:i4>5</vt:i4>
      </vt:variant>
      <vt:variant>
        <vt:lpwstr/>
      </vt:variant>
      <vt:variant>
        <vt:lpwstr>_Toc158622303</vt:lpwstr>
      </vt:variant>
      <vt:variant>
        <vt:i4>1441848</vt:i4>
      </vt:variant>
      <vt:variant>
        <vt:i4>14</vt:i4>
      </vt:variant>
      <vt:variant>
        <vt:i4>0</vt:i4>
      </vt:variant>
      <vt:variant>
        <vt:i4>5</vt:i4>
      </vt:variant>
      <vt:variant>
        <vt:lpwstr/>
      </vt:variant>
      <vt:variant>
        <vt:lpwstr>_Toc158622302</vt:lpwstr>
      </vt:variant>
      <vt:variant>
        <vt:i4>1441848</vt:i4>
      </vt:variant>
      <vt:variant>
        <vt:i4>8</vt:i4>
      </vt:variant>
      <vt:variant>
        <vt:i4>0</vt:i4>
      </vt:variant>
      <vt:variant>
        <vt:i4>5</vt:i4>
      </vt:variant>
      <vt:variant>
        <vt:lpwstr/>
      </vt:variant>
      <vt:variant>
        <vt:lpwstr>_Toc158622301</vt:lpwstr>
      </vt:variant>
      <vt:variant>
        <vt:i4>1441848</vt:i4>
      </vt:variant>
      <vt:variant>
        <vt:i4>2</vt:i4>
      </vt:variant>
      <vt:variant>
        <vt:i4>0</vt:i4>
      </vt:variant>
      <vt:variant>
        <vt:i4>5</vt:i4>
      </vt:variant>
      <vt:variant>
        <vt:lpwstr/>
      </vt:variant>
      <vt:variant>
        <vt:lpwstr>_Toc158622300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cp:lastModifiedBy/>
  <cp:revision>1</cp:revision>
  <dcterms:created xsi:type="dcterms:W3CDTF">2024-07-12T02:29:00Z</dcterms:created>
  <dcterms:modified xsi:type="dcterms:W3CDTF">2024-07-12T02:30:00Z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Qualifier">
    <vt:lpwstr/>
  </property>
  <property fmtid="{D5CDD505-2E9C-101B-9397-08002B2CF9AE}" pid="3" name="PM_SecurityClassification">
    <vt:lpwstr>UNOFFICIAL</vt:lpwstr>
  </property>
  <property fmtid="{D5CDD505-2E9C-101B-9397-08002B2CF9AE}" pid="4" name="PM_DisplayValueSecClassificationWithQualifier">
    <vt:lpwstr>Personal</vt:lpwstr>
  </property>
  <property fmtid="{D5CDD505-2E9C-101B-9397-08002B2CF9AE}" pid="5" name="PM_InsertionValue">
    <vt:lpwstr>Personal</vt:lpwstr>
  </property>
  <property fmtid="{D5CDD505-2E9C-101B-9397-08002B2CF9AE}" pid="6" name="PM_Hash_Version">
    <vt:lpwstr>2022.1</vt:lpwstr>
  </property>
  <property fmtid="{D5CDD505-2E9C-101B-9397-08002B2CF9AE}" pid="7" name="PM_SecurityClassification_Prev">
    <vt:lpwstr>UNOFFICIAL</vt:lpwstr>
  </property>
  <property fmtid="{D5CDD505-2E9C-101B-9397-08002B2CF9AE}" pid="8" name="PM_Qualifier_Prev">
    <vt:lpwstr/>
  </property>
  <property fmtid="{D5CDD505-2E9C-101B-9397-08002B2CF9AE}" pid="9" name="PM_ProtectiveMarkingImage_Header">
    <vt:lpwstr>C:\Program Files\Common Files\janusNET Shared\janusSEAL\Images\DocumentSlashBlue.png</vt:lpwstr>
  </property>
  <property fmtid="{D5CDD505-2E9C-101B-9397-08002B2CF9AE}" pid="10" name="PM_ProtectiveMarkingValue_Header">
    <vt:lpwstr>Personal</vt:lpwstr>
  </property>
  <property fmtid="{D5CDD505-2E9C-101B-9397-08002B2CF9AE}" pid="11" name="PM_OriginationTimeStamp">
    <vt:lpwstr>2023-01-17T02:44:08Z</vt:lpwstr>
  </property>
  <property fmtid="{D5CDD505-2E9C-101B-9397-08002B2CF9AE}" pid="12" name="PM_ProtectiveMarkingValue_Footer">
    <vt:lpwstr>Personal</vt:lpwstr>
  </property>
  <property fmtid="{D5CDD505-2E9C-101B-9397-08002B2CF9AE}" pid="13" name="PM_Originating_FileId">
    <vt:lpwstr>9CDD4A8A38FF4D3681F9F9DB8CFE362E</vt:lpwstr>
  </property>
  <property fmtid="{D5CDD505-2E9C-101B-9397-08002B2CF9AE}" pid="14" name="PM_ProtectiveMarkingImage_Footer">
    <vt:lpwstr>C:\Program Files\Common Files\janusNET Shared\janusSEAL\Images\DocumentSlashBlue.png</vt:lpwstr>
  </property>
  <property fmtid="{D5CDD505-2E9C-101B-9397-08002B2CF9AE}" pid="15" name="PM_Namespace">
    <vt:lpwstr>gov.au</vt:lpwstr>
  </property>
  <property fmtid="{D5CDD505-2E9C-101B-9397-08002B2CF9AE}" pid="16" name="PM_Version">
    <vt:lpwstr>2018.3</vt:lpwstr>
  </property>
  <property fmtid="{D5CDD505-2E9C-101B-9397-08002B2CF9AE}" pid="17" name="PM_Note">
    <vt:lpwstr/>
  </property>
  <property fmtid="{D5CDD505-2E9C-101B-9397-08002B2CF9AE}" pid="18" name="PM_Markers">
    <vt:lpwstr/>
  </property>
  <property fmtid="{D5CDD505-2E9C-101B-9397-08002B2CF9AE}" pid="19" name="PM_Display">
    <vt:lpwstr>Personal</vt:lpwstr>
  </property>
  <property fmtid="{D5CDD505-2E9C-101B-9397-08002B2CF9AE}" pid="20" name="PMUuid">
    <vt:lpwstr>v=2022.2;d=gov.au;g=65417EFE-F3B9-5E66-BD91-1E689FEC2EA6</vt:lpwstr>
  </property>
  <property fmtid="{D5CDD505-2E9C-101B-9397-08002B2CF9AE}" pid="21" name="PM_OriginatorDomainName_SHA256">
    <vt:lpwstr>ECBDE2B44A971754412B3FB70606937A119CC0D4B6C1B658A40FBD41C30BE3EC</vt:lpwstr>
  </property>
  <property fmtid="{D5CDD505-2E9C-101B-9397-08002B2CF9AE}" pid="22" name="MSIP_Label_bfd5df59-fc4a-42eb-ac4e-d9fda266b5d9_SetDate">
    <vt:lpwstr>2023-01-17T02:44:08Z</vt:lpwstr>
  </property>
  <property fmtid="{D5CDD505-2E9C-101B-9397-08002B2CF9AE}" pid="23" name="MSIP_Label_bfd5df59-fc4a-42eb-ac4e-d9fda266b5d9_Enabled">
    <vt:lpwstr>true</vt:lpwstr>
  </property>
  <property fmtid="{D5CDD505-2E9C-101B-9397-08002B2CF9AE}" pid="24" name="MSIP_Label_bfd5df59-fc4a-42eb-ac4e-d9fda266b5d9_ContentBits">
    <vt:lpwstr>0</vt:lpwstr>
  </property>
  <property fmtid="{D5CDD505-2E9C-101B-9397-08002B2CF9AE}" pid="25" name="MSIP_Label_bfd5df59-fc4a-42eb-ac4e-d9fda266b5d9_Name">
    <vt:lpwstr>UNOFFICIAL</vt:lpwstr>
  </property>
  <property fmtid="{D5CDD505-2E9C-101B-9397-08002B2CF9AE}" pid="26" name="MSIP_Label_bfd5df59-fc4a-42eb-ac4e-d9fda266b5d9_SiteId">
    <vt:lpwstr>c05e3ffd-b491-4431-9809-e61d4dc78816</vt:lpwstr>
  </property>
  <property fmtid="{D5CDD505-2E9C-101B-9397-08002B2CF9AE}" pid="27" name="MSIP_Label_bfd5df59-fc4a-42eb-ac4e-d9fda266b5d9_Method">
    <vt:lpwstr>Privileged</vt:lpwstr>
  </property>
  <property fmtid="{D5CDD505-2E9C-101B-9397-08002B2CF9AE}" pid="28" name="PM_Caveats_Count">
    <vt:lpwstr>0</vt:lpwstr>
  </property>
  <property fmtid="{D5CDD505-2E9C-101B-9397-08002B2CF9AE}" pid="29" name="RecordPoint_SubmissionDate">
    <vt:lpwstr/>
  </property>
  <property fmtid="{D5CDD505-2E9C-101B-9397-08002B2CF9AE}" pid="30" name="RecordPoint_RecordNumberSubmitted">
    <vt:lpwstr/>
  </property>
  <property fmtid="{D5CDD505-2E9C-101B-9397-08002B2CF9AE}" pid="31" name="APRACostCentre">
    <vt:lpwstr/>
  </property>
  <property fmtid="{D5CDD505-2E9C-101B-9397-08002B2CF9AE}" pid="32" name="ContentTypeId">
    <vt:lpwstr>0x010100E5E831F15EEA47429C4A0837D916ED91</vt:lpwstr>
  </property>
  <property fmtid="{D5CDD505-2E9C-101B-9397-08002B2CF9AE}" pid="33" name="RecordPoint_WorkflowType">
    <vt:lpwstr>ActiveSubmitStub</vt:lpwstr>
  </property>
  <property fmtid="{D5CDD505-2E9C-101B-9397-08002B2CF9AE}" pid="34" name="APRAPeerGroup">
    <vt:lpwstr/>
  </property>
  <property fmtid="{D5CDD505-2E9C-101B-9397-08002B2CF9AE}" pid="35" name="APRADocumentType">
    <vt:lpwstr>108;#Prudential standard|6ce5a155-9ab2-41e3-9b2a-5baab4b7f1d1</vt:lpwstr>
  </property>
  <property fmtid="{D5CDD505-2E9C-101B-9397-08002B2CF9AE}" pid="36" name="RecordPoint_ActiveItemSiteId">
    <vt:lpwstr>{84af826e-2518-4772-bac2-7b8081da2087}</vt:lpwstr>
  </property>
  <property fmtid="{D5CDD505-2E9C-101B-9397-08002B2CF9AE}" pid="37" name="APRAPRSG">
    <vt:lpwstr/>
  </property>
  <property fmtid="{D5CDD505-2E9C-101B-9397-08002B2CF9AE}" pid="38" name="APRAActivity">
    <vt:lpwstr>141;#Prudential standard development|fbeb3364-1425-47e2-8200-3b7f3a245dfe</vt:lpwstr>
  </property>
  <property fmtid="{D5CDD505-2E9C-101B-9397-08002B2CF9AE}" pid="39" name="RecordPoint_ActiveItemListId">
    <vt:lpwstr>{fc59aca8-863e-4c39-b69a-97632099c4a0}</vt:lpwstr>
  </property>
  <property fmtid="{D5CDD505-2E9C-101B-9397-08002B2CF9AE}" pid="40" name="APRALegislation">
    <vt:lpwstr/>
  </property>
  <property fmtid="{D5CDD505-2E9C-101B-9397-08002B2CF9AE}" pid="41" name="RecordPoint_ActiveItemMoved">
    <vt:lpwstr/>
  </property>
  <property fmtid="{D5CDD505-2E9C-101B-9397-08002B2CF9AE}" pid="42" name="RecordPoint_SubmissionCompleted">
    <vt:lpwstr/>
  </property>
  <property fmtid="{D5CDD505-2E9C-101B-9397-08002B2CF9AE}" pid="43" name="Language">
    <vt:lpwstr>English</vt:lpwstr>
  </property>
  <property fmtid="{D5CDD505-2E9C-101B-9397-08002B2CF9AE}" pid="44" name="APRAExternalOrganisation">
    <vt:lpwstr/>
  </property>
  <property fmtid="{D5CDD505-2E9C-101B-9397-08002B2CF9AE}" pid="45" name="APRAIRTR">
    <vt:lpwstr/>
  </property>
  <property fmtid="{D5CDD505-2E9C-101B-9397-08002B2CF9AE}" pid="46" name="APRAPeriod">
    <vt:lpwstr/>
  </property>
  <property fmtid="{D5CDD505-2E9C-101B-9397-08002B2CF9AE}" pid="47" name="RecordPoint_ActiveItemWebId">
    <vt:lpwstr>{e3b62e1b-357d-4d42-becf-206c8aada0ef}</vt:lpwstr>
  </property>
  <property fmtid="{D5CDD505-2E9C-101B-9397-08002B2CF9AE}" pid="48" name="IT system type">
    <vt:lpwstr/>
  </property>
  <property fmtid="{D5CDD505-2E9C-101B-9397-08002B2CF9AE}" pid="49" name="APRACategory">
    <vt:lpwstr/>
  </property>
  <property fmtid="{D5CDD505-2E9C-101B-9397-08002B2CF9AE}" pid="50" name="_dlc_DocIdItemGuid">
    <vt:lpwstr>2e72be99-1636-4557-838d-a57190aeda94</vt:lpwstr>
  </property>
  <property fmtid="{D5CDD505-2E9C-101B-9397-08002B2CF9AE}" pid="51" name="APRAStatus">
    <vt:lpwstr>1;#Draft|0e1556d2-3fe8-443a-ada7-3620563b46b3</vt:lpwstr>
  </property>
  <property fmtid="{D5CDD505-2E9C-101B-9397-08002B2CF9AE}" pid="52" name="APRATemplateType">
    <vt:lpwstr>23;#Policy|f1d41970-be64-43ea-8d6f-300cb1384ee7</vt:lpwstr>
  </property>
  <property fmtid="{D5CDD505-2E9C-101B-9397-08002B2CF9AE}" pid="53" name="APRAEntityAdviceSupport">
    <vt:lpwstr/>
  </property>
  <property fmtid="{D5CDD505-2E9C-101B-9397-08002B2CF9AE}" pid="54" name="APRAReportingGroup">
    <vt:lpwstr/>
  </property>
  <property fmtid="{D5CDD505-2E9C-101B-9397-08002B2CF9AE}" pid="55" name="APRAYear">
    <vt:lpwstr/>
  </property>
  <property fmtid="{D5CDD505-2E9C-101B-9397-08002B2CF9AE}" pid="56" name="APRAIndustry">
    <vt:lpwstr/>
  </property>
  <property fmtid="{D5CDD505-2E9C-101B-9397-08002B2CF9AE}" pid="57" name="RecordPoint_RecordFormat">
    <vt:lpwstr/>
  </property>
  <property fmtid="{D5CDD505-2E9C-101B-9397-08002B2CF9AE}" pid="58" name="RecordPoint_ActiveItemUniqueId">
    <vt:lpwstr>{2e72be99-1636-4557-838d-a57190aeda94}</vt:lpwstr>
  </property>
  <property fmtid="{D5CDD505-2E9C-101B-9397-08002B2CF9AE}" pid="59" name="IsLocked">
    <vt:lpwstr>Yes</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OriginatorUserAccountName_SHA256">
    <vt:lpwstr>6E3018F28A186D2E5FF5207C041E7A82E907C3008E071057026A53705873B72E</vt:lpwstr>
  </property>
  <property fmtid="{D5CDD505-2E9C-101B-9397-08002B2CF9AE}" pid="63" name="PMHMAC">
    <vt:lpwstr>v=2022.1;a=SHA256;h=BADD9A7DAE3096140A9ADDE1D5427B501CE19A1E738CBD6CB469FF914DCD27EB</vt:lpwstr>
  </property>
  <property fmtid="{D5CDD505-2E9C-101B-9397-08002B2CF9AE}" pid="64" name="MSIP_Label_bfd5df59-fc4a-42eb-ac4e-d9fda266b5d9_ActionId">
    <vt:lpwstr>4f4b61f65d58405b885e7312dd0f0e17</vt:lpwstr>
  </property>
  <property fmtid="{D5CDD505-2E9C-101B-9397-08002B2CF9AE}" pid="65" name="PM_Hash_Salt">
    <vt:lpwstr>9E19C9504563A2F8A1000E671F01BD74</vt:lpwstr>
  </property>
  <property fmtid="{D5CDD505-2E9C-101B-9397-08002B2CF9AE}" pid="66" name="PM_Hash_SHA1">
    <vt:lpwstr>A8EC1797865E8B2E5E1BFC8DE15B100590820B78</vt:lpwstr>
  </property>
  <property fmtid="{D5CDD505-2E9C-101B-9397-08002B2CF9AE}" pid="67" name="PM_Hash_Salt_Prev">
    <vt:lpwstr>30A67F3E5C91B3F85F68D8225B433AC4</vt:lpwstr>
  </property>
</Properties>
</file>