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E06D4" w14:textId="78564B0D" w:rsidR="00E00F5F" w:rsidRPr="00E22CDE" w:rsidRDefault="00E00F5F" w:rsidP="0068044D">
      <w:pPr>
        <w:pStyle w:val="Heading2"/>
        <w:rPr>
          <w:rFonts w:ascii="Times New Roman" w:hAnsi="Times New Roman" w:cs="Times New Roman"/>
          <w:b/>
          <w:bCs/>
          <w:color w:val="auto"/>
        </w:rPr>
      </w:pPr>
      <w:r w:rsidRPr="00E22CDE">
        <w:rPr>
          <w:rFonts w:ascii="Times New Roman" w:hAnsi="Times New Roman" w:cs="Times New Roman"/>
          <w:b/>
          <w:bCs/>
          <w:color w:val="auto"/>
        </w:rPr>
        <w:t>Explanatory Statement</w:t>
      </w:r>
    </w:p>
    <w:p w14:paraId="4BB8D805" w14:textId="1DA98552" w:rsidR="00E00F5F" w:rsidRPr="007D0D81" w:rsidRDefault="00E00F5F" w:rsidP="00A11B29">
      <w:pPr>
        <w:pStyle w:val="Heading3"/>
        <w:rPr>
          <w:rFonts w:ascii="Times New Roman" w:hAnsi="Times New Roman" w:cs="Times New Roman"/>
          <w:b/>
          <w:color w:val="auto"/>
          <w:sz w:val="32"/>
          <w:szCs w:val="32"/>
        </w:rPr>
      </w:pPr>
      <w:r w:rsidRPr="007D0D81">
        <w:rPr>
          <w:rFonts w:ascii="Times New Roman" w:hAnsi="Times New Roman" w:cs="Times New Roman"/>
          <w:b/>
          <w:color w:val="auto"/>
          <w:sz w:val="32"/>
          <w:szCs w:val="32"/>
        </w:rPr>
        <w:t xml:space="preserve">Privacy (Credit Related Research) Rule </w:t>
      </w:r>
      <w:r w:rsidR="00775A76" w:rsidRPr="007D0D81">
        <w:rPr>
          <w:rFonts w:ascii="Times New Roman" w:hAnsi="Times New Roman" w:cs="Times New Roman"/>
          <w:b/>
          <w:color w:val="auto"/>
          <w:sz w:val="32"/>
          <w:szCs w:val="32"/>
        </w:rPr>
        <w:t>2024</w:t>
      </w:r>
    </w:p>
    <w:p w14:paraId="0D440BF7" w14:textId="20A942FD" w:rsidR="00E00F5F" w:rsidRPr="006F2F68" w:rsidRDefault="00E00F5F" w:rsidP="00070021">
      <w:pPr>
        <w:rPr>
          <w:rFonts w:ascii="Times New Roman" w:hAnsi="Times New Roman" w:cs="Times New Roman"/>
          <w:sz w:val="22"/>
        </w:rPr>
      </w:pPr>
      <w:r w:rsidRPr="006F2F68">
        <w:rPr>
          <w:rFonts w:ascii="Times New Roman" w:hAnsi="Times New Roman" w:cs="Times New Roman"/>
          <w:sz w:val="22"/>
        </w:rPr>
        <w:t xml:space="preserve">This explanatory statement has been prepared by the </w:t>
      </w:r>
      <w:r w:rsidR="00A32C67" w:rsidRPr="006F2F68">
        <w:rPr>
          <w:rFonts w:ascii="Times New Roman" w:hAnsi="Times New Roman" w:cs="Times New Roman"/>
          <w:sz w:val="22"/>
        </w:rPr>
        <w:t xml:space="preserve">Privacy </w:t>
      </w:r>
      <w:r w:rsidRPr="006F2F68">
        <w:rPr>
          <w:rFonts w:ascii="Times New Roman" w:hAnsi="Times New Roman" w:cs="Times New Roman"/>
          <w:sz w:val="22"/>
        </w:rPr>
        <w:t>Commissioner</w:t>
      </w:r>
      <w:r w:rsidR="008522AA" w:rsidRPr="006F2F68">
        <w:rPr>
          <w:rFonts w:ascii="Times New Roman" w:hAnsi="Times New Roman" w:cs="Times New Roman"/>
          <w:sz w:val="22"/>
        </w:rPr>
        <w:t xml:space="preserve"> (the Commissioner)</w:t>
      </w:r>
      <w:r w:rsidRPr="006F2F68">
        <w:rPr>
          <w:rFonts w:ascii="Times New Roman" w:hAnsi="Times New Roman" w:cs="Times New Roman"/>
          <w:sz w:val="22"/>
        </w:rPr>
        <w:t xml:space="preserve">, in accordance with the functions and powers conferred on </w:t>
      </w:r>
      <w:r w:rsidR="00775A76" w:rsidRPr="006F2F68">
        <w:rPr>
          <w:rFonts w:ascii="Times New Roman" w:hAnsi="Times New Roman" w:cs="Times New Roman"/>
          <w:sz w:val="22"/>
        </w:rPr>
        <w:t xml:space="preserve">them </w:t>
      </w:r>
      <w:r w:rsidRPr="006F2F68">
        <w:rPr>
          <w:rFonts w:ascii="Times New Roman" w:hAnsi="Times New Roman" w:cs="Times New Roman"/>
          <w:sz w:val="22"/>
        </w:rPr>
        <w:t xml:space="preserve">by s </w:t>
      </w:r>
      <w:r w:rsidR="00057F65" w:rsidRPr="006F2F68">
        <w:rPr>
          <w:rFonts w:ascii="Times New Roman" w:hAnsi="Times New Roman" w:cs="Times New Roman"/>
          <w:sz w:val="22"/>
        </w:rPr>
        <w:t>1</w:t>
      </w:r>
      <w:r w:rsidR="007872AF" w:rsidRPr="006F2F68">
        <w:rPr>
          <w:rFonts w:ascii="Times New Roman" w:hAnsi="Times New Roman" w:cs="Times New Roman"/>
          <w:sz w:val="22"/>
        </w:rPr>
        <w:t>2</w:t>
      </w:r>
      <w:r w:rsidR="00057F65" w:rsidRPr="006F2F68">
        <w:rPr>
          <w:rFonts w:ascii="Times New Roman" w:hAnsi="Times New Roman" w:cs="Times New Roman"/>
          <w:sz w:val="22"/>
        </w:rPr>
        <w:t xml:space="preserve"> </w:t>
      </w:r>
      <w:r w:rsidRPr="006F2F68">
        <w:rPr>
          <w:rFonts w:ascii="Times New Roman" w:hAnsi="Times New Roman" w:cs="Times New Roman"/>
          <w:sz w:val="22"/>
        </w:rPr>
        <w:t xml:space="preserve">of </w:t>
      </w:r>
      <w:r w:rsidRPr="006F2F68">
        <w:rPr>
          <w:rFonts w:ascii="Times New Roman" w:hAnsi="Times New Roman" w:cs="Times New Roman"/>
          <w:i/>
          <w:sz w:val="22"/>
        </w:rPr>
        <w:t xml:space="preserve">the Australian Information Commissioner Act 2010 </w:t>
      </w:r>
      <w:r w:rsidRPr="006F2F68">
        <w:rPr>
          <w:rFonts w:ascii="Times New Roman" w:hAnsi="Times New Roman" w:cs="Times New Roman"/>
          <w:sz w:val="22"/>
        </w:rPr>
        <w:t xml:space="preserve">(the AIC Act). </w:t>
      </w:r>
    </w:p>
    <w:p w14:paraId="068BB589" w14:textId="7CD9362C" w:rsidR="00E00F5F" w:rsidRPr="006F2F68" w:rsidRDefault="00E00F5F" w:rsidP="00070021">
      <w:pPr>
        <w:rPr>
          <w:rFonts w:ascii="Times New Roman" w:hAnsi="Times New Roman" w:cs="Times New Roman"/>
          <w:sz w:val="22"/>
        </w:rPr>
      </w:pPr>
      <w:r w:rsidRPr="006F2F68">
        <w:rPr>
          <w:rFonts w:ascii="Times New Roman" w:hAnsi="Times New Roman" w:cs="Times New Roman"/>
          <w:sz w:val="22"/>
        </w:rPr>
        <w:t xml:space="preserve">It explains the purpose and intended operation of the Privacy (Credit Related Research) Rule </w:t>
      </w:r>
      <w:r w:rsidR="00775A76" w:rsidRPr="006F2F68">
        <w:rPr>
          <w:rFonts w:ascii="Times New Roman" w:hAnsi="Times New Roman" w:cs="Times New Roman"/>
          <w:sz w:val="22"/>
        </w:rPr>
        <w:t xml:space="preserve">2024 </w:t>
      </w:r>
      <w:r w:rsidRPr="006F2F68">
        <w:rPr>
          <w:rFonts w:ascii="Times New Roman" w:hAnsi="Times New Roman" w:cs="Times New Roman"/>
          <w:sz w:val="22"/>
        </w:rPr>
        <w:t>(the Rule) made under s 20</w:t>
      </w:r>
      <w:proofErr w:type="gramStart"/>
      <w:r w:rsidRPr="006F2F68">
        <w:rPr>
          <w:rFonts w:ascii="Times New Roman" w:hAnsi="Times New Roman" w:cs="Times New Roman"/>
          <w:sz w:val="22"/>
        </w:rPr>
        <w:t>M(</w:t>
      </w:r>
      <w:proofErr w:type="gramEnd"/>
      <w:r w:rsidRPr="006F2F68">
        <w:rPr>
          <w:rFonts w:ascii="Times New Roman" w:hAnsi="Times New Roman" w:cs="Times New Roman"/>
          <w:sz w:val="22"/>
        </w:rPr>
        <w:t xml:space="preserve">3) of the </w:t>
      </w:r>
      <w:r w:rsidRPr="006F2F68">
        <w:rPr>
          <w:rFonts w:ascii="Times New Roman" w:hAnsi="Times New Roman" w:cs="Times New Roman"/>
          <w:i/>
          <w:sz w:val="22"/>
        </w:rPr>
        <w:t>Privacy Act 1988</w:t>
      </w:r>
      <w:r w:rsidRPr="006F2F68">
        <w:rPr>
          <w:rFonts w:ascii="Times New Roman" w:hAnsi="Times New Roman" w:cs="Times New Roman"/>
          <w:sz w:val="22"/>
        </w:rPr>
        <w:t xml:space="preserve"> (the Privacy Act).</w:t>
      </w:r>
      <w:r w:rsidR="008E6B39" w:rsidRPr="006F2F68">
        <w:rPr>
          <w:rFonts w:ascii="Times New Roman" w:hAnsi="Times New Roman" w:cs="Times New Roman"/>
          <w:sz w:val="22"/>
        </w:rPr>
        <w:t xml:space="preserve"> The Rule </w:t>
      </w:r>
      <w:r w:rsidR="00D97688" w:rsidRPr="006F2F68">
        <w:rPr>
          <w:rFonts w:ascii="Times New Roman" w:hAnsi="Times New Roman" w:cs="Times New Roman"/>
          <w:sz w:val="22"/>
        </w:rPr>
        <w:t xml:space="preserve">repeals and </w:t>
      </w:r>
      <w:r w:rsidR="008E6B39" w:rsidRPr="006F2F68">
        <w:rPr>
          <w:rFonts w:ascii="Times New Roman" w:hAnsi="Times New Roman" w:cs="Times New Roman"/>
          <w:sz w:val="22"/>
        </w:rPr>
        <w:t xml:space="preserve">replaces the Privacy (Credit Related Research) Rule 2014 </w:t>
      </w:r>
      <w:r w:rsidR="00BD4358" w:rsidRPr="006F2F68">
        <w:rPr>
          <w:rFonts w:ascii="Times New Roman" w:hAnsi="Times New Roman" w:cs="Times New Roman"/>
          <w:sz w:val="22"/>
        </w:rPr>
        <w:t>(Previous Rule)</w:t>
      </w:r>
      <w:r w:rsidR="008E6B39" w:rsidRPr="006F2F68">
        <w:rPr>
          <w:rFonts w:ascii="Times New Roman" w:hAnsi="Times New Roman" w:cs="Times New Roman"/>
          <w:sz w:val="22"/>
        </w:rPr>
        <w:t>.</w:t>
      </w:r>
    </w:p>
    <w:p w14:paraId="74172246" w14:textId="05161A18" w:rsidR="000153C5" w:rsidRPr="006F2F68" w:rsidRDefault="000153C5" w:rsidP="00070021">
      <w:pPr>
        <w:rPr>
          <w:rFonts w:ascii="Times New Roman" w:hAnsi="Times New Roman" w:cs="Times New Roman"/>
          <w:sz w:val="22"/>
        </w:rPr>
      </w:pPr>
      <w:r w:rsidRPr="006F2F68">
        <w:rPr>
          <w:rFonts w:ascii="Times New Roman" w:hAnsi="Times New Roman" w:cs="Times New Roman"/>
          <w:sz w:val="22"/>
        </w:rPr>
        <w:t xml:space="preserve">It also </w:t>
      </w:r>
      <w:r w:rsidR="001F23BB" w:rsidRPr="006F2F68">
        <w:rPr>
          <w:rFonts w:ascii="Times New Roman" w:hAnsi="Times New Roman" w:cs="Times New Roman"/>
          <w:sz w:val="22"/>
        </w:rPr>
        <w:t>provides</w:t>
      </w:r>
      <w:r w:rsidRPr="006F2F68">
        <w:rPr>
          <w:rFonts w:ascii="Times New Roman" w:hAnsi="Times New Roman" w:cs="Times New Roman"/>
          <w:sz w:val="22"/>
        </w:rPr>
        <w:t xml:space="preserve"> background information on </w:t>
      </w:r>
      <w:r w:rsidR="001F23BB" w:rsidRPr="006F2F68">
        <w:rPr>
          <w:rFonts w:ascii="Times New Roman" w:hAnsi="Times New Roman" w:cs="Times New Roman"/>
          <w:sz w:val="22"/>
        </w:rPr>
        <w:t xml:space="preserve">Part IIIA </w:t>
      </w:r>
      <w:r w:rsidR="007234E4" w:rsidRPr="006F2F68">
        <w:rPr>
          <w:rFonts w:ascii="Times New Roman" w:hAnsi="Times New Roman" w:cs="Times New Roman"/>
          <w:sz w:val="22"/>
        </w:rPr>
        <w:t xml:space="preserve">of </w:t>
      </w:r>
      <w:r w:rsidR="001F23BB" w:rsidRPr="006F2F68">
        <w:rPr>
          <w:rFonts w:ascii="Times New Roman" w:hAnsi="Times New Roman" w:cs="Times New Roman"/>
          <w:sz w:val="22"/>
        </w:rPr>
        <w:t>the Privacy Act, which regulates</w:t>
      </w:r>
      <w:r w:rsidR="007234E4" w:rsidRPr="006F2F68">
        <w:rPr>
          <w:rFonts w:ascii="Times New Roman" w:hAnsi="Times New Roman" w:cs="Times New Roman"/>
          <w:sz w:val="22"/>
        </w:rPr>
        <w:t xml:space="preserve"> the collection and handling of credit reporting information by </w:t>
      </w:r>
      <w:r w:rsidR="00920D8A" w:rsidRPr="006F2F68">
        <w:rPr>
          <w:rFonts w:ascii="Times New Roman" w:hAnsi="Times New Roman" w:cs="Times New Roman"/>
          <w:sz w:val="22"/>
        </w:rPr>
        <w:t>credit reporting bodies (</w:t>
      </w:r>
      <w:r w:rsidR="007234E4" w:rsidRPr="006F2F68">
        <w:rPr>
          <w:rFonts w:ascii="Times New Roman" w:hAnsi="Times New Roman" w:cs="Times New Roman"/>
          <w:sz w:val="22"/>
        </w:rPr>
        <w:t>CRBs</w:t>
      </w:r>
      <w:r w:rsidR="00920D8A" w:rsidRPr="006F2F68">
        <w:rPr>
          <w:rFonts w:ascii="Times New Roman" w:hAnsi="Times New Roman" w:cs="Times New Roman"/>
          <w:sz w:val="22"/>
        </w:rPr>
        <w:t>)</w:t>
      </w:r>
      <w:r w:rsidR="007234E4" w:rsidRPr="006F2F68">
        <w:rPr>
          <w:rFonts w:ascii="Times New Roman" w:hAnsi="Times New Roman" w:cs="Times New Roman"/>
          <w:sz w:val="22"/>
        </w:rPr>
        <w:t xml:space="preserve"> and credit providers to provide context for the </w:t>
      </w:r>
      <w:r w:rsidR="00544D7B" w:rsidRPr="006F2F68">
        <w:rPr>
          <w:rFonts w:ascii="Times New Roman" w:hAnsi="Times New Roman" w:cs="Times New Roman"/>
          <w:sz w:val="22"/>
        </w:rPr>
        <w:t>purpose and operation of the Rule</w:t>
      </w:r>
      <w:r w:rsidR="007234E4" w:rsidRPr="006F2F68">
        <w:rPr>
          <w:rFonts w:ascii="Times New Roman" w:hAnsi="Times New Roman" w:cs="Times New Roman"/>
          <w:sz w:val="22"/>
        </w:rPr>
        <w:t>.</w:t>
      </w:r>
    </w:p>
    <w:p w14:paraId="38C00217" w14:textId="77777777" w:rsidR="00E00F5F" w:rsidRPr="00E22CDE" w:rsidRDefault="00E00F5F" w:rsidP="00A11B29">
      <w:pPr>
        <w:pStyle w:val="Heading4"/>
        <w:rPr>
          <w:rFonts w:ascii="Times New Roman" w:hAnsi="Times New Roman" w:cs="Times New Roman"/>
          <w:color w:val="auto"/>
          <w:sz w:val="28"/>
          <w:szCs w:val="28"/>
        </w:rPr>
      </w:pPr>
      <w:r w:rsidRPr="00E22CDE">
        <w:rPr>
          <w:rFonts w:ascii="Times New Roman" w:hAnsi="Times New Roman" w:cs="Times New Roman"/>
          <w:color w:val="auto"/>
          <w:sz w:val="28"/>
          <w:szCs w:val="28"/>
        </w:rPr>
        <w:t>Authority for the Rule</w:t>
      </w:r>
    </w:p>
    <w:p w14:paraId="391D0479" w14:textId="26405A84" w:rsidR="00E00F5F" w:rsidRPr="006F2F68" w:rsidRDefault="00E00F5F" w:rsidP="00E00F5F">
      <w:pPr>
        <w:spacing w:after="200"/>
        <w:contextualSpacing/>
        <w:rPr>
          <w:rFonts w:ascii="Times New Roman" w:hAnsi="Times New Roman" w:cs="Times New Roman"/>
          <w:sz w:val="22"/>
        </w:rPr>
      </w:pPr>
      <w:r w:rsidRPr="006F2F68">
        <w:rPr>
          <w:rFonts w:ascii="Times New Roman" w:hAnsi="Times New Roman" w:cs="Times New Roman"/>
          <w:sz w:val="22"/>
        </w:rPr>
        <w:t>Section 20M of the Privacy Act provides:</w:t>
      </w:r>
    </w:p>
    <w:p w14:paraId="294160D0" w14:textId="77777777" w:rsidR="00E00F5F" w:rsidRPr="006F2F68" w:rsidRDefault="00E00F5F" w:rsidP="00E00F5F">
      <w:pPr>
        <w:spacing w:after="200"/>
        <w:contextualSpacing/>
        <w:rPr>
          <w:rFonts w:ascii="Times New Roman" w:hAnsi="Times New Roman" w:cs="Times New Roman"/>
          <w:sz w:val="22"/>
        </w:rPr>
      </w:pPr>
    </w:p>
    <w:p w14:paraId="4C2BD0A5" w14:textId="77777777" w:rsidR="00E00F5F" w:rsidRPr="006F2F68" w:rsidRDefault="00E00F5F" w:rsidP="00E00F5F">
      <w:pPr>
        <w:ind w:left="720" w:firstLine="720"/>
        <w:rPr>
          <w:rFonts w:ascii="Times New Roman" w:hAnsi="Times New Roman" w:cs="Times New Roman"/>
          <w:i/>
          <w:iCs/>
          <w:sz w:val="22"/>
        </w:rPr>
      </w:pPr>
      <w:r w:rsidRPr="006F2F68">
        <w:rPr>
          <w:rFonts w:ascii="Times New Roman" w:hAnsi="Times New Roman" w:cs="Times New Roman"/>
          <w:i/>
          <w:iCs/>
          <w:sz w:val="22"/>
        </w:rPr>
        <w:t xml:space="preserve">Use or </w:t>
      </w:r>
      <w:proofErr w:type="gramStart"/>
      <w:r w:rsidRPr="006F2F68">
        <w:rPr>
          <w:rFonts w:ascii="Times New Roman" w:hAnsi="Times New Roman" w:cs="Times New Roman"/>
          <w:i/>
          <w:iCs/>
          <w:sz w:val="22"/>
        </w:rPr>
        <w:t>disclosure</w:t>
      </w:r>
      <w:proofErr w:type="gramEnd"/>
    </w:p>
    <w:p w14:paraId="47F035EA" w14:textId="77777777" w:rsidR="00E00F5F" w:rsidRPr="006F2F68" w:rsidRDefault="00E00F5F" w:rsidP="00385379">
      <w:pPr>
        <w:pStyle w:val="ListParagraph"/>
        <w:numPr>
          <w:ilvl w:val="0"/>
          <w:numId w:val="17"/>
        </w:numPr>
        <w:spacing w:after="200"/>
        <w:contextualSpacing/>
        <w:rPr>
          <w:rFonts w:ascii="Times New Roman" w:hAnsi="Times New Roman" w:cs="Times New Roman"/>
          <w:sz w:val="22"/>
        </w:rPr>
      </w:pPr>
      <w:r w:rsidRPr="006F2F68">
        <w:rPr>
          <w:rFonts w:ascii="Times New Roman" w:hAnsi="Times New Roman" w:cs="Times New Roman"/>
          <w:sz w:val="22"/>
        </w:rPr>
        <w:t>If:</w:t>
      </w:r>
    </w:p>
    <w:p w14:paraId="65512207" w14:textId="77777777" w:rsidR="00E00F5F" w:rsidRPr="006F2F68" w:rsidRDefault="00E00F5F" w:rsidP="00385379">
      <w:pPr>
        <w:pStyle w:val="ListParagraph"/>
        <w:numPr>
          <w:ilvl w:val="1"/>
          <w:numId w:val="17"/>
        </w:numPr>
        <w:spacing w:after="200"/>
        <w:contextualSpacing/>
        <w:rPr>
          <w:rFonts w:ascii="Times New Roman" w:hAnsi="Times New Roman" w:cs="Times New Roman"/>
          <w:sz w:val="22"/>
        </w:rPr>
      </w:pPr>
      <w:r w:rsidRPr="006F2F68">
        <w:rPr>
          <w:rFonts w:ascii="Times New Roman" w:hAnsi="Times New Roman" w:cs="Times New Roman"/>
          <w:sz w:val="22"/>
        </w:rPr>
        <w:t>a credit reporting body holds credit reporting information; and</w:t>
      </w:r>
    </w:p>
    <w:p w14:paraId="74936671" w14:textId="77777777" w:rsidR="00E00F5F" w:rsidRPr="006F2F68" w:rsidRDefault="00E00F5F" w:rsidP="00385379">
      <w:pPr>
        <w:pStyle w:val="ListParagraph"/>
        <w:numPr>
          <w:ilvl w:val="1"/>
          <w:numId w:val="17"/>
        </w:numPr>
        <w:spacing w:after="120"/>
        <w:contextualSpacing/>
        <w:rPr>
          <w:rFonts w:ascii="Times New Roman" w:hAnsi="Times New Roman" w:cs="Times New Roman"/>
          <w:sz w:val="22"/>
        </w:rPr>
      </w:pPr>
      <w:r w:rsidRPr="006F2F68">
        <w:rPr>
          <w:rFonts w:ascii="Times New Roman" w:hAnsi="Times New Roman" w:cs="Times New Roman"/>
          <w:sz w:val="22"/>
        </w:rPr>
        <w:t xml:space="preserve">the information (the </w:t>
      </w:r>
      <w:r w:rsidRPr="006F2F68">
        <w:rPr>
          <w:rFonts w:ascii="Times New Roman" w:hAnsi="Times New Roman" w:cs="Times New Roman"/>
          <w:b/>
          <w:bCs/>
          <w:i/>
          <w:iCs/>
          <w:sz w:val="22"/>
        </w:rPr>
        <w:t>de-identified information</w:t>
      </w:r>
      <w:r w:rsidRPr="006F2F68">
        <w:rPr>
          <w:rFonts w:ascii="Times New Roman" w:hAnsi="Times New Roman" w:cs="Times New Roman"/>
          <w:sz w:val="22"/>
        </w:rPr>
        <w:t>) is de-identified; [</w:t>
      </w:r>
      <w:r w:rsidRPr="006F2F68">
        <w:rPr>
          <w:rFonts w:ascii="Times New Roman" w:hAnsi="Times New Roman" w:cs="Times New Roman"/>
          <w:i/>
          <w:sz w:val="22"/>
        </w:rPr>
        <w:t>sic</w:t>
      </w:r>
      <w:r w:rsidRPr="006F2F68">
        <w:rPr>
          <w:rFonts w:ascii="Times New Roman" w:hAnsi="Times New Roman" w:cs="Times New Roman"/>
          <w:sz w:val="22"/>
        </w:rPr>
        <w:t>]</w:t>
      </w:r>
    </w:p>
    <w:p w14:paraId="55CDFF93" w14:textId="77777777" w:rsidR="00E00F5F" w:rsidRPr="006F2F68" w:rsidRDefault="00E00F5F" w:rsidP="00E00F5F">
      <w:pPr>
        <w:spacing w:after="120"/>
        <w:ind w:left="357" w:firstLine="720"/>
        <w:rPr>
          <w:rFonts w:ascii="Times New Roman" w:hAnsi="Times New Roman" w:cs="Times New Roman"/>
          <w:sz w:val="22"/>
        </w:rPr>
      </w:pPr>
      <w:r w:rsidRPr="006F2F68">
        <w:rPr>
          <w:rFonts w:ascii="Times New Roman" w:hAnsi="Times New Roman" w:cs="Times New Roman"/>
          <w:sz w:val="22"/>
        </w:rPr>
        <w:t>the body must not use or disclose the de-identified information.</w:t>
      </w:r>
    </w:p>
    <w:p w14:paraId="5AD2946D" w14:textId="77777777" w:rsidR="00E00F5F" w:rsidRPr="006F2F68" w:rsidRDefault="00E00F5F" w:rsidP="00385379">
      <w:pPr>
        <w:pStyle w:val="ListParagraph"/>
        <w:numPr>
          <w:ilvl w:val="0"/>
          <w:numId w:val="17"/>
        </w:numPr>
        <w:spacing w:after="200"/>
        <w:contextualSpacing/>
        <w:rPr>
          <w:rFonts w:ascii="Times New Roman" w:hAnsi="Times New Roman" w:cs="Times New Roman"/>
          <w:sz w:val="22"/>
        </w:rPr>
      </w:pPr>
      <w:r w:rsidRPr="006F2F68">
        <w:rPr>
          <w:rFonts w:ascii="Times New Roman" w:hAnsi="Times New Roman" w:cs="Times New Roman"/>
          <w:sz w:val="22"/>
        </w:rPr>
        <w:t>Subsection (1) does not apply to the use or disclosure of the de-identified information if:</w:t>
      </w:r>
    </w:p>
    <w:p w14:paraId="5B94F442" w14:textId="77777777" w:rsidR="00E00F5F" w:rsidRPr="006F2F68" w:rsidRDefault="00E00F5F" w:rsidP="00385379">
      <w:pPr>
        <w:pStyle w:val="ListParagraph"/>
        <w:numPr>
          <w:ilvl w:val="1"/>
          <w:numId w:val="17"/>
        </w:numPr>
        <w:spacing w:after="200"/>
        <w:contextualSpacing/>
        <w:rPr>
          <w:rFonts w:ascii="Times New Roman" w:hAnsi="Times New Roman" w:cs="Times New Roman"/>
          <w:sz w:val="22"/>
        </w:rPr>
      </w:pPr>
      <w:r w:rsidRPr="006F2F68">
        <w:rPr>
          <w:rFonts w:ascii="Times New Roman" w:hAnsi="Times New Roman" w:cs="Times New Roman"/>
          <w:sz w:val="22"/>
        </w:rPr>
        <w:t>the use or disclosure is for the purposes of conducting research in relation to credit; and</w:t>
      </w:r>
    </w:p>
    <w:p w14:paraId="7C6B7FEF" w14:textId="77777777" w:rsidR="00E00F5F" w:rsidRPr="006F2F68" w:rsidRDefault="00E00F5F" w:rsidP="00385379">
      <w:pPr>
        <w:pStyle w:val="ListParagraph"/>
        <w:numPr>
          <w:ilvl w:val="1"/>
          <w:numId w:val="17"/>
        </w:numPr>
        <w:spacing w:after="200"/>
        <w:contextualSpacing/>
        <w:rPr>
          <w:rFonts w:ascii="Times New Roman" w:hAnsi="Times New Roman" w:cs="Times New Roman"/>
          <w:sz w:val="22"/>
        </w:rPr>
      </w:pPr>
      <w:r w:rsidRPr="006F2F68">
        <w:rPr>
          <w:rFonts w:ascii="Times New Roman" w:hAnsi="Times New Roman" w:cs="Times New Roman"/>
          <w:sz w:val="22"/>
        </w:rPr>
        <w:t>the credit reporting body complies with the rules made under subsection (3).</w:t>
      </w:r>
    </w:p>
    <w:p w14:paraId="4317EC9C" w14:textId="77777777" w:rsidR="00E00F5F" w:rsidRPr="006F2F68" w:rsidRDefault="00E00F5F" w:rsidP="00E00F5F">
      <w:pPr>
        <w:ind w:left="1440"/>
        <w:rPr>
          <w:rFonts w:ascii="Times New Roman" w:hAnsi="Times New Roman" w:cs="Times New Roman"/>
          <w:i/>
          <w:iCs/>
          <w:sz w:val="22"/>
        </w:rPr>
      </w:pPr>
      <w:r w:rsidRPr="006F2F68">
        <w:rPr>
          <w:rFonts w:ascii="Times New Roman" w:hAnsi="Times New Roman" w:cs="Times New Roman"/>
          <w:i/>
          <w:iCs/>
          <w:sz w:val="22"/>
        </w:rPr>
        <w:t xml:space="preserve">Commissioner may make </w:t>
      </w:r>
      <w:proofErr w:type="gramStart"/>
      <w:r w:rsidRPr="006F2F68">
        <w:rPr>
          <w:rFonts w:ascii="Times New Roman" w:hAnsi="Times New Roman" w:cs="Times New Roman"/>
          <w:i/>
          <w:iCs/>
          <w:sz w:val="22"/>
        </w:rPr>
        <w:t>rules</w:t>
      </w:r>
      <w:proofErr w:type="gramEnd"/>
    </w:p>
    <w:p w14:paraId="07DCEF06" w14:textId="77777777" w:rsidR="00E00F5F" w:rsidRPr="006F2F68" w:rsidRDefault="00E00F5F" w:rsidP="00385379">
      <w:pPr>
        <w:pStyle w:val="ListParagraph"/>
        <w:numPr>
          <w:ilvl w:val="0"/>
          <w:numId w:val="17"/>
        </w:numPr>
        <w:spacing w:after="200"/>
        <w:contextualSpacing/>
        <w:rPr>
          <w:rFonts w:ascii="Times New Roman" w:hAnsi="Times New Roman" w:cs="Times New Roman"/>
          <w:sz w:val="22"/>
        </w:rPr>
      </w:pPr>
      <w:r w:rsidRPr="006F2F68">
        <w:rPr>
          <w:rFonts w:ascii="Times New Roman" w:hAnsi="Times New Roman" w:cs="Times New Roman"/>
          <w:sz w:val="22"/>
        </w:rPr>
        <w:t>The Commissioner may, by legislative instrument, make rules relating to the use or disclosure by a credit reporting body of de-identified information for the purposes of conducting research in relation to credit.</w:t>
      </w:r>
    </w:p>
    <w:p w14:paraId="41CA5E32" w14:textId="77777777" w:rsidR="00E00F5F" w:rsidRPr="006F2F68" w:rsidRDefault="00E00F5F" w:rsidP="00E00F5F">
      <w:pPr>
        <w:pStyle w:val="ListParagraph"/>
        <w:spacing w:after="200"/>
        <w:ind w:left="1070"/>
        <w:rPr>
          <w:rFonts w:ascii="Times New Roman" w:hAnsi="Times New Roman" w:cs="Times New Roman"/>
          <w:sz w:val="22"/>
        </w:rPr>
      </w:pPr>
    </w:p>
    <w:p w14:paraId="0B8C73AB" w14:textId="77777777" w:rsidR="00E00F5F" w:rsidRPr="006F2F68" w:rsidRDefault="00E00F5F" w:rsidP="00385379">
      <w:pPr>
        <w:pStyle w:val="ListParagraph"/>
        <w:numPr>
          <w:ilvl w:val="0"/>
          <w:numId w:val="17"/>
        </w:numPr>
        <w:spacing w:after="200"/>
        <w:contextualSpacing/>
        <w:rPr>
          <w:rFonts w:ascii="Times New Roman" w:hAnsi="Times New Roman" w:cs="Times New Roman"/>
          <w:iCs/>
          <w:sz w:val="22"/>
        </w:rPr>
      </w:pPr>
      <w:r w:rsidRPr="006F2F68">
        <w:rPr>
          <w:rFonts w:ascii="Times New Roman" w:hAnsi="Times New Roman" w:cs="Times New Roman"/>
          <w:sz w:val="22"/>
        </w:rPr>
        <w:t>Without limiting subsection (3), the rules may relate to the following matters:</w:t>
      </w:r>
    </w:p>
    <w:p w14:paraId="263E0FE2" w14:textId="77777777" w:rsidR="00E00F5F" w:rsidRPr="006F2F68" w:rsidRDefault="00E00F5F" w:rsidP="00385379">
      <w:pPr>
        <w:pStyle w:val="ListParagraph"/>
        <w:numPr>
          <w:ilvl w:val="1"/>
          <w:numId w:val="17"/>
        </w:numPr>
        <w:spacing w:after="200"/>
        <w:contextualSpacing/>
        <w:rPr>
          <w:rFonts w:ascii="Times New Roman" w:hAnsi="Times New Roman" w:cs="Times New Roman"/>
          <w:iCs/>
          <w:sz w:val="22"/>
        </w:rPr>
      </w:pPr>
      <w:r w:rsidRPr="006F2F68">
        <w:rPr>
          <w:rFonts w:ascii="Times New Roman" w:hAnsi="Times New Roman" w:cs="Times New Roman"/>
          <w:sz w:val="22"/>
        </w:rPr>
        <w:t xml:space="preserve">the kinds of de-identified information that may or may not be used or disclosed for the purposes of conducting the </w:t>
      </w:r>
      <w:proofErr w:type="gramStart"/>
      <w:r w:rsidRPr="006F2F68">
        <w:rPr>
          <w:rFonts w:ascii="Times New Roman" w:hAnsi="Times New Roman" w:cs="Times New Roman"/>
          <w:sz w:val="22"/>
        </w:rPr>
        <w:t>research;</w:t>
      </w:r>
      <w:proofErr w:type="gramEnd"/>
    </w:p>
    <w:p w14:paraId="35F423C0" w14:textId="77777777" w:rsidR="00E00F5F" w:rsidRPr="006F2F68" w:rsidRDefault="00E00F5F" w:rsidP="00385379">
      <w:pPr>
        <w:pStyle w:val="ListParagraph"/>
        <w:numPr>
          <w:ilvl w:val="1"/>
          <w:numId w:val="17"/>
        </w:numPr>
        <w:spacing w:after="200"/>
        <w:contextualSpacing/>
        <w:rPr>
          <w:rFonts w:ascii="Times New Roman" w:hAnsi="Times New Roman" w:cs="Times New Roman"/>
          <w:iCs/>
          <w:sz w:val="22"/>
        </w:rPr>
      </w:pPr>
      <w:r w:rsidRPr="006F2F68">
        <w:rPr>
          <w:rFonts w:ascii="Times New Roman" w:hAnsi="Times New Roman" w:cs="Times New Roman"/>
          <w:sz w:val="22"/>
        </w:rPr>
        <w:t xml:space="preserve">whether or not the research is research in relation to </w:t>
      </w:r>
      <w:proofErr w:type="gramStart"/>
      <w:r w:rsidRPr="006F2F68">
        <w:rPr>
          <w:rFonts w:ascii="Times New Roman" w:hAnsi="Times New Roman" w:cs="Times New Roman"/>
          <w:sz w:val="22"/>
        </w:rPr>
        <w:t>credit;</w:t>
      </w:r>
      <w:proofErr w:type="gramEnd"/>
    </w:p>
    <w:p w14:paraId="720C3DA3" w14:textId="77777777" w:rsidR="00E00F5F" w:rsidRPr="006F2F68" w:rsidRDefault="00E00F5F" w:rsidP="00385379">
      <w:pPr>
        <w:pStyle w:val="ListParagraph"/>
        <w:numPr>
          <w:ilvl w:val="1"/>
          <w:numId w:val="17"/>
        </w:numPr>
        <w:spacing w:after="200"/>
        <w:contextualSpacing/>
        <w:rPr>
          <w:rFonts w:ascii="Times New Roman" w:hAnsi="Times New Roman" w:cs="Times New Roman"/>
          <w:iCs/>
          <w:sz w:val="22"/>
        </w:rPr>
      </w:pPr>
      <w:r w:rsidRPr="006F2F68">
        <w:rPr>
          <w:rFonts w:ascii="Times New Roman" w:hAnsi="Times New Roman" w:cs="Times New Roman"/>
          <w:sz w:val="22"/>
        </w:rPr>
        <w:t xml:space="preserve">the purposes of conducting the </w:t>
      </w:r>
      <w:proofErr w:type="gramStart"/>
      <w:r w:rsidRPr="006F2F68">
        <w:rPr>
          <w:rFonts w:ascii="Times New Roman" w:hAnsi="Times New Roman" w:cs="Times New Roman"/>
          <w:sz w:val="22"/>
        </w:rPr>
        <w:t>research;</w:t>
      </w:r>
      <w:proofErr w:type="gramEnd"/>
    </w:p>
    <w:p w14:paraId="5AA57B97" w14:textId="77777777" w:rsidR="00E00F5F" w:rsidRPr="006F2F68" w:rsidRDefault="00E00F5F" w:rsidP="00385379">
      <w:pPr>
        <w:pStyle w:val="ListParagraph"/>
        <w:numPr>
          <w:ilvl w:val="1"/>
          <w:numId w:val="17"/>
        </w:numPr>
        <w:spacing w:after="200"/>
        <w:contextualSpacing/>
        <w:rPr>
          <w:rFonts w:ascii="Times New Roman" w:hAnsi="Times New Roman" w:cs="Times New Roman"/>
          <w:iCs/>
          <w:sz w:val="22"/>
        </w:rPr>
      </w:pPr>
      <w:r w:rsidRPr="006F2F68">
        <w:rPr>
          <w:rFonts w:ascii="Times New Roman" w:hAnsi="Times New Roman" w:cs="Times New Roman"/>
          <w:sz w:val="22"/>
        </w:rPr>
        <w:t xml:space="preserve">consultation about the </w:t>
      </w:r>
      <w:proofErr w:type="gramStart"/>
      <w:r w:rsidRPr="006F2F68">
        <w:rPr>
          <w:rFonts w:ascii="Times New Roman" w:hAnsi="Times New Roman" w:cs="Times New Roman"/>
          <w:sz w:val="22"/>
        </w:rPr>
        <w:t>research;</w:t>
      </w:r>
      <w:proofErr w:type="gramEnd"/>
    </w:p>
    <w:p w14:paraId="198346EB" w14:textId="77777777" w:rsidR="00E00F5F" w:rsidRPr="006F2F68" w:rsidRDefault="00E00F5F" w:rsidP="00385379">
      <w:pPr>
        <w:pStyle w:val="ListParagraph"/>
        <w:numPr>
          <w:ilvl w:val="1"/>
          <w:numId w:val="17"/>
        </w:numPr>
        <w:spacing w:after="200"/>
        <w:contextualSpacing/>
        <w:rPr>
          <w:rFonts w:ascii="Times New Roman" w:hAnsi="Times New Roman" w:cs="Times New Roman"/>
          <w:iCs/>
          <w:sz w:val="22"/>
        </w:rPr>
      </w:pPr>
      <w:r w:rsidRPr="006F2F68">
        <w:rPr>
          <w:rFonts w:ascii="Times New Roman" w:hAnsi="Times New Roman" w:cs="Times New Roman"/>
          <w:sz w:val="22"/>
        </w:rPr>
        <w:t>how the research is conducted.</w:t>
      </w:r>
    </w:p>
    <w:p w14:paraId="607E49F7" w14:textId="77777777" w:rsidR="00861175" w:rsidRPr="006F2F68" w:rsidRDefault="00861175" w:rsidP="00E00F5F">
      <w:pPr>
        <w:rPr>
          <w:rFonts w:ascii="Times New Roman" w:hAnsi="Times New Roman" w:cs="Times New Roman"/>
          <w:sz w:val="22"/>
        </w:rPr>
      </w:pPr>
    </w:p>
    <w:p w14:paraId="5C4470E6" w14:textId="0D891F31" w:rsidR="00E00F5F" w:rsidRPr="006F2F68" w:rsidRDefault="00E00F5F" w:rsidP="00E00F5F">
      <w:pPr>
        <w:rPr>
          <w:rFonts w:ascii="Times New Roman" w:hAnsi="Times New Roman" w:cs="Times New Roman"/>
          <w:sz w:val="22"/>
        </w:rPr>
      </w:pPr>
      <w:r w:rsidRPr="006F2F68">
        <w:rPr>
          <w:rFonts w:ascii="Times New Roman" w:hAnsi="Times New Roman" w:cs="Times New Roman"/>
          <w:sz w:val="22"/>
        </w:rPr>
        <w:lastRenderedPageBreak/>
        <w:t>Section 6(1) of the Privacy Act defines:</w:t>
      </w:r>
    </w:p>
    <w:p w14:paraId="48AC04FD" w14:textId="037EE58C" w:rsidR="00E00F5F" w:rsidRPr="006F2F68" w:rsidRDefault="00E00F5F" w:rsidP="00E00F5F">
      <w:pPr>
        <w:ind w:left="720"/>
        <w:rPr>
          <w:rFonts w:ascii="Times New Roman" w:hAnsi="Times New Roman" w:cs="Times New Roman"/>
          <w:sz w:val="22"/>
        </w:rPr>
      </w:pPr>
      <w:r w:rsidRPr="006F2F68">
        <w:rPr>
          <w:rFonts w:ascii="Times New Roman" w:hAnsi="Times New Roman" w:cs="Times New Roman"/>
          <w:sz w:val="22"/>
        </w:rPr>
        <w:t xml:space="preserve">‘Commissioner’ to mean the Information Commissioner within the meaning of the </w:t>
      </w:r>
      <w:r w:rsidRPr="006F2F68">
        <w:rPr>
          <w:rFonts w:ascii="Times New Roman" w:hAnsi="Times New Roman" w:cs="Times New Roman"/>
          <w:i/>
          <w:sz w:val="22"/>
        </w:rPr>
        <w:t>Australian Information Commissioner Act 2010</w:t>
      </w:r>
      <w:r w:rsidR="000255F5" w:rsidRPr="006F2F68">
        <w:rPr>
          <w:rFonts w:ascii="Times New Roman" w:hAnsi="Times New Roman" w:cs="Times New Roman"/>
          <w:sz w:val="22"/>
        </w:rPr>
        <w:t>.</w:t>
      </w:r>
    </w:p>
    <w:p w14:paraId="0A484B29" w14:textId="77777777" w:rsidR="00E00F5F" w:rsidRPr="006F2F68" w:rsidRDefault="00E00F5F" w:rsidP="00E00F5F">
      <w:pPr>
        <w:spacing w:before="120" w:after="120"/>
        <w:ind w:left="720"/>
        <w:rPr>
          <w:rFonts w:ascii="Times New Roman" w:hAnsi="Times New Roman" w:cs="Times New Roman"/>
          <w:sz w:val="22"/>
        </w:rPr>
      </w:pPr>
      <w:r w:rsidRPr="006F2F68">
        <w:rPr>
          <w:rFonts w:ascii="Times New Roman" w:hAnsi="Times New Roman" w:cs="Times New Roman"/>
          <w:sz w:val="22"/>
        </w:rPr>
        <w:t>‘Credit reporting body’ to mean:</w:t>
      </w:r>
    </w:p>
    <w:p w14:paraId="3B175CCB" w14:textId="043C1A12" w:rsidR="00915F22" w:rsidRPr="006F2F68" w:rsidRDefault="00E00F5F" w:rsidP="006E5B23">
      <w:pPr>
        <w:pStyle w:val="ListParagraph"/>
        <w:numPr>
          <w:ilvl w:val="0"/>
          <w:numId w:val="25"/>
        </w:numPr>
        <w:tabs>
          <w:tab w:val="right" w:pos="1531"/>
        </w:tabs>
        <w:spacing w:before="120" w:after="120"/>
        <w:rPr>
          <w:rFonts w:ascii="Times New Roman" w:hAnsi="Times New Roman" w:cs="Times New Roman"/>
          <w:sz w:val="22"/>
        </w:rPr>
      </w:pPr>
      <w:r w:rsidRPr="006F2F68">
        <w:rPr>
          <w:rFonts w:ascii="Times New Roman" w:hAnsi="Times New Roman" w:cs="Times New Roman"/>
          <w:sz w:val="22"/>
        </w:rPr>
        <w:t>an organisation; or</w:t>
      </w:r>
    </w:p>
    <w:p w14:paraId="232E344F" w14:textId="10C0E3EE" w:rsidR="00E00F5F" w:rsidRPr="006F2F68" w:rsidRDefault="00E00F5F" w:rsidP="006E5B23">
      <w:pPr>
        <w:pStyle w:val="ListParagraph"/>
        <w:numPr>
          <w:ilvl w:val="0"/>
          <w:numId w:val="25"/>
        </w:numPr>
        <w:tabs>
          <w:tab w:val="right" w:pos="1531"/>
        </w:tabs>
        <w:spacing w:before="120" w:after="120"/>
        <w:rPr>
          <w:rFonts w:ascii="Times New Roman" w:hAnsi="Times New Roman" w:cs="Times New Roman"/>
          <w:sz w:val="22"/>
        </w:rPr>
      </w:pPr>
      <w:r w:rsidRPr="006F2F68">
        <w:rPr>
          <w:rFonts w:ascii="Times New Roman" w:hAnsi="Times New Roman" w:cs="Times New Roman"/>
          <w:sz w:val="22"/>
        </w:rPr>
        <w:t xml:space="preserve">an agency prescribed by the </w:t>
      </w:r>
      <w:proofErr w:type="gramStart"/>
      <w:r w:rsidRPr="006F2F68">
        <w:rPr>
          <w:rFonts w:ascii="Times New Roman" w:hAnsi="Times New Roman" w:cs="Times New Roman"/>
          <w:sz w:val="22"/>
        </w:rPr>
        <w:t>regulations;</w:t>
      </w:r>
      <w:proofErr w:type="gramEnd"/>
    </w:p>
    <w:p w14:paraId="3E9976DE" w14:textId="77777777" w:rsidR="00E00F5F" w:rsidRPr="006F2F68" w:rsidRDefault="00E00F5F" w:rsidP="006E5B23">
      <w:pPr>
        <w:spacing w:before="120" w:after="120"/>
        <w:ind w:firstLine="720"/>
        <w:rPr>
          <w:rFonts w:ascii="Times New Roman" w:hAnsi="Times New Roman" w:cs="Times New Roman"/>
          <w:sz w:val="22"/>
        </w:rPr>
      </w:pPr>
      <w:r w:rsidRPr="006F2F68">
        <w:rPr>
          <w:rFonts w:ascii="Times New Roman" w:hAnsi="Times New Roman" w:cs="Times New Roman"/>
          <w:sz w:val="22"/>
        </w:rPr>
        <w:t>that carries on a credit reporting business.</w:t>
      </w:r>
    </w:p>
    <w:p w14:paraId="2071F705" w14:textId="77777777" w:rsidR="00E00F5F" w:rsidRPr="006F2F68" w:rsidRDefault="00E00F5F" w:rsidP="00E00F5F">
      <w:pPr>
        <w:ind w:left="720"/>
        <w:rPr>
          <w:rFonts w:ascii="Times New Roman" w:hAnsi="Times New Roman" w:cs="Times New Roman"/>
          <w:sz w:val="22"/>
        </w:rPr>
      </w:pPr>
      <w:r w:rsidRPr="006F2F68">
        <w:rPr>
          <w:rFonts w:ascii="Times New Roman" w:hAnsi="Times New Roman" w:cs="Times New Roman"/>
          <w:sz w:val="22"/>
        </w:rPr>
        <w:t xml:space="preserve">‘De-identified’ to mean personal information is </w:t>
      </w:r>
      <w:r w:rsidRPr="006F2F68">
        <w:rPr>
          <w:rFonts w:ascii="Times New Roman" w:hAnsi="Times New Roman" w:cs="Times New Roman"/>
          <w:b/>
          <w:i/>
          <w:sz w:val="22"/>
        </w:rPr>
        <w:t>de</w:t>
      </w:r>
      <w:r w:rsidRPr="006F2F68">
        <w:rPr>
          <w:rFonts w:ascii="Times New Roman" w:hAnsi="Times New Roman" w:cs="Times New Roman"/>
          <w:b/>
          <w:i/>
          <w:sz w:val="22"/>
        </w:rPr>
        <w:noBreakHyphen/>
        <w:t>identified</w:t>
      </w:r>
      <w:r w:rsidRPr="006F2F68">
        <w:rPr>
          <w:rFonts w:ascii="Times New Roman" w:hAnsi="Times New Roman" w:cs="Times New Roman"/>
          <w:sz w:val="22"/>
        </w:rPr>
        <w:t xml:space="preserve"> if the information is no longer about an identifiable individual or an individual who is reasonably identifiable.</w:t>
      </w:r>
    </w:p>
    <w:p w14:paraId="4F1E4286" w14:textId="187BA8FF" w:rsidR="00E00F5F" w:rsidRPr="006F2F68" w:rsidRDefault="00E00F5F" w:rsidP="00E00F5F">
      <w:pPr>
        <w:rPr>
          <w:rFonts w:ascii="Times New Roman" w:hAnsi="Times New Roman" w:cs="Times New Roman"/>
          <w:sz w:val="22"/>
        </w:rPr>
      </w:pPr>
      <w:r w:rsidRPr="006F2F68">
        <w:rPr>
          <w:rFonts w:ascii="Times New Roman" w:hAnsi="Times New Roman" w:cs="Times New Roman"/>
          <w:sz w:val="22"/>
          <w:lang w:val="en-GB"/>
        </w:rPr>
        <w:t>As a ‘privacy function’ the Rule</w:t>
      </w:r>
      <w:r w:rsidRPr="006F2F68">
        <w:rPr>
          <w:rFonts w:ascii="Times New Roman" w:hAnsi="Times New Roman" w:cs="Times New Roman"/>
          <w:sz w:val="22"/>
        </w:rPr>
        <w:t xml:space="preserve"> can be made by the</w:t>
      </w:r>
      <w:r w:rsidR="00A32C67" w:rsidRPr="006F2F68">
        <w:rPr>
          <w:rFonts w:ascii="Times New Roman" w:hAnsi="Times New Roman" w:cs="Times New Roman"/>
          <w:sz w:val="22"/>
        </w:rPr>
        <w:t xml:space="preserve"> Privacy</w:t>
      </w:r>
      <w:r w:rsidRPr="006F2F68">
        <w:rPr>
          <w:rFonts w:ascii="Times New Roman" w:hAnsi="Times New Roman" w:cs="Times New Roman"/>
          <w:sz w:val="22"/>
        </w:rPr>
        <w:t xml:space="preserve"> Commissioner in accordance with the functions and powers conferred in s </w:t>
      </w:r>
      <w:r w:rsidR="00C924AB" w:rsidRPr="006F2F68">
        <w:rPr>
          <w:rFonts w:ascii="Times New Roman" w:hAnsi="Times New Roman" w:cs="Times New Roman"/>
          <w:sz w:val="22"/>
        </w:rPr>
        <w:t>1</w:t>
      </w:r>
      <w:r w:rsidR="00A32C67" w:rsidRPr="006F2F68">
        <w:rPr>
          <w:rFonts w:ascii="Times New Roman" w:hAnsi="Times New Roman" w:cs="Times New Roman"/>
          <w:sz w:val="22"/>
        </w:rPr>
        <w:t>2</w:t>
      </w:r>
      <w:r w:rsidR="00C924AB" w:rsidRPr="006F2F68">
        <w:rPr>
          <w:rFonts w:ascii="Times New Roman" w:hAnsi="Times New Roman" w:cs="Times New Roman"/>
          <w:sz w:val="22"/>
        </w:rPr>
        <w:t xml:space="preserve"> </w:t>
      </w:r>
      <w:r w:rsidRPr="006F2F68">
        <w:rPr>
          <w:rFonts w:ascii="Times New Roman" w:hAnsi="Times New Roman" w:cs="Times New Roman"/>
          <w:sz w:val="22"/>
        </w:rPr>
        <w:t xml:space="preserve">of the Australian Information Commissioner Act. </w:t>
      </w:r>
    </w:p>
    <w:p w14:paraId="56EAE200" w14:textId="1779CEF7" w:rsidR="00E00F5F" w:rsidRPr="00E22CDE" w:rsidRDefault="00E00F5F" w:rsidP="00A11B29">
      <w:pPr>
        <w:pStyle w:val="Heading4"/>
        <w:rPr>
          <w:rFonts w:ascii="Times New Roman" w:hAnsi="Times New Roman" w:cs="Times New Roman"/>
          <w:color w:val="auto"/>
          <w:sz w:val="28"/>
          <w:szCs w:val="28"/>
        </w:rPr>
      </w:pPr>
      <w:r w:rsidRPr="00E22CDE">
        <w:rPr>
          <w:rFonts w:ascii="Times New Roman" w:hAnsi="Times New Roman" w:cs="Times New Roman"/>
          <w:color w:val="auto"/>
          <w:sz w:val="28"/>
          <w:szCs w:val="28"/>
        </w:rPr>
        <w:t>Purpose</w:t>
      </w:r>
    </w:p>
    <w:p w14:paraId="0BECF33E" w14:textId="1A6663EC" w:rsidR="00E00F5F" w:rsidRPr="006F2F68" w:rsidRDefault="00E00F5F" w:rsidP="00E00F5F">
      <w:pPr>
        <w:rPr>
          <w:rFonts w:ascii="Times New Roman" w:hAnsi="Times New Roman" w:cs="Times New Roman"/>
          <w:sz w:val="22"/>
        </w:rPr>
      </w:pPr>
      <w:r w:rsidRPr="006F2F68">
        <w:rPr>
          <w:rFonts w:ascii="Times New Roman" w:hAnsi="Times New Roman" w:cs="Times New Roman"/>
          <w:sz w:val="22"/>
        </w:rPr>
        <w:t>In making this Rule, the Commissioner has had regard to the objects of the Privacy Act, in particular:</w:t>
      </w:r>
    </w:p>
    <w:p w14:paraId="1C3C51D0" w14:textId="77777777" w:rsidR="00E00F5F" w:rsidRPr="006F2F68" w:rsidRDefault="00E00F5F" w:rsidP="004F2059">
      <w:pPr>
        <w:pStyle w:val="ListBullet"/>
        <w:rPr>
          <w:rFonts w:ascii="Times New Roman" w:hAnsi="Times New Roman" w:cs="Times New Roman"/>
          <w:sz w:val="22"/>
        </w:rPr>
      </w:pPr>
      <w:r w:rsidRPr="006F2F68">
        <w:rPr>
          <w:rFonts w:ascii="Times New Roman" w:hAnsi="Times New Roman" w:cs="Times New Roman"/>
          <w:sz w:val="22"/>
        </w:rPr>
        <w:t>to promote the protection of the privacy of individuals (s 2A(a))</w:t>
      </w:r>
    </w:p>
    <w:p w14:paraId="511B6C8E" w14:textId="77777777" w:rsidR="00E00F5F" w:rsidRPr="006F2F68" w:rsidRDefault="00E00F5F" w:rsidP="004F2059">
      <w:pPr>
        <w:pStyle w:val="ListBullet"/>
        <w:rPr>
          <w:rFonts w:ascii="Times New Roman" w:hAnsi="Times New Roman" w:cs="Times New Roman"/>
          <w:sz w:val="22"/>
        </w:rPr>
      </w:pPr>
      <w:r w:rsidRPr="006F2F68">
        <w:rPr>
          <w:rFonts w:ascii="Times New Roman" w:hAnsi="Times New Roman" w:cs="Times New Roman"/>
          <w:sz w:val="22"/>
        </w:rPr>
        <w:t>to recognise that the protection of privacy of individuals is balanced with the interests of entities carrying out their functions or activities (s 2A(b))</w:t>
      </w:r>
    </w:p>
    <w:p w14:paraId="66EBF282" w14:textId="77777777" w:rsidR="00B37BB3" w:rsidRPr="006F2F68" w:rsidRDefault="00E00F5F" w:rsidP="004F2059">
      <w:pPr>
        <w:pStyle w:val="ListBullet"/>
        <w:rPr>
          <w:rFonts w:ascii="Times New Roman" w:hAnsi="Times New Roman" w:cs="Times New Roman"/>
          <w:sz w:val="22"/>
        </w:rPr>
      </w:pPr>
      <w:r w:rsidRPr="006F2F68">
        <w:rPr>
          <w:rFonts w:ascii="Times New Roman" w:hAnsi="Times New Roman" w:cs="Times New Roman"/>
          <w:sz w:val="22"/>
        </w:rPr>
        <w:t>to promote responsible and transparent handling of personal information by entities (s 2A(d))</w:t>
      </w:r>
    </w:p>
    <w:p w14:paraId="2420752E" w14:textId="5ADE4A6E" w:rsidR="00E00F5F" w:rsidRPr="006F2F68" w:rsidRDefault="00B37BB3" w:rsidP="004F2059">
      <w:pPr>
        <w:pStyle w:val="ListBullet"/>
        <w:rPr>
          <w:rFonts w:ascii="Times New Roman" w:hAnsi="Times New Roman" w:cs="Times New Roman"/>
          <w:sz w:val="22"/>
        </w:rPr>
      </w:pPr>
      <w:r w:rsidRPr="006F2F68">
        <w:rPr>
          <w:rFonts w:ascii="Times New Roman" w:hAnsi="Times New Roman" w:cs="Times New Roman"/>
          <w:sz w:val="22"/>
        </w:rPr>
        <w:t>to facilitate an efficient credit reporting system while ensuring that the privacy of individuals is respected (s 2A(e))</w:t>
      </w:r>
      <w:r w:rsidR="00E00F5F" w:rsidRPr="006F2F68">
        <w:rPr>
          <w:rFonts w:ascii="Times New Roman" w:hAnsi="Times New Roman" w:cs="Times New Roman"/>
          <w:sz w:val="22"/>
        </w:rPr>
        <w:t>.</w:t>
      </w:r>
    </w:p>
    <w:p w14:paraId="0C3C2747" w14:textId="66C51D51" w:rsidR="00E00F5F" w:rsidRPr="006F2F68" w:rsidRDefault="00E00F5F" w:rsidP="00E00F5F">
      <w:pPr>
        <w:pStyle w:val="Bulletlist"/>
        <w:numPr>
          <w:ilvl w:val="0"/>
          <w:numId w:val="0"/>
        </w:numPr>
        <w:rPr>
          <w:rFonts w:ascii="Times New Roman" w:hAnsi="Times New Roman" w:cs="Times New Roman"/>
          <w:sz w:val="22"/>
        </w:rPr>
      </w:pPr>
      <w:r w:rsidRPr="006F2F68">
        <w:rPr>
          <w:rFonts w:ascii="Times New Roman" w:hAnsi="Times New Roman" w:cs="Times New Roman"/>
          <w:sz w:val="22"/>
        </w:rPr>
        <w:t xml:space="preserve">The purpose of s 20M is to permit the use or disclosure of de-identified information in credit related research, where it is in the public interest. However, as noted in the Explanatory Memorandum to the </w:t>
      </w:r>
      <w:r w:rsidRPr="006F2F68">
        <w:rPr>
          <w:rFonts w:ascii="Times New Roman" w:hAnsi="Times New Roman" w:cs="Times New Roman"/>
          <w:i/>
          <w:sz w:val="22"/>
        </w:rPr>
        <w:t>Privacy Amendment (Enhancing Privacy Protection) Bill 2012</w:t>
      </w:r>
      <w:r w:rsidRPr="006F2F68">
        <w:rPr>
          <w:rFonts w:ascii="Times New Roman" w:hAnsi="Times New Roman" w:cs="Times New Roman"/>
          <w:sz w:val="22"/>
        </w:rPr>
        <w:t xml:space="preserve"> (Explanatory Memorandum), CRB</w:t>
      </w:r>
      <w:r w:rsidR="00A60F0F" w:rsidRPr="006F2F68">
        <w:rPr>
          <w:rFonts w:ascii="Times New Roman" w:hAnsi="Times New Roman" w:cs="Times New Roman"/>
          <w:sz w:val="22"/>
        </w:rPr>
        <w:t>’s</w:t>
      </w:r>
      <w:r w:rsidRPr="006F2F68">
        <w:rPr>
          <w:rFonts w:ascii="Times New Roman" w:hAnsi="Times New Roman" w:cs="Times New Roman"/>
          <w:sz w:val="22"/>
        </w:rPr>
        <w:t xml:space="preserve"> conduct research in relation to credit to assess and manage the credit system in Australia. To ensure that research is consistent with policy objectives and appropriately limited in scope, the research will only be permitted where it complies with rules that the Commissioner may make under </w:t>
      </w:r>
      <w:r w:rsidR="00883F27" w:rsidRPr="006F2F68">
        <w:rPr>
          <w:rFonts w:ascii="Times New Roman" w:hAnsi="Times New Roman" w:cs="Times New Roman"/>
          <w:sz w:val="22"/>
        </w:rPr>
        <w:t xml:space="preserve">s </w:t>
      </w:r>
      <w:r w:rsidRPr="006F2F68">
        <w:rPr>
          <w:rFonts w:ascii="Times New Roman" w:hAnsi="Times New Roman" w:cs="Times New Roman"/>
          <w:sz w:val="22"/>
        </w:rPr>
        <w:t>20</w:t>
      </w:r>
      <w:proofErr w:type="gramStart"/>
      <w:r w:rsidRPr="006F2F68">
        <w:rPr>
          <w:rFonts w:ascii="Times New Roman" w:hAnsi="Times New Roman" w:cs="Times New Roman"/>
          <w:sz w:val="22"/>
        </w:rPr>
        <w:t>M(</w:t>
      </w:r>
      <w:proofErr w:type="gramEnd"/>
      <w:r w:rsidRPr="006F2F68">
        <w:rPr>
          <w:rFonts w:ascii="Times New Roman" w:hAnsi="Times New Roman" w:cs="Times New Roman"/>
          <w:sz w:val="22"/>
        </w:rPr>
        <w:t>3)</w:t>
      </w:r>
      <w:r w:rsidR="0032709A" w:rsidRPr="006F2F68">
        <w:rPr>
          <w:rFonts w:ascii="Times New Roman" w:hAnsi="Times New Roman" w:cs="Times New Roman"/>
          <w:sz w:val="22"/>
        </w:rPr>
        <w:t xml:space="preserve"> of the Privacy Act</w:t>
      </w:r>
      <w:r w:rsidRPr="006F2F68">
        <w:rPr>
          <w:rFonts w:ascii="Times New Roman" w:hAnsi="Times New Roman" w:cs="Times New Roman"/>
          <w:sz w:val="22"/>
        </w:rPr>
        <w:t xml:space="preserve">. </w:t>
      </w:r>
    </w:p>
    <w:p w14:paraId="06228703" w14:textId="5B0F043E" w:rsidR="00E00F5F" w:rsidRPr="006F2F68" w:rsidRDefault="00E00F5F" w:rsidP="00E00F5F">
      <w:pPr>
        <w:spacing w:after="200"/>
        <w:contextualSpacing/>
        <w:rPr>
          <w:rFonts w:ascii="Times New Roman" w:hAnsi="Times New Roman" w:cs="Times New Roman"/>
          <w:sz w:val="22"/>
        </w:rPr>
      </w:pPr>
      <w:r w:rsidRPr="006F2F68">
        <w:rPr>
          <w:rFonts w:ascii="Times New Roman" w:hAnsi="Times New Roman" w:cs="Times New Roman"/>
          <w:sz w:val="22"/>
        </w:rPr>
        <w:t xml:space="preserve">The purpose of the Rule is to give effect to </w:t>
      </w:r>
      <w:r w:rsidR="003C2E4F" w:rsidRPr="006F2F68">
        <w:rPr>
          <w:rFonts w:ascii="Times New Roman" w:hAnsi="Times New Roman" w:cs="Times New Roman"/>
          <w:sz w:val="22"/>
        </w:rPr>
        <w:t xml:space="preserve">s </w:t>
      </w:r>
      <w:r w:rsidRPr="006F2F68">
        <w:rPr>
          <w:rFonts w:ascii="Times New Roman" w:hAnsi="Times New Roman" w:cs="Times New Roman"/>
          <w:sz w:val="22"/>
        </w:rPr>
        <w:t>20</w:t>
      </w:r>
      <w:proofErr w:type="gramStart"/>
      <w:r w:rsidRPr="006F2F68">
        <w:rPr>
          <w:rFonts w:ascii="Times New Roman" w:hAnsi="Times New Roman" w:cs="Times New Roman"/>
          <w:sz w:val="22"/>
        </w:rPr>
        <w:t>M(</w:t>
      </w:r>
      <w:proofErr w:type="gramEnd"/>
      <w:r w:rsidRPr="006F2F68">
        <w:rPr>
          <w:rFonts w:ascii="Times New Roman" w:hAnsi="Times New Roman" w:cs="Times New Roman"/>
          <w:sz w:val="22"/>
        </w:rPr>
        <w:t>3) of the Privacy Act. CRBs must comply with the Rule. Although the Commissioner has a discretion to make the Rule, if the Rule is not made, CRBs will not be able to meet their requirements under s 20</w:t>
      </w:r>
      <w:proofErr w:type="gramStart"/>
      <w:r w:rsidRPr="006F2F68">
        <w:rPr>
          <w:rFonts w:ascii="Times New Roman" w:hAnsi="Times New Roman" w:cs="Times New Roman"/>
          <w:sz w:val="22"/>
        </w:rPr>
        <w:t>M(</w:t>
      </w:r>
      <w:proofErr w:type="gramEnd"/>
      <w:r w:rsidRPr="006F2F68">
        <w:rPr>
          <w:rFonts w:ascii="Times New Roman" w:hAnsi="Times New Roman" w:cs="Times New Roman"/>
          <w:sz w:val="22"/>
        </w:rPr>
        <w:t>2). Therefore, CRBs w</w:t>
      </w:r>
      <w:r w:rsidR="00115CF4" w:rsidRPr="006F2F68">
        <w:rPr>
          <w:rFonts w:ascii="Times New Roman" w:hAnsi="Times New Roman" w:cs="Times New Roman"/>
          <w:sz w:val="22"/>
        </w:rPr>
        <w:t>ould</w:t>
      </w:r>
      <w:r w:rsidRPr="006F2F68">
        <w:rPr>
          <w:rFonts w:ascii="Times New Roman" w:hAnsi="Times New Roman" w:cs="Times New Roman"/>
          <w:sz w:val="22"/>
        </w:rPr>
        <w:t xml:space="preserve"> not be able to use or disclose de</w:t>
      </w:r>
      <w:r w:rsidR="003C2E4F" w:rsidRPr="006F2F68">
        <w:rPr>
          <w:rFonts w:ascii="Times New Roman" w:hAnsi="Times New Roman" w:cs="Times New Roman"/>
          <w:sz w:val="22"/>
        </w:rPr>
        <w:t>-</w:t>
      </w:r>
      <w:r w:rsidRPr="006F2F68">
        <w:rPr>
          <w:rFonts w:ascii="Times New Roman" w:hAnsi="Times New Roman" w:cs="Times New Roman"/>
          <w:sz w:val="22"/>
        </w:rPr>
        <w:t xml:space="preserve">identified information for research in relation to credit. </w:t>
      </w:r>
    </w:p>
    <w:p w14:paraId="75A21FBB" w14:textId="77777777" w:rsidR="00E00F5F" w:rsidRPr="00E22CDE" w:rsidRDefault="00E00F5F" w:rsidP="00A11B29">
      <w:pPr>
        <w:pStyle w:val="Heading4"/>
        <w:rPr>
          <w:rFonts w:ascii="Times New Roman" w:hAnsi="Times New Roman" w:cs="Times New Roman"/>
          <w:color w:val="auto"/>
          <w:sz w:val="28"/>
          <w:szCs w:val="28"/>
        </w:rPr>
      </w:pPr>
      <w:r w:rsidRPr="00E22CDE">
        <w:rPr>
          <w:rFonts w:ascii="Times New Roman" w:hAnsi="Times New Roman" w:cs="Times New Roman"/>
          <w:color w:val="auto"/>
          <w:sz w:val="28"/>
          <w:szCs w:val="28"/>
        </w:rPr>
        <w:t>Operation of the Rule</w:t>
      </w:r>
    </w:p>
    <w:p w14:paraId="67A83820" w14:textId="1884831A" w:rsidR="00E00F5F" w:rsidRPr="006F2F68" w:rsidRDefault="00E00F5F" w:rsidP="00E00F5F">
      <w:pPr>
        <w:rPr>
          <w:rFonts w:ascii="Times New Roman" w:hAnsi="Times New Roman" w:cs="Times New Roman"/>
          <w:sz w:val="22"/>
        </w:rPr>
      </w:pPr>
      <w:r w:rsidRPr="006F2F68">
        <w:rPr>
          <w:rFonts w:ascii="Times New Roman" w:hAnsi="Times New Roman" w:cs="Times New Roman"/>
          <w:sz w:val="22"/>
        </w:rPr>
        <w:t>The use or disclosure of de-identified information for the purposes of conducting credit related research must be in accordance with the Rule. Subsection 20</w:t>
      </w:r>
      <w:proofErr w:type="gramStart"/>
      <w:r w:rsidRPr="006F2F68">
        <w:rPr>
          <w:rFonts w:ascii="Times New Roman" w:hAnsi="Times New Roman" w:cs="Times New Roman"/>
          <w:sz w:val="22"/>
        </w:rPr>
        <w:t>M(</w:t>
      </w:r>
      <w:proofErr w:type="gramEnd"/>
      <w:r w:rsidRPr="006F2F68">
        <w:rPr>
          <w:rFonts w:ascii="Times New Roman" w:hAnsi="Times New Roman" w:cs="Times New Roman"/>
          <w:sz w:val="22"/>
        </w:rPr>
        <w:t>4) of the Privacy Act provides a non-exhaustive list of matters which the Rule may consider. The list identifies matters that are relevant to ensuring that the permitted research is for the general benefit of the public and in the public interest</w:t>
      </w:r>
      <w:r w:rsidR="00DF0376" w:rsidRPr="006F2F68">
        <w:rPr>
          <w:rFonts w:ascii="Times New Roman" w:hAnsi="Times New Roman" w:cs="Times New Roman"/>
          <w:sz w:val="22"/>
        </w:rPr>
        <w:t>.</w:t>
      </w:r>
      <w:r w:rsidRPr="006F2F68">
        <w:rPr>
          <w:rStyle w:val="FootnoteReference"/>
          <w:rFonts w:ascii="Times New Roman" w:hAnsi="Times New Roman" w:cs="Times New Roman"/>
          <w:sz w:val="22"/>
        </w:rPr>
        <w:footnoteReference w:id="1"/>
      </w:r>
    </w:p>
    <w:p w14:paraId="3B7E12BF" w14:textId="77777777" w:rsidR="00E00F5F" w:rsidRPr="006F2F68" w:rsidRDefault="00E00F5F" w:rsidP="00E00F5F">
      <w:pPr>
        <w:rPr>
          <w:rFonts w:ascii="Times New Roman" w:hAnsi="Times New Roman" w:cs="Times New Roman"/>
          <w:sz w:val="22"/>
        </w:rPr>
      </w:pPr>
      <w:r w:rsidRPr="006F2F68">
        <w:rPr>
          <w:rFonts w:ascii="Times New Roman" w:hAnsi="Times New Roman" w:cs="Times New Roman"/>
          <w:sz w:val="22"/>
        </w:rPr>
        <w:t xml:space="preserve">The Rule clearly states that the re-identification of de-identified information is prohibited except where required to do so by Australian law or a court/tribunal. </w:t>
      </w:r>
    </w:p>
    <w:p w14:paraId="6EA1EB2C" w14:textId="41F9F8B6" w:rsidR="00E00F5F" w:rsidRPr="006F2F68" w:rsidRDefault="00D123A6" w:rsidP="00E00F5F">
      <w:pPr>
        <w:rPr>
          <w:rFonts w:ascii="Times New Roman" w:hAnsi="Times New Roman" w:cs="Times New Roman"/>
          <w:sz w:val="22"/>
        </w:rPr>
      </w:pPr>
      <w:r w:rsidRPr="006F2F68">
        <w:rPr>
          <w:rFonts w:ascii="Times New Roman" w:hAnsi="Times New Roman" w:cs="Times New Roman"/>
          <w:sz w:val="22"/>
        </w:rPr>
        <w:t xml:space="preserve">An </w:t>
      </w:r>
      <w:r w:rsidR="008C2808" w:rsidRPr="006F2F68">
        <w:rPr>
          <w:rFonts w:ascii="Times New Roman" w:hAnsi="Times New Roman" w:cs="Times New Roman"/>
          <w:sz w:val="22"/>
        </w:rPr>
        <w:t xml:space="preserve">explanation of the provisions is set out in </w:t>
      </w:r>
      <w:r w:rsidR="008C2808" w:rsidRPr="006F2F68">
        <w:rPr>
          <w:rFonts w:ascii="Times New Roman" w:hAnsi="Times New Roman" w:cs="Times New Roman"/>
          <w:b/>
          <w:bCs/>
          <w:sz w:val="22"/>
        </w:rPr>
        <w:t xml:space="preserve">Attachment </w:t>
      </w:r>
      <w:r w:rsidR="00DD11CD" w:rsidRPr="006F2F68">
        <w:rPr>
          <w:rFonts w:ascii="Times New Roman" w:hAnsi="Times New Roman" w:cs="Times New Roman"/>
          <w:b/>
          <w:bCs/>
          <w:sz w:val="22"/>
        </w:rPr>
        <w:t>B</w:t>
      </w:r>
      <w:r w:rsidR="008C2808" w:rsidRPr="006F2F68">
        <w:rPr>
          <w:rFonts w:ascii="Times New Roman" w:hAnsi="Times New Roman" w:cs="Times New Roman"/>
          <w:sz w:val="22"/>
        </w:rPr>
        <w:t>.</w:t>
      </w:r>
    </w:p>
    <w:p w14:paraId="5CE208C3" w14:textId="20D6B5EC" w:rsidR="00B32FC5" w:rsidRPr="00E22CDE" w:rsidRDefault="00B32FC5" w:rsidP="00B32FC5">
      <w:pPr>
        <w:pStyle w:val="Heading4"/>
        <w:rPr>
          <w:rFonts w:ascii="Times New Roman" w:hAnsi="Times New Roman" w:cs="Times New Roman"/>
          <w:color w:val="auto"/>
          <w:sz w:val="28"/>
          <w:szCs w:val="28"/>
        </w:rPr>
      </w:pPr>
      <w:r w:rsidRPr="00E22CDE">
        <w:rPr>
          <w:rFonts w:ascii="Times New Roman" w:hAnsi="Times New Roman" w:cs="Times New Roman"/>
          <w:color w:val="auto"/>
          <w:sz w:val="28"/>
          <w:szCs w:val="28"/>
        </w:rPr>
        <w:lastRenderedPageBreak/>
        <w:t>Background</w:t>
      </w:r>
    </w:p>
    <w:p w14:paraId="7A283D85" w14:textId="77777777" w:rsidR="005232B0" w:rsidRPr="00E22CDE" w:rsidRDefault="005232B0" w:rsidP="005232B0">
      <w:pPr>
        <w:pStyle w:val="Heading5"/>
        <w:rPr>
          <w:rFonts w:ascii="Times New Roman" w:hAnsi="Times New Roman" w:cs="Times New Roman"/>
          <w:color w:val="auto"/>
          <w:sz w:val="22"/>
        </w:rPr>
      </w:pPr>
      <w:r w:rsidRPr="00E22CDE">
        <w:rPr>
          <w:rFonts w:ascii="Times New Roman" w:hAnsi="Times New Roman" w:cs="Times New Roman"/>
          <w:color w:val="auto"/>
          <w:sz w:val="22"/>
        </w:rPr>
        <w:t>Introduction of national credit reporting legislation</w:t>
      </w:r>
    </w:p>
    <w:p w14:paraId="16C7AA58" w14:textId="6FD158E2" w:rsidR="00B32FC5" w:rsidRPr="006F2F68" w:rsidRDefault="005A28F7" w:rsidP="00E00F5F">
      <w:pPr>
        <w:rPr>
          <w:rFonts w:ascii="Times New Roman" w:hAnsi="Times New Roman" w:cs="Times New Roman"/>
          <w:sz w:val="22"/>
        </w:rPr>
      </w:pPr>
      <w:r w:rsidRPr="006F2F68">
        <w:rPr>
          <w:rFonts w:ascii="Times New Roman" w:hAnsi="Times New Roman" w:cs="Times New Roman"/>
          <w:sz w:val="22"/>
        </w:rPr>
        <w:t xml:space="preserve">Part IIIA of the </w:t>
      </w:r>
      <w:r w:rsidR="00C74934" w:rsidRPr="006F2F68">
        <w:rPr>
          <w:rFonts w:ascii="Times New Roman" w:hAnsi="Times New Roman" w:cs="Times New Roman"/>
          <w:sz w:val="22"/>
        </w:rPr>
        <w:t>P</w:t>
      </w:r>
      <w:r w:rsidRPr="006F2F68">
        <w:rPr>
          <w:rFonts w:ascii="Times New Roman" w:hAnsi="Times New Roman" w:cs="Times New Roman"/>
          <w:sz w:val="22"/>
        </w:rPr>
        <w:t xml:space="preserve">rivacy </w:t>
      </w:r>
      <w:r w:rsidR="00C74934" w:rsidRPr="006F2F68">
        <w:rPr>
          <w:rFonts w:ascii="Times New Roman" w:hAnsi="Times New Roman" w:cs="Times New Roman"/>
          <w:sz w:val="22"/>
        </w:rPr>
        <w:t xml:space="preserve">Act </w:t>
      </w:r>
      <w:r w:rsidR="00180941" w:rsidRPr="006F2F68">
        <w:rPr>
          <w:rFonts w:ascii="Times New Roman" w:hAnsi="Times New Roman" w:cs="Times New Roman"/>
          <w:sz w:val="22"/>
        </w:rPr>
        <w:t xml:space="preserve">regulates the </w:t>
      </w:r>
      <w:r w:rsidR="004D1099" w:rsidRPr="006F2F68">
        <w:rPr>
          <w:rFonts w:ascii="Times New Roman" w:hAnsi="Times New Roman" w:cs="Times New Roman"/>
          <w:sz w:val="22"/>
        </w:rPr>
        <w:t xml:space="preserve">collection and </w:t>
      </w:r>
      <w:r w:rsidR="00180941" w:rsidRPr="006F2F68">
        <w:rPr>
          <w:rFonts w:ascii="Times New Roman" w:hAnsi="Times New Roman" w:cs="Times New Roman"/>
          <w:sz w:val="22"/>
        </w:rPr>
        <w:t>handling of credit</w:t>
      </w:r>
      <w:r w:rsidR="00E8476F" w:rsidRPr="006F2F68">
        <w:rPr>
          <w:rFonts w:ascii="Times New Roman" w:hAnsi="Times New Roman" w:cs="Times New Roman"/>
          <w:sz w:val="22"/>
        </w:rPr>
        <w:t xml:space="preserve"> re</w:t>
      </w:r>
      <w:r w:rsidR="005101FC" w:rsidRPr="006F2F68">
        <w:rPr>
          <w:rFonts w:ascii="Times New Roman" w:hAnsi="Times New Roman" w:cs="Times New Roman"/>
          <w:sz w:val="22"/>
        </w:rPr>
        <w:t>porting</w:t>
      </w:r>
      <w:r w:rsidR="00E8476F" w:rsidRPr="006F2F68">
        <w:rPr>
          <w:rFonts w:ascii="Times New Roman" w:hAnsi="Times New Roman" w:cs="Times New Roman"/>
          <w:sz w:val="22"/>
        </w:rPr>
        <w:t xml:space="preserve"> information</w:t>
      </w:r>
      <w:r w:rsidR="00180941" w:rsidRPr="006F2F68">
        <w:rPr>
          <w:rFonts w:ascii="Times New Roman" w:hAnsi="Times New Roman" w:cs="Times New Roman"/>
          <w:sz w:val="22"/>
        </w:rPr>
        <w:t xml:space="preserve"> by </w:t>
      </w:r>
      <w:r w:rsidR="00CD0719" w:rsidRPr="006F2F68">
        <w:rPr>
          <w:rFonts w:ascii="Times New Roman" w:hAnsi="Times New Roman" w:cs="Times New Roman"/>
          <w:sz w:val="22"/>
        </w:rPr>
        <w:t>CRBs</w:t>
      </w:r>
      <w:r w:rsidR="00180941" w:rsidRPr="006F2F68">
        <w:rPr>
          <w:rFonts w:ascii="Times New Roman" w:hAnsi="Times New Roman" w:cs="Times New Roman"/>
          <w:sz w:val="22"/>
        </w:rPr>
        <w:t xml:space="preserve"> and credit providers</w:t>
      </w:r>
      <w:r w:rsidR="00C74934" w:rsidRPr="006F2F68">
        <w:rPr>
          <w:rFonts w:ascii="Times New Roman" w:hAnsi="Times New Roman" w:cs="Times New Roman"/>
          <w:sz w:val="22"/>
        </w:rPr>
        <w:t>.</w:t>
      </w:r>
      <w:r w:rsidR="00467375" w:rsidRPr="006F2F68">
        <w:rPr>
          <w:rFonts w:ascii="Times New Roman" w:hAnsi="Times New Roman" w:cs="Times New Roman"/>
          <w:sz w:val="22"/>
        </w:rPr>
        <w:t xml:space="preserve"> </w:t>
      </w:r>
      <w:r w:rsidR="00577BF8" w:rsidRPr="006F2F68">
        <w:rPr>
          <w:rFonts w:ascii="Times New Roman" w:hAnsi="Times New Roman" w:cs="Times New Roman"/>
          <w:sz w:val="22"/>
        </w:rPr>
        <w:t xml:space="preserve">Credit reporting information is used by </w:t>
      </w:r>
      <w:r w:rsidR="004F6307" w:rsidRPr="006F2F68">
        <w:rPr>
          <w:rFonts w:ascii="Times New Roman" w:hAnsi="Times New Roman" w:cs="Times New Roman"/>
          <w:sz w:val="22"/>
        </w:rPr>
        <w:t xml:space="preserve">CRBs </w:t>
      </w:r>
      <w:r w:rsidR="00577BF8" w:rsidRPr="006F2F68">
        <w:rPr>
          <w:rFonts w:ascii="Times New Roman" w:hAnsi="Times New Roman" w:cs="Times New Roman"/>
          <w:sz w:val="22"/>
        </w:rPr>
        <w:t>to create consumer credit reports</w:t>
      </w:r>
      <w:r w:rsidR="00B15F2E" w:rsidRPr="006F2F68">
        <w:rPr>
          <w:rFonts w:ascii="Times New Roman" w:hAnsi="Times New Roman" w:cs="Times New Roman"/>
          <w:sz w:val="22"/>
        </w:rPr>
        <w:t xml:space="preserve"> and assess an individual’s creditworthiness</w:t>
      </w:r>
      <w:r w:rsidR="00577BF8" w:rsidRPr="006F2F68">
        <w:rPr>
          <w:rFonts w:ascii="Times New Roman" w:hAnsi="Times New Roman" w:cs="Times New Roman"/>
          <w:sz w:val="22"/>
        </w:rPr>
        <w:t>.</w:t>
      </w:r>
      <w:r w:rsidR="00CE7183" w:rsidRPr="006F2F68">
        <w:rPr>
          <w:rFonts w:ascii="Times New Roman" w:hAnsi="Times New Roman" w:cs="Times New Roman"/>
          <w:sz w:val="22"/>
        </w:rPr>
        <w:t xml:space="preserve"> </w:t>
      </w:r>
      <w:r w:rsidR="00E5172A" w:rsidRPr="006F2F68">
        <w:rPr>
          <w:rFonts w:ascii="Times New Roman" w:hAnsi="Times New Roman" w:cs="Times New Roman"/>
          <w:sz w:val="22"/>
        </w:rPr>
        <w:t>Part IIIA</w:t>
      </w:r>
      <w:r w:rsidR="00BF5637" w:rsidRPr="006F2F68">
        <w:rPr>
          <w:rFonts w:ascii="Times New Roman" w:hAnsi="Times New Roman" w:cs="Times New Roman"/>
          <w:sz w:val="22"/>
        </w:rPr>
        <w:t xml:space="preserve"> was inserted into the Privacy Act by t</w:t>
      </w:r>
      <w:r w:rsidR="00467375" w:rsidRPr="006F2F68">
        <w:rPr>
          <w:rFonts w:ascii="Times New Roman" w:hAnsi="Times New Roman" w:cs="Times New Roman"/>
          <w:sz w:val="22"/>
        </w:rPr>
        <w:t xml:space="preserve">he </w:t>
      </w:r>
      <w:r w:rsidR="00467375" w:rsidRPr="006F2F68">
        <w:rPr>
          <w:rFonts w:ascii="Times New Roman" w:hAnsi="Times New Roman" w:cs="Times New Roman"/>
          <w:i/>
          <w:sz w:val="22"/>
        </w:rPr>
        <w:t>Privacy Amendment Act 1990</w:t>
      </w:r>
      <w:r w:rsidR="00BF5637" w:rsidRPr="006F2F68">
        <w:rPr>
          <w:rFonts w:ascii="Times New Roman" w:hAnsi="Times New Roman" w:cs="Times New Roman"/>
          <w:sz w:val="22"/>
        </w:rPr>
        <w:t xml:space="preserve"> and</w:t>
      </w:r>
      <w:r w:rsidR="00467375" w:rsidRPr="006F2F68">
        <w:rPr>
          <w:rFonts w:ascii="Times New Roman" w:hAnsi="Times New Roman" w:cs="Times New Roman"/>
          <w:sz w:val="22"/>
        </w:rPr>
        <w:t xml:space="preserve"> came into effect on 24 September 1991</w:t>
      </w:r>
      <w:r w:rsidR="00180941" w:rsidRPr="006F2F68">
        <w:rPr>
          <w:rFonts w:ascii="Times New Roman" w:hAnsi="Times New Roman" w:cs="Times New Roman"/>
          <w:sz w:val="22"/>
        </w:rPr>
        <w:t xml:space="preserve">. </w:t>
      </w:r>
    </w:p>
    <w:p w14:paraId="0DAD9AC9" w14:textId="05B40BE6" w:rsidR="00A46B5A" w:rsidRPr="00E22CDE" w:rsidRDefault="00A46B5A" w:rsidP="00A46B5A">
      <w:pPr>
        <w:pStyle w:val="Heading5"/>
        <w:rPr>
          <w:rFonts w:ascii="Times New Roman" w:hAnsi="Times New Roman" w:cs="Times New Roman"/>
          <w:color w:val="auto"/>
          <w:sz w:val="22"/>
        </w:rPr>
      </w:pPr>
      <w:r w:rsidRPr="00E22CDE">
        <w:rPr>
          <w:rFonts w:ascii="Times New Roman" w:hAnsi="Times New Roman" w:cs="Times New Roman"/>
          <w:color w:val="auto"/>
          <w:sz w:val="22"/>
        </w:rPr>
        <w:t>2014 reforms</w:t>
      </w:r>
    </w:p>
    <w:p w14:paraId="768361C7" w14:textId="2CF9FEB8" w:rsidR="000C21B5" w:rsidRPr="006F2F68" w:rsidRDefault="0089166C" w:rsidP="0089166C">
      <w:pPr>
        <w:rPr>
          <w:rFonts w:ascii="Times New Roman" w:hAnsi="Times New Roman" w:cs="Times New Roman"/>
          <w:sz w:val="22"/>
        </w:rPr>
      </w:pPr>
      <w:r w:rsidRPr="006F2F68">
        <w:rPr>
          <w:rFonts w:ascii="Times New Roman" w:hAnsi="Times New Roman" w:cs="Times New Roman"/>
          <w:sz w:val="22"/>
        </w:rPr>
        <w:t xml:space="preserve">In 2014, major reforms were made to the Privacy Act in response to the recommendations in the 2008 Australian Law Reform Commission Report </w:t>
      </w:r>
      <w:r w:rsidRPr="006F2F68">
        <w:rPr>
          <w:rFonts w:ascii="Times New Roman" w:hAnsi="Times New Roman" w:cs="Times New Roman"/>
          <w:i/>
          <w:sz w:val="22"/>
        </w:rPr>
        <w:t>For your Information</w:t>
      </w:r>
      <w:r w:rsidRPr="006F2F68">
        <w:rPr>
          <w:rFonts w:ascii="Times New Roman" w:hAnsi="Times New Roman" w:cs="Times New Roman"/>
          <w:sz w:val="22"/>
        </w:rPr>
        <w:t>.</w:t>
      </w:r>
      <w:r w:rsidRPr="006F2F68">
        <w:rPr>
          <w:rStyle w:val="FootnoteReference"/>
          <w:rFonts w:ascii="Times New Roman" w:hAnsi="Times New Roman" w:cs="Times New Roman"/>
          <w:sz w:val="22"/>
        </w:rPr>
        <w:footnoteReference w:id="2"/>
      </w:r>
      <w:r w:rsidR="0000671A" w:rsidRPr="006F2F68">
        <w:rPr>
          <w:rFonts w:ascii="Times New Roman" w:hAnsi="Times New Roman" w:cs="Times New Roman"/>
          <w:sz w:val="22"/>
        </w:rPr>
        <w:t xml:space="preserve"> </w:t>
      </w:r>
    </w:p>
    <w:p w14:paraId="58F3E274" w14:textId="25DE7A4A" w:rsidR="00B10965" w:rsidRPr="006F2F68" w:rsidRDefault="000C21B5" w:rsidP="0089166C">
      <w:pPr>
        <w:rPr>
          <w:rFonts w:ascii="Times New Roman" w:hAnsi="Times New Roman" w:cs="Times New Roman"/>
          <w:sz w:val="22"/>
        </w:rPr>
      </w:pPr>
      <w:r w:rsidRPr="006F2F68">
        <w:rPr>
          <w:rFonts w:ascii="Times New Roman" w:hAnsi="Times New Roman" w:cs="Times New Roman"/>
          <w:sz w:val="22"/>
        </w:rPr>
        <w:t>The</w:t>
      </w:r>
      <w:r w:rsidR="0089166C" w:rsidRPr="006F2F68">
        <w:rPr>
          <w:rFonts w:ascii="Times New Roman" w:hAnsi="Times New Roman" w:cs="Times New Roman"/>
          <w:sz w:val="22"/>
        </w:rPr>
        <w:t xml:space="preserve"> </w:t>
      </w:r>
      <w:r w:rsidR="0089166C" w:rsidRPr="006F2F68">
        <w:rPr>
          <w:rFonts w:ascii="Times New Roman" w:hAnsi="Times New Roman" w:cs="Times New Roman"/>
          <w:i/>
          <w:iCs/>
          <w:sz w:val="22"/>
        </w:rPr>
        <w:t>Privacy Amendment (Enhancing Privacy Protection) Act 2012</w:t>
      </w:r>
      <w:r w:rsidR="0089166C" w:rsidRPr="006F2F68">
        <w:rPr>
          <w:rFonts w:ascii="Times New Roman" w:hAnsi="Times New Roman" w:cs="Times New Roman"/>
          <w:sz w:val="22"/>
        </w:rPr>
        <w:t xml:space="preserve"> </w:t>
      </w:r>
      <w:r w:rsidR="0060084B" w:rsidRPr="006F2F68">
        <w:rPr>
          <w:rFonts w:ascii="Times New Roman" w:hAnsi="Times New Roman" w:cs="Times New Roman"/>
          <w:sz w:val="22"/>
        </w:rPr>
        <w:t xml:space="preserve">repealed the </w:t>
      </w:r>
      <w:r w:rsidR="00A523B0" w:rsidRPr="006F2F68">
        <w:rPr>
          <w:rFonts w:ascii="Times New Roman" w:hAnsi="Times New Roman" w:cs="Times New Roman"/>
          <w:sz w:val="22"/>
        </w:rPr>
        <w:t>former Part IIIA and introduced a new</w:t>
      </w:r>
      <w:r w:rsidR="004772A3" w:rsidRPr="006F2F68">
        <w:rPr>
          <w:rFonts w:ascii="Times New Roman" w:hAnsi="Times New Roman" w:cs="Times New Roman"/>
          <w:sz w:val="22"/>
        </w:rPr>
        <w:t xml:space="preserve"> Part IIIA </w:t>
      </w:r>
      <w:r w:rsidR="0089166C" w:rsidRPr="006F2F68">
        <w:rPr>
          <w:rFonts w:ascii="Times New Roman" w:hAnsi="Times New Roman" w:cs="Times New Roman"/>
          <w:sz w:val="22"/>
        </w:rPr>
        <w:t xml:space="preserve">to allow for more comprehensive credit reporting. </w:t>
      </w:r>
      <w:r w:rsidR="00075A24" w:rsidRPr="006F2F68">
        <w:rPr>
          <w:rFonts w:ascii="Times New Roman" w:hAnsi="Times New Roman" w:cs="Times New Roman"/>
          <w:sz w:val="22"/>
        </w:rPr>
        <w:t>Five</w:t>
      </w:r>
      <w:r w:rsidR="0089166C" w:rsidRPr="006F2F68">
        <w:rPr>
          <w:rFonts w:ascii="Times New Roman" w:hAnsi="Times New Roman" w:cs="Times New Roman"/>
          <w:sz w:val="22"/>
        </w:rPr>
        <w:t xml:space="preserve"> new kinds of information </w:t>
      </w:r>
      <w:r w:rsidR="00075A24" w:rsidRPr="006F2F68">
        <w:rPr>
          <w:rFonts w:ascii="Times New Roman" w:hAnsi="Times New Roman" w:cs="Times New Roman"/>
          <w:sz w:val="22"/>
        </w:rPr>
        <w:t xml:space="preserve">were introduced </w:t>
      </w:r>
      <w:r w:rsidR="0089166C" w:rsidRPr="006F2F68">
        <w:rPr>
          <w:rFonts w:ascii="Times New Roman" w:hAnsi="Times New Roman" w:cs="Times New Roman"/>
          <w:sz w:val="22"/>
        </w:rPr>
        <w:t>into the credit reporting system to improve the ability of credit providers to assess an individual’s creditworthiness.</w:t>
      </w:r>
      <w:r w:rsidR="0089166C" w:rsidRPr="006F2F68">
        <w:rPr>
          <w:rStyle w:val="FootnoteReference"/>
          <w:rFonts w:ascii="Times New Roman" w:hAnsi="Times New Roman" w:cs="Times New Roman"/>
          <w:sz w:val="22"/>
        </w:rPr>
        <w:footnoteReference w:id="3"/>
      </w:r>
      <w:r w:rsidR="0089166C" w:rsidRPr="006F2F68">
        <w:rPr>
          <w:rFonts w:ascii="Times New Roman" w:hAnsi="Times New Roman" w:cs="Times New Roman"/>
          <w:sz w:val="22"/>
        </w:rPr>
        <w:t xml:space="preserve">  </w:t>
      </w:r>
    </w:p>
    <w:p w14:paraId="431941F9" w14:textId="505E30CB" w:rsidR="008673F5" w:rsidRPr="006F2F68" w:rsidRDefault="000B50AE" w:rsidP="0089166C">
      <w:pPr>
        <w:rPr>
          <w:rFonts w:ascii="Times New Roman" w:hAnsi="Times New Roman" w:cs="Times New Roman"/>
          <w:sz w:val="22"/>
        </w:rPr>
      </w:pPr>
      <w:r w:rsidRPr="006F2F68">
        <w:rPr>
          <w:rFonts w:ascii="Times New Roman" w:hAnsi="Times New Roman" w:cs="Times New Roman"/>
          <w:sz w:val="22"/>
        </w:rPr>
        <w:t xml:space="preserve">In Part IIIA, </w:t>
      </w:r>
      <w:r w:rsidR="00E006AA" w:rsidRPr="006F2F68">
        <w:rPr>
          <w:rFonts w:ascii="Times New Roman" w:hAnsi="Times New Roman" w:cs="Times New Roman"/>
          <w:sz w:val="22"/>
        </w:rPr>
        <w:t xml:space="preserve">Division 2 sets out rules that apply to </w:t>
      </w:r>
      <w:r w:rsidR="00CD0719" w:rsidRPr="006F2F68">
        <w:rPr>
          <w:rFonts w:ascii="Times New Roman" w:hAnsi="Times New Roman" w:cs="Times New Roman"/>
          <w:sz w:val="22"/>
        </w:rPr>
        <w:t>CRBs</w:t>
      </w:r>
      <w:r w:rsidR="005F4C71" w:rsidRPr="006F2F68">
        <w:rPr>
          <w:rFonts w:ascii="Times New Roman" w:hAnsi="Times New Roman" w:cs="Times New Roman"/>
          <w:sz w:val="22"/>
        </w:rPr>
        <w:t xml:space="preserve"> and</w:t>
      </w:r>
      <w:r w:rsidR="00E006AA" w:rsidRPr="006F2F68">
        <w:rPr>
          <w:rFonts w:ascii="Times New Roman" w:hAnsi="Times New Roman" w:cs="Times New Roman"/>
          <w:sz w:val="22"/>
        </w:rPr>
        <w:t xml:space="preserve"> </w:t>
      </w:r>
      <w:r w:rsidR="00F147B7" w:rsidRPr="006F2F68">
        <w:rPr>
          <w:rFonts w:ascii="Times New Roman" w:hAnsi="Times New Roman" w:cs="Times New Roman"/>
          <w:sz w:val="22"/>
        </w:rPr>
        <w:t>Subdivision D</w:t>
      </w:r>
      <w:r w:rsidR="003F3D8D" w:rsidRPr="006F2F68">
        <w:rPr>
          <w:rFonts w:ascii="Times New Roman" w:hAnsi="Times New Roman" w:cs="Times New Roman"/>
          <w:sz w:val="22"/>
        </w:rPr>
        <w:t xml:space="preserve"> </w:t>
      </w:r>
      <w:r w:rsidR="005F4C71" w:rsidRPr="006F2F68">
        <w:rPr>
          <w:rFonts w:ascii="Times New Roman" w:hAnsi="Times New Roman" w:cs="Times New Roman"/>
          <w:sz w:val="22"/>
        </w:rPr>
        <w:t xml:space="preserve">of Division </w:t>
      </w:r>
      <w:r w:rsidR="005A0311" w:rsidRPr="006F2F68">
        <w:rPr>
          <w:rFonts w:ascii="Times New Roman" w:hAnsi="Times New Roman" w:cs="Times New Roman"/>
          <w:sz w:val="22"/>
        </w:rPr>
        <w:t xml:space="preserve">2 contains </w:t>
      </w:r>
      <w:proofErr w:type="gramStart"/>
      <w:r w:rsidR="00F27572" w:rsidRPr="006F2F68">
        <w:rPr>
          <w:rFonts w:ascii="Times New Roman" w:hAnsi="Times New Roman" w:cs="Times New Roman"/>
          <w:sz w:val="22"/>
        </w:rPr>
        <w:t>a number of</w:t>
      </w:r>
      <w:proofErr w:type="gramEnd"/>
      <w:r w:rsidR="00F27572" w:rsidRPr="006F2F68">
        <w:rPr>
          <w:rFonts w:ascii="Times New Roman" w:hAnsi="Times New Roman" w:cs="Times New Roman"/>
          <w:sz w:val="22"/>
        </w:rPr>
        <w:t xml:space="preserve"> </w:t>
      </w:r>
      <w:r w:rsidR="005A0311" w:rsidRPr="006F2F68">
        <w:rPr>
          <w:rFonts w:ascii="Times New Roman" w:hAnsi="Times New Roman" w:cs="Times New Roman"/>
          <w:sz w:val="22"/>
        </w:rPr>
        <w:t xml:space="preserve">protections with regard to </w:t>
      </w:r>
      <w:r w:rsidR="003F3D8D" w:rsidRPr="006F2F68">
        <w:rPr>
          <w:rFonts w:ascii="Times New Roman" w:hAnsi="Times New Roman" w:cs="Times New Roman"/>
          <w:sz w:val="22"/>
        </w:rPr>
        <w:t xml:space="preserve">credit reporting information. </w:t>
      </w:r>
      <w:r w:rsidR="005A0311" w:rsidRPr="006F2F68">
        <w:rPr>
          <w:rFonts w:ascii="Times New Roman" w:hAnsi="Times New Roman" w:cs="Times New Roman"/>
          <w:sz w:val="22"/>
        </w:rPr>
        <w:t>Under s 20</w:t>
      </w:r>
      <w:proofErr w:type="gramStart"/>
      <w:r w:rsidR="005A0311" w:rsidRPr="006F2F68">
        <w:rPr>
          <w:rFonts w:ascii="Times New Roman" w:hAnsi="Times New Roman" w:cs="Times New Roman"/>
          <w:sz w:val="22"/>
        </w:rPr>
        <w:t>M</w:t>
      </w:r>
      <w:r w:rsidR="00F162BB" w:rsidRPr="006F2F68">
        <w:rPr>
          <w:rFonts w:ascii="Times New Roman" w:hAnsi="Times New Roman" w:cs="Times New Roman"/>
          <w:sz w:val="22"/>
        </w:rPr>
        <w:t>(</w:t>
      </w:r>
      <w:proofErr w:type="gramEnd"/>
      <w:r w:rsidR="00F162BB" w:rsidRPr="006F2F68">
        <w:rPr>
          <w:rFonts w:ascii="Times New Roman" w:hAnsi="Times New Roman" w:cs="Times New Roman"/>
          <w:sz w:val="22"/>
        </w:rPr>
        <w:t>1),</w:t>
      </w:r>
      <w:r w:rsidR="005A0311" w:rsidRPr="006F2F68">
        <w:rPr>
          <w:rFonts w:ascii="Times New Roman" w:hAnsi="Times New Roman" w:cs="Times New Roman"/>
          <w:sz w:val="22"/>
        </w:rPr>
        <w:t xml:space="preserve"> </w:t>
      </w:r>
      <w:r w:rsidR="00F162BB" w:rsidRPr="006F2F68">
        <w:rPr>
          <w:rFonts w:ascii="Times New Roman" w:hAnsi="Times New Roman" w:cs="Times New Roman"/>
          <w:sz w:val="22"/>
        </w:rPr>
        <w:t xml:space="preserve">CRBs cannot use or disclose de-identified credit reporting information. </w:t>
      </w:r>
      <w:r w:rsidR="0066418C" w:rsidRPr="006F2F68">
        <w:rPr>
          <w:rFonts w:ascii="Times New Roman" w:hAnsi="Times New Roman" w:cs="Times New Roman"/>
          <w:sz w:val="22"/>
        </w:rPr>
        <w:t>Section 20</w:t>
      </w:r>
      <w:r w:rsidR="00F07E68" w:rsidRPr="006F2F68">
        <w:rPr>
          <w:rFonts w:ascii="Times New Roman" w:hAnsi="Times New Roman" w:cs="Times New Roman"/>
          <w:sz w:val="22"/>
        </w:rPr>
        <w:t>M</w:t>
      </w:r>
      <w:r w:rsidR="0066418C" w:rsidRPr="006F2F68">
        <w:rPr>
          <w:rFonts w:ascii="Times New Roman" w:hAnsi="Times New Roman" w:cs="Times New Roman"/>
          <w:sz w:val="22"/>
        </w:rPr>
        <w:t>(2)</w:t>
      </w:r>
      <w:r w:rsidR="005C36C6" w:rsidRPr="006F2F68">
        <w:rPr>
          <w:rFonts w:ascii="Times New Roman" w:hAnsi="Times New Roman" w:cs="Times New Roman"/>
          <w:sz w:val="22"/>
        </w:rPr>
        <w:t xml:space="preserve">(b) creates an exception which allows </w:t>
      </w:r>
      <w:r w:rsidR="00D25FFE" w:rsidRPr="006F2F68">
        <w:rPr>
          <w:rFonts w:ascii="Times New Roman" w:hAnsi="Times New Roman" w:cs="Times New Roman"/>
          <w:sz w:val="22"/>
        </w:rPr>
        <w:t xml:space="preserve">a </w:t>
      </w:r>
      <w:r w:rsidR="005C36C6" w:rsidRPr="006F2F68">
        <w:rPr>
          <w:rFonts w:ascii="Times New Roman" w:hAnsi="Times New Roman" w:cs="Times New Roman"/>
          <w:sz w:val="22"/>
        </w:rPr>
        <w:t>CRB to use de-identified information when</w:t>
      </w:r>
      <w:r w:rsidR="00D25FFE" w:rsidRPr="006F2F68">
        <w:rPr>
          <w:rFonts w:ascii="Times New Roman" w:hAnsi="Times New Roman" w:cs="Times New Roman"/>
          <w:sz w:val="22"/>
        </w:rPr>
        <w:t xml:space="preserve"> it complies with the rules made under subsection (3). </w:t>
      </w:r>
      <w:r w:rsidR="00FF3F59" w:rsidRPr="006F2F68">
        <w:rPr>
          <w:rFonts w:ascii="Times New Roman" w:hAnsi="Times New Roman" w:cs="Times New Roman"/>
          <w:sz w:val="22"/>
        </w:rPr>
        <w:t xml:space="preserve">Section 20(3) grants the </w:t>
      </w:r>
      <w:r w:rsidR="00B424A5" w:rsidRPr="006F2F68">
        <w:rPr>
          <w:rFonts w:ascii="Times New Roman" w:hAnsi="Times New Roman" w:cs="Times New Roman"/>
          <w:sz w:val="22"/>
        </w:rPr>
        <w:t>Commissioner</w:t>
      </w:r>
      <w:r w:rsidR="00FF3F59" w:rsidRPr="006F2F68">
        <w:rPr>
          <w:rFonts w:ascii="Times New Roman" w:hAnsi="Times New Roman" w:cs="Times New Roman"/>
          <w:sz w:val="22"/>
        </w:rPr>
        <w:t xml:space="preserve"> the </w:t>
      </w:r>
      <w:r w:rsidR="00B424A5" w:rsidRPr="006F2F68">
        <w:rPr>
          <w:rFonts w:ascii="Times New Roman" w:hAnsi="Times New Roman" w:cs="Times New Roman"/>
          <w:sz w:val="22"/>
        </w:rPr>
        <w:t>power</w:t>
      </w:r>
      <w:r w:rsidR="00FF3F59" w:rsidRPr="006F2F68">
        <w:rPr>
          <w:rFonts w:ascii="Times New Roman" w:hAnsi="Times New Roman" w:cs="Times New Roman"/>
          <w:sz w:val="22"/>
        </w:rPr>
        <w:t xml:space="preserve"> to make</w:t>
      </w:r>
      <w:r w:rsidR="00B424A5" w:rsidRPr="006F2F68">
        <w:rPr>
          <w:rFonts w:ascii="Times New Roman" w:hAnsi="Times New Roman" w:cs="Times New Roman"/>
          <w:sz w:val="22"/>
        </w:rPr>
        <w:t xml:space="preserve"> rules relating to the use or disclosure by a </w:t>
      </w:r>
      <w:r w:rsidR="00920D8A" w:rsidRPr="006F2F68">
        <w:rPr>
          <w:rFonts w:ascii="Times New Roman" w:hAnsi="Times New Roman" w:cs="Times New Roman"/>
          <w:sz w:val="22"/>
        </w:rPr>
        <w:t>CRB</w:t>
      </w:r>
      <w:r w:rsidR="00B424A5" w:rsidRPr="006F2F68">
        <w:rPr>
          <w:rFonts w:ascii="Times New Roman" w:hAnsi="Times New Roman" w:cs="Times New Roman"/>
          <w:sz w:val="22"/>
        </w:rPr>
        <w:t xml:space="preserve"> of de‑identified information for the purposes of conducting research in relation to credit.</w:t>
      </w:r>
      <w:r w:rsidR="00FF3F59" w:rsidRPr="006F2F68">
        <w:rPr>
          <w:rFonts w:ascii="Times New Roman" w:hAnsi="Times New Roman" w:cs="Times New Roman"/>
          <w:sz w:val="22"/>
        </w:rPr>
        <w:t xml:space="preserve"> </w:t>
      </w:r>
      <w:r w:rsidR="005C36C6" w:rsidRPr="006F2F68">
        <w:rPr>
          <w:rFonts w:ascii="Times New Roman" w:hAnsi="Times New Roman" w:cs="Times New Roman"/>
          <w:sz w:val="22"/>
        </w:rPr>
        <w:t xml:space="preserve"> </w:t>
      </w:r>
    </w:p>
    <w:p w14:paraId="2D163856" w14:textId="6B48D7C4" w:rsidR="00837E41" w:rsidRPr="00E22CDE" w:rsidRDefault="00837E41" w:rsidP="00795126">
      <w:pPr>
        <w:pStyle w:val="Heading5"/>
        <w:rPr>
          <w:rFonts w:ascii="Times New Roman" w:hAnsi="Times New Roman" w:cs="Times New Roman"/>
          <w:color w:val="auto"/>
          <w:sz w:val="22"/>
        </w:rPr>
      </w:pPr>
      <w:r w:rsidRPr="00E22CDE">
        <w:rPr>
          <w:rFonts w:ascii="Times New Roman" w:hAnsi="Times New Roman" w:cs="Times New Roman"/>
          <w:color w:val="auto"/>
          <w:sz w:val="22"/>
        </w:rPr>
        <w:t>De-identified information</w:t>
      </w:r>
    </w:p>
    <w:p w14:paraId="3BFA43E8" w14:textId="24632E29" w:rsidR="002F3B2C" w:rsidRPr="006F2F68" w:rsidRDefault="00FB330E" w:rsidP="002F3B2C">
      <w:pPr>
        <w:rPr>
          <w:rFonts w:ascii="Times New Roman" w:hAnsi="Times New Roman" w:cs="Times New Roman"/>
          <w:sz w:val="22"/>
        </w:rPr>
      </w:pPr>
      <w:r w:rsidRPr="006F2F68">
        <w:rPr>
          <w:rFonts w:ascii="Times New Roman" w:hAnsi="Times New Roman" w:cs="Times New Roman"/>
          <w:sz w:val="22"/>
        </w:rPr>
        <w:t xml:space="preserve">The concept of de-identified information is important. </w:t>
      </w:r>
      <w:r w:rsidR="002F3B2C" w:rsidRPr="006F2F68">
        <w:rPr>
          <w:rFonts w:ascii="Times New Roman" w:hAnsi="Times New Roman" w:cs="Times New Roman"/>
          <w:sz w:val="22"/>
        </w:rPr>
        <w:t>De</w:t>
      </w:r>
      <w:r w:rsidR="008C0616" w:rsidRPr="006F2F68">
        <w:rPr>
          <w:rFonts w:ascii="Times New Roman" w:hAnsi="Times New Roman" w:cs="Times New Roman"/>
          <w:sz w:val="22"/>
        </w:rPr>
        <w:t>-</w:t>
      </w:r>
      <w:r w:rsidR="002F3B2C" w:rsidRPr="006F2F68">
        <w:rPr>
          <w:rFonts w:ascii="Times New Roman" w:hAnsi="Times New Roman" w:cs="Times New Roman"/>
          <w:sz w:val="22"/>
        </w:rPr>
        <w:t xml:space="preserve">identification of a dataset enables the information to be used </w:t>
      </w:r>
      <w:r w:rsidR="00805B5B" w:rsidRPr="006F2F68">
        <w:rPr>
          <w:rFonts w:ascii="Times New Roman" w:hAnsi="Times New Roman" w:cs="Times New Roman"/>
          <w:sz w:val="22"/>
        </w:rPr>
        <w:t xml:space="preserve">by an organisation </w:t>
      </w:r>
      <w:r w:rsidR="002F3B2C" w:rsidRPr="006F2F68">
        <w:rPr>
          <w:rFonts w:ascii="Times New Roman" w:hAnsi="Times New Roman" w:cs="Times New Roman"/>
          <w:sz w:val="22"/>
        </w:rPr>
        <w:t xml:space="preserve">while preserving </w:t>
      </w:r>
      <w:r w:rsidR="00805B5B" w:rsidRPr="006F2F68">
        <w:rPr>
          <w:rFonts w:ascii="Times New Roman" w:hAnsi="Times New Roman" w:cs="Times New Roman"/>
          <w:sz w:val="22"/>
        </w:rPr>
        <w:t>the privacy of</w:t>
      </w:r>
      <w:r w:rsidR="002F3B2C" w:rsidRPr="006F2F68">
        <w:rPr>
          <w:rFonts w:ascii="Times New Roman" w:hAnsi="Times New Roman" w:cs="Times New Roman"/>
          <w:sz w:val="22"/>
        </w:rPr>
        <w:t xml:space="preserve"> individual</w:t>
      </w:r>
      <w:r w:rsidR="00805B5B" w:rsidRPr="006F2F68">
        <w:rPr>
          <w:rFonts w:ascii="Times New Roman" w:hAnsi="Times New Roman" w:cs="Times New Roman"/>
          <w:sz w:val="22"/>
        </w:rPr>
        <w:t>s</w:t>
      </w:r>
      <w:r w:rsidR="00130DAC" w:rsidRPr="006F2F68">
        <w:rPr>
          <w:rFonts w:ascii="Times New Roman" w:hAnsi="Times New Roman" w:cs="Times New Roman"/>
          <w:sz w:val="22"/>
        </w:rPr>
        <w:t xml:space="preserve"> and ensuring compliance with </w:t>
      </w:r>
      <w:r w:rsidR="006617C3" w:rsidRPr="006F2F68">
        <w:rPr>
          <w:rFonts w:ascii="Times New Roman" w:hAnsi="Times New Roman" w:cs="Times New Roman"/>
          <w:sz w:val="22"/>
        </w:rPr>
        <w:t>privacy legislati</w:t>
      </w:r>
      <w:r w:rsidR="00137F8A" w:rsidRPr="006F2F68">
        <w:rPr>
          <w:rFonts w:ascii="Times New Roman" w:hAnsi="Times New Roman" w:cs="Times New Roman"/>
          <w:sz w:val="22"/>
        </w:rPr>
        <w:t>on</w:t>
      </w:r>
      <w:r w:rsidR="002F3B2C" w:rsidRPr="006F2F68">
        <w:rPr>
          <w:rFonts w:ascii="Times New Roman" w:hAnsi="Times New Roman" w:cs="Times New Roman"/>
          <w:sz w:val="22"/>
        </w:rPr>
        <w:t>. Examples included the use of de</w:t>
      </w:r>
      <w:r w:rsidR="005A48DB" w:rsidRPr="006F2F68">
        <w:rPr>
          <w:rFonts w:ascii="Times New Roman" w:hAnsi="Times New Roman" w:cs="Times New Roman"/>
          <w:sz w:val="22"/>
        </w:rPr>
        <w:t>-</w:t>
      </w:r>
      <w:r w:rsidR="002F3B2C" w:rsidRPr="006F2F68">
        <w:rPr>
          <w:rFonts w:ascii="Times New Roman" w:hAnsi="Times New Roman" w:cs="Times New Roman"/>
          <w:sz w:val="22"/>
        </w:rPr>
        <w:t xml:space="preserve">identified data </w:t>
      </w:r>
      <w:r w:rsidR="00D31B45" w:rsidRPr="006F2F68">
        <w:rPr>
          <w:rFonts w:ascii="Times New Roman" w:hAnsi="Times New Roman" w:cs="Times New Roman"/>
          <w:sz w:val="22"/>
        </w:rPr>
        <w:t>to evaluate</w:t>
      </w:r>
      <w:r w:rsidR="00D8689E" w:rsidRPr="006F2F68">
        <w:rPr>
          <w:rFonts w:ascii="Times New Roman" w:hAnsi="Times New Roman" w:cs="Times New Roman"/>
          <w:sz w:val="22"/>
        </w:rPr>
        <w:t xml:space="preserve"> national</w:t>
      </w:r>
      <w:r w:rsidR="002F3B2C" w:rsidRPr="006F2F68">
        <w:rPr>
          <w:rFonts w:ascii="Times New Roman" w:hAnsi="Times New Roman" w:cs="Times New Roman"/>
          <w:sz w:val="22"/>
        </w:rPr>
        <w:t xml:space="preserve"> immunisation programs. </w:t>
      </w:r>
    </w:p>
    <w:p w14:paraId="6469D513" w14:textId="31B37A1D" w:rsidR="00284962" w:rsidRPr="006F2F68" w:rsidRDefault="00284962" w:rsidP="00284962">
      <w:pPr>
        <w:rPr>
          <w:rFonts w:ascii="Times New Roman" w:hAnsi="Times New Roman" w:cs="Times New Roman"/>
          <w:sz w:val="22"/>
        </w:rPr>
      </w:pPr>
      <w:r w:rsidRPr="006F2F68">
        <w:rPr>
          <w:rFonts w:ascii="Times New Roman" w:hAnsi="Times New Roman" w:cs="Times New Roman"/>
          <w:sz w:val="22"/>
        </w:rPr>
        <w:t>Subsection 4(2)</w:t>
      </w:r>
      <w:r w:rsidR="00081408" w:rsidRPr="006F2F68">
        <w:rPr>
          <w:rFonts w:ascii="Times New Roman" w:hAnsi="Times New Roman" w:cs="Times New Roman"/>
          <w:sz w:val="22"/>
        </w:rPr>
        <w:t xml:space="preserve"> of the Rule</w:t>
      </w:r>
      <w:r w:rsidRPr="006F2F68">
        <w:rPr>
          <w:rFonts w:ascii="Times New Roman" w:hAnsi="Times New Roman" w:cs="Times New Roman"/>
          <w:sz w:val="22"/>
        </w:rPr>
        <w:t xml:space="preserve"> sets out the following definition of de-identified information:</w:t>
      </w:r>
    </w:p>
    <w:p w14:paraId="4B2022F4" w14:textId="77777777" w:rsidR="00284962" w:rsidRPr="00E22CDE" w:rsidRDefault="00284962" w:rsidP="00284962">
      <w:pPr>
        <w:pStyle w:val="Quote"/>
        <w:rPr>
          <w:rFonts w:ascii="Times New Roman" w:hAnsi="Times New Roman" w:cs="Times New Roman"/>
          <w:color w:val="auto"/>
          <w:sz w:val="22"/>
        </w:rPr>
      </w:pPr>
      <w:r w:rsidRPr="00E22CDE">
        <w:rPr>
          <w:rFonts w:ascii="Times New Roman" w:hAnsi="Times New Roman" w:cs="Times New Roman"/>
          <w:b/>
          <w:color w:val="auto"/>
          <w:sz w:val="22"/>
        </w:rPr>
        <w:t>De-identified information</w:t>
      </w:r>
      <w:r w:rsidRPr="00E22CDE">
        <w:rPr>
          <w:rFonts w:ascii="Times New Roman" w:hAnsi="Times New Roman" w:cs="Times New Roman"/>
          <w:color w:val="auto"/>
          <w:sz w:val="22"/>
        </w:rPr>
        <w:t xml:space="preserve"> means credit reporting information that is no longer about an identifiable individual or an individual who is reasonably </w:t>
      </w:r>
      <w:proofErr w:type="gramStart"/>
      <w:r w:rsidRPr="00E22CDE">
        <w:rPr>
          <w:rFonts w:ascii="Times New Roman" w:hAnsi="Times New Roman" w:cs="Times New Roman"/>
          <w:color w:val="auto"/>
          <w:sz w:val="22"/>
        </w:rPr>
        <w:t>identifiable</w:t>
      </w:r>
      <w:proofErr w:type="gramEnd"/>
      <w:r w:rsidRPr="00E22CDE">
        <w:rPr>
          <w:rFonts w:ascii="Times New Roman" w:hAnsi="Times New Roman" w:cs="Times New Roman"/>
          <w:color w:val="auto"/>
          <w:sz w:val="22"/>
        </w:rPr>
        <w:t xml:space="preserve"> </w:t>
      </w:r>
    </w:p>
    <w:p w14:paraId="48CAA912" w14:textId="5B3D78FD" w:rsidR="00284962" w:rsidRPr="006F2F68" w:rsidRDefault="00284962" w:rsidP="00284962">
      <w:pPr>
        <w:rPr>
          <w:rFonts w:ascii="Times New Roman" w:hAnsi="Times New Roman" w:cs="Times New Roman"/>
          <w:sz w:val="22"/>
        </w:rPr>
      </w:pPr>
      <w:r w:rsidRPr="006F2F68">
        <w:rPr>
          <w:rFonts w:ascii="Times New Roman" w:hAnsi="Times New Roman" w:cs="Times New Roman"/>
          <w:sz w:val="22"/>
        </w:rPr>
        <w:t xml:space="preserve">This definition is consistent with the definition of ‘de-identified’ contained in s 6(1) of the Privacy Act. </w:t>
      </w:r>
    </w:p>
    <w:p w14:paraId="647BC53C" w14:textId="5922D97A" w:rsidR="009205ED" w:rsidRPr="00E22CDE" w:rsidRDefault="00503B0E" w:rsidP="009205ED">
      <w:pPr>
        <w:pStyle w:val="Heading4"/>
        <w:rPr>
          <w:rFonts w:ascii="Times New Roman" w:hAnsi="Times New Roman" w:cs="Times New Roman"/>
          <w:color w:val="auto"/>
          <w:sz w:val="28"/>
          <w:szCs w:val="28"/>
        </w:rPr>
      </w:pPr>
      <w:r w:rsidRPr="00E22CDE">
        <w:rPr>
          <w:rFonts w:ascii="Times New Roman" w:hAnsi="Times New Roman" w:cs="Times New Roman"/>
          <w:color w:val="auto"/>
          <w:sz w:val="28"/>
          <w:szCs w:val="28"/>
        </w:rPr>
        <w:t>C</w:t>
      </w:r>
      <w:r w:rsidR="009205ED" w:rsidRPr="00E22CDE">
        <w:rPr>
          <w:rFonts w:ascii="Times New Roman" w:hAnsi="Times New Roman" w:cs="Times New Roman"/>
          <w:color w:val="auto"/>
          <w:sz w:val="28"/>
          <w:szCs w:val="28"/>
        </w:rPr>
        <w:t>hanges</w:t>
      </w:r>
      <w:r w:rsidR="00AA7A07" w:rsidRPr="00E22CDE">
        <w:rPr>
          <w:rFonts w:ascii="Times New Roman" w:hAnsi="Times New Roman" w:cs="Times New Roman"/>
          <w:color w:val="auto"/>
          <w:sz w:val="28"/>
          <w:szCs w:val="28"/>
        </w:rPr>
        <w:t xml:space="preserve"> made to the Privacy (Credit Related Research) Rule</w:t>
      </w:r>
    </w:p>
    <w:p w14:paraId="540E5AB1" w14:textId="687A4921" w:rsidR="00B03F06" w:rsidRPr="006F2F68" w:rsidRDefault="00503B0E" w:rsidP="006E5B23">
      <w:pPr>
        <w:rPr>
          <w:rFonts w:ascii="Times New Roman" w:hAnsi="Times New Roman" w:cs="Times New Roman"/>
          <w:sz w:val="22"/>
        </w:rPr>
      </w:pPr>
      <w:r w:rsidRPr="006F2F68">
        <w:rPr>
          <w:rFonts w:ascii="Times New Roman" w:hAnsi="Times New Roman" w:cs="Times New Roman"/>
          <w:sz w:val="22"/>
        </w:rPr>
        <w:t xml:space="preserve">The Rule has been remade on substantially the same terms as the </w:t>
      </w:r>
      <w:r w:rsidR="00D50534" w:rsidRPr="006F2F68">
        <w:rPr>
          <w:rFonts w:ascii="Times New Roman" w:hAnsi="Times New Roman" w:cs="Times New Roman"/>
          <w:sz w:val="22"/>
        </w:rPr>
        <w:t>P</w:t>
      </w:r>
      <w:r w:rsidRPr="006F2F68">
        <w:rPr>
          <w:rFonts w:ascii="Times New Roman" w:hAnsi="Times New Roman" w:cs="Times New Roman"/>
          <w:sz w:val="22"/>
        </w:rPr>
        <w:t xml:space="preserve">revious Rule. </w:t>
      </w:r>
      <w:r w:rsidR="00B00047" w:rsidRPr="006F2F68">
        <w:rPr>
          <w:rFonts w:ascii="Times New Roman" w:hAnsi="Times New Roman" w:cs="Times New Roman"/>
          <w:sz w:val="22"/>
        </w:rPr>
        <w:t>Dates have been updated in the Rule to reflect the remaking of the Rule.</w:t>
      </w:r>
      <w:r w:rsidR="00BD21CD" w:rsidRPr="006F2F68">
        <w:rPr>
          <w:rFonts w:ascii="Times New Roman" w:hAnsi="Times New Roman" w:cs="Times New Roman"/>
          <w:sz w:val="22"/>
        </w:rPr>
        <w:t xml:space="preserve"> Minor clarifications have been made to the provisions at </w:t>
      </w:r>
      <w:r w:rsidR="00BD21CD" w:rsidRPr="006F2F68">
        <w:rPr>
          <w:rFonts w:ascii="Times New Roman" w:hAnsi="Times New Roman" w:cs="Times New Roman"/>
          <w:b/>
          <w:bCs/>
          <w:sz w:val="22"/>
        </w:rPr>
        <w:t xml:space="preserve">Attachment </w:t>
      </w:r>
      <w:r w:rsidR="00DD11CD" w:rsidRPr="006F2F68">
        <w:rPr>
          <w:rFonts w:ascii="Times New Roman" w:hAnsi="Times New Roman" w:cs="Times New Roman"/>
          <w:b/>
          <w:bCs/>
          <w:sz w:val="22"/>
        </w:rPr>
        <w:t>B</w:t>
      </w:r>
      <w:r w:rsidR="00BD21CD" w:rsidRPr="006F2F68">
        <w:rPr>
          <w:rFonts w:ascii="Times New Roman" w:hAnsi="Times New Roman" w:cs="Times New Roman"/>
          <w:sz w:val="22"/>
        </w:rPr>
        <w:t xml:space="preserve">. </w:t>
      </w:r>
    </w:p>
    <w:p w14:paraId="54C7E341" w14:textId="77777777" w:rsidR="00E00F5F" w:rsidRPr="00E22CDE" w:rsidRDefault="00E00F5F" w:rsidP="00A11B29">
      <w:pPr>
        <w:pStyle w:val="Heading4"/>
        <w:rPr>
          <w:rFonts w:ascii="Times New Roman" w:hAnsi="Times New Roman" w:cs="Times New Roman"/>
          <w:color w:val="auto"/>
          <w:sz w:val="28"/>
          <w:szCs w:val="28"/>
        </w:rPr>
      </w:pPr>
      <w:r w:rsidRPr="00E22CDE">
        <w:rPr>
          <w:rFonts w:ascii="Times New Roman" w:hAnsi="Times New Roman" w:cs="Times New Roman"/>
          <w:color w:val="auto"/>
          <w:sz w:val="28"/>
          <w:szCs w:val="28"/>
        </w:rPr>
        <w:t>Consultation</w:t>
      </w:r>
    </w:p>
    <w:p w14:paraId="3CC8379C" w14:textId="687DBA76" w:rsidR="0001467B" w:rsidRPr="006F2F68" w:rsidRDefault="00B90280" w:rsidP="00E00F5F">
      <w:pPr>
        <w:rPr>
          <w:rFonts w:ascii="Times New Roman" w:hAnsi="Times New Roman" w:cs="Times New Roman"/>
          <w:sz w:val="22"/>
        </w:rPr>
      </w:pPr>
      <w:r w:rsidRPr="006F2F68">
        <w:rPr>
          <w:rFonts w:ascii="Times New Roman" w:hAnsi="Times New Roman" w:cs="Times New Roman"/>
          <w:sz w:val="22"/>
        </w:rPr>
        <w:t>The Office of the Australian Information Commissioner (OAIC) has complied with the</w:t>
      </w:r>
      <w:r w:rsidR="00E00F5F" w:rsidRPr="006F2F68">
        <w:rPr>
          <w:rFonts w:ascii="Times New Roman" w:hAnsi="Times New Roman" w:cs="Times New Roman"/>
          <w:sz w:val="22"/>
        </w:rPr>
        <w:t xml:space="preserve"> requirements of the </w:t>
      </w:r>
      <w:r w:rsidR="00674BA8" w:rsidRPr="006F2F68">
        <w:rPr>
          <w:rFonts w:ascii="Times New Roman" w:hAnsi="Times New Roman" w:cs="Times New Roman"/>
          <w:i/>
          <w:sz w:val="22"/>
        </w:rPr>
        <w:t>Legislation Act 20</w:t>
      </w:r>
      <w:r w:rsidR="005D64EE" w:rsidRPr="006F2F68">
        <w:rPr>
          <w:rFonts w:ascii="Times New Roman" w:hAnsi="Times New Roman" w:cs="Times New Roman"/>
          <w:i/>
          <w:sz w:val="22"/>
        </w:rPr>
        <w:t>03</w:t>
      </w:r>
      <w:r w:rsidR="00E00F5F" w:rsidRPr="006F2F68">
        <w:rPr>
          <w:rFonts w:ascii="Times New Roman" w:hAnsi="Times New Roman" w:cs="Times New Roman"/>
          <w:sz w:val="22"/>
        </w:rPr>
        <w:t xml:space="preserve"> </w:t>
      </w:r>
      <w:r w:rsidR="008D6198" w:rsidRPr="006F2F68">
        <w:rPr>
          <w:rFonts w:ascii="Times New Roman" w:hAnsi="Times New Roman" w:cs="Times New Roman"/>
          <w:sz w:val="22"/>
        </w:rPr>
        <w:t xml:space="preserve">(Legislation Act) </w:t>
      </w:r>
      <w:r w:rsidR="00E00F5F" w:rsidRPr="006F2F68">
        <w:rPr>
          <w:rFonts w:ascii="Times New Roman" w:hAnsi="Times New Roman" w:cs="Times New Roman"/>
          <w:sz w:val="22"/>
        </w:rPr>
        <w:t xml:space="preserve">and the recommendations set out in the Explanatory </w:t>
      </w:r>
      <w:r w:rsidR="00E00F5F" w:rsidRPr="006F2F68">
        <w:rPr>
          <w:rFonts w:ascii="Times New Roman" w:hAnsi="Times New Roman" w:cs="Times New Roman"/>
          <w:sz w:val="22"/>
        </w:rPr>
        <w:lastRenderedPageBreak/>
        <w:t xml:space="preserve">Memorandum, </w:t>
      </w:r>
      <w:r w:rsidR="0056317B" w:rsidRPr="006F2F68">
        <w:rPr>
          <w:rFonts w:ascii="Times New Roman" w:hAnsi="Times New Roman" w:cs="Times New Roman"/>
          <w:sz w:val="22"/>
        </w:rPr>
        <w:t xml:space="preserve">as well as </w:t>
      </w:r>
      <w:r w:rsidR="009901EA" w:rsidRPr="006F2F68">
        <w:rPr>
          <w:rFonts w:ascii="Times New Roman" w:hAnsi="Times New Roman" w:cs="Times New Roman"/>
          <w:sz w:val="22"/>
        </w:rPr>
        <w:t xml:space="preserve">the </w:t>
      </w:r>
      <w:r w:rsidR="0001467B" w:rsidRPr="006F2F68">
        <w:rPr>
          <w:rFonts w:ascii="Times New Roman" w:hAnsi="Times New Roman" w:cs="Times New Roman"/>
          <w:sz w:val="22"/>
        </w:rPr>
        <w:t xml:space="preserve">guidance </w:t>
      </w:r>
      <w:r w:rsidR="00CD45E4" w:rsidRPr="006F2F68">
        <w:rPr>
          <w:rFonts w:ascii="Times New Roman" w:hAnsi="Times New Roman" w:cs="Times New Roman"/>
          <w:sz w:val="22"/>
        </w:rPr>
        <w:t>contained</w:t>
      </w:r>
      <w:r w:rsidR="0001467B" w:rsidRPr="006F2F68">
        <w:rPr>
          <w:rFonts w:ascii="Times New Roman" w:hAnsi="Times New Roman" w:cs="Times New Roman"/>
          <w:sz w:val="22"/>
        </w:rPr>
        <w:t xml:space="preserve"> in the Office of </w:t>
      </w:r>
      <w:r w:rsidR="00CD45E4" w:rsidRPr="006F2F68">
        <w:rPr>
          <w:rFonts w:ascii="Times New Roman" w:hAnsi="Times New Roman" w:cs="Times New Roman"/>
          <w:sz w:val="22"/>
        </w:rPr>
        <w:t>Parliamentary</w:t>
      </w:r>
      <w:r w:rsidR="0001467B" w:rsidRPr="006F2F68">
        <w:rPr>
          <w:rFonts w:ascii="Times New Roman" w:hAnsi="Times New Roman" w:cs="Times New Roman"/>
          <w:sz w:val="22"/>
        </w:rPr>
        <w:t xml:space="preserve"> Counsel </w:t>
      </w:r>
      <w:r w:rsidR="0001467B" w:rsidRPr="006F2F68">
        <w:rPr>
          <w:rFonts w:ascii="Times New Roman" w:hAnsi="Times New Roman" w:cs="Times New Roman"/>
          <w:i/>
          <w:sz w:val="22"/>
        </w:rPr>
        <w:t xml:space="preserve">Instruments </w:t>
      </w:r>
      <w:r w:rsidR="00B01AC3" w:rsidRPr="006F2F68">
        <w:rPr>
          <w:rFonts w:ascii="Times New Roman" w:hAnsi="Times New Roman" w:cs="Times New Roman"/>
          <w:i/>
          <w:sz w:val="22"/>
        </w:rPr>
        <w:t>H</w:t>
      </w:r>
      <w:r w:rsidR="0001467B" w:rsidRPr="006F2F68">
        <w:rPr>
          <w:rFonts w:ascii="Times New Roman" w:hAnsi="Times New Roman" w:cs="Times New Roman"/>
          <w:i/>
          <w:sz w:val="22"/>
        </w:rPr>
        <w:t>andbook</w:t>
      </w:r>
      <w:r w:rsidR="0001467B" w:rsidRPr="006F2F68">
        <w:rPr>
          <w:rFonts w:ascii="Times New Roman" w:hAnsi="Times New Roman" w:cs="Times New Roman"/>
          <w:sz w:val="22"/>
        </w:rPr>
        <w:t>.</w:t>
      </w:r>
      <w:r w:rsidR="00B01AC3" w:rsidRPr="006F2F68">
        <w:rPr>
          <w:rStyle w:val="FootnoteReference"/>
          <w:rFonts w:ascii="Times New Roman" w:hAnsi="Times New Roman" w:cs="Times New Roman"/>
          <w:sz w:val="22"/>
        </w:rPr>
        <w:footnoteReference w:id="4"/>
      </w:r>
      <w:r w:rsidR="0001467B" w:rsidRPr="006F2F68">
        <w:rPr>
          <w:rFonts w:ascii="Times New Roman" w:hAnsi="Times New Roman" w:cs="Times New Roman"/>
          <w:sz w:val="22"/>
        </w:rPr>
        <w:t xml:space="preserve"> </w:t>
      </w:r>
    </w:p>
    <w:p w14:paraId="55FC19D6" w14:textId="300BB1CE" w:rsidR="000C7507" w:rsidRPr="006F2F68" w:rsidRDefault="000C7507" w:rsidP="00E00F5F">
      <w:pPr>
        <w:rPr>
          <w:rFonts w:ascii="Times New Roman" w:hAnsi="Times New Roman" w:cs="Times New Roman"/>
          <w:sz w:val="22"/>
        </w:rPr>
      </w:pPr>
      <w:r w:rsidRPr="006F2F68">
        <w:rPr>
          <w:rFonts w:ascii="Times New Roman" w:hAnsi="Times New Roman" w:cs="Times New Roman"/>
          <w:sz w:val="22"/>
        </w:rPr>
        <w:t>As a legislative instrument, the Rule must be developed in accordance with the requirements in the Legislation Act. Section 17 of the Legislation Act requires the rule-maker to be satisfied that there has been ‘appropriate’ consultation, which draws on the ‘knowledge of persons having expertise in fields relevant to the proposed instrument’ and ensures that people likely to be ‘affected by the proposed instrument had an adequate opportunity to comment on its proposed content’.</w:t>
      </w:r>
      <w:r w:rsidRPr="006F2F68">
        <w:rPr>
          <w:rStyle w:val="FootnoteReference"/>
          <w:rFonts w:ascii="Times New Roman" w:hAnsi="Times New Roman" w:cs="Times New Roman"/>
          <w:sz w:val="22"/>
        </w:rPr>
        <w:footnoteReference w:id="5"/>
      </w:r>
    </w:p>
    <w:p w14:paraId="5DDB19CE" w14:textId="3A672546" w:rsidR="00536CC7" w:rsidRPr="006F2F68" w:rsidRDefault="0001467B" w:rsidP="006E5B23">
      <w:pPr>
        <w:rPr>
          <w:rFonts w:ascii="Times New Roman" w:hAnsi="Times New Roman" w:cs="Times New Roman"/>
          <w:sz w:val="22"/>
        </w:rPr>
      </w:pPr>
      <w:r w:rsidRPr="006F2F68">
        <w:rPr>
          <w:rFonts w:ascii="Times New Roman" w:hAnsi="Times New Roman" w:cs="Times New Roman"/>
          <w:sz w:val="22"/>
        </w:rPr>
        <w:t xml:space="preserve">The OAIC </w:t>
      </w:r>
      <w:r w:rsidR="006F7402" w:rsidRPr="006F2F68">
        <w:rPr>
          <w:rFonts w:ascii="Times New Roman" w:hAnsi="Times New Roman" w:cs="Times New Roman"/>
          <w:sz w:val="22"/>
        </w:rPr>
        <w:t xml:space="preserve">undertook a </w:t>
      </w:r>
      <w:r w:rsidR="00536CC7" w:rsidRPr="006F2F68">
        <w:rPr>
          <w:rFonts w:ascii="Times New Roman" w:hAnsi="Times New Roman" w:cs="Times New Roman"/>
          <w:sz w:val="22"/>
        </w:rPr>
        <w:t>preliminary consultation in April-May 2023 with the Australian Retail Credit Association (ARCA) and the three</w:t>
      </w:r>
      <w:r w:rsidR="00BD15C3" w:rsidRPr="006F2F68">
        <w:rPr>
          <w:rFonts w:ascii="Times New Roman" w:hAnsi="Times New Roman" w:cs="Times New Roman"/>
          <w:sz w:val="22"/>
        </w:rPr>
        <w:t xml:space="preserve"> main</w:t>
      </w:r>
      <w:r w:rsidR="00536CC7" w:rsidRPr="006F2F68">
        <w:rPr>
          <w:rFonts w:ascii="Times New Roman" w:hAnsi="Times New Roman" w:cs="Times New Roman"/>
          <w:sz w:val="22"/>
        </w:rPr>
        <w:t xml:space="preserve"> CRBs (Equifax, Experian and </w:t>
      </w:r>
      <w:proofErr w:type="spellStart"/>
      <w:r w:rsidR="00536CC7" w:rsidRPr="006F2F68">
        <w:rPr>
          <w:rFonts w:ascii="Times New Roman" w:hAnsi="Times New Roman" w:cs="Times New Roman"/>
          <w:sz w:val="22"/>
        </w:rPr>
        <w:t>Illion</w:t>
      </w:r>
      <w:proofErr w:type="spellEnd"/>
      <w:r w:rsidR="00536CC7" w:rsidRPr="006F2F68">
        <w:rPr>
          <w:rFonts w:ascii="Times New Roman" w:hAnsi="Times New Roman" w:cs="Times New Roman"/>
          <w:sz w:val="22"/>
        </w:rPr>
        <w:t xml:space="preserve">). </w:t>
      </w:r>
      <w:r w:rsidR="001C6A0E" w:rsidRPr="006F2F68">
        <w:rPr>
          <w:rFonts w:ascii="Times New Roman" w:hAnsi="Times New Roman" w:cs="Times New Roman"/>
          <w:sz w:val="22"/>
        </w:rPr>
        <w:t>The OAIC incorporated the information gained during preliminary consultation and released a draft rule for public consultation on 12 February 2024.</w:t>
      </w:r>
    </w:p>
    <w:p w14:paraId="2422CCD2" w14:textId="472045B0" w:rsidR="00A438CD" w:rsidRPr="006F2F68" w:rsidRDefault="008F458E" w:rsidP="00A438CD">
      <w:pPr>
        <w:rPr>
          <w:rFonts w:ascii="Times New Roman" w:hAnsi="Times New Roman" w:cs="Times New Roman"/>
          <w:sz w:val="22"/>
        </w:rPr>
      </w:pPr>
      <w:r w:rsidRPr="006F2F68">
        <w:rPr>
          <w:rFonts w:ascii="Times New Roman" w:hAnsi="Times New Roman" w:cs="Times New Roman"/>
          <w:sz w:val="22"/>
        </w:rPr>
        <w:t>The OAIC conducted a 4-week public consultation</w:t>
      </w:r>
      <w:r w:rsidR="00A438CD" w:rsidRPr="006F2F68">
        <w:rPr>
          <w:rFonts w:ascii="Times New Roman" w:hAnsi="Times New Roman" w:cs="Times New Roman"/>
          <w:sz w:val="22"/>
        </w:rPr>
        <w:t xml:space="preserve"> </w:t>
      </w:r>
      <w:r w:rsidR="007E4F35" w:rsidRPr="006F2F68">
        <w:rPr>
          <w:rFonts w:ascii="Times New Roman" w:hAnsi="Times New Roman" w:cs="Times New Roman"/>
          <w:sz w:val="22"/>
        </w:rPr>
        <w:t>during</w:t>
      </w:r>
      <w:r w:rsidR="00A438CD" w:rsidRPr="006F2F68">
        <w:rPr>
          <w:rFonts w:ascii="Times New Roman" w:hAnsi="Times New Roman" w:cs="Times New Roman"/>
          <w:sz w:val="22"/>
        </w:rPr>
        <w:t xml:space="preserve"> February</w:t>
      </w:r>
      <w:r w:rsidR="007E4F35" w:rsidRPr="006F2F68">
        <w:rPr>
          <w:rFonts w:ascii="Times New Roman" w:hAnsi="Times New Roman" w:cs="Times New Roman"/>
          <w:sz w:val="22"/>
        </w:rPr>
        <w:t xml:space="preserve"> and </w:t>
      </w:r>
      <w:r w:rsidR="00A438CD" w:rsidRPr="006F2F68">
        <w:rPr>
          <w:rFonts w:ascii="Times New Roman" w:hAnsi="Times New Roman" w:cs="Times New Roman"/>
          <w:sz w:val="22"/>
        </w:rPr>
        <w:t>March 2024 on the draft Rule. Comment was invited from the public and specific notices were sent to ARCA</w:t>
      </w:r>
      <w:r w:rsidR="00C56EC3" w:rsidRPr="006F2F68">
        <w:rPr>
          <w:rFonts w:ascii="Times New Roman" w:hAnsi="Times New Roman" w:cs="Times New Roman"/>
          <w:sz w:val="22"/>
        </w:rPr>
        <w:t xml:space="preserve">, </w:t>
      </w:r>
      <w:r w:rsidR="00A438CD" w:rsidRPr="006F2F68">
        <w:rPr>
          <w:rFonts w:ascii="Times New Roman" w:hAnsi="Times New Roman" w:cs="Times New Roman"/>
          <w:sz w:val="22"/>
        </w:rPr>
        <w:t xml:space="preserve">the three </w:t>
      </w:r>
      <w:r w:rsidR="00EB671B" w:rsidRPr="006F2F68">
        <w:rPr>
          <w:rFonts w:ascii="Times New Roman" w:hAnsi="Times New Roman" w:cs="Times New Roman"/>
          <w:sz w:val="22"/>
        </w:rPr>
        <w:t xml:space="preserve">main </w:t>
      </w:r>
      <w:r w:rsidR="00A438CD" w:rsidRPr="006F2F68">
        <w:rPr>
          <w:rFonts w:ascii="Times New Roman" w:hAnsi="Times New Roman" w:cs="Times New Roman"/>
          <w:sz w:val="22"/>
        </w:rPr>
        <w:t xml:space="preserve">CRBs, </w:t>
      </w:r>
      <w:r w:rsidR="00706EC1" w:rsidRPr="006F2F68">
        <w:rPr>
          <w:rFonts w:ascii="Times New Roman" w:hAnsi="Times New Roman" w:cs="Times New Roman"/>
          <w:sz w:val="22"/>
        </w:rPr>
        <w:t>a</w:t>
      </w:r>
      <w:r w:rsidR="00A438CD" w:rsidRPr="006F2F68">
        <w:rPr>
          <w:rFonts w:ascii="Times New Roman" w:hAnsi="Times New Roman" w:cs="Times New Roman"/>
          <w:sz w:val="22"/>
        </w:rPr>
        <w:t>nd consumer advocate groups. Consultation documents were made available on the OAIC’s website during the consultation period.</w:t>
      </w:r>
    </w:p>
    <w:p w14:paraId="180031F5" w14:textId="76AA57E4" w:rsidR="000604D2" w:rsidRPr="006F2F68" w:rsidRDefault="00E00F5F" w:rsidP="00E00F5F">
      <w:pPr>
        <w:rPr>
          <w:rFonts w:ascii="Times New Roman" w:hAnsi="Times New Roman" w:cs="Times New Roman"/>
          <w:sz w:val="22"/>
        </w:rPr>
      </w:pPr>
      <w:r w:rsidRPr="006F2F68">
        <w:rPr>
          <w:rFonts w:ascii="Times New Roman" w:hAnsi="Times New Roman" w:cs="Times New Roman"/>
          <w:sz w:val="22"/>
        </w:rPr>
        <w:t>The OAIC received three written submissions in response to the public consultation documents.</w:t>
      </w:r>
      <w:r w:rsidRPr="006F2F68" w:rsidDel="00EE413E">
        <w:rPr>
          <w:rFonts w:ascii="Times New Roman" w:hAnsi="Times New Roman" w:cs="Times New Roman"/>
          <w:sz w:val="22"/>
        </w:rPr>
        <w:t xml:space="preserve"> </w:t>
      </w:r>
      <w:r w:rsidRPr="006F2F68">
        <w:rPr>
          <w:rFonts w:ascii="Times New Roman" w:hAnsi="Times New Roman" w:cs="Times New Roman"/>
          <w:sz w:val="22"/>
        </w:rPr>
        <w:t xml:space="preserve">The submissions were considered and incorporated </w:t>
      </w:r>
      <w:r w:rsidR="00BD21CD" w:rsidRPr="006F2F68">
        <w:rPr>
          <w:rFonts w:ascii="Times New Roman" w:hAnsi="Times New Roman" w:cs="Times New Roman"/>
          <w:sz w:val="22"/>
        </w:rPr>
        <w:t xml:space="preserve">where appropriate </w:t>
      </w:r>
      <w:r w:rsidRPr="006F2F68">
        <w:rPr>
          <w:rFonts w:ascii="Times New Roman" w:hAnsi="Times New Roman" w:cs="Times New Roman"/>
          <w:sz w:val="22"/>
        </w:rPr>
        <w:t xml:space="preserve">when finalising the Rule. </w:t>
      </w:r>
      <w:r w:rsidR="00AB7842" w:rsidRPr="006F2F68">
        <w:rPr>
          <w:rFonts w:ascii="Times New Roman" w:hAnsi="Times New Roman" w:cs="Times New Roman"/>
          <w:sz w:val="22"/>
        </w:rPr>
        <w:t xml:space="preserve">Following </w:t>
      </w:r>
      <w:r w:rsidR="009B401D" w:rsidRPr="006F2F68">
        <w:rPr>
          <w:rFonts w:ascii="Times New Roman" w:hAnsi="Times New Roman" w:cs="Times New Roman"/>
          <w:sz w:val="22"/>
        </w:rPr>
        <w:t xml:space="preserve">the completion of the ongoing reforms to the Privacy Act, the OAIC will consider whether </w:t>
      </w:r>
      <w:r w:rsidR="00C01BE7" w:rsidRPr="006F2F68">
        <w:rPr>
          <w:rFonts w:ascii="Times New Roman" w:hAnsi="Times New Roman" w:cs="Times New Roman"/>
          <w:sz w:val="22"/>
        </w:rPr>
        <w:t xml:space="preserve">further amendments </w:t>
      </w:r>
      <w:r w:rsidR="00B261D7" w:rsidRPr="006F2F68">
        <w:rPr>
          <w:rFonts w:ascii="Times New Roman" w:hAnsi="Times New Roman" w:cs="Times New Roman"/>
          <w:sz w:val="22"/>
        </w:rPr>
        <w:t>to the Rule are necessary to ensure consistency of regulation.</w:t>
      </w:r>
      <w:r w:rsidR="00B261D7" w:rsidRPr="006F2F68">
        <w:rPr>
          <w:sz w:val="20"/>
          <w:szCs w:val="20"/>
        </w:rPr>
        <w:t xml:space="preserve"> </w:t>
      </w:r>
      <w:r w:rsidR="000604D2" w:rsidRPr="006F2F68">
        <w:rPr>
          <w:rFonts w:ascii="Times New Roman" w:hAnsi="Times New Roman" w:cs="Times New Roman"/>
          <w:sz w:val="22"/>
        </w:rPr>
        <w:t>The Rule is</w:t>
      </w:r>
      <w:r w:rsidR="0061135A" w:rsidRPr="006F2F68">
        <w:rPr>
          <w:rFonts w:ascii="Times New Roman" w:hAnsi="Times New Roman" w:cs="Times New Roman"/>
          <w:sz w:val="22"/>
        </w:rPr>
        <w:t xml:space="preserve"> substantially the same as that provided during the </w:t>
      </w:r>
      <w:r w:rsidR="00DD2D30" w:rsidRPr="006F2F68">
        <w:rPr>
          <w:rFonts w:ascii="Times New Roman" w:hAnsi="Times New Roman" w:cs="Times New Roman"/>
          <w:sz w:val="22"/>
        </w:rPr>
        <w:t xml:space="preserve">public </w:t>
      </w:r>
      <w:r w:rsidR="0061135A" w:rsidRPr="006F2F68">
        <w:rPr>
          <w:rFonts w:ascii="Times New Roman" w:hAnsi="Times New Roman" w:cs="Times New Roman"/>
          <w:sz w:val="22"/>
        </w:rPr>
        <w:t xml:space="preserve">consultation process. </w:t>
      </w:r>
    </w:p>
    <w:p w14:paraId="79981385" w14:textId="38D2D7D3" w:rsidR="00BD21CD" w:rsidRPr="00E22CDE" w:rsidRDefault="00BD21CD" w:rsidP="00BD21CD">
      <w:pPr>
        <w:pStyle w:val="Heading4"/>
        <w:rPr>
          <w:rFonts w:ascii="Times New Roman" w:hAnsi="Times New Roman" w:cs="Times New Roman"/>
          <w:color w:val="auto"/>
          <w:sz w:val="28"/>
          <w:szCs w:val="28"/>
        </w:rPr>
      </w:pPr>
      <w:r w:rsidRPr="00E22CDE">
        <w:rPr>
          <w:rFonts w:ascii="Times New Roman" w:hAnsi="Times New Roman" w:cs="Times New Roman"/>
          <w:color w:val="auto"/>
          <w:sz w:val="28"/>
          <w:szCs w:val="28"/>
        </w:rPr>
        <w:t>Policy Impact Analysis</w:t>
      </w:r>
    </w:p>
    <w:p w14:paraId="0507AC2E" w14:textId="5B40E2B4" w:rsidR="00BD21CD" w:rsidRPr="006F2F68" w:rsidRDefault="006341BD" w:rsidP="00BD21CD">
      <w:pPr>
        <w:rPr>
          <w:rFonts w:ascii="Times New Roman" w:hAnsi="Times New Roman" w:cs="Times New Roman"/>
          <w:sz w:val="22"/>
        </w:rPr>
      </w:pPr>
      <w:r w:rsidRPr="006F2F68">
        <w:rPr>
          <w:rFonts w:ascii="Times New Roman" w:hAnsi="Times New Roman" w:cs="Times New Roman"/>
          <w:sz w:val="22"/>
        </w:rPr>
        <w:t xml:space="preserve">The Office of Impact Assessment (OIA) has assessed the Rule as </w:t>
      </w:r>
      <w:r w:rsidR="00187B52" w:rsidRPr="006F2F68">
        <w:rPr>
          <w:rFonts w:ascii="Times New Roman" w:hAnsi="Times New Roman" w:cs="Times New Roman"/>
          <w:sz w:val="22"/>
        </w:rPr>
        <w:t>likely to</w:t>
      </w:r>
      <w:r w:rsidR="00B81A5D" w:rsidRPr="006F2F68">
        <w:rPr>
          <w:rFonts w:ascii="Times New Roman" w:hAnsi="Times New Roman" w:cs="Times New Roman"/>
          <w:sz w:val="22"/>
        </w:rPr>
        <w:t xml:space="preserve"> have only a negligible regulatory impact on individuals, </w:t>
      </w:r>
      <w:proofErr w:type="gramStart"/>
      <w:r w:rsidR="00B81A5D" w:rsidRPr="006F2F68">
        <w:rPr>
          <w:rFonts w:ascii="Times New Roman" w:hAnsi="Times New Roman" w:cs="Times New Roman"/>
          <w:sz w:val="22"/>
        </w:rPr>
        <w:t>communities</w:t>
      </w:r>
      <w:proofErr w:type="gramEnd"/>
      <w:r w:rsidR="00B81A5D" w:rsidRPr="006F2F68">
        <w:rPr>
          <w:rFonts w:ascii="Times New Roman" w:hAnsi="Times New Roman" w:cs="Times New Roman"/>
          <w:sz w:val="22"/>
        </w:rPr>
        <w:t xml:space="preserve"> or business</w:t>
      </w:r>
      <w:r w:rsidR="003E15F1" w:rsidRPr="006F2F68">
        <w:rPr>
          <w:rFonts w:ascii="Times New Roman" w:hAnsi="Times New Roman" w:cs="Times New Roman"/>
          <w:sz w:val="22"/>
        </w:rPr>
        <w:t>es</w:t>
      </w:r>
      <w:r w:rsidR="00B81A5D" w:rsidRPr="006F2F68">
        <w:rPr>
          <w:rFonts w:ascii="Times New Roman" w:hAnsi="Times New Roman" w:cs="Times New Roman"/>
          <w:sz w:val="22"/>
        </w:rPr>
        <w:t>.</w:t>
      </w:r>
      <w:r w:rsidRPr="006F2F68">
        <w:rPr>
          <w:rFonts w:ascii="Times New Roman" w:hAnsi="Times New Roman" w:cs="Times New Roman"/>
          <w:sz w:val="22"/>
        </w:rPr>
        <w:t xml:space="preserve"> The OIA has confirmed that the preparation of a </w:t>
      </w:r>
      <w:r w:rsidR="008337A3" w:rsidRPr="006F2F68">
        <w:rPr>
          <w:rFonts w:ascii="Times New Roman" w:hAnsi="Times New Roman" w:cs="Times New Roman"/>
          <w:sz w:val="22"/>
        </w:rPr>
        <w:t xml:space="preserve">detailed </w:t>
      </w:r>
      <w:r w:rsidRPr="006F2F68">
        <w:rPr>
          <w:rFonts w:ascii="Times New Roman" w:hAnsi="Times New Roman" w:cs="Times New Roman"/>
          <w:sz w:val="22"/>
        </w:rPr>
        <w:t>Policy Impact Analysis is not required for the Rule. The OIA reference number is OIA</w:t>
      </w:r>
      <w:r w:rsidR="00296373" w:rsidRPr="006F2F68">
        <w:rPr>
          <w:rFonts w:ascii="Times New Roman" w:hAnsi="Times New Roman" w:cs="Times New Roman"/>
          <w:sz w:val="22"/>
        </w:rPr>
        <w:t>24-07465</w:t>
      </w:r>
      <w:r w:rsidRPr="006F2F68">
        <w:rPr>
          <w:rFonts w:ascii="Times New Roman" w:hAnsi="Times New Roman" w:cs="Times New Roman"/>
          <w:sz w:val="22"/>
        </w:rPr>
        <w:t>.</w:t>
      </w:r>
    </w:p>
    <w:p w14:paraId="40C1729C" w14:textId="3E6B1B3B" w:rsidR="00DD11CD" w:rsidRPr="006F2F68" w:rsidRDefault="00DD11CD" w:rsidP="00BD21CD">
      <w:pPr>
        <w:rPr>
          <w:rFonts w:ascii="Times New Roman" w:hAnsi="Times New Roman" w:cs="Times New Roman"/>
          <w:sz w:val="22"/>
        </w:rPr>
      </w:pPr>
      <w:r w:rsidRPr="006F2F68">
        <w:rPr>
          <w:rFonts w:ascii="Times New Roman" w:hAnsi="Times New Roman" w:cs="Times New Roman"/>
          <w:sz w:val="22"/>
        </w:rPr>
        <w:t xml:space="preserve">A Statement of Compatibility with Human Rights is at </w:t>
      </w:r>
      <w:r w:rsidRPr="006F2F68">
        <w:rPr>
          <w:rFonts w:ascii="Times New Roman" w:hAnsi="Times New Roman" w:cs="Times New Roman"/>
          <w:b/>
          <w:bCs/>
          <w:sz w:val="22"/>
        </w:rPr>
        <w:t>Attachment A.</w:t>
      </w:r>
    </w:p>
    <w:p w14:paraId="3296A063" w14:textId="77777777" w:rsidR="00E00F5F" w:rsidRPr="006F2F68" w:rsidRDefault="00E00F5F" w:rsidP="00E00F5F">
      <w:pPr>
        <w:spacing w:after="200" w:line="24" w:lineRule="auto"/>
        <w:rPr>
          <w:rFonts w:ascii="Times New Roman" w:hAnsi="Times New Roman" w:cs="Times New Roman"/>
          <w:b/>
        </w:rPr>
      </w:pPr>
      <w:r w:rsidRPr="006F2F68">
        <w:rPr>
          <w:rFonts w:ascii="Times New Roman" w:hAnsi="Times New Roman" w:cs="Times New Roman"/>
          <w:b/>
        </w:rPr>
        <w:br w:type="page"/>
      </w:r>
    </w:p>
    <w:p w14:paraId="288D00AD" w14:textId="538AE43C" w:rsidR="00DD11CD" w:rsidRPr="00B81BE4" w:rsidRDefault="00DD11CD" w:rsidP="006E5B23">
      <w:pPr>
        <w:pStyle w:val="Heading2"/>
        <w:jc w:val="right"/>
        <w:rPr>
          <w:rFonts w:ascii="Times New Roman" w:hAnsi="Times New Roman" w:cs="Times New Roman"/>
          <w:b/>
          <w:bCs/>
          <w:color w:val="auto"/>
        </w:rPr>
      </w:pPr>
      <w:r w:rsidRPr="00B81BE4">
        <w:rPr>
          <w:rFonts w:ascii="Times New Roman" w:hAnsi="Times New Roman" w:cs="Times New Roman"/>
          <w:b/>
          <w:bCs/>
          <w:color w:val="auto"/>
        </w:rPr>
        <w:lastRenderedPageBreak/>
        <w:t>Attachment A</w:t>
      </w:r>
    </w:p>
    <w:p w14:paraId="5793D652" w14:textId="58F0CA48" w:rsidR="00E00F5F" w:rsidRPr="00B81BE4" w:rsidRDefault="00E00F5F" w:rsidP="0068044D">
      <w:pPr>
        <w:pStyle w:val="Heading2"/>
        <w:rPr>
          <w:rFonts w:ascii="Times New Roman" w:hAnsi="Times New Roman" w:cs="Times New Roman"/>
          <w:b/>
          <w:bCs/>
          <w:color w:val="auto"/>
        </w:rPr>
      </w:pPr>
      <w:r w:rsidRPr="00B81BE4">
        <w:rPr>
          <w:rFonts w:ascii="Times New Roman" w:hAnsi="Times New Roman" w:cs="Times New Roman"/>
          <w:b/>
          <w:bCs/>
          <w:color w:val="auto"/>
        </w:rPr>
        <w:t xml:space="preserve">Statement of </w:t>
      </w:r>
      <w:r w:rsidR="00C552DB" w:rsidRPr="00B81BE4">
        <w:rPr>
          <w:rFonts w:ascii="Times New Roman" w:hAnsi="Times New Roman" w:cs="Times New Roman"/>
          <w:b/>
          <w:bCs/>
          <w:color w:val="auto"/>
        </w:rPr>
        <w:t>C</w:t>
      </w:r>
      <w:r w:rsidRPr="00B81BE4">
        <w:rPr>
          <w:rFonts w:ascii="Times New Roman" w:hAnsi="Times New Roman" w:cs="Times New Roman"/>
          <w:b/>
          <w:bCs/>
          <w:color w:val="auto"/>
        </w:rPr>
        <w:t xml:space="preserve">ompatibility with </w:t>
      </w:r>
      <w:r w:rsidR="00C552DB" w:rsidRPr="00B81BE4">
        <w:rPr>
          <w:rFonts w:ascii="Times New Roman" w:hAnsi="Times New Roman" w:cs="Times New Roman"/>
          <w:b/>
          <w:bCs/>
          <w:color w:val="auto"/>
        </w:rPr>
        <w:t>H</w:t>
      </w:r>
      <w:r w:rsidRPr="00B81BE4">
        <w:rPr>
          <w:rFonts w:ascii="Times New Roman" w:hAnsi="Times New Roman" w:cs="Times New Roman"/>
          <w:b/>
          <w:bCs/>
          <w:color w:val="auto"/>
        </w:rPr>
        <w:t xml:space="preserve">uman </w:t>
      </w:r>
      <w:r w:rsidR="00C552DB" w:rsidRPr="00B81BE4">
        <w:rPr>
          <w:rFonts w:ascii="Times New Roman" w:hAnsi="Times New Roman" w:cs="Times New Roman"/>
          <w:b/>
          <w:bCs/>
          <w:color w:val="auto"/>
        </w:rPr>
        <w:t>R</w:t>
      </w:r>
      <w:r w:rsidRPr="00B81BE4">
        <w:rPr>
          <w:rFonts w:ascii="Times New Roman" w:hAnsi="Times New Roman" w:cs="Times New Roman"/>
          <w:b/>
          <w:bCs/>
          <w:color w:val="auto"/>
        </w:rPr>
        <w:t>ights</w:t>
      </w:r>
    </w:p>
    <w:p w14:paraId="5D91F841" w14:textId="77777777" w:rsidR="00E00F5F" w:rsidRPr="00CD1D77" w:rsidRDefault="00E00F5F" w:rsidP="004633C8">
      <w:pPr>
        <w:pStyle w:val="Heading3"/>
        <w:rPr>
          <w:rFonts w:ascii="Times New Roman" w:hAnsi="Times New Roman" w:cs="Times New Roman"/>
          <w:b/>
          <w:bCs w:val="0"/>
          <w:color w:val="auto"/>
          <w:sz w:val="28"/>
          <w:szCs w:val="28"/>
        </w:rPr>
      </w:pPr>
      <w:r w:rsidRPr="00CD1D77">
        <w:rPr>
          <w:rFonts w:ascii="Times New Roman" w:hAnsi="Times New Roman" w:cs="Times New Roman"/>
          <w:b/>
          <w:bCs w:val="0"/>
          <w:color w:val="auto"/>
          <w:sz w:val="28"/>
          <w:szCs w:val="28"/>
        </w:rPr>
        <w:t xml:space="preserve">Prepared in accordance with Part 3 of the </w:t>
      </w:r>
      <w:r w:rsidRPr="00CD1D77">
        <w:rPr>
          <w:rFonts w:ascii="Times New Roman" w:hAnsi="Times New Roman" w:cs="Times New Roman"/>
          <w:b/>
          <w:bCs w:val="0"/>
          <w:i/>
          <w:color w:val="auto"/>
          <w:sz w:val="28"/>
          <w:szCs w:val="28"/>
        </w:rPr>
        <w:t>Human Rights (Parliamentary Scrutiny) Act 2011</w:t>
      </w:r>
      <w:r w:rsidRPr="00CD1D77">
        <w:rPr>
          <w:rFonts w:ascii="Times New Roman" w:hAnsi="Times New Roman" w:cs="Times New Roman"/>
          <w:b/>
          <w:bCs w:val="0"/>
          <w:color w:val="auto"/>
          <w:sz w:val="28"/>
          <w:szCs w:val="28"/>
        </w:rPr>
        <w:t xml:space="preserve">. </w:t>
      </w:r>
    </w:p>
    <w:p w14:paraId="43EDC81B" w14:textId="09AB0949" w:rsidR="00E00F5F" w:rsidRPr="00E22CDE" w:rsidRDefault="00E00F5F" w:rsidP="00AD0794">
      <w:pPr>
        <w:pStyle w:val="Heading4"/>
        <w:rPr>
          <w:rFonts w:ascii="Times New Roman" w:hAnsi="Times New Roman" w:cs="Times New Roman"/>
          <w:color w:val="auto"/>
          <w:szCs w:val="24"/>
        </w:rPr>
      </w:pPr>
      <w:r w:rsidRPr="00E22CDE">
        <w:rPr>
          <w:rFonts w:ascii="Times New Roman" w:hAnsi="Times New Roman" w:cs="Times New Roman"/>
          <w:color w:val="auto"/>
          <w:szCs w:val="24"/>
        </w:rPr>
        <w:t xml:space="preserve">Privacy (Credit Related Research) Rule </w:t>
      </w:r>
      <w:r w:rsidR="00875434" w:rsidRPr="00E22CDE">
        <w:rPr>
          <w:rFonts w:ascii="Times New Roman" w:hAnsi="Times New Roman" w:cs="Times New Roman"/>
          <w:color w:val="auto"/>
          <w:szCs w:val="24"/>
        </w:rPr>
        <w:t>2024</w:t>
      </w:r>
    </w:p>
    <w:p w14:paraId="14227C44" w14:textId="018FE15B" w:rsidR="00E00F5F" w:rsidRPr="006F2F68" w:rsidRDefault="00E00F5F" w:rsidP="00CD2437">
      <w:pPr>
        <w:rPr>
          <w:rFonts w:ascii="Times New Roman" w:hAnsi="Times New Roman" w:cs="Times New Roman"/>
          <w:sz w:val="22"/>
        </w:rPr>
      </w:pPr>
      <w:r w:rsidRPr="006F2F68">
        <w:rPr>
          <w:rFonts w:ascii="Times New Roman" w:hAnsi="Times New Roman" w:cs="Times New Roman"/>
          <w:sz w:val="22"/>
        </w:rPr>
        <w:t xml:space="preserve">This </w:t>
      </w:r>
      <w:r w:rsidR="00DF7066" w:rsidRPr="006F2F68">
        <w:rPr>
          <w:rFonts w:ascii="Times New Roman" w:hAnsi="Times New Roman" w:cs="Times New Roman"/>
          <w:sz w:val="22"/>
        </w:rPr>
        <w:t xml:space="preserve">Disallowable </w:t>
      </w:r>
      <w:r w:rsidRPr="006F2F68">
        <w:rPr>
          <w:rFonts w:ascii="Times New Roman" w:hAnsi="Times New Roman" w:cs="Times New Roman"/>
          <w:sz w:val="22"/>
        </w:rPr>
        <w:t xml:space="preserve">Legislative Instrument is compatible with the human rights and freedoms recognised or declared in the international instruments listed in </w:t>
      </w:r>
      <w:r w:rsidR="00883F27" w:rsidRPr="006F2F68">
        <w:rPr>
          <w:rFonts w:ascii="Times New Roman" w:hAnsi="Times New Roman" w:cs="Times New Roman"/>
          <w:sz w:val="22"/>
        </w:rPr>
        <w:t xml:space="preserve">s </w:t>
      </w:r>
      <w:r w:rsidRPr="006F2F68">
        <w:rPr>
          <w:rFonts w:ascii="Times New Roman" w:hAnsi="Times New Roman" w:cs="Times New Roman"/>
          <w:sz w:val="22"/>
        </w:rPr>
        <w:t xml:space="preserve">3 of the </w:t>
      </w:r>
      <w:r w:rsidRPr="006F2F68">
        <w:rPr>
          <w:rFonts w:ascii="Times New Roman" w:hAnsi="Times New Roman" w:cs="Times New Roman"/>
          <w:i/>
          <w:sz w:val="22"/>
        </w:rPr>
        <w:t>Human Rights (Parliamentary Scrutiny) Act 2011</w:t>
      </w:r>
      <w:r w:rsidRPr="006F2F68">
        <w:rPr>
          <w:rFonts w:ascii="Times New Roman" w:hAnsi="Times New Roman" w:cs="Times New Roman"/>
          <w:sz w:val="22"/>
        </w:rPr>
        <w:t>.</w:t>
      </w:r>
    </w:p>
    <w:p w14:paraId="0A0608FC" w14:textId="77777777" w:rsidR="00E00F5F" w:rsidRPr="00E22CDE" w:rsidRDefault="00E00F5F" w:rsidP="00AD0794">
      <w:pPr>
        <w:pStyle w:val="Heading4"/>
        <w:rPr>
          <w:rFonts w:ascii="Times New Roman" w:hAnsi="Times New Roman" w:cs="Times New Roman"/>
          <w:b w:val="0"/>
          <w:color w:val="auto"/>
        </w:rPr>
      </w:pPr>
      <w:r w:rsidRPr="00E22CDE">
        <w:rPr>
          <w:rFonts w:ascii="Times New Roman" w:hAnsi="Times New Roman" w:cs="Times New Roman"/>
          <w:color w:val="auto"/>
        </w:rPr>
        <w:t>Overview of the Legislative Instrument</w:t>
      </w:r>
    </w:p>
    <w:p w14:paraId="074B6456" w14:textId="520E11AC" w:rsidR="00F07E68" w:rsidRPr="006F2F68" w:rsidRDefault="009832EA" w:rsidP="00CD2437">
      <w:pPr>
        <w:rPr>
          <w:rFonts w:ascii="Times New Roman" w:hAnsi="Times New Roman" w:cs="Times New Roman"/>
          <w:sz w:val="22"/>
        </w:rPr>
      </w:pPr>
      <w:r w:rsidRPr="006F2F68">
        <w:rPr>
          <w:rFonts w:ascii="Times New Roman" w:hAnsi="Times New Roman" w:cs="Times New Roman"/>
          <w:sz w:val="22"/>
        </w:rPr>
        <w:t xml:space="preserve">Part IIIA of the </w:t>
      </w:r>
      <w:r w:rsidRPr="006F2F68">
        <w:rPr>
          <w:rFonts w:ascii="Times New Roman" w:hAnsi="Times New Roman" w:cs="Times New Roman"/>
          <w:i/>
          <w:iCs/>
          <w:sz w:val="22"/>
        </w:rPr>
        <w:t>Privacy Act</w:t>
      </w:r>
      <w:r w:rsidR="00BD145A" w:rsidRPr="006F2F68">
        <w:rPr>
          <w:rFonts w:ascii="Times New Roman" w:hAnsi="Times New Roman" w:cs="Times New Roman"/>
          <w:i/>
          <w:iCs/>
          <w:sz w:val="22"/>
        </w:rPr>
        <w:t xml:space="preserve"> 1988</w:t>
      </w:r>
      <w:r w:rsidR="00BD145A" w:rsidRPr="006F2F68">
        <w:rPr>
          <w:rFonts w:ascii="Times New Roman" w:hAnsi="Times New Roman" w:cs="Times New Roman"/>
          <w:sz w:val="22"/>
        </w:rPr>
        <w:t xml:space="preserve"> (the Privacy Act)</w:t>
      </w:r>
      <w:r w:rsidRPr="006F2F68">
        <w:rPr>
          <w:rFonts w:ascii="Times New Roman" w:hAnsi="Times New Roman" w:cs="Times New Roman"/>
          <w:sz w:val="22"/>
        </w:rPr>
        <w:t xml:space="preserve"> regulates the collection and handling of credit reporting information by </w:t>
      </w:r>
      <w:r w:rsidR="0062542D" w:rsidRPr="006F2F68">
        <w:rPr>
          <w:rFonts w:ascii="Times New Roman" w:hAnsi="Times New Roman" w:cs="Times New Roman"/>
          <w:sz w:val="22"/>
        </w:rPr>
        <w:t>credit reporting bodies (</w:t>
      </w:r>
      <w:r w:rsidRPr="006F2F68">
        <w:rPr>
          <w:rFonts w:ascii="Times New Roman" w:hAnsi="Times New Roman" w:cs="Times New Roman"/>
          <w:sz w:val="22"/>
        </w:rPr>
        <w:t>CRBs</w:t>
      </w:r>
      <w:r w:rsidR="0062542D" w:rsidRPr="006F2F68">
        <w:rPr>
          <w:rFonts w:ascii="Times New Roman" w:hAnsi="Times New Roman" w:cs="Times New Roman"/>
          <w:sz w:val="22"/>
        </w:rPr>
        <w:t>)</w:t>
      </w:r>
      <w:r w:rsidRPr="006F2F68">
        <w:rPr>
          <w:rFonts w:ascii="Times New Roman" w:hAnsi="Times New Roman" w:cs="Times New Roman"/>
          <w:sz w:val="22"/>
        </w:rPr>
        <w:t xml:space="preserve"> and credit providers. </w:t>
      </w:r>
      <w:r w:rsidR="004A5B41" w:rsidRPr="006F2F68">
        <w:rPr>
          <w:rFonts w:ascii="Times New Roman" w:hAnsi="Times New Roman" w:cs="Times New Roman"/>
          <w:sz w:val="22"/>
        </w:rPr>
        <w:t>Under s 20</w:t>
      </w:r>
      <w:proofErr w:type="gramStart"/>
      <w:r w:rsidR="004A5B41" w:rsidRPr="006F2F68">
        <w:rPr>
          <w:rFonts w:ascii="Times New Roman" w:hAnsi="Times New Roman" w:cs="Times New Roman"/>
          <w:sz w:val="22"/>
        </w:rPr>
        <w:t>M(</w:t>
      </w:r>
      <w:proofErr w:type="gramEnd"/>
      <w:r w:rsidR="004A5B41" w:rsidRPr="006F2F68">
        <w:rPr>
          <w:rFonts w:ascii="Times New Roman" w:hAnsi="Times New Roman" w:cs="Times New Roman"/>
          <w:sz w:val="22"/>
        </w:rPr>
        <w:t>1)</w:t>
      </w:r>
      <w:r w:rsidR="00D14EE8" w:rsidRPr="006F2F68">
        <w:rPr>
          <w:rFonts w:ascii="Times New Roman" w:hAnsi="Times New Roman" w:cs="Times New Roman"/>
          <w:sz w:val="22"/>
        </w:rPr>
        <w:t xml:space="preserve"> of the Privacy Act</w:t>
      </w:r>
      <w:r w:rsidR="004A5B41" w:rsidRPr="006F2F68">
        <w:rPr>
          <w:rFonts w:ascii="Times New Roman" w:hAnsi="Times New Roman" w:cs="Times New Roman"/>
          <w:sz w:val="22"/>
        </w:rPr>
        <w:t>, CRBs are prohibited from using or disclosing de-identified credit reporting information.</w:t>
      </w:r>
      <w:r w:rsidR="004368E1" w:rsidRPr="006F2F68">
        <w:rPr>
          <w:rFonts w:ascii="Times New Roman" w:hAnsi="Times New Roman" w:cs="Times New Roman"/>
          <w:sz w:val="22"/>
        </w:rPr>
        <w:t xml:space="preserve"> </w:t>
      </w:r>
      <w:r w:rsidR="00D14292" w:rsidRPr="006F2F68">
        <w:rPr>
          <w:rFonts w:ascii="Times New Roman" w:hAnsi="Times New Roman" w:cs="Times New Roman"/>
          <w:sz w:val="22"/>
        </w:rPr>
        <w:t xml:space="preserve">Section </w:t>
      </w:r>
      <w:r w:rsidR="00F07E68" w:rsidRPr="006F2F68">
        <w:rPr>
          <w:rFonts w:ascii="Times New Roman" w:hAnsi="Times New Roman" w:cs="Times New Roman"/>
          <w:sz w:val="22"/>
        </w:rPr>
        <w:t>20</w:t>
      </w:r>
      <w:proofErr w:type="gramStart"/>
      <w:r w:rsidR="00F07E68" w:rsidRPr="006F2F68">
        <w:rPr>
          <w:rFonts w:ascii="Times New Roman" w:hAnsi="Times New Roman" w:cs="Times New Roman"/>
          <w:sz w:val="22"/>
        </w:rPr>
        <w:t>M(</w:t>
      </w:r>
      <w:proofErr w:type="gramEnd"/>
      <w:r w:rsidR="00F07E68" w:rsidRPr="006F2F68">
        <w:rPr>
          <w:rFonts w:ascii="Times New Roman" w:hAnsi="Times New Roman" w:cs="Times New Roman"/>
          <w:sz w:val="22"/>
        </w:rPr>
        <w:t>2)</w:t>
      </w:r>
      <w:r w:rsidR="00AD0945" w:rsidRPr="006F2F68">
        <w:rPr>
          <w:rFonts w:ascii="Times New Roman" w:hAnsi="Times New Roman" w:cs="Times New Roman"/>
          <w:sz w:val="22"/>
        </w:rPr>
        <w:t xml:space="preserve"> provides an </w:t>
      </w:r>
      <w:r w:rsidR="00CB6DBC" w:rsidRPr="006F2F68">
        <w:rPr>
          <w:rFonts w:ascii="Times New Roman" w:hAnsi="Times New Roman" w:cs="Times New Roman"/>
          <w:sz w:val="22"/>
        </w:rPr>
        <w:t xml:space="preserve">exception to this prohibition which allows CRBs to use </w:t>
      </w:r>
      <w:r w:rsidR="00AD0841" w:rsidRPr="006F2F68">
        <w:rPr>
          <w:rFonts w:ascii="Times New Roman" w:hAnsi="Times New Roman" w:cs="Times New Roman"/>
          <w:sz w:val="22"/>
        </w:rPr>
        <w:t xml:space="preserve">or disclose </w:t>
      </w:r>
      <w:r w:rsidR="00CB6DBC" w:rsidRPr="006F2F68">
        <w:rPr>
          <w:rFonts w:ascii="Times New Roman" w:hAnsi="Times New Roman" w:cs="Times New Roman"/>
          <w:sz w:val="22"/>
        </w:rPr>
        <w:t>de-identified</w:t>
      </w:r>
      <w:r w:rsidR="00AD0841" w:rsidRPr="006F2F68">
        <w:rPr>
          <w:rFonts w:ascii="Times New Roman" w:hAnsi="Times New Roman" w:cs="Times New Roman"/>
          <w:sz w:val="22"/>
        </w:rPr>
        <w:t xml:space="preserve"> credit reporting information </w:t>
      </w:r>
      <w:r w:rsidR="008C23F7" w:rsidRPr="006F2F68">
        <w:rPr>
          <w:rFonts w:ascii="Times New Roman" w:hAnsi="Times New Roman" w:cs="Times New Roman"/>
          <w:sz w:val="22"/>
        </w:rPr>
        <w:t>if done for the purposes of conducting research in relation to credit</w:t>
      </w:r>
      <w:r w:rsidR="00E20C4E" w:rsidRPr="006F2F68">
        <w:rPr>
          <w:rFonts w:ascii="Times New Roman" w:hAnsi="Times New Roman" w:cs="Times New Roman"/>
          <w:sz w:val="22"/>
        </w:rPr>
        <w:t xml:space="preserve"> and </w:t>
      </w:r>
      <w:r w:rsidR="008C4F9E" w:rsidRPr="006F2F68">
        <w:rPr>
          <w:rFonts w:ascii="Times New Roman" w:hAnsi="Times New Roman" w:cs="Times New Roman"/>
          <w:sz w:val="22"/>
        </w:rPr>
        <w:t>in accordance with any rules made by the Commissioner</w:t>
      </w:r>
      <w:r w:rsidR="00F35990" w:rsidRPr="006F2F68">
        <w:rPr>
          <w:rFonts w:ascii="Times New Roman" w:hAnsi="Times New Roman" w:cs="Times New Roman"/>
          <w:sz w:val="22"/>
        </w:rPr>
        <w:t>.</w:t>
      </w:r>
      <w:r w:rsidR="00633041" w:rsidRPr="006F2F68">
        <w:rPr>
          <w:rFonts w:ascii="Times New Roman" w:hAnsi="Times New Roman" w:cs="Times New Roman"/>
          <w:sz w:val="22"/>
        </w:rPr>
        <w:t xml:space="preserve"> </w:t>
      </w:r>
      <w:r w:rsidR="00E25410" w:rsidRPr="006F2F68">
        <w:rPr>
          <w:rFonts w:ascii="Times New Roman" w:hAnsi="Times New Roman" w:cs="Times New Roman"/>
          <w:sz w:val="22"/>
        </w:rPr>
        <w:t>Section 20</w:t>
      </w:r>
      <w:proofErr w:type="gramStart"/>
      <w:r w:rsidR="00E25410" w:rsidRPr="006F2F68">
        <w:rPr>
          <w:rFonts w:ascii="Times New Roman" w:hAnsi="Times New Roman" w:cs="Times New Roman"/>
          <w:sz w:val="22"/>
        </w:rPr>
        <w:t>M(</w:t>
      </w:r>
      <w:proofErr w:type="gramEnd"/>
      <w:r w:rsidR="00E25410" w:rsidRPr="006F2F68">
        <w:rPr>
          <w:rFonts w:ascii="Times New Roman" w:hAnsi="Times New Roman" w:cs="Times New Roman"/>
          <w:sz w:val="22"/>
        </w:rPr>
        <w:t xml:space="preserve">3) of the Privacy Act grants the Commissioner </w:t>
      </w:r>
      <w:r w:rsidR="009741AC" w:rsidRPr="006F2F68">
        <w:rPr>
          <w:rFonts w:ascii="Times New Roman" w:hAnsi="Times New Roman" w:cs="Times New Roman"/>
          <w:sz w:val="22"/>
        </w:rPr>
        <w:t>the power to make rules</w:t>
      </w:r>
      <w:r w:rsidR="00A21982" w:rsidRPr="006F2F68">
        <w:rPr>
          <w:rFonts w:ascii="Times New Roman" w:hAnsi="Times New Roman" w:cs="Times New Roman"/>
          <w:sz w:val="22"/>
        </w:rPr>
        <w:t xml:space="preserve">, by legislative instrument, </w:t>
      </w:r>
      <w:r w:rsidR="00DF4A51" w:rsidRPr="006F2F68">
        <w:rPr>
          <w:rFonts w:ascii="Times New Roman" w:hAnsi="Times New Roman" w:cs="Times New Roman"/>
          <w:sz w:val="22"/>
        </w:rPr>
        <w:t xml:space="preserve">relating to the use or disclosure by CRBs of de-identified information </w:t>
      </w:r>
      <w:r w:rsidR="006B46B3" w:rsidRPr="006F2F68">
        <w:rPr>
          <w:rFonts w:ascii="Times New Roman" w:hAnsi="Times New Roman" w:cs="Times New Roman"/>
          <w:sz w:val="22"/>
        </w:rPr>
        <w:t xml:space="preserve">for the purposes of conducting research in relation to credit. </w:t>
      </w:r>
    </w:p>
    <w:p w14:paraId="0C22A9D0" w14:textId="32938C65" w:rsidR="00B914C0" w:rsidRPr="006F2F68" w:rsidRDefault="00E00F5F" w:rsidP="00CD2437">
      <w:pPr>
        <w:rPr>
          <w:rFonts w:ascii="Times New Roman" w:hAnsi="Times New Roman" w:cs="Times New Roman"/>
          <w:sz w:val="22"/>
        </w:rPr>
      </w:pPr>
      <w:r w:rsidRPr="006F2F68">
        <w:rPr>
          <w:rFonts w:ascii="Times New Roman" w:hAnsi="Times New Roman" w:cs="Times New Roman"/>
          <w:sz w:val="22"/>
        </w:rPr>
        <w:t xml:space="preserve">The purpose of the </w:t>
      </w:r>
      <w:r w:rsidRPr="006F2F68">
        <w:rPr>
          <w:rFonts w:ascii="Times New Roman" w:hAnsi="Times New Roman" w:cs="Times New Roman"/>
          <w:i/>
          <w:iCs/>
          <w:sz w:val="22"/>
        </w:rPr>
        <w:t>Privacy (Credit Related Research) Rule 20</w:t>
      </w:r>
      <w:r w:rsidR="00DF7066" w:rsidRPr="006F2F68">
        <w:rPr>
          <w:rFonts w:ascii="Times New Roman" w:hAnsi="Times New Roman" w:cs="Times New Roman"/>
          <w:i/>
          <w:iCs/>
          <w:sz w:val="22"/>
        </w:rPr>
        <w:t>2</w:t>
      </w:r>
      <w:r w:rsidRPr="006F2F68">
        <w:rPr>
          <w:rFonts w:ascii="Times New Roman" w:hAnsi="Times New Roman" w:cs="Times New Roman"/>
          <w:i/>
          <w:iCs/>
          <w:sz w:val="22"/>
        </w:rPr>
        <w:t xml:space="preserve">4 </w:t>
      </w:r>
      <w:r w:rsidR="00BA578A" w:rsidRPr="006F2F68">
        <w:rPr>
          <w:rFonts w:ascii="Times New Roman" w:hAnsi="Times New Roman" w:cs="Times New Roman"/>
          <w:sz w:val="22"/>
        </w:rPr>
        <w:t xml:space="preserve">(the Rule) </w:t>
      </w:r>
      <w:r w:rsidRPr="006F2F68">
        <w:rPr>
          <w:rFonts w:ascii="Times New Roman" w:hAnsi="Times New Roman" w:cs="Times New Roman"/>
          <w:sz w:val="22"/>
        </w:rPr>
        <w:t>is to give effect to s</w:t>
      </w:r>
      <w:r w:rsidR="000C4BFA" w:rsidRPr="006F2F68">
        <w:rPr>
          <w:rFonts w:ascii="Times New Roman" w:hAnsi="Times New Roman" w:cs="Times New Roman"/>
          <w:sz w:val="22"/>
        </w:rPr>
        <w:t>s</w:t>
      </w:r>
      <w:r w:rsidR="004633C8" w:rsidRPr="006F2F68">
        <w:rPr>
          <w:rFonts w:ascii="Times New Roman" w:hAnsi="Times New Roman" w:cs="Times New Roman"/>
          <w:sz w:val="22"/>
        </w:rPr>
        <w:t xml:space="preserve"> </w:t>
      </w:r>
      <w:r w:rsidRPr="006F2F68">
        <w:rPr>
          <w:rFonts w:ascii="Times New Roman" w:hAnsi="Times New Roman" w:cs="Times New Roman"/>
          <w:sz w:val="22"/>
        </w:rPr>
        <w:t>20</w:t>
      </w:r>
      <w:proofErr w:type="gramStart"/>
      <w:r w:rsidRPr="006F2F68">
        <w:rPr>
          <w:rFonts w:ascii="Times New Roman" w:hAnsi="Times New Roman" w:cs="Times New Roman"/>
          <w:sz w:val="22"/>
        </w:rPr>
        <w:t>M</w:t>
      </w:r>
      <w:r w:rsidR="001A6CBA" w:rsidRPr="006F2F68">
        <w:rPr>
          <w:rFonts w:ascii="Times New Roman" w:hAnsi="Times New Roman" w:cs="Times New Roman"/>
          <w:sz w:val="22"/>
        </w:rPr>
        <w:t>(</w:t>
      </w:r>
      <w:proofErr w:type="gramEnd"/>
      <w:r w:rsidR="001A6CBA" w:rsidRPr="006F2F68">
        <w:rPr>
          <w:rFonts w:ascii="Times New Roman" w:hAnsi="Times New Roman" w:cs="Times New Roman"/>
          <w:sz w:val="22"/>
        </w:rPr>
        <w:t>2) and (3)</w:t>
      </w:r>
      <w:r w:rsidRPr="006F2F68">
        <w:rPr>
          <w:rFonts w:ascii="Times New Roman" w:hAnsi="Times New Roman" w:cs="Times New Roman"/>
          <w:sz w:val="22"/>
        </w:rPr>
        <w:t xml:space="preserve"> of the Privacy Act</w:t>
      </w:r>
      <w:r w:rsidR="000D1F43" w:rsidRPr="006F2F68">
        <w:rPr>
          <w:rFonts w:ascii="Times New Roman" w:hAnsi="Times New Roman" w:cs="Times New Roman"/>
          <w:sz w:val="22"/>
        </w:rPr>
        <w:t>.</w:t>
      </w:r>
      <w:r w:rsidR="00B914C0" w:rsidRPr="006F2F68">
        <w:rPr>
          <w:rFonts w:ascii="Times New Roman" w:hAnsi="Times New Roman" w:cs="Times New Roman"/>
          <w:sz w:val="22"/>
        </w:rPr>
        <w:t xml:space="preserve"> </w:t>
      </w:r>
      <w:r w:rsidR="00364D4E" w:rsidRPr="006F2F68">
        <w:rPr>
          <w:rFonts w:ascii="Times New Roman" w:hAnsi="Times New Roman" w:cs="Times New Roman"/>
          <w:sz w:val="22"/>
        </w:rPr>
        <w:t xml:space="preserve">The Rule </w:t>
      </w:r>
      <w:r w:rsidR="00576BB5" w:rsidRPr="006F2F68">
        <w:rPr>
          <w:rFonts w:ascii="Times New Roman" w:hAnsi="Times New Roman" w:cs="Times New Roman"/>
          <w:sz w:val="22"/>
        </w:rPr>
        <w:t xml:space="preserve">implements the intention of Parliament </w:t>
      </w:r>
      <w:r w:rsidR="00F81C91" w:rsidRPr="006F2F68">
        <w:rPr>
          <w:rFonts w:ascii="Times New Roman" w:hAnsi="Times New Roman" w:cs="Times New Roman"/>
          <w:sz w:val="22"/>
        </w:rPr>
        <w:t>by addressing the matt</w:t>
      </w:r>
      <w:r w:rsidR="00BF44F8" w:rsidRPr="006F2F68">
        <w:rPr>
          <w:rFonts w:ascii="Times New Roman" w:hAnsi="Times New Roman" w:cs="Times New Roman"/>
          <w:sz w:val="22"/>
        </w:rPr>
        <w:t xml:space="preserve">ers identified by the Explanatory Memorandum to the </w:t>
      </w:r>
      <w:r w:rsidR="00BF44F8" w:rsidRPr="006F2F68">
        <w:rPr>
          <w:rFonts w:ascii="Times New Roman" w:hAnsi="Times New Roman" w:cs="Times New Roman"/>
          <w:i/>
          <w:iCs/>
          <w:sz w:val="22"/>
        </w:rPr>
        <w:t xml:space="preserve">Privacy Amendment (Enhancing Privacy Protection) Bill </w:t>
      </w:r>
      <w:r w:rsidR="00C351CC" w:rsidRPr="006F2F68">
        <w:rPr>
          <w:rFonts w:ascii="Times New Roman" w:hAnsi="Times New Roman" w:cs="Times New Roman"/>
          <w:i/>
          <w:iCs/>
          <w:sz w:val="22"/>
        </w:rPr>
        <w:t>201</w:t>
      </w:r>
      <w:r w:rsidR="00C351CC" w:rsidRPr="006F2F68">
        <w:rPr>
          <w:rFonts w:ascii="Times New Roman" w:hAnsi="Times New Roman" w:cs="Times New Roman"/>
          <w:sz w:val="22"/>
        </w:rPr>
        <w:t>2</w:t>
      </w:r>
      <w:r w:rsidR="00FD0FF4" w:rsidRPr="006F2F68">
        <w:rPr>
          <w:rFonts w:ascii="Times New Roman" w:hAnsi="Times New Roman" w:cs="Times New Roman"/>
          <w:sz w:val="22"/>
        </w:rPr>
        <w:t xml:space="preserve">, including that the </w:t>
      </w:r>
      <w:r w:rsidR="002B5820" w:rsidRPr="006F2F68">
        <w:rPr>
          <w:rFonts w:ascii="Times New Roman" w:hAnsi="Times New Roman" w:cs="Times New Roman"/>
          <w:sz w:val="22"/>
        </w:rPr>
        <w:t>r</w:t>
      </w:r>
      <w:r w:rsidR="00F26828" w:rsidRPr="006F2F68">
        <w:rPr>
          <w:rFonts w:ascii="Times New Roman" w:hAnsi="Times New Roman" w:cs="Times New Roman"/>
          <w:sz w:val="22"/>
        </w:rPr>
        <w:t xml:space="preserve">esearch be </w:t>
      </w:r>
      <w:r w:rsidR="001E163E" w:rsidRPr="006F2F68">
        <w:rPr>
          <w:rFonts w:ascii="Times New Roman" w:hAnsi="Times New Roman" w:cs="Times New Roman"/>
          <w:sz w:val="22"/>
        </w:rPr>
        <w:t xml:space="preserve">in the public interest and </w:t>
      </w:r>
      <w:r w:rsidR="00F26828" w:rsidRPr="006F2F68">
        <w:rPr>
          <w:rFonts w:ascii="Times New Roman" w:hAnsi="Times New Roman" w:cs="Times New Roman"/>
          <w:sz w:val="22"/>
        </w:rPr>
        <w:t xml:space="preserve">appropriately limited in scope </w:t>
      </w:r>
      <w:r w:rsidR="00C818D1" w:rsidRPr="006F2F68">
        <w:rPr>
          <w:rFonts w:ascii="Times New Roman" w:hAnsi="Times New Roman" w:cs="Times New Roman"/>
          <w:sz w:val="22"/>
        </w:rPr>
        <w:t xml:space="preserve">and that the risk of re-identification is minimised. </w:t>
      </w:r>
    </w:p>
    <w:p w14:paraId="5AB64040" w14:textId="46998C7B" w:rsidR="00506A6F" w:rsidRPr="006F2F68" w:rsidRDefault="00DF7066" w:rsidP="00CD2437">
      <w:pPr>
        <w:rPr>
          <w:rFonts w:ascii="Times New Roman" w:hAnsi="Times New Roman" w:cs="Times New Roman"/>
          <w:sz w:val="22"/>
        </w:rPr>
      </w:pPr>
      <w:r w:rsidRPr="006F2F68">
        <w:rPr>
          <w:rFonts w:ascii="Times New Roman" w:hAnsi="Times New Roman" w:cs="Times New Roman"/>
          <w:sz w:val="22"/>
        </w:rPr>
        <w:t>The Rule</w:t>
      </w:r>
      <w:r w:rsidR="00D4348D" w:rsidRPr="006F2F68">
        <w:rPr>
          <w:rFonts w:ascii="Times New Roman" w:hAnsi="Times New Roman" w:cs="Times New Roman"/>
          <w:sz w:val="22"/>
        </w:rPr>
        <w:t xml:space="preserve"> repeals and</w:t>
      </w:r>
      <w:r w:rsidRPr="006F2F68">
        <w:rPr>
          <w:rFonts w:ascii="Times New Roman" w:hAnsi="Times New Roman" w:cs="Times New Roman"/>
          <w:sz w:val="22"/>
        </w:rPr>
        <w:t xml:space="preserve"> replaces the </w:t>
      </w:r>
      <w:r w:rsidRPr="006F2F68">
        <w:rPr>
          <w:rFonts w:ascii="Times New Roman" w:hAnsi="Times New Roman" w:cs="Times New Roman"/>
          <w:i/>
          <w:iCs/>
          <w:sz w:val="22"/>
        </w:rPr>
        <w:t>Privacy (Credit Related Research) Rule 2014</w:t>
      </w:r>
      <w:r w:rsidRPr="006F2F68">
        <w:rPr>
          <w:rFonts w:ascii="Times New Roman" w:hAnsi="Times New Roman" w:cs="Times New Roman"/>
          <w:sz w:val="22"/>
        </w:rPr>
        <w:t xml:space="preserve"> and is made in substantially the same terms following feedback received from stakeholders during the consultation process. </w:t>
      </w:r>
    </w:p>
    <w:p w14:paraId="442D00CD" w14:textId="77777777" w:rsidR="00E00F5F" w:rsidRPr="00E22CDE" w:rsidRDefault="00E00F5F" w:rsidP="00AD0794">
      <w:pPr>
        <w:pStyle w:val="Heading4"/>
        <w:rPr>
          <w:rFonts w:ascii="Times New Roman" w:hAnsi="Times New Roman" w:cs="Times New Roman"/>
          <w:b w:val="0"/>
          <w:color w:val="auto"/>
        </w:rPr>
      </w:pPr>
      <w:r w:rsidRPr="00E22CDE">
        <w:rPr>
          <w:rFonts w:ascii="Times New Roman" w:hAnsi="Times New Roman" w:cs="Times New Roman"/>
          <w:color w:val="auto"/>
        </w:rPr>
        <w:t>Human rights implications</w:t>
      </w:r>
    </w:p>
    <w:p w14:paraId="7DDBB85E" w14:textId="77777777" w:rsidR="00F81184" w:rsidRPr="006F2F68" w:rsidRDefault="00E00F5F" w:rsidP="007A4788">
      <w:pPr>
        <w:rPr>
          <w:rFonts w:ascii="Times New Roman" w:hAnsi="Times New Roman" w:cs="Times New Roman"/>
          <w:sz w:val="22"/>
        </w:rPr>
      </w:pPr>
      <w:r w:rsidRPr="006F2F68">
        <w:rPr>
          <w:rFonts w:ascii="Times New Roman" w:hAnsi="Times New Roman" w:cs="Times New Roman"/>
          <w:sz w:val="22"/>
        </w:rPr>
        <w:t xml:space="preserve">The Rule engages Article 17 of the </w:t>
      </w:r>
      <w:r w:rsidRPr="006F2F68">
        <w:rPr>
          <w:rFonts w:ascii="Times New Roman" w:hAnsi="Times New Roman" w:cs="Times New Roman"/>
          <w:i/>
          <w:iCs/>
          <w:sz w:val="22"/>
        </w:rPr>
        <w:t>International Covenant on Civil and Political Rights</w:t>
      </w:r>
      <w:r w:rsidRPr="006F2F68">
        <w:rPr>
          <w:rFonts w:ascii="Times New Roman" w:hAnsi="Times New Roman" w:cs="Times New Roman"/>
          <w:sz w:val="22"/>
        </w:rPr>
        <w:t xml:space="preserve"> (ICCPR)</w:t>
      </w:r>
      <w:r w:rsidR="00F81184" w:rsidRPr="006F2F68">
        <w:rPr>
          <w:rFonts w:ascii="Times New Roman" w:hAnsi="Times New Roman" w:cs="Times New Roman"/>
          <w:sz w:val="22"/>
        </w:rPr>
        <w:t>.</w:t>
      </w:r>
    </w:p>
    <w:p w14:paraId="6171DD6F" w14:textId="5C4491DC" w:rsidR="00A915F8" w:rsidRPr="006F2F68" w:rsidRDefault="00F81184" w:rsidP="007A4788">
      <w:pPr>
        <w:rPr>
          <w:rFonts w:ascii="Times New Roman" w:hAnsi="Times New Roman" w:cs="Times New Roman"/>
          <w:sz w:val="22"/>
        </w:rPr>
      </w:pPr>
      <w:r w:rsidRPr="006F2F68">
        <w:rPr>
          <w:rFonts w:ascii="Times New Roman" w:hAnsi="Times New Roman" w:cs="Times New Roman"/>
          <w:sz w:val="22"/>
        </w:rPr>
        <w:t xml:space="preserve">Article 17 of the ICCPR </w:t>
      </w:r>
      <w:r w:rsidR="00E00F5F" w:rsidRPr="006F2F68">
        <w:rPr>
          <w:rFonts w:ascii="Times New Roman" w:hAnsi="Times New Roman" w:cs="Times New Roman"/>
          <w:sz w:val="22"/>
        </w:rPr>
        <w:t xml:space="preserve">provides that no one shall be subjected to arbitrary or unlawful interference with his or her privacy, family, </w:t>
      </w:r>
      <w:proofErr w:type="gramStart"/>
      <w:r w:rsidR="00E00F5F" w:rsidRPr="006F2F68">
        <w:rPr>
          <w:rFonts w:ascii="Times New Roman" w:hAnsi="Times New Roman" w:cs="Times New Roman"/>
          <w:sz w:val="22"/>
        </w:rPr>
        <w:t>home</w:t>
      </w:r>
      <w:proofErr w:type="gramEnd"/>
      <w:r w:rsidR="00E00F5F" w:rsidRPr="006F2F68">
        <w:rPr>
          <w:rFonts w:ascii="Times New Roman" w:hAnsi="Times New Roman" w:cs="Times New Roman"/>
          <w:sz w:val="22"/>
        </w:rPr>
        <w:t xml:space="preserve"> or correspondence, nor to unlawful attacks on his or her honour and reputation, and that everyone has the right to the protection of the law against such interference and attacks.</w:t>
      </w:r>
      <w:r w:rsidR="00B26FD3" w:rsidRPr="006F2F68">
        <w:rPr>
          <w:rFonts w:ascii="Times New Roman" w:hAnsi="Times New Roman" w:cs="Times New Roman"/>
          <w:sz w:val="22"/>
        </w:rPr>
        <w:t xml:space="preserve"> </w:t>
      </w:r>
    </w:p>
    <w:p w14:paraId="2615EEA1" w14:textId="613983A2" w:rsidR="00914EE9" w:rsidRPr="006F2F68" w:rsidRDefault="00A915F8" w:rsidP="007A4788">
      <w:pPr>
        <w:rPr>
          <w:rFonts w:ascii="Times New Roman" w:hAnsi="Times New Roman" w:cs="Times New Roman"/>
          <w:sz w:val="22"/>
        </w:rPr>
      </w:pPr>
      <w:r w:rsidRPr="006F2F68">
        <w:rPr>
          <w:rFonts w:ascii="Times New Roman" w:hAnsi="Times New Roman" w:cs="Times New Roman"/>
          <w:sz w:val="22"/>
        </w:rPr>
        <w:t>This</w:t>
      </w:r>
      <w:r w:rsidR="00D41497" w:rsidRPr="006F2F68">
        <w:rPr>
          <w:rFonts w:ascii="Times New Roman" w:hAnsi="Times New Roman" w:cs="Times New Roman"/>
          <w:sz w:val="22"/>
        </w:rPr>
        <w:t xml:space="preserve"> right to privacy is not absolute and </w:t>
      </w:r>
      <w:r w:rsidR="00A36C45" w:rsidRPr="006F2F68">
        <w:rPr>
          <w:rFonts w:ascii="Times New Roman" w:hAnsi="Times New Roman" w:cs="Times New Roman"/>
          <w:sz w:val="22"/>
        </w:rPr>
        <w:t xml:space="preserve">there may be </w:t>
      </w:r>
      <w:r w:rsidR="00E03A0F" w:rsidRPr="006F2F68">
        <w:rPr>
          <w:rFonts w:ascii="Times New Roman" w:hAnsi="Times New Roman" w:cs="Times New Roman"/>
          <w:sz w:val="22"/>
        </w:rPr>
        <w:t xml:space="preserve">circumstances in which the guarantees in </w:t>
      </w:r>
      <w:r w:rsidR="00B23BD5" w:rsidRPr="006F2F68">
        <w:rPr>
          <w:rFonts w:ascii="Times New Roman" w:hAnsi="Times New Roman" w:cs="Times New Roman"/>
          <w:sz w:val="22"/>
        </w:rPr>
        <w:t>A</w:t>
      </w:r>
      <w:r w:rsidR="00E03A0F" w:rsidRPr="006F2F68">
        <w:rPr>
          <w:rFonts w:ascii="Times New Roman" w:hAnsi="Times New Roman" w:cs="Times New Roman"/>
          <w:sz w:val="22"/>
        </w:rPr>
        <w:t xml:space="preserve">rticle 17 can be </w:t>
      </w:r>
      <w:r w:rsidR="00342CE4" w:rsidRPr="006F2F68">
        <w:rPr>
          <w:rFonts w:ascii="Times New Roman" w:hAnsi="Times New Roman" w:cs="Times New Roman"/>
          <w:sz w:val="22"/>
        </w:rPr>
        <w:t xml:space="preserve">limited </w:t>
      </w:r>
      <w:r w:rsidR="003A0F5C" w:rsidRPr="006F2F68">
        <w:rPr>
          <w:rFonts w:ascii="Times New Roman" w:hAnsi="Times New Roman" w:cs="Times New Roman"/>
          <w:sz w:val="22"/>
        </w:rPr>
        <w:t>to achieve a legitimate objective.</w:t>
      </w:r>
      <w:r w:rsidR="00A35578" w:rsidRPr="006F2F68">
        <w:rPr>
          <w:rFonts w:ascii="Times New Roman" w:hAnsi="Times New Roman" w:cs="Times New Roman"/>
          <w:sz w:val="22"/>
        </w:rPr>
        <w:t xml:space="preserve"> </w:t>
      </w:r>
      <w:r w:rsidR="002C2F4C" w:rsidRPr="006F2F68">
        <w:rPr>
          <w:rFonts w:ascii="Times New Roman" w:hAnsi="Times New Roman" w:cs="Times New Roman"/>
          <w:sz w:val="22"/>
        </w:rPr>
        <w:t xml:space="preserve">Any limitations on privacy must also be authorised by law and not arbitrary. </w:t>
      </w:r>
      <w:r w:rsidR="002B576B" w:rsidRPr="006F2F68">
        <w:rPr>
          <w:rFonts w:ascii="Times New Roman" w:hAnsi="Times New Roman" w:cs="Times New Roman"/>
          <w:sz w:val="22"/>
        </w:rPr>
        <w:t xml:space="preserve">The term ‘arbitrary’ in Article 17(1) of the ICCPR means that any interference with privacy must be in accordance with the provisions, aims and objectives of the ICCPR and should be reasonable in the </w:t>
      </w:r>
      <w:proofErr w:type="gramStart"/>
      <w:r w:rsidR="002B576B" w:rsidRPr="006F2F68">
        <w:rPr>
          <w:rFonts w:ascii="Times New Roman" w:hAnsi="Times New Roman" w:cs="Times New Roman"/>
          <w:sz w:val="22"/>
        </w:rPr>
        <w:t>particular circumstances</w:t>
      </w:r>
      <w:proofErr w:type="gramEnd"/>
      <w:r w:rsidR="002B576B" w:rsidRPr="006F2F68">
        <w:rPr>
          <w:rFonts w:ascii="Times New Roman" w:hAnsi="Times New Roman" w:cs="Times New Roman"/>
          <w:sz w:val="22"/>
        </w:rPr>
        <w:t>. The United Nations Human Rights Committee has interpreted ‘reasonableness’ to mean that any limitation must be proportionate and necessary in the circumstances.</w:t>
      </w:r>
    </w:p>
    <w:p w14:paraId="4764A432" w14:textId="77777777" w:rsidR="00313AE1" w:rsidRPr="006F2F68" w:rsidRDefault="0065515A" w:rsidP="007A4788">
      <w:pPr>
        <w:rPr>
          <w:rFonts w:ascii="Times New Roman" w:hAnsi="Times New Roman" w:cs="Times New Roman"/>
          <w:sz w:val="22"/>
        </w:rPr>
      </w:pPr>
      <w:r w:rsidRPr="006F2F68">
        <w:rPr>
          <w:rFonts w:ascii="Times New Roman" w:hAnsi="Times New Roman" w:cs="Times New Roman"/>
          <w:sz w:val="22"/>
        </w:rPr>
        <w:t xml:space="preserve">The Rule engages the right to privacy by permitting the </w:t>
      </w:r>
      <w:r w:rsidR="00305B98" w:rsidRPr="006F2F68">
        <w:rPr>
          <w:rFonts w:ascii="Times New Roman" w:hAnsi="Times New Roman" w:cs="Times New Roman"/>
          <w:sz w:val="22"/>
        </w:rPr>
        <w:t xml:space="preserve">use and disclosure of de-identified credit reporting information by CRBs to conduct research in relation to credit. </w:t>
      </w:r>
    </w:p>
    <w:p w14:paraId="307590B0" w14:textId="70B486E9" w:rsidR="0065515A" w:rsidRPr="006F2F68" w:rsidRDefault="00AE7474" w:rsidP="007A4788">
      <w:pPr>
        <w:rPr>
          <w:rFonts w:ascii="Times New Roman" w:hAnsi="Times New Roman" w:cs="Times New Roman"/>
          <w:sz w:val="22"/>
        </w:rPr>
      </w:pPr>
      <w:r w:rsidRPr="006F2F68">
        <w:rPr>
          <w:rFonts w:ascii="Times New Roman" w:hAnsi="Times New Roman" w:cs="Times New Roman"/>
          <w:sz w:val="22"/>
        </w:rPr>
        <w:t xml:space="preserve">The intrusion on individual privacy </w:t>
      </w:r>
      <w:r w:rsidR="00CC449D" w:rsidRPr="006F2F68">
        <w:rPr>
          <w:rFonts w:ascii="Times New Roman" w:hAnsi="Times New Roman" w:cs="Times New Roman"/>
          <w:sz w:val="22"/>
        </w:rPr>
        <w:t>posed by</w:t>
      </w:r>
      <w:r w:rsidR="008A5A66" w:rsidRPr="006F2F68">
        <w:rPr>
          <w:rFonts w:ascii="Times New Roman" w:hAnsi="Times New Roman" w:cs="Times New Roman"/>
          <w:sz w:val="22"/>
        </w:rPr>
        <w:t xml:space="preserve"> this </w:t>
      </w:r>
      <w:r w:rsidR="009E0C41" w:rsidRPr="006F2F68">
        <w:rPr>
          <w:rFonts w:ascii="Times New Roman" w:hAnsi="Times New Roman" w:cs="Times New Roman"/>
          <w:sz w:val="22"/>
        </w:rPr>
        <w:t xml:space="preserve">limited </w:t>
      </w:r>
      <w:r w:rsidR="008A5A66" w:rsidRPr="006F2F68">
        <w:rPr>
          <w:rFonts w:ascii="Times New Roman" w:hAnsi="Times New Roman" w:cs="Times New Roman"/>
          <w:sz w:val="22"/>
        </w:rPr>
        <w:t>use of de-identified credit reporting information</w:t>
      </w:r>
      <w:r w:rsidR="009E0C41" w:rsidRPr="006F2F68">
        <w:rPr>
          <w:rFonts w:ascii="Times New Roman" w:hAnsi="Times New Roman" w:cs="Times New Roman"/>
          <w:sz w:val="22"/>
        </w:rPr>
        <w:t xml:space="preserve"> is justified </w:t>
      </w:r>
      <w:r w:rsidR="003A1A30" w:rsidRPr="006F2F68">
        <w:rPr>
          <w:rFonts w:ascii="Times New Roman" w:hAnsi="Times New Roman" w:cs="Times New Roman"/>
          <w:sz w:val="22"/>
        </w:rPr>
        <w:t xml:space="preserve">by the general benefit to the public, CRBs and credit providers, </w:t>
      </w:r>
      <w:r w:rsidR="003E210B" w:rsidRPr="006F2F68">
        <w:rPr>
          <w:rFonts w:ascii="Times New Roman" w:hAnsi="Times New Roman" w:cs="Times New Roman"/>
          <w:sz w:val="22"/>
        </w:rPr>
        <w:t xml:space="preserve">that can be obtained </w:t>
      </w:r>
      <w:r w:rsidR="0018083B" w:rsidRPr="006F2F68">
        <w:rPr>
          <w:rFonts w:ascii="Times New Roman" w:hAnsi="Times New Roman" w:cs="Times New Roman"/>
          <w:sz w:val="22"/>
        </w:rPr>
        <w:t xml:space="preserve">through </w:t>
      </w:r>
      <w:r w:rsidR="00885480" w:rsidRPr="006F2F68">
        <w:rPr>
          <w:rFonts w:ascii="Times New Roman" w:hAnsi="Times New Roman" w:cs="Times New Roman"/>
          <w:sz w:val="22"/>
        </w:rPr>
        <w:t xml:space="preserve">allowing </w:t>
      </w:r>
      <w:r w:rsidR="0018083B" w:rsidRPr="006F2F68">
        <w:rPr>
          <w:rFonts w:ascii="Times New Roman" w:hAnsi="Times New Roman" w:cs="Times New Roman"/>
          <w:sz w:val="22"/>
        </w:rPr>
        <w:t>credit related research</w:t>
      </w:r>
      <w:r w:rsidR="00885480" w:rsidRPr="006F2F68">
        <w:rPr>
          <w:rFonts w:ascii="Times New Roman" w:hAnsi="Times New Roman" w:cs="Times New Roman"/>
          <w:sz w:val="22"/>
        </w:rPr>
        <w:t xml:space="preserve"> in specific circumstances</w:t>
      </w:r>
      <w:r w:rsidR="0018083B" w:rsidRPr="006F2F68">
        <w:rPr>
          <w:rFonts w:ascii="Times New Roman" w:hAnsi="Times New Roman" w:cs="Times New Roman"/>
          <w:sz w:val="22"/>
        </w:rPr>
        <w:t>.</w:t>
      </w:r>
      <w:r w:rsidR="006E716B" w:rsidRPr="006F2F68">
        <w:rPr>
          <w:rFonts w:ascii="Times New Roman" w:hAnsi="Times New Roman" w:cs="Times New Roman"/>
          <w:sz w:val="22"/>
        </w:rPr>
        <w:t xml:space="preserve"> </w:t>
      </w:r>
      <w:r w:rsidR="00F15FB2" w:rsidRPr="006F2F68">
        <w:rPr>
          <w:rFonts w:ascii="Times New Roman" w:hAnsi="Times New Roman" w:cs="Times New Roman"/>
          <w:sz w:val="22"/>
        </w:rPr>
        <w:t xml:space="preserve">By ensuring that </w:t>
      </w:r>
      <w:r w:rsidR="00E125D1" w:rsidRPr="006F2F68">
        <w:rPr>
          <w:rFonts w:ascii="Times New Roman" w:hAnsi="Times New Roman" w:cs="Times New Roman"/>
          <w:sz w:val="22"/>
        </w:rPr>
        <w:t xml:space="preserve">credit reporting products and services </w:t>
      </w:r>
      <w:r w:rsidR="003C65A3" w:rsidRPr="006F2F68">
        <w:rPr>
          <w:rFonts w:ascii="Times New Roman" w:hAnsi="Times New Roman" w:cs="Times New Roman"/>
          <w:sz w:val="22"/>
        </w:rPr>
        <w:t>are</w:t>
      </w:r>
      <w:r w:rsidR="00E125D1" w:rsidRPr="006F2F68">
        <w:rPr>
          <w:rFonts w:ascii="Times New Roman" w:hAnsi="Times New Roman" w:cs="Times New Roman"/>
          <w:sz w:val="22"/>
        </w:rPr>
        <w:t xml:space="preserve"> informed by actual credit reporting information and </w:t>
      </w:r>
      <w:r w:rsidR="003C65A3" w:rsidRPr="006F2F68">
        <w:rPr>
          <w:rFonts w:ascii="Times New Roman" w:hAnsi="Times New Roman" w:cs="Times New Roman"/>
          <w:sz w:val="22"/>
        </w:rPr>
        <w:t>tailored</w:t>
      </w:r>
      <w:r w:rsidR="001008A8" w:rsidRPr="006F2F68">
        <w:rPr>
          <w:rFonts w:ascii="Times New Roman" w:hAnsi="Times New Roman" w:cs="Times New Roman"/>
          <w:sz w:val="22"/>
        </w:rPr>
        <w:t xml:space="preserve"> to the evolving needs of individuals in the Australian credit reporting system, the Rule</w:t>
      </w:r>
      <w:r w:rsidR="0000543C" w:rsidRPr="006F2F68">
        <w:rPr>
          <w:rFonts w:ascii="Times New Roman" w:hAnsi="Times New Roman" w:cs="Times New Roman"/>
          <w:sz w:val="22"/>
        </w:rPr>
        <w:t xml:space="preserve"> improves competition </w:t>
      </w:r>
      <w:r w:rsidR="0000543C" w:rsidRPr="006F2F68">
        <w:rPr>
          <w:rFonts w:ascii="Times New Roman" w:hAnsi="Times New Roman" w:cs="Times New Roman"/>
          <w:sz w:val="22"/>
        </w:rPr>
        <w:lastRenderedPageBreak/>
        <w:t>and efficien</w:t>
      </w:r>
      <w:r w:rsidR="00C127FB" w:rsidRPr="006F2F68">
        <w:rPr>
          <w:rFonts w:ascii="Times New Roman" w:hAnsi="Times New Roman" w:cs="Times New Roman"/>
          <w:sz w:val="22"/>
        </w:rPr>
        <w:t>cy</w:t>
      </w:r>
      <w:r w:rsidR="0000543C" w:rsidRPr="006F2F68">
        <w:rPr>
          <w:rFonts w:ascii="Times New Roman" w:hAnsi="Times New Roman" w:cs="Times New Roman"/>
          <w:sz w:val="22"/>
        </w:rPr>
        <w:t xml:space="preserve"> in the credit marke</w:t>
      </w:r>
      <w:r w:rsidR="00AD40F1" w:rsidRPr="006F2F68">
        <w:rPr>
          <w:rFonts w:ascii="Times New Roman" w:hAnsi="Times New Roman" w:cs="Times New Roman"/>
          <w:sz w:val="22"/>
        </w:rPr>
        <w:t xml:space="preserve">t, as well as reducing </w:t>
      </w:r>
      <w:r w:rsidR="0000543C" w:rsidRPr="006F2F68">
        <w:rPr>
          <w:rFonts w:ascii="Times New Roman" w:hAnsi="Times New Roman" w:cs="Times New Roman"/>
          <w:sz w:val="22"/>
        </w:rPr>
        <w:t>the cost</w:t>
      </w:r>
      <w:r w:rsidR="00DC76D1" w:rsidRPr="006F2F68">
        <w:rPr>
          <w:rFonts w:ascii="Times New Roman" w:hAnsi="Times New Roman" w:cs="Times New Roman"/>
          <w:sz w:val="22"/>
        </w:rPr>
        <w:t xml:space="preserve"> of credit for individuals.</w:t>
      </w:r>
      <w:r w:rsidR="001F6164" w:rsidRPr="006F2F68">
        <w:rPr>
          <w:rFonts w:ascii="Times New Roman" w:hAnsi="Times New Roman" w:cs="Times New Roman"/>
          <w:sz w:val="22"/>
        </w:rPr>
        <w:t xml:space="preserve"> Further, ongoing research activities assist in the development </w:t>
      </w:r>
      <w:r w:rsidR="007F23CB" w:rsidRPr="006F2F68">
        <w:rPr>
          <w:rFonts w:ascii="Times New Roman" w:hAnsi="Times New Roman" w:cs="Times New Roman"/>
          <w:sz w:val="22"/>
        </w:rPr>
        <w:t>o</w:t>
      </w:r>
      <w:r w:rsidR="001F6164" w:rsidRPr="006F2F68">
        <w:rPr>
          <w:rFonts w:ascii="Times New Roman" w:hAnsi="Times New Roman" w:cs="Times New Roman"/>
          <w:sz w:val="22"/>
        </w:rPr>
        <w:t>f new credit products, services and improve the effectiveness of existing products.</w:t>
      </w:r>
      <w:r w:rsidR="00E72ADB" w:rsidRPr="006F2F68">
        <w:rPr>
          <w:rFonts w:ascii="Times New Roman" w:hAnsi="Times New Roman" w:cs="Times New Roman"/>
          <w:sz w:val="22"/>
        </w:rPr>
        <w:t xml:space="preserve"> </w:t>
      </w:r>
      <w:r w:rsidR="0066135A" w:rsidRPr="006F2F68">
        <w:rPr>
          <w:rFonts w:ascii="Times New Roman" w:hAnsi="Times New Roman" w:cs="Times New Roman"/>
          <w:sz w:val="22"/>
        </w:rPr>
        <w:t>Enabling these activities is</w:t>
      </w:r>
      <w:r w:rsidR="000178D1" w:rsidRPr="006F2F68">
        <w:rPr>
          <w:rFonts w:ascii="Times New Roman" w:hAnsi="Times New Roman" w:cs="Times New Roman"/>
          <w:sz w:val="22"/>
        </w:rPr>
        <w:t xml:space="preserve"> </w:t>
      </w:r>
      <w:r w:rsidR="00041649" w:rsidRPr="006F2F68">
        <w:rPr>
          <w:rFonts w:ascii="Times New Roman" w:hAnsi="Times New Roman" w:cs="Times New Roman"/>
          <w:sz w:val="22"/>
        </w:rPr>
        <w:t>in accordance with</w:t>
      </w:r>
      <w:r w:rsidR="00713C97" w:rsidRPr="006F2F68">
        <w:rPr>
          <w:rFonts w:ascii="Times New Roman" w:hAnsi="Times New Roman" w:cs="Times New Roman"/>
          <w:sz w:val="22"/>
        </w:rPr>
        <w:t xml:space="preserve"> </w:t>
      </w:r>
      <w:r w:rsidR="00A77EA5" w:rsidRPr="006F2F68">
        <w:rPr>
          <w:rFonts w:ascii="Times New Roman" w:hAnsi="Times New Roman" w:cs="Times New Roman"/>
          <w:sz w:val="22"/>
        </w:rPr>
        <w:t>the objects of the Privacy Act, specifically under section 2A(e)</w:t>
      </w:r>
      <w:r w:rsidR="001E1642" w:rsidRPr="006F2F68">
        <w:rPr>
          <w:rFonts w:ascii="Times New Roman" w:hAnsi="Times New Roman" w:cs="Times New Roman"/>
          <w:sz w:val="22"/>
        </w:rPr>
        <w:t xml:space="preserve"> of the Privacy Act,</w:t>
      </w:r>
      <w:r w:rsidR="00A77EA5" w:rsidRPr="006F2F68">
        <w:rPr>
          <w:rFonts w:ascii="Times New Roman" w:hAnsi="Times New Roman" w:cs="Times New Roman"/>
          <w:sz w:val="22"/>
        </w:rPr>
        <w:t xml:space="preserve"> to facilitate an efficient credit reporting system</w:t>
      </w:r>
      <w:r w:rsidR="00FF4F96" w:rsidRPr="006F2F68">
        <w:rPr>
          <w:rFonts w:ascii="Times New Roman" w:hAnsi="Times New Roman" w:cs="Times New Roman"/>
          <w:sz w:val="22"/>
        </w:rPr>
        <w:t xml:space="preserve"> while </w:t>
      </w:r>
      <w:r w:rsidR="007F23CB" w:rsidRPr="006F2F68">
        <w:rPr>
          <w:rFonts w:ascii="Times New Roman" w:hAnsi="Times New Roman" w:cs="Times New Roman"/>
          <w:sz w:val="22"/>
        </w:rPr>
        <w:t xml:space="preserve">also </w:t>
      </w:r>
      <w:r w:rsidR="00FF4F96" w:rsidRPr="006F2F68">
        <w:rPr>
          <w:rFonts w:ascii="Times New Roman" w:hAnsi="Times New Roman" w:cs="Times New Roman"/>
          <w:sz w:val="22"/>
        </w:rPr>
        <w:t>ensuring that the privacy of individuals is respected.</w:t>
      </w:r>
    </w:p>
    <w:p w14:paraId="4E03DE28" w14:textId="16AA82DF" w:rsidR="006105B7" w:rsidRPr="006F2F68" w:rsidRDefault="00E651BA" w:rsidP="007A4788">
      <w:pPr>
        <w:rPr>
          <w:rFonts w:ascii="Times New Roman" w:hAnsi="Times New Roman" w:cs="Times New Roman"/>
          <w:sz w:val="22"/>
        </w:rPr>
      </w:pPr>
      <w:r w:rsidRPr="006F2F68">
        <w:rPr>
          <w:rFonts w:ascii="Times New Roman" w:hAnsi="Times New Roman" w:cs="Times New Roman"/>
          <w:sz w:val="22"/>
        </w:rPr>
        <w:t>The use and disclosure of</w:t>
      </w:r>
      <w:r w:rsidR="00D053DB" w:rsidRPr="006F2F68">
        <w:rPr>
          <w:rFonts w:ascii="Times New Roman" w:hAnsi="Times New Roman" w:cs="Times New Roman"/>
          <w:sz w:val="22"/>
        </w:rPr>
        <w:t xml:space="preserve"> de-identified credit reporting information </w:t>
      </w:r>
      <w:r w:rsidR="00055A91" w:rsidRPr="006F2F68">
        <w:rPr>
          <w:rFonts w:ascii="Times New Roman" w:hAnsi="Times New Roman" w:cs="Times New Roman"/>
          <w:sz w:val="22"/>
        </w:rPr>
        <w:t xml:space="preserve">by CRBs must be a proportionate means by which to </w:t>
      </w:r>
      <w:r w:rsidR="007F22BD" w:rsidRPr="006F2F68">
        <w:rPr>
          <w:rFonts w:ascii="Times New Roman" w:hAnsi="Times New Roman" w:cs="Times New Roman"/>
          <w:sz w:val="22"/>
        </w:rPr>
        <w:t>achiev</w:t>
      </w:r>
      <w:r w:rsidR="005610B9" w:rsidRPr="006F2F68">
        <w:rPr>
          <w:rFonts w:ascii="Times New Roman" w:hAnsi="Times New Roman" w:cs="Times New Roman"/>
          <w:sz w:val="22"/>
        </w:rPr>
        <w:t>e an</w:t>
      </w:r>
      <w:r w:rsidR="00C06AC9" w:rsidRPr="006F2F68">
        <w:rPr>
          <w:rFonts w:ascii="Times New Roman" w:hAnsi="Times New Roman" w:cs="Times New Roman"/>
          <w:sz w:val="22"/>
        </w:rPr>
        <w:t xml:space="preserve"> efficient and tailored credit reporting system that benefits the</w:t>
      </w:r>
      <w:r w:rsidR="0060015D" w:rsidRPr="006F2F68">
        <w:rPr>
          <w:rFonts w:ascii="Times New Roman" w:hAnsi="Times New Roman" w:cs="Times New Roman"/>
          <w:sz w:val="22"/>
        </w:rPr>
        <w:t xml:space="preserve"> </w:t>
      </w:r>
      <w:proofErr w:type="gramStart"/>
      <w:r w:rsidR="0060015D" w:rsidRPr="006F2F68">
        <w:rPr>
          <w:rFonts w:ascii="Times New Roman" w:hAnsi="Times New Roman" w:cs="Times New Roman"/>
          <w:sz w:val="22"/>
        </w:rPr>
        <w:t>general public</w:t>
      </w:r>
      <w:proofErr w:type="gramEnd"/>
      <w:r w:rsidR="0060015D" w:rsidRPr="006F2F68">
        <w:rPr>
          <w:rFonts w:ascii="Times New Roman" w:hAnsi="Times New Roman" w:cs="Times New Roman"/>
          <w:sz w:val="22"/>
        </w:rPr>
        <w:t xml:space="preserve">. </w:t>
      </w:r>
      <w:r w:rsidR="007C0733" w:rsidRPr="006F2F68">
        <w:rPr>
          <w:rFonts w:ascii="Times New Roman" w:hAnsi="Times New Roman" w:cs="Times New Roman"/>
          <w:sz w:val="22"/>
        </w:rPr>
        <w:t xml:space="preserve">Part </w:t>
      </w:r>
      <w:r w:rsidR="00BD0C49" w:rsidRPr="006F2F68">
        <w:rPr>
          <w:rFonts w:ascii="Times New Roman" w:hAnsi="Times New Roman" w:cs="Times New Roman"/>
          <w:sz w:val="22"/>
        </w:rPr>
        <w:t xml:space="preserve">IIIA and s </w:t>
      </w:r>
      <w:r w:rsidR="006105B7" w:rsidRPr="006F2F68">
        <w:rPr>
          <w:rFonts w:ascii="Times New Roman" w:hAnsi="Times New Roman" w:cs="Times New Roman"/>
          <w:sz w:val="22"/>
        </w:rPr>
        <w:t xml:space="preserve">20M of the Privacy Act </w:t>
      </w:r>
      <w:r w:rsidR="00104964" w:rsidRPr="006F2F68">
        <w:rPr>
          <w:rFonts w:ascii="Times New Roman" w:hAnsi="Times New Roman" w:cs="Times New Roman"/>
          <w:sz w:val="22"/>
        </w:rPr>
        <w:t xml:space="preserve">ensure that the intrusion on individual privacy is appropriately circumscribed. </w:t>
      </w:r>
    </w:p>
    <w:p w14:paraId="0DA6D273" w14:textId="4623A04E" w:rsidR="00EB45FA" w:rsidRPr="006F2F68" w:rsidRDefault="00C74669" w:rsidP="007A4788">
      <w:pPr>
        <w:rPr>
          <w:rFonts w:ascii="Times New Roman" w:hAnsi="Times New Roman" w:cs="Times New Roman"/>
          <w:sz w:val="22"/>
        </w:rPr>
      </w:pPr>
      <w:r w:rsidRPr="006F2F68">
        <w:rPr>
          <w:rFonts w:ascii="Times New Roman" w:hAnsi="Times New Roman" w:cs="Times New Roman"/>
          <w:sz w:val="22"/>
        </w:rPr>
        <w:t>The</w:t>
      </w:r>
      <w:r w:rsidR="000C5A74" w:rsidRPr="006F2F68">
        <w:rPr>
          <w:rFonts w:ascii="Times New Roman" w:hAnsi="Times New Roman" w:cs="Times New Roman"/>
          <w:sz w:val="22"/>
        </w:rPr>
        <w:t xml:space="preserve"> use and disclosure provisions </w:t>
      </w:r>
      <w:r w:rsidR="006C5346" w:rsidRPr="006F2F68">
        <w:rPr>
          <w:rFonts w:ascii="Times New Roman" w:hAnsi="Times New Roman" w:cs="Times New Roman"/>
          <w:sz w:val="22"/>
        </w:rPr>
        <w:t xml:space="preserve">for CRBs contained in Part IIIA of the Privacy Act are prescriptive and do not permit any secondary uses or disclosures of credit reporting information. </w:t>
      </w:r>
      <w:r w:rsidR="00104964" w:rsidRPr="006F2F68">
        <w:rPr>
          <w:rFonts w:ascii="Times New Roman" w:hAnsi="Times New Roman" w:cs="Times New Roman"/>
          <w:sz w:val="22"/>
        </w:rPr>
        <w:t>Section 20</w:t>
      </w:r>
      <w:proofErr w:type="gramStart"/>
      <w:r w:rsidR="00104964" w:rsidRPr="006F2F68">
        <w:rPr>
          <w:rFonts w:ascii="Times New Roman" w:hAnsi="Times New Roman" w:cs="Times New Roman"/>
          <w:sz w:val="22"/>
        </w:rPr>
        <w:t>M</w:t>
      </w:r>
      <w:r w:rsidR="00821C0B" w:rsidRPr="006F2F68">
        <w:rPr>
          <w:rFonts w:ascii="Times New Roman" w:hAnsi="Times New Roman" w:cs="Times New Roman"/>
          <w:sz w:val="22"/>
        </w:rPr>
        <w:t>(</w:t>
      </w:r>
      <w:proofErr w:type="gramEnd"/>
      <w:r w:rsidR="00821C0B" w:rsidRPr="006F2F68">
        <w:rPr>
          <w:rFonts w:ascii="Times New Roman" w:hAnsi="Times New Roman" w:cs="Times New Roman"/>
          <w:sz w:val="22"/>
        </w:rPr>
        <w:t>1)</w:t>
      </w:r>
      <w:r w:rsidR="00104964" w:rsidRPr="006F2F68">
        <w:rPr>
          <w:rFonts w:ascii="Times New Roman" w:hAnsi="Times New Roman" w:cs="Times New Roman"/>
          <w:sz w:val="22"/>
        </w:rPr>
        <w:t xml:space="preserve"> of the Privacy Act</w:t>
      </w:r>
      <w:r w:rsidR="00821C0B" w:rsidRPr="006F2F68">
        <w:rPr>
          <w:rFonts w:ascii="Times New Roman" w:hAnsi="Times New Roman" w:cs="Times New Roman"/>
          <w:sz w:val="22"/>
        </w:rPr>
        <w:t xml:space="preserve"> also</w:t>
      </w:r>
      <w:r w:rsidR="00104964" w:rsidRPr="006F2F68">
        <w:rPr>
          <w:rFonts w:ascii="Times New Roman" w:hAnsi="Times New Roman" w:cs="Times New Roman"/>
          <w:sz w:val="22"/>
        </w:rPr>
        <w:t xml:space="preserve"> </w:t>
      </w:r>
      <w:r w:rsidR="00072113" w:rsidRPr="006F2F68">
        <w:rPr>
          <w:rFonts w:ascii="Times New Roman" w:hAnsi="Times New Roman" w:cs="Times New Roman"/>
          <w:sz w:val="22"/>
        </w:rPr>
        <w:t xml:space="preserve">sets out a </w:t>
      </w:r>
      <w:r w:rsidR="00821C0B" w:rsidRPr="006F2F68">
        <w:rPr>
          <w:rFonts w:ascii="Times New Roman" w:hAnsi="Times New Roman" w:cs="Times New Roman"/>
          <w:sz w:val="22"/>
        </w:rPr>
        <w:t>specific</w:t>
      </w:r>
      <w:r w:rsidR="00072113" w:rsidRPr="006F2F68">
        <w:rPr>
          <w:rFonts w:ascii="Times New Roman" w:hAnsi="Times New Roman" w:cs="Times New Roman"/>
          <w:sz w:val="22"/>
        </w:rPr>
        <w:t xml:space="preserve"> prohibition</w:t>
      </w:r>
      <w:r w:rsidR="00104964" w:rsidRPr="006F2F68">
        <w:rPr>
          <w:rFonts w:ascii="Times New Roman" w:hAnsi="Times New Roman" w:cs="Times New Roman"/>
          <w:sz w:val="22"/>
        </w:rPr>
        <w:t xml:space="preserve"> </w:t>
      </w:r>
      <w:r w:rsidR="00072113" w:rsidRPr="006F2F68">
        <w:rPr>
          <w:rFonts w:ascii="Times New Roman" w:hAnsi="Times New Roman" w:cs="Times New Roman"/>
          <w:sz w:val="22"/>
        </w:rPr>
        <w:t>on the use or disclosure of</w:t>
      </w:r>
      <w:r w:rsidR="00B90FC3" w:rsidRPr="006F2F68">
        <w:rPr>
          <w:rFonts w:ascii="Times New Roman" w:hAnsi="Times New Roman" w:cs="Times New Roman"/>
          <w:sz w:val="22"/>
        </w:rPr>
        <w:t xml:space="preserve"> de-identified</w:t>
      </w:r>
      <w:r w:rsidR="00072113" w:rsidRPr="006F2F68">
        <w:rPr>
          <w:rFonts w:ascii="Times New Roman" w:hAnsi="Times New Roman" w:cs="Times New Roman"/>
          <w:sz w:val="22"/>
        </w:rPr>
        <w:t xml:space="preserve"> credit reporting information held by CRBs</w:t>
      </w:r>
      <w:r w:rsidR="00821C0B" w:rsidRPr="006F2F68">
        <w:rPr>
          <w:rFonts w:ascii="Times New Roman" w:hAnsi="Times New Roman" w:cs="Times New Roman"/>
          <w:sz w:val="22"/>
        </w:rPr>
        <w:t>.</w:t>
      </w:r>
      <w:r w:rsidR="009D6537" w:rsidRPr="006F2F68">
        <w:rPr>
          <w:rFonts w:ascii="Times New Roman" w:hAnsi="Times New Roman" w:cs="Times New Roman"/>
          <w:sz w:val="22"/>
        </w:rPr>
        <w:t xml:space="preserve"> </w:t>
      </w:r>
      <w:r w:rsidR="00EE1B93" w:rsidRPr="006F2F68">
        <w:rPr>
          <w:rFonts w:ascii="Times New Roman" w:hAnsi="Times New Roman" w:cs="Times New Roman"/>
          <w:sz w:val="22"/>
        </w:rPr>
        <w:t>Section 20</w:t>
      </w:r>
      <w:proofErr w:type="gramStart"/>
      <w:r w:rsidR="00EE1B93" w:rsidRPr="006F2F68">
        <w:rPr>
          <w:rFonts w:ascii="Times New Roman" w:hAnsi="Times New Roman" w:cs="Times New Roman"/>
          <w:sz w:val="22"/>
        </w:rPr>
        <w:t>M(</w:t>
      </w:r>
      <w:proofErr w:type="gramEnd"/>
      <w:r w:rsidR="00EE1B93" w:rsidRPr="006F2F68">
        <w:rPr>
          <w:rFonts w:ascii="Times New Roman" w:hAnsi="Times New Roman" w:cs="Times New Roman"/>
          <w:sz w:val="22"/>
        </w:rPr>
        <w:t xml:space="preserve">2) of the Privacy Act </w:t>
      </w:r>
      <w:r w:rsidR="00AB216F" w:rsidRPr="006F2F68">
        <w:rPr>
          <w:rFonts w:ascii="Times New Roman" w:hAnsi="Times New Roman" w:cs="Times New Roman"/>
          <w:sz w:val="22"/>
        </w:rPr>
        <w:t xml:space="preserve">provides an exception </w:t>
      </w:r>
      <w:r w:rsidR="00923F9C" w:rsidRPr="006F2F68">
        <w:rPr>
          <w:rFonts w:ascii="Times New Roman" w:hAnsi="Times New Roman" w:cs="Times New Roman"/>
          <w:sz w:val="22"/>
        </w:rPr>
        <w:t>to this prohibition</w:t>
      </w:r>
      <w:r w:rsidR="00444188" w:rsidRPr="006F2F68">
        <w:rPr>
          <w:rFonts w:ascii="Times New Roman" w:hAnsi="Times New Roman" w:cs="Times New Roman"/>
          <w:sz w:val="22"/>
        </w:rPr>
        <w:t xml:space="preserve"> only</w:t>
      </w:r>
      <w:r w:rsidR="00923F9C" w:rsidRPr="006F2F68">
        <w:rPr>
          <w:rFonts w:ascii="Times New Roman" w:hAnsi="Times New Roman" w:cs="Times New Roman"/>
          <w:sz w:val="22"/>
        </w:rPr>
        <w:t xml:space="preserve"> where the use or disclosure of de-identified </w:t>
      </w:r>
      <w:r w:rsidR="00F31017" w:rsidRPr="006F2F68">
        <w:rPr>
          <w:rFonts w:ascii="Times New Roman" w:hAnsi="Times New Roman" w:cs="Times New Roman"/>
          <w:sz w:val="22"/>
        </w:rPr>
        <w:t xml:space="preserve">credit reporting </w:t>
      </w:r>
      <w:r w:rsidR="00923F9C" w:rsidRPr="006F2F68">
        <w:rPr>
          <w:rFonts w:ascii="Times New Roman" w:hAnsi="Times New Roman" w:cs="Times New Roman"/>
          <w:sz w:val="22"/>
        </w:rPr>
        <w:t>information</w:t>
      </w:r>
      <w:r w:rsidR="00713D39" w:rsidRPr="006F2F68">
        <w:rPr>
          <w:rFonts w:ascii="Times New Roman" w:hAnsi="Times New Roman" w:cs="Times New Roman"/>
          <w:sz w:val="22"/>
        </w:rPr>
        <w:t xml:space="preserve"> by </w:t>
      </w:r>
      <w:r w:rsidR="00444188" w:rsidRPr="006F2F68">
        <w:rPr>
          <w:rFonts w:ascii="Times New Roman" w:hAnsi="Times New Roman" w:cs="Times New Roman"/>
          <w:sz w:val="22"/>
        </w:rPr>
        <w:t xml:space="preserve">a </w:t>
      </w:r>
      <w:r w:rsidR="00713D39" w:rsidRPr="006F2F68">
        <w:rPr>
          <w:rFonts w:ascii="Times New Roman" w:hAnsi="Times New Roman" w:cs="Times New Roman"/>
          <w:sz w:val="22"/>
        </w:rPr>
        <w:t>CRB</w:t>
      </w:r>
      <w:r w:rsidR="00923F9C" w:rsidRPr="006F2F68">
        <w:rPr>
          <w:rFonts w:ascii="Times New Roman" w:hAnsi="Times New Roman" w:cs="Times New Roman"/>
          <w:sz w:val="22"/>
        </w:rPr>
        <w:t xml:space="preserve"> is for the purposes of conducting </w:t>
      </w:r>
      <w:r w:rsidR="00236E53" w:rsidRPr="006F2F68">
        <w:rPr>
          <w:rFonts w:ascii="Times New Roman" w:hAnsi="Times New Roman" w:cs="Times New Roman"/>
          <w:sz w:val="22"/>
        </w:rPr>
        <w:t xml:space="preserve">credit related research and </w:t>
      </w:r>
      <w:r w:rsidR="00444188" w:rsidRPr="006F2F68">
        <w:rPr>
          <w:rFonts w:ascii="Times New Roman" w:hAnsi="Times New Roman" w:cs="Times New Roman"/>
          <w:sz w:val="22"/>
        </w:rPr>
        <w:t xml:space="preserve">the CRB complies </w:t>
      </w:r>
      <w:r w:rsidR="00511B66" w:rsidRPr="006F2F68">
        <w:rPr>
          <w:rFonts w:ascii="Times New Roman" w:hAnsi="Times New Roman" w:cs="Times New Roman"/>
          <w:sz w:val="22"/>
        </w:rPr>
        <w:t>with the Rules.</w:t>
      </w:r>
      <w:r w:rsidR="009D6537" w:rsidRPr="006F2F68">
        <w:rPr>
          <w:rFonts w:ascii="Times New Roman" w:hAnsi="Times New Roman" w:cs="Times New Roman"/>
          <w:sz w:val="22"/>
        </w:rPr>
        <w:t xml:space="preserve"> This narrow </w:t>
      </w:r>
      <w:r w:rsidR="00324E1A" w:rsidRPr="006F2F68">
        <w:rPr>
          <w:rFonts w:ascii="Times New Roman" w:hAnsi="Times New Roman" w:cs="Times New Roman"/>
          <w:sz w:val="22"/>
        </w:rPr>
        <w:t>circumstance where de-identified credit reporting information can be used or disclosed by CRBs</w:t>
      </w:r>
      <w:r w:rsidR="008F393B" w:rsidRPr="006F2F68">
        <w:rPr>
          <w:rFonts w:ascii="Times New Roman" w:hAnsi="Times New Roman" w:cs="Times New Roman"/>
          <w:sz w:val="22"/>
        </w:rPr>
        <w:t xml:space="preserve"> provides a proportionate framework that ensures use or disclosure</w:t>
      </w:r>
      <w:r w:rsidR="001303A4" w:rsidRPr="006F2F68">
        <w:rPr>
          <w:rFonts w:ascii="Times New Roman" w:hAnsi="Times New Roman" w:cs="Times New Roman"/>
          <w:sz w:val="22"/>
        </w:rPr>
        <w:t xml:space="preserve"> and the interference with privacy</w:t>
      </w:r>
      <w:r w:rsidR="008F393B" w:rsidRPr="006F2F68">
        <w:rPr>
          <w:rFonts w:ascii="Times New Roman" w:hAnsi="Times New Roman" w:cs="Times New Roman"/>
          <w:sz w:val="22"/>
        </w:rPr>
        <w:t xml:space="preserve"> only occurs where it is reasonably necessary. </w:t>
      </w:r>
    </w:p>
    <w:p w14:paraId="268FB42C" w14:textId="09E91EC9" w:rsidR="00DC413C" w:rsidRPr="006F2F68" w:rsidRDefault="00184952" w:rsidP="007A4788">
      <w:pPr>
        <w:rPr>
          <w:rFonts w:ascii="Times New Roman" w:hAnsi="Times New Roman" w:cs="Times New Roman"/>
          <w:sz w:val="22"/>
        </w:rPr>
      </w:pPr>
      <w:r w:rsidRPr="006F2F68">
        <w:rPr>
          <w:rFonts w:ascii="Times New Roman" w:hAnsi="Times New Roman" w:cs="Times New Roman"/>
          <w:sz w:val="22"/>
        </w:rPr>
        <w:t>The Rules serve to provide additional safeguards</w:t>
      </w:r>
      <w:r w:rsidR="00321E75" w:rsidRPr="006F2F68">
        <w:rPr>
          <w:rFonts w:ascii="Times New Roman" w:hAnsi="Times New Roman" w:cs="Times New Roman"/>
          <w:sz w:val="22"/>
        </w:rPr>
        <w:t xml:space="preserve"> and oversight to guide</w:t>
      </w:r>
      <w:r w:rsidR="00F31017" w:rsidRPr="006F2F68">
        <w:rPr>
          <w:rFonts w:ascii="Times New Roman" w:hAnsi="Times New Roman" w:cs="Times New Roman"/>
          <w:sz w:val="22"/>
        </w:rPr>
        <w:t xml:space="preserve"> the use and disclosure of de-identified credit reporting information when used in credit related research. </w:t>
      </w:r>
      <w:r w:rsidR="00B20DDC" w:rsidRPr="006F2F68">
        <w:rPr>
          <w:rFonts w:ascii="Times New Roman" w:hAnsi="Times New Roman" w:cs="Times New Roman"/>
          <w:sz w:val="22"/>
        </w:rPr>
        <w:t>The Rule seeks to further curtail the circumstances in which the right to privacy</w:t>
      </w:r>
      <w:r w:rsidR="008D498C" w:rsidRPr="006F2F68">
        <w:rPr>
          <w:rFonts w:ascii="Times New Roman" w:hAnsi="Times New Roman" w:cs="Times New Roman"/>
          <w:sz w:val="22"/>
        </w:rPr>
        <w:t xml:space="preserve"> can be limited</w:t>
      </w:r>
      <w:r w:rsidR="0014760E" w:rsidRPr="006F2F68">
        <w:rPr>
          <w:rFonts w:ascii="Times New Roman" w:hAnsi="Times New Roman" w:cs="Times New Roman"/>
          <w:sz w:val="22"/>
        </w:rPr>
        <w:t xml:space="preserve"> to </w:t>
      </w:r>
      <w:r w:rsidR="00DC413C" w:rsidRPr="006F2F68">
        <w:rPr>
          <w:rFonts w:ascii="Times New Roman" w:hAnsi="Times New Roman" w:cs="Times New Roman"/>
          <w:sz w:val="22"/>
        </w:rPr>
        <w:t xml:space="preserve">permitted credit related research </w:t>
      </w:r>
      <w:r w:rsidR="00E83B8C" w:rsidRPr="006F2F68">
        <w:rPr>
          <w:rFonts w:ascii="Times New Roman" w:hAnsi="Times New Roman" w:cs="Times New Roman"/>
          <w:sz w:val="22"/>
        </w:rPr>
        <w:t>activities that are in the public interest, including for:</w:t>
      </w:r>
    </w:p>
    <w:p w14:paraId="21AA25FA" w14:textId="11C0DA44" w:rsidR="00E83B8C" w:rsidRPr="006F2F68" w:rsidRDefault="00473DEE" w:rsidP="00473DEE">
      <w:pPr>
        <w:pStyle w:val="ListParagraph"/>
        <w:numPr>
          <w:ilvl w:val="0"/>
          <w:numId w:val="27"/>
        </w:numPr>
        <w:rPr>
          <w:rFonts w:ascii="Times New Roman" w:hAnsi="Times New Roman" w:cs="Times New Roman"/>
          <w:sz w:val="22"/>
        </w:rPr>
      </w:pPr>
      <w:r w:rsidRPr="006F2F68">
        <w:rPr>
          <w:rFonts w:ascii="Times New Roman" w:hAnsi="Times New Roman" w:cs="Times New Roman"/>
          <w:sz w:val="22"/>
        </w:rPr>
        <w:t>the assessment or management of current, and development of new, credit services</w:t>
      </w:r>
    </w:p>
    <w:p w14:paraId="3024F13D" w14:textId="06DE8546" w:rsidR="00473DEE" w:rsidRPr="006F2F68" w:rsidRDefault="00473DEE" w:rsidP="00473DEE">
      <w:pPr>
        <w:pStyle w:val="ListParagraph"/>
        <w:numPr>
          <w:ilvl w:val="0"/>
          <w:numId w:val="27"/>
        </w:numPr>
        <w:rPr>
          <w:rFonts w:ascii="Times New Roman" w:hAnsi="Times New Roman" w:cs="Times New Roman"/>
          <w:sz w:val="22"/>
        </w:rPr>
      </w:pPr>
      <w:r w:rsidRPr="006F2F68">
        <w:rPr>
          <w:rFonts w:ascii="Times New Roman" w:hAnsi="Times New Roman" w:cs="Times New Roman"/>
          <w:sz w:val="22"/>
        </w:rPr>
        <w:t xml:space="preserve">developing methodologies to combat fraud, anti-money laundering, counter terrorism financing and other unlawful activity involving </w:t>
      </w:r>
      <w:proofErr w:type="gramStart"/>
      <w:r w:rsidRPr="006F2F68">
        <w:rPr>
          <w:rFonts w:ascii="Times New Roman" w:hAnsi="Times New Roman" w:cs="Times New Roman"/>
          <w:sz w:val="22"/>
        </w:rPr>
        <w:t>credit</w:t>
      </w:r>
      <w:proofErr w:type="gramEnd"/>
    </w:p>
    <w:p w14:paraId="64165613" w14:textId="32C851B9" w:rsidR="00473DEE" w:rsidRPr="006F2F68" w:rsidRDefault="004D2E27" w:rsidP="00473DEE">
      <w:pPr>
        <w:pStyle w:val="ListParagraph"/>
        <w:numPr>
          <w:ilvl w:val="0"/>
          <w:numId w:val="27"/>
        </w:numPr>
        <w:rPr>
          <w:rFonts w:ascii="Times New Roman" w:hAnsi="Times New Roman" w:cs="Times New Roman"/>
          <w:sz w:val="22"/>
        </w:rPr>
      </w:pPr>
      <w:r w:rsidRPr="006F2F68">
        <w:rPr>
          <w:rFonts w:ascii="Times New Roman" w:hAnsi="Times New Roman" w:cs="Times New Roman"/>
          <w:sz w:val="22"/>
        </w:rPr>
        <w:t>assisting responsible lending obligations and other consumer protections, or</w:t>
      </w:r>
    </w:p>
    <w:p w14:paraId="5E44B78B" w14:textId="370FC230" w:rsidR="004D2E27" w:rsidRPr="006F2F68" w:rsidRDefault="004D2E27" w:rsidP="00473DEE">
      <w:pPr>
        <w:pStyle w:val="ListParagraph"/>
        <w:numPr>
          <w:ilvl w:val="0"/>
          <w:numId w:val="27"/>
        </w:numPr>
        <w:rPr>
          <w:rFonts w:ascii="Times New Roman" w:hAnsi="Times New Roman" w:cs="Times New Roman"/>
          <w:sz w:val="22"/>
        </w:rPr>
      </w:pPr>
      <w:r w:rsidRPr="006F2F68">
        <w:rPr>
          <w:rFonts w:ascii="Times New Roman" w:hAnsi="Times New Roman" w:cs="Times New Roman"/>
          <w:sz w:val="22"/>
        </w:rPr>
        <w:t xml:space="preserve">any other purpose for the general benefit of the public. </w:t>
      </w:r>
    </w:p>
    <w:p w14:paraId="0D474FDE" w14:textId="0C820075" w:rsidR="00E00F5F" w:rsidRPr="006F2F68" w:rsidRDefault="00DC6E16" w:rsidP="00DC6E16">
      <w:pPr>
        <w:rPr>
          <w:rFonts w:ascii="Times New Roman" w:hAnsi="Times New Roman" w:cs="Times New Roman"/>
          <w:sz w:val="22"/>
        </w:rPr>
      </w:pPr>
      <w:r w:rsidRPr="006F2F68">
        <w:rPr>
          <w:rFonts w:ascii="Times New Roman" w:hAnsi="Times New Roman" w:cs="Times New Roman"/>
          <w:sz w:val="22"/>
        </w:rPr>
        <w:t>The Rule contains f</w:t>
      </w:r>
      <w:r w:rsidR="00F372B4" w:rsidRPr="006F2F68">
        <w:rPr>
          <w:rFonts w:ascii="Times New Roman" w:hAnsi="Times New Roman" w:cs="Times New Roman"/>
          <w:sz w:val="22"/>
        </w:rPr>
        <w:t xml:space="preserve">urther safeguards </w:t>
      </w:r>
      <w:r w:rsidR="005D2FDD" w:rsidRPr="006F2F68">
        <w:rPr>
          <w:rFonts w:ascii="Times New Roman" w:hAnsi="Times New Roman" w:cs="Times New Roman"/>
          <w:sz w:val="22"/>
        </w:rPr>
        <w:t>that ensure</w:t>
      </w:r>
      <w:r w:rsidRPr="006F2F68">
        <w:rPr>
          <w:rFonts w:ascii="Times New Roman" w:hAnsi="Times New Roman" w:cs="Times New Roman"/>
          <w:sz w:val="22"/>
        </w:rPr>
        <w:t>s</w:t>
      </w:r>
      <w:r w:rsidR="005D2FDD" w:rsidRPr="006F2F68">
        <w:rPr>
          <w:rFonts w:ascii="Times New Roman" w:hAnsi="Times New Roman" w:cs="Times New Roman"/>
          <w:sz w:val="22"/>
        </w:rPr>
        <w:t xml:space="preserve"> any limitation on the right to privacy is proportionate</w:t>
      </w:r>
      <w:r w:rsidRPr="006F2F68">
        <w:rPr>
          <w:rFonts w:ascii="Times New Roman" w:hAnsi="Times New Roman" w:cs="Times New Roman"/>
          <w:sz w:val="22"/>
        </w:rPr>
        <w:t>,</w:t>
      </w:r>
      <w:r w:rsidR="00E00F5F" w:rsidRPr="006F2F68">
        <w:rPr>
          <w:rFonts w:ascii="Times New Roman" w:hAnsi="Times New Roman" w:cs="Times New Roman"/>
          <w:sz w:val="22"/>
        </w:rPr>
        <w:t xml:space="preserve"> including:  </w:t>
      </w:r>
    </w:p>
    <w:p w14:paraId="5AB40F40" w14:textId="6EFD7758" w:rsidR="00F816BE" w:rsidRPr="006F2F68" w:rsidRDefault="00F816BE" w:rsidP="00A17A70">
      <w:pPr>
        <w:pStyle w:val="ListBullet"/>
        <w:spacing w:after="120"/>
        <w:rPr>
          <w:rFonts w:ascii="Times New Roman" w:hAnsi="Times New Roman" w:cs="Times New Roman"/>
          <w:sz w:val="22"/>
        </w:rPr>
      </w:pPr>
      <w:r w:rsidRPr="006F2F68">
        <w:rPr>
          <w:rFonts w:ascii="Times New Roman" w:hAnsi="Times New Roman" w:cs="Times New Roman"/>
          <w:sz w:val="22"/>
        </w:rPr>
        <w:t xml:space="preserve">ensuring CRBs </w:t>
      </w:r>
      <w:r w:rsidR="00D44AC6" w:rsidRPr="006F2F68">
        <w:rPr>
          <w:rFonts w:ascii="Times New Roman" w:hAnsi="Times New Roman" w:cs="Times New Roman"/>
          <w:sz w:val="22"/>
        </w:rPr>
        <w:t>assess the risk of re-identification when determining an appropriate de-identification technique</w:t>
      </w:r>
      <w:r w:rsidR="00CD7256" w:rsidRPr="006F2F68">
        <w:rPr>
          <w:rFonts w:ascii="Times New Roman" w:hAnsi="Times New Roman" w:cs="Times New Roman"/>
          <w:sz w:val="22"/>
        </w:rPr>
        <w:t xml:space="preserve"> and </w:t>
      </w:r>
      <w:r w:rsidR="00417C86" w:rsidRPr="006F2F68">
        <w:rPr>
          <w:rFonts w:ascii="Times New Roman" w:hAnsi="Times New Roman" w:cs="Times New Roman"/>
          <w:sz w:val="22"/>
        </w:rPr>
        <w:t>take such steps as are reasonable in the circumstances to ensure information cannot be re-</w:t>
      </w:r>
      <w:proofErr w:type="gramStart"/>
      <w:r w:rsidR="00417C86" w:rsidRPr="006F2F68">
        <w:rPr>
          <w:rFonts w:ascii="Times New Roman" w:hAnsi="Times New Roman" w:cs="Times New Roman"/>
          <w:sz w:val="22"/>
        </w:rPr>
        <w:t>identified</w:t>
      </w:r>
      <w:proofErr w:type="gramEnd"/>
    </w:p>
    <w:p w14:paraId="03CFA8BB" w14:textId="210BBF3B" w:rsidR="00E00F5F" w:rsidRPr="006F2F68" w:rsidRDefault="00E00F5F" w:rsidP="00A17A70">
      <w:pPr>
        <w:pStyle w:val="ListBullet"/>
        <w:spacing w:after="120"/>
        <w:rPr>
          <w:rFonts w:ascii="Times New Roman" w:hAnsi="Times New Roman" w:cs="Times New Roman"/>
          <w:sz w:val="22"/>
        </w:rPr>
      </w:pPr>
      <w:r w:rsidRPr="006F2F68">
        <w:rPr>
          <w:rFonts w:ascii="Times New Roman" w:hAnsi="Times New Roman" w:cs="Times New Roman"/>
          <w:sz w:val="22"/>
        </w:rPr>
        <w:t xml:space="preserve">prohibiting the re-identification of de-identified credit reporting information </w:t>
      </w:r>
    </w:p>
    <w:p w14:paraId="294B4C80" w14:textId="77777777" w:rsidR="00E00F5F" w:rsidRPr="006F2F68" w:rsidRDefault="00E00F5F" w:rsidP="00A17A70">
      <w:pPr>
        <w:pStyle w:val="ListBullet"/>
        <w:spacing w:after="120"/>
        <w:rPr>
          <w:rFonts w:ascii="Times New Roman" w:hAnsi="Times New Roman" w:cs="Times New Roman"/>
          <w:sz w:val="22"/>
        </w:rPr>
      </w:pPr>
      <w:r w:rsidRPr="006F2F68">
        <w:rPr>
          <w:rFonts w:ascii="Times New Roman" w:hAnsi="Times New Roman" w:cs="Times New Roman"/>
          <w:sz w:val="22"/>
        </w:rPr>
        <w:t>limiting the disclosure of de-identified information to entities with an Australian link</w:t>
      </w:r>
    </w:p>
    <w:p w14:paraId="48C28CBD" w14:textId="082F6B99" w:rsidR="00E00F5F" w:rsidRPr="006F2F68" w:rsidRDefault="00E00F5F" w:rsidP="00A17A70">
      <w:pPr>
        <w:pStyle w:val="ListBullet"/>
        <w:spacing w:after="120"/>
        <w:rPr>
          <w:rFonts w:ascii="Times New Roman" w:hAnsi="Times New Roman" w:cs="Times New Roman"/>
          <w:sz w:val="22"/>
        </w:rPr>
      </w:pPr>
      <w:r w:rsidRPr="006F2F68">
        <w:rPr>
          <w:rFonts w:ascii="Times New Roman" w:hAnsi="Times New Roman" w:cs="Times New Roman"/>
          <w:sz w:val="22"/>
        </w:rPr>
        <w:t>emphasising that de-identified information which is unintentionally re-identified must be destroyed</w:t>
      </w:r>
      <w:r w:rsidR="00BD298B" w:rsidRPr="006F2F68">
        <w:rPr>
          <w:rFonts w:ascii="Times New Roman" w:hAnsi="Times New Roman" w:cs="Times New Roman"/>
          <w:sz w:val="22"/>
        </w:rPr>
        <w:t>.</w:t>
      </w:r>
    </w:p>
    <w:p w14:paraId="34EB0854" w14:textId="2411B69E" w:rsidR="00FF2D7A" w:rsidRPr="006F2F68" w:rsidRDefault="00681D68" w:rsidP="006E5B23">
      <w:pPr>
        <w:pStyle w:val="ListBullet"/>
        <w:numPr>
          <w:ilvl w:val="0"/>
          <w:numId w:val="0"/>
        </w:numPr>
        <w:spacing w:after="120"/>
        <w:rPr>
          <w:rFonts w:ascii="Times New Roman" w:hAnsi="Times New Roman" w:cs="Times New Roman"/>
          <w:sz w:val="22"/>
        </w:rPr>
      </w:pPr>
      <w:r w:rsidRPr="006F2F68">
        <w:rPr>
          <w:rFonts w:ascii="Times New Roman" w:hAnsi="Times New Roman" w:cs="Times New Roman"/>
          <w:sz w:val="22"/>
        </w:rPr>
        <w:t xml:space="preserve">The limitation on the right to privacy </w:t>
      </w:r>
      <w:r w:rsidR="00D95782" w:rsidRPr="006F2F68">
        <w:rPr>
          <w:rFonts w:ascii="Times New Roman" w:hAnsi="Times New Roman" w:cs="Times New Roman"/>
          <w:sz w:val="22"/>
        </w:rPr>
        <w:t xml:space="preserve">authorised by </w:t>
      </w:r>
      <w:r w:rsidR="00705D3C" w:rsidRPr="006F2F68">
        <w:rPr>
          <w:rFonts w:ascii="Times New Roman" w:hAnsi="Times New Roman" w:cs="Times New Roman"/>
          <w:sz w:val="22"/>
        </w:rPr>
        <w:t>s</w:t>
      </w:r>
      <w:r w:rsidR="00053ABE" w:rsidRPr="006F2F68">
        <w:rPr>
          <w:rFonts w:ascii="Times New Roman" w:hAnsi="Times New Roman" w:cs="Times New Roman"/>
          <w:sz w:val="22"/>
        </w:rPr>
        <w:t xml:space="preserve"> </w:t>
      </w:r>
      <w:r w:rsidR="00705D3C" w:rsidRPr="006F2F68">
        <w:rPr>
          <w:rFonts w:ascii="Times New Roman" w:hAnsi="Times New Roman" w:cs="Times New Roman"/>
          <w:sz w:val="22"/>
        </w:rPr>
        <w:t xml:space="preserve">20M of the Privacy Act and </w:t>
      </w:r>
      <w:r w:rsidR="00AA3E33" w:rsidRPr="006F2F68">
        <w:rPr>
          <w:rFonts w:ascii="Times New Roman" w:hAnsi="Times New Roman" w:cs="Times New Roman"/>
          <w:sz w:val="22"/>
        </w:rPr>
        <w:t>the Rule</w:t>
      </w:r>
      <w:r w:rsidR="002C1E3C" w:rsidRPr="006F2F68">
        <w:rPr>
          <w:rFonts w:ascii="Times New Roman" w:hAnsi="Times New Roman" w:cs="Times New Roman"/>
          <w:sz w:val="22"/>
        </w:rPr>
        <w:t xml:space="preserve"> is considered to </w:t>
      </w:r>
      <w:r w:rsidR="00356995" w:rsidRPr="006F2F68">
        <w:rPr>
          <w:rFonts w:ascii="Times New Roman" w:hAnsi="Times New Roman" w:cs="Times New Roman"/>
          <w:sz w:val="22"/>
        </w:rPr>
        <w:t xml:space="preserve">pursue a legitimate objective; </w:t>
      </w:r>
      <w:r w:rsidR="00C5251C" w:rsidRPr="006F2F68">
        <w:rPr>
          <w:rFonts w:ascii="Times New Roman" w:hAnsi="Times New Roman" w:cs="Times New Roman"/>
          <w:sz w:val="22"/>
        </w:rPr>
        <w:t>to</w:t>
      </w:r>
      <w:r w:rsidR="003B7A61" w:rsidRPr="006F2F68">
        <w:rPr>
          <w:rFonts w:ascii="Times New Roman" w:hAnsi="Times New Roman" w:cs="Times New Roman"/>
          <w:sz w:val="22"/>
        </w:rPr>
        <w:t xml:space="preserve"> ensure that </w:t>
      </w:r>
      <w:r w:rsidR="00B3010E" w:rsidRPr="006F2F68">
        <w:rPr>
          <w:rFonts w:ascii="Times New Roman" w:hAnsi="Times New Roman" w:cs="Times New Roman"/>
          <w:sz w:val="22"/>
        </w:rPr>
        <w:t>individuals can continue to benefit from a</w:t>
      </w:r>
      <w:r w:rsidR="00DE0387" w:rsidRPr="006F2F68">
        <w:rPr>
          <w:rFonts w:ascii="Times New Roman" w:hAnsi="Times New Roman" w:cs="Times New Roman"/>
          <w:sz w:val="22"/>
        </w:rPr>
        <w:t xml:space="preserve">n efficient and tailored credit reporting system </w:t>
      </w:r>
      <w:r w:rsidR="003B5BD8" w:rsidRPr="006F2F68">
        <w:rPr>
          <w:rFonts w:ascii="Times New Roman" w:hAnsi="Times New Roman" w:cs="Times New Roman"/>
          <w:sz w:val="22"/>
        </w:rPr>
        <w:t xml:space="preserve">supported by robust credit related research. </w:t>
      </w:r>
      <w:r w:rsidR="009B6052" w:rsidRPr="006F2F68">
        <w:rPr>
          <w:rFonts w:ascii="Times New Roman" w:hAnsi="Times New Roman" w:cs="Times New Roman"/>
          <w:sz w:val="22"/>
        </w:rPr>
        <w:t>The safeguards</w:t>
      </w:r>
      <w:r w:rsidR="0060100A" w:rsidRPr="006F2F68">
        <w:rPr>
          <w:rFonts w:ascii="Times New Roman" w:hAnsi="Times New Roman" w:cs="Times New Roman"/>
          <w:sz w:val="22"/>
        </w:rPr>
        <w:t xml:space="preserve"> provided by s 20M and further specified by the Rule </w:t>
      </w:r>
      <w:r w:rsidR="003E752D" w:rsidRPr="006F2F68">
        <w:rPr>
          <w:rFonts w:ascii="Times New Roman" w:hAnsi="Times New Roman" w:cs="Times New Roman"/>
          <w:sz w:val="22"/>
        </w:rPr>
        <w:t>appropriately circumscribe the use or disclosure of de-identified credit reporting information</w:t>
      </w:r>
      <w:r w:rsidR="00172A79" w:rsidRPr="006F2F68">
        <w:rPr>
          <w:rFonts w:ascii="Times New Roman" w:hAnsi="Times New Roman" w:cs="Times New Roman"/>
          <w:sz w:val="22"/>
        </w:rPr>
        <w:t xml:space="preserve"> </w:t>
      </w:r>
      <w:r w:rsidR="00C12C65" w:rsidRPr="006F2F68">
        <w:rPr>
          <w:rFonts w:ascii="Times New Roman" w:hAnsi="Times New Roman" w:cs="Times New Roman"/>
          <w:sz w:val="22"/>
        </w:rPr>
        <w:t xml:space="preserve">to ensure that any limitations on privacy are reasonable, </w:t>
      </w:r>
      <w:proofErr w:type="gramStart"/>
      <w:r w:rsidR="00C12C65" w:rsidRPr="006F2F68">
        <w:rPr>
          <w:rFonts w:ascii="Times New Roman" w:hAnsi="Times New Roman" w:cs="Times New Roman"/>
          <w:sz w:val="22"/>
        </w:rPr>
        <w:t>necessary</w:t>
      </w:r>
      <w:proofErr w:type="gramEnd"/>
      <w:r w:rsidR="00C12C65" w:rsidRPr="006F2F68">
        <w:rPr>
          <w:rFonts w:ascii="Times New Roman" w:hAnsi="Times New Roman" w:cs="Times New Roman"/>
          <w:sz w:val="22"/>
        </w:rPr>
        <w:t xml:space="preserve"> and proportionate. </w:t>
      </w:r>
    </w:p>
    <w:p w14:paraId="494084A0" w14:textId="7900E241" w:rsidR="00E00F5F" w:rsidRPr="006F2F68" w:rsidRDefault="00E00F5F" w:rsidP="006A30F2">
      <w:pPr>
        <w:keepNext/>
        <w:keepLines/>
        <w:tabs>
          <w:tab w:val="left" w:pos="567"/>
        </w:tabs>
        <w:spacing w:before="240" w:after="120"/>
        <w:contextualSpacing/>
        <w:outlineLvl w:val="2"/>
        <w:rPr>
          <w:rFonts w:ascii="Times New Roman" w:hAnsi="Times New Roman" w:cs="Times New Roman"/>
          <w:b/>
        </w:rPr>
      </w:pPr>
      <w:r w:rsidRPr="006F2F68">
        <w:rPr>
          <w:rFonts w:ascii="Times New Roman" w:hAnsi="Times New Roman" w:cs="Times New Roman"/>
          <w:b/>
        </w:rPr>
        <w:t>Conclusion</w:t>
      </w:r>
    </w:p>
    <w:p w14:paraId="28158E13" w14:textId="381FCA2D" w:rsidR="0065767F" w:rsidRPr="00E22CDE" w:rsidRDefault="00E00F5F" w:rsidP="00E22CDE">
      <w:pPr>
        <w:rPr>
          <w:rFonts w:ascii="Times New Roman" w:eastAsia="SimHei" w:hAnsi="Times New Roman" w:cs="Times New Roman"/>
          <w:spacing w:val="1"/>
          <w:sz w:val="48"/>
          <w:szCs w:val="32"/>
        </w:rPr>
      </w:pPr>
      <w:r w:rsidRPr="006F2F68">
        <w:rPr>
          <w:rFonts w:ascii="Times New Roman" w:hAnsi="Times New Roman" w:cs="Times New Roman"/>
          <w:sz w:val="22"/>
        </w:rPr>
        <w:t xml:space="preserve">The Rule is compatible with human rights because, </w:t>
      </w:r>
      <w:r w:rsidR="005B1FD7" w:rsidRPr="006F2F68">
        <w:rPr>
          <w:rFonts w:ascii="Times New Roman" w:hAnsi="Times New Roman" w:cs="Times New Roman"/>
          <w:sz w:val="22"/>
        </w:rPr>
        <w:t xml:space="preserve">to the extent that it may limit </w:t>
      </w:r>
      <w:r w:rsidR="007939E2" w:rsidRPr="006F2F68">
        <w:rPr>
          <w:rFonts w:ascii="Times New Roman" w:hAnsi="Times New Roman" w:cs="Times New Roman"/>
          <w:sz w:val="22"/>
        </w:rPr>
        <w:t>the</w:t>
      </w:r>
      <w:r w:rsidR="005B1FD7" w:rsidRPr="006F2F68">
        <w:rPr>
          <w:rFonts w:ascii="Times New Roman" w:hAnsi="Times New Roman" w:cs="Times New Roman"/>
          <w:sz w:val="22"/>
        </w:rPr>
        <w:t xml:space="preserve"> right</w:t>
      </w:r>
      <w:r w:rsidR="007939E2" w:rsidRPr="006F2F68">
        <w:rPr>
          <w:rFonts w:ascii="Times New Roman" w:hAnsi="Times New Roman" w:cs="Times New Roman"/>
          <w:sz w:val="22"/>
        </w:rPr>
        <w:t xml:space="preserve"> to privacy</w:t>
      </w:r>
      <w:r w:rsidRPr="006F2F68">
        <w:rPr>
          <w:rFonts w:ascii="Times New Roman" w:hAnsi="Times New Roman" w:cs="Times New Roman"/>
          <w:sz w:val="22"/>
        </w:rPr>
        <w:t xml:space="preserve">, it ensures that </w:t>
      </w:r>
      <w:r w:rsidR="0069230A" w:rsidRPr="006F2F68">
        <w:rPr>
          <w:rFonts w:ascii="Times New Roman" w:hAnsi="Times New Roman" w:cs="Times New Roman"/>
          <w:sz w:val="22"/>
        </w:rPr>
        <w:t xml:space="preserve">those </w:t>
      </w:r>
      <w:r w:rsidRPr="006F2F68">
        <w:rPr>
          <w:rFonts w:ascii="Times New Roman" w:hAnsi="Times New Roman" w:cs="Times New Roman"/>
          <w:sz w:val="22"/>
        </w:rPr>
        <w:t xml:space="preserve">limitations are reasonable, </w:t>
      </w:r>
      <w:proofErr w:type="gramStart"/>
      <w:r w:rsidRPr="006F2F68">
        <w:rPr>
          <w:rFonts w:ascii="Times New Roman" w:hAnsi="Times New Roman" w:cs="Times New Roman"/>
          <w:sz w:val="22"/>
        </w:rPr>
        <w:t>necessary</w:t>
      </w:r>
      <w:proofErr w:type="gramEnd"/>
      <w:r w:rsidRPr="006F2F68">
        <w:rPr>
          <w:rFonts w:ascii="Times New Roman" w:hAnsi="Times New Roman" w:cs="Times New Roman"/>
          <w:sz w:val="22"/>
        </w:rPr>
        <w:t xml:space="preserve"> and proportionate.  </w:t>
      </w:r>
      <w:r w:rsidR="0065767F" w:rsidRPr="006F2F68">
        <w:rPr>
          <w:rFonts w:ascii="Times New Roman" w:hAnsi="Times New Roman" w:cs="Times New Roman"/>
        </w:rPr>
        <w:br w:type="page"/>
      </w:r>
    </w:p>
    <w:p w14:paraId="5E8BAA04" w14:textId="1434E62E" w:rsidR="00E00F5F" w:rsidRPr="00CD1D77" w:rsidRDefault="00E00F5F" w:rsidP="00451CF4">
      <w:pPr>
        <w:pStyle w:val="Heading1-RightAligned"/>
        <w:rPr>
          <w:rFonts w:ascii="Times New Roman" w:hAnsi="Times New Roman" w:cs="Times New Roman"/>
          <w:b/>
          <w:bCs/>
          <w:color w:val="auto"/>
        </w:rPr>
      </w:pPr>
      <w:r w:rsidRPr="00CD1D77">
        <w:rPr>
          <w:rFonts w:ascii="Times New Roman" w:hAnsi="Times New Roman" w:cs="Times New Roman"/>
          <w:b/>
          <w:bCs/>
          <w:color w:val="auto"/>
        </w:rPr>
        <w:lastRenderedPageBreak/>
        <w:t>Attachment</w:t>
      </w:r>
      <w:r w:rsidR="008C2808" w:rsidRPr="00CD1D77">
        <w:rPr>
          <w:rFonts w:ascii="Times New Roman" w:hAnsi="Times New Roman" w:cs="Times New Roman"/>
          <w:b/>
          <w:bCs/>
          <w:color w:val="auto"/>
        </w:rPr>
        <w:t xml:space="preserve"> </w:t>
      </w:r>
      <w:r w:rsidR="00DD11CD" w:rsidRPr="00CD1D77">
        <w:rPr>
          <w:rFonts w:ascii="Times New Roman" w:hAnsi="Times New Roman" w:cs="Times New Roman"/>
          <w:b/>
          <w:bCs/>
          <w:color w:val="auto"/>
        </w:rPr>
        <w:t>B</w:t>
      </w:r>
    </w:p>
    <w:p w14:paraId="4028029F" w14:textId="77777777" w:rsidR="00D85C8A" w:rsidRPr="00CD1D77" w:rsidRDefault="00D85C8A" w:rsidP="00E00F5F">
      <w:pPr>
        <w:pStyle w:val="Heading2"/>
        <w:rPr>
          <w:rFonts w:ascii="Times New Roman" w:hAnsi="Times New Roman" w:cs="Times New Roman"/>
          <w:b/>
          <w:bCs/>
          <w:color w:val="auto"/>
        </w:rPr>
      </w:pPr>
      <w:r w:rsidRPr="00CD1D77">
        <w:rPr>
          <w:rFonts w:ascii="Times New Roman" w:hAnsi="Times New Roman" w:cs="Times New Roman"/>
          <w:b/>
          <w:bCs/>
          <w:color w:val="auto"/>
        </w:rPr>
        <w:t>Explanation of provisions</w:t>
      </w:r>
    </w:p>
    <w:p w14:paraId="2F065417" w14:textId="5E60D962" w:rsidR="00E00F5F" w:rsidRPr="00CD1D77" w:rsidRDefault="00E00F5F" w:rsidP="00D85C8A">
      <w:pPr>
        <w:pStyle w:val="Heading3"/>
        <w:rPr>
          <w:rFonts w:ascii="Times New Roman" w:hAnsi="Times New Roman" w:cs="Times New Roman"/>
          <w:b/>
          <w:color w:val="auto"/>
          <w:sz w:val="28"/>
          <w:szCs w:val="28"/>
        </w:rPr>
      </w:pPr>
      <w:r w:rsidRPr="00CD1D77">
        <w:rPr>
          <w:rFonts w:ascii="Times New Roman" w:hAnsi="Times New Roman" w:cs="Times New Roman"/>
          <w:b/>
          <w:color w:val="auto"/>
          <w:sz w:val="28"/>
          <w:szCs w:val="28"/>
        </w:rPr>
        <w:t xml:space="preserve">Privacy (Credit Related Research) Rule </w:t>
      </w:r>
      <w:r w:rsidR="00E52E47" w:rsidRPr="00CD1D77">
        <w:rPr>
          <w:rFonts w:ascii="Times New Roman" w:hAnsi="Times New Roman" w:cs="Times New Roman"/>
          <w:b/>
          <w:color w:val="auto"/>
          <w:sz w:val="28"/>
          <w:szCs w:val="28"/>
        </w:rPr>
        <w:t>2024</w:t>
      </w:r>
    </w:p>
    <w:p w14:paraId="20D4BAC4" w14:textId="77777777" w:rsidR="00E00F5F" w:rsidRPr="006F2F68" w:rsidRDefault="00E00F5F" w:rsidP="00385379">
      <w:pPr>
        <w:pStyle w:val="ListParagraph"/>
        <w:keepNext/>
        <w:keepLines/>
        <w:numPr>
          <w:ilvl w:val="0"/>
          <w:numId w:val="16"/>
        </w:numPr>
        <w:tabs>
          <w:tab w:val="left" w:pos="567"/>
        </w:tabs>
        <w:spacing w:before="240" w:after="120"/>
        <w:contextualSpacing/>
        <w:outlineLvl w:val="2"/>
        <w:rPr>
          <w:rFonts w:ascii="Times New Roman" w:hAnsi="Times New Roman" w:cs="Times New Roman"/>
          <w:b/>
          <w:sz w:val="22"/>
        </w:rPr>
      </w:pPr>
      <w:r w:rsidRPr="006F2F68">
        <w:rPr>
          <w:rFonts w:ascii="Times New Roman" w:hAnsi="Times New Roman" w:cs="Times New Roman"/>
          <w:b/>
          <w:sz w:val="22"/>
        </w:rPr>
        <w:t>Name of Rule</w:t>
      </w:r>
    </w:p>
    <w:p w14:paraId="1C0DC4D3" w14:textId="44807F8F" w:rsidR="00E00F5F" w:rsidRPr="006F2F68" w:rsidRDefault="00E00F5F" w:rsidP="00B60EA8">
      <w:pPr>
        <w:rPr>
          <w:rFonts w:ascii="Times New Roman" w:hAnsi="Times New Roman" w:cs="Times New Roman"/>
          <w:i/>
          <w:sz w:val="22"/>
        </w:rPr>
      </w:pPr>
      <w:r w:rsidRPr="006F2F68">
        <w:rPr>
          <w:rFonts w:ascii="Times New Roman" w:hAnsi="Times New Roman" w:cs="Times New Roman"/>
          <w:sz w:val="22"/>
        </w:rPr>
        <w:t xml:space="preserve">Section 1 provides that the title of the Rule is the Privacy (Credit </w:t>
      </w:r>
      <w:r w:rsidR="00E52E47" w:rsidRPr="006F2F68">
        <w:rPr>
          <w:rFonts w:ascii="Times New Roman" w:hAnsi="Times New Roman" w:cs="Times New Roman"/>
          <w:sz w:val="22"/>
        </w:rPr>
        <w:t xml:space="preserve">Related </w:t>
      </w:r>
      <w:r w:rsidRPr="006F2F68">
        <w:rPr>
          <w:rFonts w:ascii="Times New Roman" w:hAnsi="Times New Roman" w:cs="Times New Roman"/>
          <w:sz w:val="22"/>
        </w:rPr>
        <w:t xml:space="preserve">Research) Rule </w:t>
      </w:r>
      <w:r w:rsidR="00E52E47" w:rsidRPr="006F2F68">
        <w:rPr>
          <w:rFonts w:ascii="Times New Roman" w:hAnsi="Times New Roman" w:cs="Times New Roman"/>
          <w:sz w:val="22"/>
        </w:rPr>
        <w:t>2024</w:t>
      </w:r>
      <w:r w:rsidRPr="006F2F68">
        <w:rPr>
          <w:rFonts w:ascii="Times New Roman" w:hAnsi="Times New Roman" w:cs="Times New Roman"/>
          <w:i/>
          <w:sz w:val="22"/>
        </w:rPr>
        <w:t>.</w:t>
      </w:r>
    </w:p>
    <w:p w14:paraId="5744A167" w14:textId="77777777" w:rsidR="00E00F5F" w:rsidRPr="006F2F68" w:rsidRDefault="00E00F5F" w:rsidP="00385379">
      <w:pPr>
        <w:pStyle w:val="ListParagraph"/>
        <w:keepNext/>
        <w:keepLines/>
        <w:numPr>
          <w:ilvl w:val="0"/>
          <w:numId w:val="16"/>
        </w:numPr>
        <w:tabs>
          <w:tab w:val="left" w:pos="567"/>
        </w:tabs>
        <w:spacing w:before="240" w:after="120"/>
        <w:contextualSpacing/>
        <w:outlineLvl w:val="2"/>
        <w:rPr>
          <w:rFonts w:ascii="Times New Roman" w:hAnsi="Times New Roman" w:cs="Times New Roman"/>
          <w:b/>
          <w:sz w:val="22"/>
        </w:rPr>
      </w:pPr>
      <w:r w:rsidRPr="006F2F68">
        <w:rPr>
          <w:rFonts w:ascii="Times New Roman" w:hAnsi="Times New Roman" w:cs="Times New Roman"/>
          <w:b/>
          <w:sz w:val="22"/>
        </w:rPr>
        <w:t>Commencement</w:t>
      </w:r>
    </w:p>
    <w:p w14:paraId="7EF0C295" w14:textId="10AA6D90" w:rsidR="00E00F5F" w:rsidRPr="006F2F68" w:rsidRDefault="00E00F5F" w:rsidP="00B60EA8">
      <w:pPr>
        <w:rPr>
          <w:rFonts w:ascii="Times New Roman" w:hAnsi="Times New Roman" w:cs="Times New Roman"/>
          <w:sz w:val="22"/>
        </w:rPr>
      </w:pPr>
      <w:r w:rsidRPr="006F2F68">
        <w:rPr>
          <w:rFonts w:ascii="Times New Roman" w:hAnsi="Times New Roman" w:cs="Times New Roman"/>
          <w:sz w:val="22"/>
        </w:rPr>
        <w:t xml:space="preserve">Section 2 provides that the Rule commences on the day it is registered on the Federal Register of </w:t>
      </w:r>
      <w:r w:rsidR="00AE1B00" w:rsidRPr="006F2F68">
        <w:rPr>
          <w:rFonts w:ascii="Times New Roman" w:hAnsi="Times New Roman" w:cs="Times New Roman"/>
          <w:sz w:val="22"/>
        </w:rPr>
        <w:t>Legislation</w:t>
      </w:r>
      <w:r w:rsidRPr="006F2F68">
        <w:rPr>
          <w:rFonts w:ascii="Times New Roman" w:hAnsi="Times New Roman" w:cs="Times New Roman"/>
          <w:sz w:val="22"/>
        </w:rPr>
        <w:t>.</w:t>
      </w:r>
    </w:p>
    <w:p w14:paraId="7565C9FC" w14:textId="77777777" w:rsidR="00E00F5F" w:rsidRPr="006F2F68" w:rsidRDefault="00E00F5F" w:rsidP="00385379">
      <w:pPr>
        <w:pStyle w:val="ListParagraph"/>
        <w:keepNext/>
        <w:keepLines/>
        <w:numPr>
          <w:ilvl w:val="0"/>
          <w:numId w:val="16"/>
        </w:numPr>
        <w:tabs>
          <w:tab w:val="left" w:pos="567"/>
        </w:tabs>
        <w:spacing w:before="240" w:after="120"/>
        <w:contextualSpacing/>
        <w:outlineLvl w:val="2"/>
        <w:rPr>
          <w:rFonts w:ascii="Times New Roman" w:hAnsi="Times New Roman" w:cs="Times New Roman"/>
          <w:b/>
          <w:sz w:val="22"/>
        </w:rPr>
      </w:pPr>
      <w:r w:rsidRPr="006F2F68">
        <w:rPr>
          <w:rFonts w:ascii="Times New Roman" w:hAnsi="Times New Roman" w:cs="Times New Roman"/>
          <w:b/>
          <w:sz w:val="22"/>
        </w:rPr>
        <w:t>Purpose</w:t>
      </w:r>
    </w:p>
    <w:p w14:paraId="5D02AC20" w14:textId="77777777" w:rsidR="00E00F5F" w:rsidRPr="006F2F68" w:rsidRDefault="00E00F5F" w:rsidP="00B60EA8">
      <w:pPr>
        <w:rPr>
          <w:rFonts w:ascii="Times New Roman" w:hAnsi="Times New Roman" w:cs="Times New Roman"/>
          <w:sz w:val="22"/>
        </w:rPr>
      </w:pPr>
      <w:r w:rsidRPr="006F2F68">
        <w:rPr>
          <w:rFonts w:ascii="Times New Roman" w:hAnsi="Times New Roman" w:cs="Times New Roman"/>
          <w:sz w:val="22"/>
        </w:rPr>
        <w:t>Section 3 sets out the purpose of the Rule.</w:t>
      </w:r>
    </w:p>
    <w:p w14:paraId="4A9230E6" w14:textId="77777777" w:rsidR="00E00F5F" w:rsidRPr="006F2F68" w:rsidRDefault="00E00F5F" w:rsidP="00385379">
      <w:pPr>
        <w:pStyle w:val="ListParagraph"/>
        <w:keepNext/>
        <w:keepLines/>
        <w:numPr>
          <w:ilvl w:val="0"/>
          <w:numId w:val="16"/>
        </w:numPr>
        <w:tabs>
          <w:tab w:val="left" w:pos="567"/>
        </w:tabs>
        <w:spacing w:before="240" w:after="120"/>
        <w:contextualSpacing/>
        <w:outlineLvl w:val="2"/>
        <w:rPr>
          <w:rFonts w:ascii="Times New Roman" w:hAnsi="Times New Roman" w:cs="Times New Roman"/>
          <w:b/>
          <w:sz w:val="22"/>
        </w:rPr>
      </w:pPr>
      <w:r w:rsidRPr="006F2F68">
        <w:rPr>
          <w:rFonts w:ascii="Times New Roman" w:hAnsi="Times New Roman" w:cs="Times New Roman"/>
          <w:b/>
          <w:sz w:val="22"/>
        </w:rPr>
        <w:t>Definitions</w:t>
      </w:r>
    </w:p>
    <w:p w14:paraId="656AC942" w14:textId="77777777" w:rsidR="00E00F5F" w:rsidRPr="006F2F68" w:rsidRDefault="00E00F5F" w:rsidP="00B60EA8">
      <w:pPr>
        <w:rPr>
          <w:rFonts w:ascii="Times New Roman" w:hAnsi="Times New Roman" w:cs="Times New Roman"/>
          <w:sz w:val="22"/>
        </w:rPr>
      </w:pPr>
      <w:r w:rsidRPr="006F2F68">
        <w:rPr>
          <w:rFonts w:ascii="Times New Roman" w:hAnsi="Times New Roman" w:cs="Times New Roman"/>
          <w:sz w:val="22"/>
        </w:rPr>
        <w:t xml:space="preserve">Section 4 provides for the definitions of words and expressions used in the Rule, including a definition of ‘de-identified information’ and ‘aggregated </w:t>
      </w:r>
      <w:proofErr w:type="gramStart"/>
      <w:r w:rsidRPr="006F2F68">
        <w:rPr>
          <w:rFonts w:ascii="Times New Roman" w:hAnsi="Times New Roman" w:cs="Times New Roman"/>
          <w:sz w:val="22"/>
        </w:rPr>
        <w:t>results’</w:t>
      </w:r>
      <w:proofErr w:type="gramEnd"/>
      <w:r w:rsidRPr="006F2F68">
        <w:rPr>
          <w:rFonts w:ascii="Times New Roman" w:hAnsi="Times New Roman" w:cs="Times New Roman"/>
          <w:sz w:val="22"/>
        </w:rPr>
        <w:t>.</w:t>
      </w:r>
    </w:p>
    <w:p w14:paraId="4C43C943" w14:textId="58443989" w:rsidR="00992B07" w:rsidRPr="006F2F68" w:rsidRDefault="005934C8" w:rsidP="00992B07">
      <w:pPr>
        <w:rPr>
          <w:rFonts w:ascii="Times New Roman" w:hAnsi="Times New Roman" w:cs="Times New Roman"/>
          <w:sz w:val="22"/>
        </w:rPr>
      </w:pPr>
      <w:r w:rsidRPr="006F2F68">
        <w:rPr>
          <w:rFonts w:ascii="Times New Roman" w:hAnsi="Times New Roman" w:cs="Times New Roman"/>
          <w:sz w:val="22"/>
        </w:rPr>
        <w:t xml:space="preserve">Subsection 4(2) </w:t>
      </w:r>
      <w:r w:rsidR="00992B07" w:rsidRPr="006F2F68">
        <w:rPr>
          <w:rFonts w:ascii="Times New Roman" w:hAnsi="Times New Roman" w:cs="Times New Roman"/>
          <w:sz w:val="22"/>
        </w:rPr>
        <w:t>sets out the following definition</w:t>
      </w:r>
      <w:r w:rsidR="00C71DE6" w:rsidRPr="006F2F68">
        <w:rPr>
          <w:rFonts w:ascii="Times New Roman" w:hAnsi="Times New Roman" w:cs="Times New Roman"/>
          <w:sz w:val="22"/>
        </w:rPr>
        <w:t xml:space="preserve"> of </w:t>
      </w:r>
      <w:r w:rsidR="00DD49C2" w:rsidRPr="006F2F68">
        <w:rPr>
          <w:rFonts w:ascii="Times New Roman" w:hAnsi="Times New Roman" w:cs="Times New Roman"/>
          <w:sz w:val="22"/>
        </w:rPr>
        <w:t>de-identified information</w:t>
      </w:r>
      <w:r w:rsidR="00992B07" w:rsidRPr="006F2F68">
        <w:rPr>
          <w:rFonts w:ascii="Times New Roman" w:hAnsi="Times New Roman" w:cs="Times New Roman"/>
          <w:sz w:val="22"/>
        </w:rPr>
        <w:t>:</w:t>
      </w:r>
    </w:p>
    <w:p w14:paraId="5CE9AFE8" w14:textId="53226114" w:rsidR="00ED7E44" w:rsidRPr="00E22CDE" w:rsidRDefault="00ED7E44" w:rsidP="0031444B">
      <w:pPr>
        <w:pStyle w:val="Quote"/>
        <w:rPr>
          <w:rFonts w:ascii="Times New Roman" w:hAnsi="Times New Roman" w:cs="Times New Roman"/>
          <w:color w:val="auto"/>
          <w:sz w:val="22"/>
        </w:rPr>
      </w:pPr>
      <w:r w:rsidRPr="00E22CDE">
        <w:rPr>
          <w:rFonts w:ascii="Times New Roman" w:hAnsi="Times New Roman" w:cs="Times New Roman"/>
          <w:b/>
          <w:color w:val="auto"/>
          <w:sz w:val="22"/>
        </w:rPr>
        <w:t>De-identified information</w:t>
      </w:r>
      <w:r w:rsidRPr="00E22CDE">
        <w:rPr>
          <w:rFonts w:ascii="Times New Roman" w:hAnsi="Times New Roman" w:cs="Times New Roman"/>
          <w:color w:val="auto"/>
          <w:sz w:val="22"/>
        </w:rPr>
        <w:t xml:space="preserve"> means credit reporting information that is no longer about an identifiable individual or an individual who is reasonably identifiable</w:t>
      </w:r>
      <w:r w:rsidR="00284962" w:rsidRPr="00E22CDE">
        <w:rPr>
          <w:rFonts w:ascii="Times New Roman" w:hAnsi="Times New Roman" w:cs="Times New Roman"/>
          <w:color w:val="auto"/>
          <w:sz w:val="22"/>
        </w:rPr>
        <w:t>.</w:t>
      </w:r>
      <w:r w:rsidRPr="00E22CDE">
        <w:rPr>
          <w:rFonts w:ascii="Times New Roman" w:hAnsi="Times New Roman" w:cs="Times New Roman"/>
          <w:color w:val="auto"/>
          <w:sz w:val="22"/>
        </w:rPr>
        <w:t xml:space="preserve"> </w:t>
      </w:r>
    </w:p>
    <w:p w14:paraId="086A2245" w14:textId="11F80851" w:rsidR="00C7762F" w:rsidRPr="006F2F68" w:rsidRDefault="00A21798" w:rsidP="00A21798">
      <w:pPr>
        <w:rPr>
          <w:rFonts w:ascii="Times New Roman" w:hAnsi="Times New Roman" w:cs="Times New Roman"/>
          <w:sz w:val="22"/>
        </w:rPr>
      </w:pPr>
      <w:r w:rsidRPr="006F2F68">
        <w:rPr>
          <w:rFonts w:ascii="Times New Roman" w:hAnsi="Times New Roman" w:cs="Times New Roman"/>
          <w:sz w:val="22"/>
        </w:rPr>
        <w:t>Th</w:t>
      </w:r>
      <w:r w:rsidR="0080758A" w:rsidRPr="006F2F68">
        <w:rPr>
          <w:rFonts w:ascii="Times New Roman" w:hAnsi="Times New Roman" w:cs="Times New Roman"/>
          <w:sz w:val="22"/>
        </w:rPr>
        <w:t>is</w:t>
      </w:r>
      <w:r w:rsidRPr="006F2F68">
        <w:rPr>
          <w:rFonts w:ascii="Times New Roman" w:hAnsi="Times New Roman" w:cs="Times New Roman"/>
          <w:sz w:val="22"/>
        </w:rPr>
        <w:t xml:space="preserve"> definition </w:t>
      </w:r>
      <w:r w:rsidR="00096968" w:rsidRPr="006F2F68">
        <w:rPr>
          <w:rFonts w:ascii="Times New Roman" w:hAnsi="Times New Roman" w:cs="Times New Roman"/>
          <w:sz w:val="22"/>
        </w:rPr>
        <w:t xml:space="preserve">is consistent with the definition </w:t>
      </w:r>
      <w:r w:rsidR="004E75F9" w:rsidRPr="006F2F68">
        <w:rPr>
          <w:rFonts w:ascii="Times New Roman" w:hAnsi="Times New Roman" w:cs="Times New Roman"/>
          <w:sz w:val="22"/>
        </w:rPr>
        <w:t xml:space="preserve">of </w:t>
      </w:r>
      <w:r w:rsidR="00C7762F" w:rsidRPr="006F2F68">
        <w:rPr>
          <w:rFonts w:ascii="Times New Roman" w:hAnsi="Times New Roman" w:cs="Times New Roman"/>
          <w:sz w:val="22"/>
        </w:rPr>
        <w:t>‘</w:t>
      </w:r>
      <w:r w:rsidR="004E75F9" w:rsidRPr="006F2F68">
        <w:rPr>
          <w:rFonts w:ascii="Times New Roman" w:hAnsi="Times New Roman" w:cs="Times New Roman"/>
          <w:sz w:val="22"/>
        </w:rPr>
        <w:t>de-identified</w:t>
      </w:r>
      <w:r w:rsidR="00C7762F" w:rsidRPr="006F2F68">
        <w:rPr>
          <w:rFonts w:ascii="Times New Roman" w:hAnsi="Times New Roman" w:cs="Times New Roman"/>
          <w:sz w:val="22"/>
        </w:rPr>
        <w:t>’</w:t>
      </w:r>
      <w:r w:rsidR="004E75F9" w:rsidRPr="006F2F68">
        <w:rPr>
          <w:rFonts w:ascii="Times New Roman" w:hAnsi="Times New Roman" w:cs="Times New Roman"/>
          <w:sz w:val="22"/>
        </w:rPr>
        <w:t xml:space="preserve"> </w:t>
      </w:r>
      <w:r w:rsidR="00096968" w:rsidRPr="006F2F68">
        <w:rPr>
          <w:rFonts w:ascii="Times New Roman" w:hAnsi="Times New Roman" w:cs="Times New Roman"/>
          <w:sz w:val="22"/>
        </w:rPr>
        <w:t>contained in</w:t>
      </w:r>
      <w:r w:rsidR="00C7762F" w:rsidRPr="006F2F68">
        <w:rPr>
          <w:rFonts w:ascii="Times New Roman" w:hAnsi="Times New Roman" w:cs="Times New Roman"/>
          <w:sz w:val="22"/>
        </w:rPr>
        <w:t xml:space="preserve"> s 6(1) of</w:t>
      </w:r>
      <w:r w:rsidR="00096968" w:rsidRPr="006F2F68">
        <w:rPr>
          <w:rFonts w:ascii="Times New Roman" w:hAnsi="Times New Roman" w:cs="Times New Roman"/>
          <w:sz w:val="22"/>
        </w:rPr>
        <w:t xml:space="preserve"> the Privacy Act</w:t>
      </w:r>
      <w:r w:rsidR="00284962" w:rsidRPr="006F2F68">
        <w:rPr>
          <w:rFonts w:ascii="Times New Roman" w:hAnsi="Times New Roman" w:cs="Times New Roman"/>
          <w:sz w:val="22"/>
        </w:rPr>
        <w:t xml:space="preserve"> set out below</w:t>
      </w:r>
      <w:r w:rsidR="004E75F9" w:rsidRPr="006F2F68">
        <w:rPr>
          <w:rFonts w:ascii="Times New Roman" w:hAnsi="Times New Roman" w:cs="Times New Roman"/>
          <w:sz w:val="22"/>
        </w:rPr>
        <w:t xml:space="preserve">. </w:t>
      </w:r>
    </w:p>
    <w:p w14:paraId="5BADE826" w14:textId="7539F444" w:rsidR="00A21798" w:rsidRPr="00E22CDE" w:rsidRDefault="00F50523" w:rsidP="00795126">
      <w:pPr>
        <w:pStyle w:val="Quote"/>
        <w:rPr>
          <w:rFonts w:ascii="Times New Roman" w:hAnsi="Times New Roman" w:cs="Times New Roman"/>
          <w:color w:val="auto"/>
          <w:sz w:val="22"/>
        </w:rPr>
      </w:pPr>
      <w:r w:rsidRPr="00E22CDE">
        <w:rPr>
          <w:rFonts w:ascii="Times New Roman" w:hAnsi="Times New Roman" w:cs="Times New Roman"/>
          <w:b/>
          <w:bCs/>
          <w:color w:val="auto"/>
          <w:sz w:val="22"/>
        </w:rPr>
        <w:t>D</w:t>
      </w:r>
      <w:r w:rsidR="00C7762F" w:rsidRPr="00E22CDE">
        <w:rPr>
          <w:rFonts w:ascii="Times New Roman" w:hAnsi="Times New Roman" w:cs="Times New Roman"/>
          <w:b/>
          <w:bCs/>
          <w:color w:val="auto"/>
          <w:sz w:val="22"/>
        </w:rPr>
        <w:t>e‑identified</w:t>
      </w:r>
      <w:r w:rsidR="00C7762F" w:rsidRPr="00E22CDE">
        <w:rPr>
          <w:rFonts w:ascii="Times New Roman" w:hAnsi="Times New Roman" w:cs="Times New Roman"/>
          <w:color w:val="auto"/>
          <w:sz w:val="22"/>
        </w:rPr>
        <w:t>: personal information is de‑identified if the information is no longer about an identifiable individual or an individual who is reasonably identifiable.</w:t>
      </w:r>
    </w:p>
    <w:p w14:paraId="4CB7E3C9" w14:textId="4B5CD56E" w:rsidR="00E00F5F" w:rsidRPr="006F2F68" w:rsidRDefault="00E00F5F" w:rsidP="00B60EA8">
      <w:pPr>
        <w:rPr>
          <w:rFonts w:ascii="Times New Roman" w:hAnsi="Times New Roman" w:cs="Times New Roman"/>
          <w:sz w:val="22"/>
        </w:rPr>
      </w:pPr>
      <w:proofErr w:type="gramStart"/>
      <w:r w:rsidRPr="006F2F68">
        <w:rPr>
          <w:rFonts w:ascii="Times New Roman" w:hAnsi="Times New Roman" w:cs="Times New Roman"/>
          <w:sz w:val="22"/>
        </w:rPr>
        <w:t>The majority of</w:t>
      </w:r>
      <w:proofErr w:type="gramEnd"/>
      <w:r w:rsidRPr="006F2F68">
        <w:rPr>
          <w:rFonts w:ascii="Times New Roman" w:hAnsi="Times New Roman" w:cs="Times New Roman"/>
          <w:sz w:val="22"/>
        </w:rPr>
        <w:t xml:space="preserve"> definitions of words and expressions used in the Rule are the same as defined in </w:t>
      </w:r>
      <w:r w:rsidR="00CA047F" w:rsidRPr="006F2F68">
        <w:rPr>
          <w:rFonts w:ascii="Times New Roman" w:hAnsi="Times New Roman" w:cs="Times New Roman"/>
          <w:sz w:val="22"/>
        </w:rPr>
        <w:t xml:space="preserve">s </w:t>
      </w:r>
      <w:r w:rsidRPr="006F2F68">
        <w:rPr>
          <w:rFonts w:ascii="Times New Roman" w:hAnsi="Times New Roman" w:cs="Times New Roman"/>
          <w:sz w:val="22"/>
        </w:rPr>
        <w:t>6(1) of the Privacy Act, in particular: Australian law; Australian link; Commissioner; court/tribunal order; credit; credit reporting body; credit reporting information; entity; personal information.</w:t>
      </w:r>
    </w:p>
    <w:p w14:paraId="73F3168F" w14:textId="7CFB4798" w:rsidR="0094489E" w:rsidRPr="00A86572" w:rsidRDefault="00C140E7" w:rsidP="00385379">
      <w:pPr>
        <w:pStyle w:val="ListParagraph"/>
        <w:keepNext/>
        <w:keepLines/>
        <w:numPr>
          <w:ilvl w:val="0"/>
          <w:numId w:val="16"/>
        </w:numPr>
        <w:tabs>
          <w:tab w:val="left" w:pos="567"/>
        </w:tabs>
        <w:spacing w:before="240" w:after="120"/>
        <w:contextualSpacing/>
        <w:outlineLvl w:val="2"/>
        <w:rPr>
          <w:rFonts w:ascii="Times New Roman" w:hAnsi="Times New Roman" w:cs="Times New Roman"/>
          <w:b/>
          <w:sz w:val="22"/>
        </w:rPr>
      </w:pPr>
      <w:r>
        <w:rPr>
          <w:rFonts w:ascii="Times New Roman" w:hAnsi="Times New Roman" w:cs="Times New Roman"/>
          <w:b/>
          <w:sz w:val="22"/>
        </w:rPr>
        <w:t>Schedules</w:t>
      </w:r>
    </w:p>
    <w:p w14:paraId="67EC54FD" w14:textId="01F318FF" w:rsidR="00C140E7" w:rsidRPr="00A86572" w:rsidRDefault="00C140E7" w:rsidP="00A86572">
      <w:pPr>
        <w:keepNext/>
        <w:keepLines/>
        <w:tabs>
          <w:tab w:val="left" w:pos="567"/>
        </w:tabs>
        <w:spacing w:before="240" w:after="120"/>
        <w:contextualSpacing/>
        <w:outlineLvl w:val="2"/>
        <w:rPr>
          <w:rFonts w:ascii="Times New Roman" w:hAnsi="Times New Roman" w:cs="Times New Roman"/>
          <w:bCs/>
          <w:sz w:val="22"/>
        </w:rPr>
      </w:pPr>
      <w:r w:rsidRPr="00A86572">
        <w:rPr>
          <w:rFonts w:ascii="Times New Roman" w:hAnsi="Times New Roman" w:cs="Times New Roman"/>
          <w:bCs/>
          <w:sz w:val="22"/>
        </w:rPr>
        <w:t xml:space="preserve">Section 5 </w:t>
      </w:r>
      <w:r w:rsidR="000157E3">
        <w:rPr>
          <w:rFonts w:ascii="Times New Roman" w:hAnsi="Times New Roman" w:cs="Times New Roman"/>
          <w:bCs/>
          <w:sz w:val="22"/>
        </w:rPr>
        <w:t xml:space="preserve">provides for the inclusion of Schedules to </w:t>
      </w:r>
      <w:r w:rsidR="00B5679E">
        <w:rPr>
          <w:rFonts w:ascii="Times New Roman" w:hAnsi="Times New Roman" w:cs="Times New Roman"/>
          <w:bCs/>
          <w:sz w:val="22"/>
        </w:rPr>
        <w:t>amend or repeal any instruments as required.</w:t>
      </w:r>
    </w:p>
    <w:p w14:paraId="45AA64B2" w14:textId="373B2B26" w:rsidR="00E00F5F" w:rsidRPr="006F2F68" w:rsidRDefault="00E00F5F" w:rsidP="00385379">
      <w:pPr>
        <w:pStyle w:val="ListParagraph"/>
        <w:keepNext/>
        <w:keepLines/>
        <w:numPr>
          <w:ilvl w:val="0"/>
          <w:numId w:val="16"/>
        </w:numPr>
        <w:tabs>
          <w:tab w:val="left" w:pos="567"/>
        </w:tabs>
        <w:spacing w:before="240" w:after="120"/>
        <w:contextualSpacing/>
        <w:outlineLvl w:val="2"/>
        <w:rPr>
          <w:rFonts w:ascii="Times New Roman" w:hAnsi="Times New Roman" w:cs="Times New Roman"/>
          <w:b/>
          <w:sz w:val="22"/>
        </w:rPr>
      </w:pPr>
      <w:r w:rsidRPr="006F2F68">
        <w:rPr>
          <w:rFonts w:ascii="Times New Roman" w:hAnsi="Times New Roman" w:cs="Times New Roman"/>
          <w:b/>
          <w:sz w:val="22"/>
        </w:rPr>
        <w:t>Conducting research in relation to credit</w:t>
      </w:r>
    </w:p>
    <w:p w14:paraId="1727B625" w14:textId="1B5CBF5E" w:rsidR="00DE696F" w:rsidRPr="006F2F68" w:rsidRDefault="00DE696F" w:rsidP="00DE696F">
      <w:pPr>
        <w:rPr>
          <w:rFonts w:ascii="Times New Roman" w:hAnsi="Times New Roman" w:cs="Times New Roman"/>
          <w:sz w:val="22"/>
        </w:rPr>
      </w:pPr>
      <w:r w:rsidRPr="006F2F68">
        <w:rPr>
          <w:rFonts w:ascii="Times New Roman" w:hAnsi="Times New Roman" w:cs="Times New Roman"/>
          <w:sz w:val="22"/>
        </w:rPr>
        <w:t xml:space="preserve">Section </w:t>
      </w:r>
      <w:r w:rsidR="00B5679E">
        <w:rPr>
          <w:rFonts w:ascii="Times New Roman" w:hAnsi="Times New Roman" w:cs="Times New Roman"/>
          <w:sz w:val="22"/>
        </w:rPr>
        <w:t>6</w:t>
      </w:r>
      <w:r w:rsidRPr="006F2F68">
        <w:rPr>
          <w:rFonts w:ascii="Times New Roman" w:hAnsi="Times New Roman" w:cs="Times New Roman"/>
          <w:sz w:val="22"/>
        </w:rPr>
        <w:t xml:space="preserve"> sets out the conditions under which a </w:t>
      </w:r>
      <w:r w:rsidR="00920D8A" w:rsidRPr="006F2F68">
        <w:rPr>
          <w:rFonts w:ascii="Times New Roman" w:hAnsi="Times New Roman" w:cs="Times New Roman"/>
          <w:sz w:val="22"/>
        </w:rPr>
        <w:t>CRB</w:t>
      </w:r>
      <w:r w:rsidRPr="006F2F68">
        <w:rPr>
          <w:rFonts w:ascii="Times New Roman" w:hAnsi="Times New Roman" w:cs="Times New Roman"/>
          <w:sz w:val="22"/>
        </w:rPr>
        <w:t xml:space="preserve"> may use or disclose credit reporting information to conduct research in relation to credit. </w:t>
      </w:r>
    </w:p>
    <w:p w14:paraId="69836562" w14:textId="50264580" w:rsidR="00DE696F" w:rsidRPr="006F2F68" w:rsidRDefault="0063206F" w:rsidP="00DE696F">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6</w:t>
      </w:r>
      <w:r w:rsidR="00DE696F" w:rsidRPr="006F2F68">
        <w:rPr>
          <w:rFonts w:ascii="Times New Roman" w:hAnsi="Times New Roman" w:cs="Times New Roman"/>
          <w:sz w:val="22"/>
        </w:rPr>
        <w:t>(a) requires that the credit reporting information be de-identified.</w:t>
      </w:r>
    </w:p>
    <w:p w14:paraId="70D5466D" w14:textId="67451CDC" w:rsidR="00DE696F" w:rsidRPr="006F2F68" w:rsidRDefault="0063206F" w:rsidP="00DE696F">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6</w:t>
      </w:r>
      <w:r w:rsidR="00DE696F" w:rsidRPr="006F2F68">
        <w:rPr>
          <w:rFonts w:ascii="Times New Roman" w:hAnsi="Times New Roman" w:cs="Times New Roman"/>
          <w:sz w:val="22"/>
        </w:rPr>
        <w:t xml:space="preserve">(b) requires that the use and/or disclosure of the credit reporting information is for the purpose of the </w:t>
      </w:r>
      <w:r w:rsidR="008C0616" w:rsidRPr="006F2F68">
        <w:rPr>
          <w:rFonts w:ascii="Times New Roman" w:hAnsi="Times New Roman" w:cs="Times New Roman"/>
          <w:sz w:val="22"/>
        </w:rPr>
        <w:t xml:space="preserve">CRB </w:t>
      </w:r>
      <w:r w:rsidR="00DE696F" w:rsidRPr="006F2F68">
        <w:rPr>
          <w:rFonts w:ascii="Times New Roman" w:hAnsi="Times New Roman" w:cs="Times New Roman"/>
          <w:sz w:val="22"/>
        </w:rPr>
        <w:t>conducting research in relation to credit.</w:t>
      </w:r>
      <w:r w:rsidR="00F82F28" w:rsidRPr="006F2F68">
        <w:rPr>
          <w:rFonts w:ascii="Times New Roman" w:hAnsi="Times New Roman" w:cs="Times New Roman"/>
          <w:sz w:val="22"/>
        </w:rPr>
        <w:t xml:space="preserve"> </w:t>
      </w:r>
    </w:p>
    <w:p w14:paraId="3AC204DF" w14:textId="61710A33" w:rsidR="00F82F28" w:rsidRPr="006F2F68" w:rsidRDefault="00967242" w:rsidP="00DE696F">
      <w:pPr>
        <w:rPr>
          <w:rFonts w:ascii="Times New Roman" w:hAnsi="Times New Roman" w:cs="Times New Roman"/>
          <w:sz w:val="22"/>
        </w:rPr>
      </w:pPr>
      <w:r w:rsidRPr="006F2F68">
        <w:rPr>
          <w:rFonts w:ascii="Times New Roman" w:hAnsi="Times New Roman" w:cs="Times New Roman"/>
          <w:sz w:val="22"/>
        </w:rPr>
        <w:t xml:space="preserve">In </w:t>
      </w:r>
      <w:r w:rsidR="00DB440D" w:rsidRPr="006F2F68">
        <w:rPr>
          <w:rFonts w:ascii="Times New Roman" w:hAnsi="Times New Roman" w:cs="Times New Roman"/>
          <w:sz w:val="22"/>
        </w:rPr>
        <w:t>subsection</w:t>
      </w:r>
      <w:r w:rsidRPr="006F2F68">
        <w:rPr>
          <w:rFonts w:ascii="Times New Roman" w:hAnsi="Times New Roman" w:cs="Times New Roman"/>
          <w:sz w:val="22"/>
        </w:rPr>
        <w:t xml:space="preserve"> </w:t>
      </w:r>
      <w:r w:rsidR="00B5679E">
        <w:rPr>
          <w:rFonts w:ascii="Times New Roman" w:hAnsi="Times New Roman" w:cs="Times New Roman"/>
          <w:sz w:val="22"/>
        </w:rPr>
        <w:t>6</w:t>
      </w:r>
      <w:r w:rsidRPr="006F2F68">
        <w:rPr>
          <w:rFonts w:ascii="Times New Roman" w:hAnsi="Times New Roman" w:cs="Times New Roman"/>
          <w:sz w:val="22"/>
        </w:rPr>
        <w:t>(b), the</w:t>
      </w:r>
      <w:r w:rsidR="00606169" w:rsidRPr="006F2F68">
        <w:rPr>
          <w:rFonts w:ascii="Times New Roman" w:hAnsi="Times New Roman" w:cs="Times New Roman"/>
          <w:sz w:val="22"/>
        </w:rPr>
        <w:t xml:space="preserve"> ‘purpose of conducting research in relation to credit’ should be </w:t>
      </w:r>
      <w:r w:rsidR="00CD709B" w:rsidRPr="006F2F68">
        <w:rPr>
          <w:rFonts w:ascii="Times New Roman" w:hAnsi="Times New Roman" w:cs="Times New Roman"/>
          <w:sz w:val="22"/>
        </w:rPr>
        <w:t xml:space="preserve">given its ordinary meaning and </w:t>
      </w:r>
      <w:r w:rsidR="00606169" w:rsidRPr="006F2F68">
        <w:rPr>
          <w:rFonts w:ascii="Times New Roman" w:hAnsi="Times New Roman" w:cs="Times New Roman"/>
          <w:sz w:val="22"/>
        </w:rPr>
        <w:t>interpreted broadly</w:t>
      </w:r>
      <w:r w:rsidR="00784544" w:rsidRPr="006F2F68">
        <w:rPr>
          <w:rFonts w:ascii="Times New Roman" w:hAnsi="Times New Roman" w:cs="Times New Roman"/>
          <w:sz w:val="22"/>
        </w:rPr>
        <w:t xml:space="preserve"> to capture</w:t>
      </w:r>
      <w:r w:rsidR="0059787A" w:rsidRPr="006F2F68">
        <w:rPr>
          <w:rFonts w:ascii="Times New Roman" w:hAnsi="Times New Roman" w:cs="Times New Roman"/>
          <w:sz w:val="22"/>
        </w:rPr>
        <w:t xml:space="preserve"> </w:t>
      </w:r>
      <w:r w:rsidR="00346D4D" w:rsidRPr="006F2F68">
        <w:rPr>
          <w:rFonts w:ascii="Times New Roman" w:hAnsi="Times New Roman" w:cs="Times New Roman"/>
          <w:sz w:val="22"/>
        </w:rPr>
        <w:t xml:space="preserve">all </w:t>
      </w:r>
      <w:r w:rsidR="00894004" w:rsidRPr="006F2F68">
        <w:rPr>
          <w:rFonts w:ascii="Times New Roman" w:hAnsi="Times New Roman" w:cs="Times New Roman"/>
          <w:sz w:val="22"/>
        </w:rPr>
        <w:t xml:space="preserve">purposes </w:t>
      </w:r>
      <w:r w:rsidR="00FF2F78" w:rsidRPr="006F2F68">
        <w:rPr>
          <w:rFonts w:ascii="Times New Roman" w:hAnsi="Times New Roman" w:cs="Times New Roman"/>
          <w:sz w:val="22"/>
        </w:rPr>
        <w:t xml:space="preserve">that relate </w:t>
      </w:r>
      <w:r w:rsidR="00894004" w:rsidRPr="006F2F68">
        <w:rPr>
          <w:rFonts w:ascii="Times New Roman" w:hAnsi="Times New Roman" w:cs="Times New Roman"/>
          <w:sz w:val="22"/>
        </w:rPr>
        <w:t>to the credit worthiness of individuals</w:t>
      </w:r>
      <w:r w:rsidR="00606169" w:rsidRPr="006F2F68">
        <w:rPr>
          <w:rFonts w:ascii="Times New Roman" w:hAnsi="Times New Roman" w:cs="Times New Roman"/>
          <w:sz w:val="22"/>
        </w:rPr>
        <w:t xml:space="preserve">. </w:t>
      </w:r>
    </w:p>
    <w:p w14:paraId="2895582F" w14:textId="48A11E0B" w:rsidR="00452476" w:rsidRPr="006F2F68" w:rsidRDefault="00DB440D" w:rsidP="00DE696F">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6</w:t>
      </w:r>
      <w:r w:rsidR="00DE696F" w:rsidRPr="006F2F68">
        <w:rPr>
          <w:rFonts w:ascii="Times New Roman" w:hAnsi="Times New Roman" w:cs="Times New Roman"/>
          <w:sz w:val="22"/>
        </w:rPr>
        <w:t>(c) requires that the purpose for conducting the research in relation to credit be a permitted purpose as described in Section 6 of this Rule.</w:t>
      </w:r>
    </w:p>
    <w:p w14:paraId="46510290" w14:textId="77777777" w:rsidR="00E00F5F" w:rsidRPr="006F2F68" w:rsidRDefault="00E00F5F" w:rsidP="00385379">
      <w:pPr>
        <w:pStyle w:val="ListParagraph"/>
        <w:keepNext/>
        <w:keepLines/>
        <w:numPr>
          <w:ilvl w:val="0"/>
          <w:numId w:val="16"/>
        </w:numPr>
        <w:tabs>
          <w:tab w:val="left" w:pos="567"/>
        </w:tabs>
        <w:spacing w:before="240" w:after="120"/>
        <w:contextualSpacing/>
        <w:outlineLvl w:val="2"/>
        <w:rPr>
          <w:rFonts w:ascii="Times New Roman" w:hAnsi="Times New Roman" w:cs="Times New Roman"/>
          <w:b/>
          <w:sz w:val="22"/>
        </w:rPr>
      </w:pPr>
      <w:r w:rsidRPr="006F2F68">
        <w:rPr>
          <w:rFonts w:ascii="Times New Roman" w:hAnsi="Times New Roman" w:cs="Times New Roman"/>
          <w:b/>
          <w:sz w:val="22"/>
        </w:rPr>
        <w:lastRenderedPageBreak/>
        <w:t xml:space="preserve">Permitted purposes of conducting research </w:t>
      </w:r>
    </w:p>
    <w:p w14:paraId="3A170300" w14:textId="680A6BD4" w:rsidR="00D77981" w:rsidRPr="006F2F68" w:rsidRDefault="00D77981" w:rsidP="00D77981">
      <w:pPr>
        <w:rPr>
          <w:rFonts w:ascii="Times New Roman" w:hAnsi="Times New Roman" w:cs="Times New Roman"/>
          <w:sz w:val="22"/>
        </w:rPr>
      </w:pPr>
      <w:r w:rsidRPr="006F2F68">
        <w:rPr>
          <w:rFonts w:ascii="Times New Roman" w:hAnsi="Times New Roman" w:cs="Times New Roman"/>
          <w:sz w:val="22"/>
        </w:rPr>
        <w:t xml:space="preserve">Section </w:t>
      </w:r>
      <w:r w:rsidR="00B5679E">
        <w:rPr>
          <w:rFonts w:ascii="Times New Roman" w:hAnsi="Times New Roman" w:cs="Times New Roman"/>
          <w:sz w:val="22"/>
        </w:rPr>
        <w:t>7</w:t>
      </w:r>
      <w:r w:rsidRPr="006F2F68">
        <w:rPr>
          <w:rFonts w:ascii="Times New Roman" w:hAnsi="Times New Roman" w:cs="Times New Roman"/>
          <w:sz w:val="22"/>
        </w:rPr>
        <w:t xml:space="preserve"> sets out a list of permitted purposes under which a </w:t>
      </w:r>
      <w:r w:rsidR="008C0616" w:rsidRPr="006F2F68">
        <w:rPr>
          <w:rFonts w:ascii="Times New Roman" w:hAnsi="Times New Roman" w:cs="Times New Roman"/>
          <w:sz w:val="22"/>
        </w:rPr>
        <w:t>CRB</w:t>
      </w:r>
      <w:r w:rsidRPr="006F2F68">
        <w:rPr>
          <w:rFonts w:ascii="Times New Roman" w:hAnsi="Times New Roman" w:cs="Times New Roman"/>
          <w:sz w:val="22"/>
        </w:rPr>
        <w:t xml:space="preserve"> may use or disclose de-identified information for the purposes of conducting research in relation to credit.</w:t>
      </w:r>
    </w:p>
    <w:p w14:paraId="3051BEA2" w14:textId="72D78A11" w:rsidR="00202F44" w:rsidRPr="006F2F68" w:rsidRDefault="00202F44" w:rsidP="00D77981">
      <w:pPr>
        <w:rPr>
          <w:rFonts w:ascii="Times New Roman" w:hAnsi="Times New Roman" w:cs="Times New Roman"/>
          <w:sz w:val="22"/>
        </w:rPr>
      </w:pPr>
      <w:r w:rsidRPr="006F2F68">
        <w:rPr>
          <w:rFonts w:ascii="Times New Roman" w:hAnsi="Times New Roman" w:cs="Times New Roman"/>
          <w:sz w:val="22"/>
        </w:rPr>
        <w:t xml:space="preserve">In general, the permitted purposes </w:t>
      </w:r>
      <w:r w:rsidR="00063AA3" w:rsidRPr="006F2F68">
        <w:rPr>
          <w:rFonts w:ascii="Times New Roman" w:hAnsi="Times New Roman" w:cs="Times New Roman"/>
          <w:sz w:val="22"/>
        </w:rPr>
        <w:t xml:space="preserve">under </w:t>
      </w:r>
      <w:r w:rsidR="00DB440D" w:rsidRPr="006F2F68">
        <w:rPr>
          <w:rFonts w:ascii="Times New Roman" w:hAnsi="Times New Roman" w:cs="Times New Roman"/>
          <w:sz w:val="22"/>
        </w:rPr>
        <w:t>section</w:t>
      </w:r>
      <w:r w:rsidR="00063AA3" w:rsidRPr="006F2F68">
        <w:rPr>
          <w:rFonts w:ascii="Times New Roman" w:hAnsi="Times New Roman" w:cs="Times New Roman"/>
          <w:sz w:val="22"/>
        </w:rPr>
        <w:t xml:space="preserve"> </w:t>
      </w:r>
      <w:r w:rsidR="00B5679E">
        <w:rPr>
          <w:rFonts w:ascii="Times New Roman" w:hAnsi="Times New Roman" w:cs="Times New Roman"/>
          <w:sz w:val="22"/>
        </w:rPr>
        <w:t>7</w:t>
      </w:r>
      <w:r w:rsidR="00063AA3" w:rsidRPr="006F2F68">
        <w:rPr>
          <w:rFonts w:ascii="Times New Roman" w:hAnsi="Times New Roman" w:cs="Times New Roman"/>
          <w:sz w:val="22"/>
        </w:rPr>
        <w:t xml:space="preserve"> </w:t>
      </w:r>
      <w:r w:rsidRPr="006F2F68">
        <w:rPr>
          <w:rFonts w:ascii="Times New Roman" w:hAnsi="Times New Roman" w:cs="Times New Roman"/>
          <w:sz w:val="22"/>
        </w:rPr>
        <w:t xml:space="preserve">are defined at a </w:t>
      </w:r>
      <w:r w:rsidR="00063AA3" w:rsidRPr="006F2F68">
        <w:rPr>
          <w:rFonts w:ascii="Times New Roman" w:hAnsi="Times New Roman" w:cs="Times New Roman"/>
          <w:sz w:val="22"/>
        </w:rPr>
        <w:t xml:space="preserve">broad level to </w:t>
      </w:r>
      <w:r w:rsidR="00947F75" w:rsidRPr="006F2F68">
        <w:rPr>
          <w:rFonts w:ascii="Times New Roman" w:hAnsi="Times New Roman" w:cs="Times New Roman"/>
          <w:sz w:val="22"/>
        </w:rPr>
        <w:t xml:space="preserve">allow sufficient flexibility for CRBs to conduct necessary research </w:t>
      </w:r>
      <w:r w:rsidR="003821AF" w:rsidRPr="006F2F68">
        <w:rPr>
          <w:rFonts w:ascii="Times New Roman" w:hAnsi="Times New Roman" w:cs="Times New Roman"/>
          <w:sz w:val="22"/>
        </w:rPr>
        <w:t xml:space="preserve">where this is </w:t>
      </w:r>
      <w:r w:rsidR="00904DC3" w:rsidRPr="006F2F68">
        <w:rPr>
          <w:rFonts w:ascii="Times New Roman" w:hAnsi="Times New Roman" w:cs="Times New Roman"/>
          <w:sz w:val="22"/>
        </w:rPr>
        <w:t xml:space="preserve">for the general benefit of the public and in the public interest, </w:t>
      </w:r>
      <w:r w:rsidR="00947F75" w:rsidRPr="006F2F68">
        <w:rPr>
          <w:rFonts w:ascii="Times New Roman" w:hAnsi="Times New Roman" w:cs="Times New Roman"/>
          <w:sz w:val="22"/>
        </w:rPr>
        <w:t xml:space="preserve">while also ensuring privacy </w:t>
      </w:r>
      <w:r w:rsidR="006C680D" w:rsidRPr="006F2F68">
        <w:rPr>
          <w:rFonts w:ascii="Times New Roman" w:hAnsi="Times New Roman" w:cs="Times New Roman"/>
          <w:sz w:val="22"/>
        </w:rPr>
        <w:t xml:space="preserve">is protected. </w:t>
      </w:r>
    </w:p>
    <w:p w14:paraId="1FDAD9EA" w14:textId="51D89726" w:rsidR="00D77981" w:rsidRPr="006F2F68" w:rsidRDefault="00DB440D"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7</w:t>
      </w:r>
      <w:r w:rsidR="00D77981" w:rsidRPr="006F2F68">
        <w:rPr>
          <w:rFonts w:ascii="Times New Roman" w:hAnsi="Times New Roman" w:cs="Times New Roman"/>
          <w:sz w:val="22"/>
        </w:rPr>
        <w:t xml:space="preserve">(a) allows research in relation to credit to assess and manage current, and the development of new, credit services. </w:t>
      </w:r>
    </w:p>
    <w:p w14:paraId="29E6A15A" w14:textId="7D2B7913" w:rsidR="00D77981" w:rsidRPr="006F2F68" w:rsidRDefault="00DB440D"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7</w:t>
      </w:r>
      <w:r w:rsidR="00D77981" w:rsidRPr="006F2F68">
        <w:rPr>
          <w:rFonts w:ascii="Times New Roman" w:hAnsi="Times New Roman" w:cs="Times New Roman"/>
          <w:sz w:val="22"/>
        </w:rPr>
        <w:t xml:space="preserve">(b) allows research in relation to credit to develop methodologies to combat fraud, anti-money laundering, counter terrorism financing and other unlawful activity involving credit. </w:t>
      </w:r>
    </w:p>
    <w:p w14:paraId="0FC8CE25" w14:textId="07D0B9CE" w:rsidR="00D77981" w:rsidRPr="006F2F68" w:rsidRDefault="00DB440D"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7</w:t>
      </w:r>
      <w:r w:rsidR="00D77981" w:rsidRPr="006F2F68">
        <w:rPr>
          <w:rFonts w:ascii="Times New Roman" w:hAnsi="Times New Roman" w:cs="Times New Roman"/>
          <w:sz w:val="22"/>
        </w:rPr>
        <w:t>(c) allows research in relation to credit to assist in the implementation of responsible lending obligations and other consumer protections.</w:t>
      </w:r>
    </w:p>
    <w:p w14:paraId="69522A5D" w14:textId="6D74B686" w:rsidR="00DE696F" w:rsidRPr="006F2F68" w:rsidRDefault="00DB440D"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7</w:t>
      </w:r>
      <w:r w:rsidR="00D77981" w:rsidRPr="006F2F68">
        <w:rPr>
          <w:rFonts w:ascii="Times New Roman" w:hAnsi="Times New Roman" w:cs="Times New Roman"/>
          <w:sz w:val="22"/>
        </w:rPr>
        <w:t xml:space="preserve">(d) allows research in relation to credit for any other purpose for the general benefit of the public.    </w:t>
      </w:r>
    </w:p>
    <w:p w14:paraId="398E0F72" w14:textId="318B36B4" w:rsidR="006331C7" w:rsidRPr="006F2F68" w:rsidRDefault="006331C7" w:rsidP="006331C7">
      <w:pPr>
        <w:rPr>
          <w:rFonts w:ascii="Times New Roman" w:hAnsi="Times New Roman" w:cs="Times New Roman"/>
          <w:sz w:val="22"/>
        </w:rPr>
      </w:pPr>
      <w:r w:rsidRPr="006F2F68">
        <w:rPr>
          <w:rFonts w:ascii="Times New Roman" w:hAnsi="Times New Roman" w:cs="Times New Roman"/>
          <w:sz w:val="22"/>
        </w:rPr>
        <w:t xml:space="preserve">In </w:t>
      </w:r>
      <w:r w:rsidR="00DB440D" w:rsidRPr="006F2F68">
        <w:rPr>
          <w:rFonts w:ascii="Times New Roman" w:hAnsi="Times New Roman" w:cs="Times New Roman"/>
          <w:sz w:val="22"/>
        </w:rPr>
        <w:t>subsection</w:t>
      </w:r>
      <w:r w:rsidRPr="006F2F68">
        <w:rPr>
          <w:rFonts w:ascii="Times New Roman" w:hAnsi="Times New Roman" w:cs="Times New Roman"/>
          <w:sz w:val="22"/>
        </w:rPr>
        <w:t xml:space="preserve"> </w:t>
      </w:r>
      <w:r w:rsidR="00B5679E">
        <w:rPr>
          <w:rFonts w:ascii="Times New Roman" w:hAnsi="Times New Roman" w:cs="Times New Roman"/>
          <w:sz w:val="22"/>
        </w:rPr>
        <w:t>7</w:t>
      </w:r>
      <w:r w:rsidRPr="006F2F68">
        <w:rPr>
          <w:rFonts w:ascii="Times New Roman" w:hAnsi="Times New Roman" w:cs="Times New Roman"/>
          <w:sz w:val="22"/>
        </w:rPr>
        <w:t xml:space="preserve">(d), </w:t>
      </w:r>
      <w:r w:rsidR="00956347" w:rsidRPr="006F2F68">
        <w:rPr>
          <w:rFonts w:ascii="Times New Roman" w:hAnsi="Times New Roman" w:cs="Times New Roman"/>
          <w:sz w:val="22"/>
        </w:rPr>
        <w:t xml:space="preserve">in the context of conducting research in relation to credit under this </w:t>
      </w:r>
      <w:r w:rsidR="00E23FDC" w:rsidRPr="006F2F68">
        <w:rPr>
          <w:rFonts w:ascii="Times New Roman" w:hAnsi="Times New Roman" w:cs="Times New Roman"/>
          <w:sz w:val="22"/>
        </w:rPr>
        <w:t xml:space="preserve">Rule, </w:t>
      </w:r>
      <w:r w:rsidRPr="006F2F68">
        <w:rPr>
          <w:rFonts w:ascii="Times New Roman" w:hAnsi="Times New Roman" w:cs="Times New Roman"/>
          <w:sz w:val="22"/>
        </w:rPr>
        <w:t xml:space="preserve">the </w:t>
      </w:r>
      <w:r w:rsidR="00112F49" w:rsidRPr="006F2F68">
        <w:rPr>
          <w:rFonts w:ascii="Times New Roman" w:hAnsi="Times New Roman" w:cs="Times New Roman"/>
          <w:sz w:val="22"/>
        </w:rPr>
        <w:t>phrase</w:t>
      </w:r>
      <w:r w:rsidRPr="006F2F68">
        <w:rPr>
          <w:rFonts w:ascii="Times New Roman" w:hAnsi="Times New Roman" w:cs="Times New Roman"/>
          <w:sz w:val="22"/>
        </w:rPr>
        <w:t xml:space="preserve"> ‘</w:t>
      </w:r>
      <w:r w:rsidR="00E91791" w:rsidRPr="006F2F68">
        <w:rPr>
          <w:rFonts w:ascii="Times New Roman" w:hAnsi="Times New Roman" w:cs="Times New Roman"/>
          <w:sz w:val="22"/>
        </w:rPr>
        <w:t xml:space="preserve">for the </w:t>
      </w:r>
      <w:r w:rsidRPr="006F2F68">
        <w:rPr>
          <w:rFonts w:ascii="Times New Roman" w:hAnsi="Times New Roman" w:cs="Times New Roman"/>
          <w:sz w:val="22"/>
        </w:rPr>
        <w:t xml:space="preserve">general benefit of the public’ </w:t>
      </w:r>
      <w:r w:rsidR="005A48B3" w:rsidRPr="006F2F68">
        <w:rPr>
          <w:rFonts w:ascii="Times New Roman" w:hAnsi="Times New Roman" w:cs="Times New Roman"/>
          <w:sz w:val="22"/>
        </w:rPr>
        <w:t>may be interpreted to mean:</w:t>
      </w:r>
    </w:p>
    <w:p w14:paraId="3C7B40AF" w14:textId="1039F714" w:rsidR="00BA11AF" w:rsidRPr="006F2F68" w:rsidRDefault="005A48B3" w:rsidP="00385379">
      <w:pPr>
        <w:pStyle w:val="ListParagraph"/>
        <w:numPr>
          <w:ilvl w:val="0"/>
          <w:numId w:val="18"/>
        </w:numPr>
        <w:rPr>
          <w:rFonts w:ascii="Times New Roman" w:hAnsi="Times New Roman" w:cs="Times New Roman"/>
          <w:sz w:val="22"/>
        </w:rPr>
      </w:pPr>
      <w:r w:rsidRPr="006F2F68">
        <w:rPr>
          <w:rFonts w:ascii="Times New Roman" w:hAnsi="Times New Roman" w:cs="Times New Roman"/>
          <w:sz w:val="22"/>
        </w:rPr>
        <w:t xml:space="preserve">research conducted by a CRB </w:t>
      </w:r>
      <w:r w:rsidR="00BA11AF" w:rsidRPr="006F2F68">
        <w:rPr>
          <w:rFonts w:ascii="Times New Roman" w:hAnsi="Times New Roman" w:cs="Times New Roman"/>
          <w:sz w:val="22"/>
        </w:rPr>
        <w:t xml:space="preserve">to </w:t>
      </w:r>
      <w:r w:rsidR="00A66D7B" w:rsidRPr="006F2F68">
        <w:rPr>
          <w:rFonts w:ascii="Times New Roman" w:hAnsi="Times New Roman" w:cs="Times New Roman"/>
          <w:sz w:val="22"/>
        </w:rPr>
        <w:t xml:space="preserve">support the </w:t>
      </w:r>
      <w:r w:rsidR="00177114" w:rsidRPr="006F2F68">
        <w:rPr>
          <w:rFonts w:ascii="Times New Roman" w:hAnsi="Times New Roman" w:cs="Times New Roman"/>
          <w:sz w:val="22"/>
        </w:rPr>
        <w:t>enhance</w:t>
      </w:r>
      <w:r w:rsidR="00A66D7B" w:rsidRPr="006F2F68">
        <w:rPr>
          <w:rFonts w:ascii="Times New Roman" w:hAnsi="Times New Roman" w:cs="Times New Roman"/>
          <w:sz w:val="22"/>
        </w:rPr>
        <w:t>ment of</w:t>
      </w:r>
      <w:r w:rsidR="00177114" w:rsidRPr="006F2F68">
        <w:rPr>
          <w:rFonts w:ascii="Times New Roman" w:hAnsi="Times New Roman" w:cs="Times New Roman"/>
          <w:sz w:val="22"/>
        </w:rPr>
        <w:t xml:space="preserve"> </w:t>
      </w:r>
      <w:r w:rsidR="00056B3C" w:rsidRPr="006F2F68">
        <w:rPr>
          <w:rFonts w:ascii="Times New Roman" w:hAnsi="Times New Roman" w:cs="Times New Roman"/>
          <w:sz w:val="22"/>
        </w:rPr>
        <w:t>existing</w:t>
      </w:r>
      <w:r w:rsidR="00DE1187" w:rsidRPr="006F2F68">
        <w:rPr>
          <w:rFonts w:ascii="Times New Roman" w:hAnsi="Times New Roman" w:cs="Times New Roman"/>
          <w:sz w:val="22"/>
        </w:rPr>
        <w:t xml:space="preserve"> credit services,</w:t>
      </w:r>
      <w:r w:rsidR="00056B3C" w:rsidRPr="006F2F68">
        <w:rPr>
          <w:rFonts w:ascii="Times New Roman" w:hAnsi="Times New Roman" w:cs="Times New Roman"/>
          <w:sz w:val="22"/>
        </w:rPr>
        <w:t xml:space="preserve"> and </w:t>
      </w:r>
      <w:r w:rsidR="0039246D" w:rsidRPr="006F2F68">
        <w:rPr>
          <w:rFonts w:ascii="Times New Roman" w:hAnsi="Times New Roman" w:cs="Times New Roman"/>
          <w:sz w:val="22"/>
        </w:rPr>
        <w:t xml:space="preserve">the </w:t>
      </w:r>
      <w:r w:rsidR="00056B3C" w:rsidRPr="006F2F68">
        <w:rPr>
          <w:rFonts w:ascii="Times New Roman" w:hAnsi="Times New Roman" w:cs="Times New Roman"/>
          <w:sz w:val="22"/>
        </w:rPr>
        <w:t xml:space="preserve">development of new credit </w:t>
      </w:r>
      <w:proofErr w:type="gramStart"/>
      <w:r w:rsidR="00177114" w:rsidRPr="006F2F68">
        <w:rPr>
          <w:rFonts w:ascii="Times New Roman" w:hAnsi="Times New Roman" w:cs="Times New Roman"/>
          <w:sz w:val="22"/>
        </w:rPr>
        <w:t>services</w:t>
      </w:r>
      <w:proofErr w:type="gramEnd"/>
    </w:p>
    <w:p w14:paraId="0C386220" w14:textId="29AAC845" w:rsidR="005A48B3" w:rsidRPr="006F2F68" w:rsidRDefault="00BA11AF" w:rsidP="00385379">
      <w:pPr>
        <w:pStyle w:val="ListParagraph"/>
        <w:numPr>
          <w:ilvl w:val="0"/>
          <w:numId w:val="18"/>
        </w:numPr>
        <w:rPr>
          <w:rFonts w:ascii="Times New Roman" w:hAnsi="Times New Roman" w:cs="Times New Roman"/>
          <w:sz w:val="22"/>
        </w:rPr>
      </w:pPr>
      <w:r w:rsidRPr="006F2F68">
        <w:rPr>
          <w:rFonts w:ascii="Times New Roman" w:hAnsi="Times New Roman" w:cs="Times New Roman"/>
          <w:sz w:val="22"/>
        </w:rPr>
        <w:t xml:space="preserve">research conducted by a CRB </w:t>
      </w:r>
      <w:r w:rsidR="005A48B3" w:rsidRPr="006F2F68">
        <w:rPr>
          <w:rFonts w:ascii="Times New Roman" w:hAnsi="Times New Roman" w:cs="Times New Roman"/>
          <w:sz w:val="22"/>
        </w:rPr>
        <w:t xml:space="preserve">and provided to a credit provider under a commercial arrangement to </w:t>
      </w:r>
      <w:r w:rsidR="00056B3C" w:rsidRPr="006F2F68">
        <w:rPr>
          <w:rFonts w:ascii="Times New Roman" w:hAnsi="Times New Roman" w:cs="Times New Roman"/>
          <w:sz w:val="22"/>
        </w:rPr>
        <w:t xml:space="preserve">support the enhancement of existing </w:t>
      </w:r>
      <w:r w:rsidR="0039246D" w:rsidRPr="006F2F68">
        <w:rPr>
          <w:rFonts w:ascii="Times New Roman" w:hAnsi="Times New Roman" w:cs="Times New Roman"/>
          <w:sz w:val="22"/>
        </w:rPr>
        <w:t xml:space="preserve">credit services, </w:t>
      </w:r>
      <w:r w:rsidR="00056B3C" w:rsidRPr="006F2F68">
        <w:rPr>
          <w:rFonts w:ascii="Times New Roman" w:hAnsi="Times New Roman" w:cs="Times New Roman"/>
          <w:sz w:val="22"/>
        </w:rPr>
        <w:t>and</w:t>
      </w:r>
      <w:r w:rsidR="0039246D" w:rsidRPr="006F2F68">
        <w:rPr>
          <w:rFonts w:ascii="Times New Roman" w:hAnsi="Times New Roman" w:cs="Times New Roman"/>
          <w:sz w:val="22"/>
        </w:rPr>
        <w:t xml:space="preserve"> the</w:t>
      </w:r>
      <w:r w:rsidR="00056B3C" w:rsidRPr="006F2F68">
        <w:rPr>
          <w:rFonts w:ascii="Times New Roman" w:hAnsi="Times New Roman" w:cs="Times New Roman"/>
          <w:sz w:val="22"/>
        </w:rPr>
        <w:t xml:space="preserve"> development of new credit </w:t>
      </w:r>
      <w:proofErr w:type="gramStart"/>
      <w:r w:rsidR="00056B3C" w:rsidRPr="006F2F68">
        <w:rPr>
          <w:rFonts w:ascii="Times New Roman" w:hAnsi="Times New Roman" w:cs="Times New Roman"/>
          <w:sz w:val="22"/>
        </w:rPr>
        <w:t>services</w:t>
      </w:r>
      <w:proofErr w:type="gramEnd"/>
    </w:p>
    <w:p w14:paraId="15CE1BD7" w14:textId="44BE7354" w:rsidR="00072A25" w:rsidRPr="006F2F68" w:rsidRDefault="00072A25" w:rsidP="006E5B23">
      <w:pPr>
        <w:rPr>
          <w:rFonts w:ascii="Times New Roman" w:hAnsi="Times New Roman" w:cs="Times New Roman"/>
          <w:sz w:val="22"/>
        </w:rPr>
      </w:pPr>
      <w:r w:rsidRPr="006F2F68">
        <w:rPr>
          <w:rFonts w:ascii="Times New Roman" w:hAnsi="Times New Roman" w:cs="Times New Roman"/>
          <w:sz w:val="22"/>
        </w:rPr>
        <w:t xml:space="preserve">Further, in </w:t>
      </w:r>
      <w:r w:rsidR="00DB440D" w:rsidRPr="006F2F68">
        <w:rPr>
          <w:rFonts w:ascii="Times New Roman" w:hAnsi="Times New Roman" w:cs="Times New Roman"/>
          <w:sz w:val="22"/>
        </w:rPr>
        <w:t>subsection</w:t>
      </w:r>
      <w:r w:rsidRPr="006F2F68">
        <w:rPr>
          <w:rFonts w:ascii="Times New Roman" w:hAnsi="Times New Roman" w:cs="Times New Roman"/>
          <w:sz w:val="22"/>
        </w:rPr>
        <w:t xml:space="preserve"> </w:t>
      </w:r>
      <w:r w:rsidR="00B5679E">
        <w:rPr>
          <w:rFonts w:ascii="Times New Roman" w:hAnsi="Times New Roman" w:cs="Times New Roman"/>
          <w:sz w:val="22"/>
        </w:rPr>
        <w:t>7</w:t>
      </w:r>
      <w:r w:rsidRPr="006F2F68">
        <w:rPr>
          <w:rFonts w:ascii="Times New Roman" w:hAnsi="Times New Roman" w:cs="Times New Roman"/>
          <w:sz w:val="22"/>
        </w:rPr>
        <w:t xml:space="preserve">(d), </w:t>
      </w:r>
      <w:r w:rsidR="004655C1" w:rsidRPr="006F2F68">
        <w:rPr>
          <w:rFonts w:ascii="Times New Roman" w:hAnsi="Times New Roman" w:cs="Times New Roman"/>
          <w:sz w:val="22"/>
        </w:rPr>
        <w:t>‘</w:t>
      </w:r>
      <w:r w:rsidR="00917CB9" w:rsidRPr="006F2F68">
        <w:rPr>
          <w:rFonts w:ascii="Times New Roman" w:hAnsi="Times New Roman" w:cs="Times New Roman"/>
          <w:sz w:val="22"/>
        </w:rPr>
        <w:t xml:space="preserve">for the general benefit of the public’ does not preclude where there may also be some private benefit </w:t>
      </w:r>
      <w:r w:rsidR="005B7ACB" w:rsidRPr="006F2F68">
        <w:rPr>
          <w:rFonts w:ascii="Times New Roman" w:hAnsi="Times New Roman" w:cs="Times New Roman"/>
          <w:sz w:val="22"/>
        </w:rPr>
        <w:t>to</w:t>
      </w:r>
      <w:r w:rsidR="004464B5" w:rsidRPr="006F2F68">
        <w:rPr>
          <w:rFonts w:ascii="Times New Roman" w:hAnsi="Times New Roman" w:cs="Times New Roman"/>
          <w:sz w:val="22"/>
        </w:rPr>
        <w:t xml:space="preserve"> a party involved in the researc</w:t>
      </w:r>
      <w:r w:rsidR="0013251D" w:rsidRPr="006F2F68">
        <w:rPr>
          <w:rFonts w:ascii="Times New Roman" w:hAnsi="Times New Roman" w:cs="Times New Roman"/>
          <w:sz w:val="22"/>
        </w:rPr>
        <w:t xml:space="preserve">h </w:t>
      </w:r>
      <w:proofErr w:type="gramStart"/>
      <w:r w:rsidR="0013251D" w:rsidRPr="006F2F68">
        <w:rPr>
          <w:rFonts w:ascii="Times New Roman" w:hAnsi="Times New Roman" w:cs="Times New Roman"/>
          <w:sz w:val="22"/>
        </w:rPr>
        <w:t>as long as</w:t>
      </w:r>
      <w:proofErr w:type="gramEnd"/>
      <w:r w:rsidR="0013251D" w:rsidRPr="006F2F68">
        <w:rPr>
          <w:rFonts w:ascii="Times New Roman" w:hAnsi="Times New Roman" w:cs="Times New Roman"/>
          <w:sz w:val="22"/>
        </w:rPr>
        <w:t xml:space="preserve"> the private benefit </w:t>
      </w:r>
      <w:r w:rsidR="001D3686" w:rsidRPr="006F2F68">
        <w:rPr>
          <w:rFonts w:ascii="Times New Roman" w:hAnsi="Times New Roman" w:cs="Times New Roman"/>
          <w:sz w:val="22"/>
        </w:rPr>
        <w:t>is a necessary consequence of the research and does not constitute the primary purpose of the research.</w:t>
      </w:r>
      <w:r w:rsidR="0039246D" w:rsidRPr="006F2F68">
        <w:rPr>
          <w:rFonts w:ascii="Times New Roman" w:hAnsi="Times New Roman" w:cs="Times New Roman"/>
          <w:sz w:val="22"/>
        </w:rPr>
        <w:t xml:space="preserve"> The purpose of research being for the public benefit should be paramount.</w:t>
      </w:r>
      <w:r w:rsidR="00B078C1" w:rsidRPr="006F2F68">
        <w:rPr>
          <w:rFonts w:ascii="Times New Roman" w:hAnsi="Times New Roman" w:cs="Times New Roman"/>
          <w:sz w:val="22"/>
        </w:rPr>
        <w:t xml:space="preserve"> </w:t>
      </w:r>
    </w:p>
    <w:p w14:paraId="38964AD3" w14:textId="10302C39" w:rsidR="00E00F5F" w:rsidRPr="006F2F68" w:rsidRDefault="00E00F5F" w:rsidP="00385379">
      <w:pPr>
        <w:pStyle w:val="ListParagraph"/>
        <w:keepNext/>
        <w:keepLines/>
        <w:numPr>
          <w:ilvl w:val="0"/>
          <w:numId w:val="16"/>
        </w:numPr>
        <w:tabs>
          <w:tab w:val="left" w:pos="567"/>
        </w:tabs>
        <w:spacing w:before="240" w:after="120"/>
        <w:contextualSpacing/>
        <w:outlineLvl w:val="2"/>
        <w:rPr>
          <w:rFonts w:ascii="Times New Roman" w:hAnsi="Times New Roman" w:cs="Times New Roman"/>
          <w:b/>
          <w:sz w:val="22"/>
        </w:rPr>
      </w:pPr>
      <w:r w:rsidRPr="006F2F68">
        <w:rPr>
          <w:rFonts w:ascii="Times New Roman" w:hAnsi="Times New Roman" w:cs="Times New Roman"/>
          <w:b/>
          <w:sz w:val="22"/>
        </w:rPr>
        <w:t>De-identification of credit reporting information</w:t>
      </w:r>
    </w:p>
    <w:p w14:paraId="78C14C8D" w14:textId="595B327C" w:rsidR="00E00F5F" w:rsidRPr="006F2F68" w:rsidRDefault="00E00F5F"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8</w:t>
      </w:r>
      <w:r w:rsidRPr="006F2F68">
        <w:rPr>
          <w:rFonts w:ascii="Times New Roman" w:hAnsi="Times New Roman" w:cs="Times New Roman"/>
          <w:sz w:val="22"/>
        </w:rPr>
        <w:t xml:space="preserve">(1) sets out the provisions a </w:t>
      </w:r>
      <w:r w:rsidR="008C0616" w:rsidRPr="006F2F68">
        <w:rPr>
          <w:rFonts w:ascii="Times New Roman" w:hAnsi="Times New Roman" w:cs="Times New Roman"/>
          <w:sz w:val="22"/>
        </w:rPr>
        <w:t>CRB</w:t>
      </w:r>
      <w:r w:rsidRPr="006F2F68">
        <w:rPr>
          <w:rFonts w:ascii="Times New Roman" w:hAnsi="Times New Roman" w:cs="Times New Roman"/>
          <w:sz w:val="22"/>
        </w:rPr>
        <w:t xml:space="preserve"> must take to ensure credit reporting information is adequately de-identified. </w:t>
      </w:r>
    </w:p>
    <w:p w14:paraId="2AA2BD80" w14:textId="1AAC9824" w:rsidR="00E00F5F" w:rsidRPr="006F2F68" w:rsidRDefault="00DB440D"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8</w:t>
      </w:r>
      <w:r w:rsidR="00E00F5F" w:rsidRPr="006F2F68">
        <w:rPr>
          <w:rFonts w:ascii="Times New Roman" w:hAnsi="Times New Roman" w:cs="Times New Roman"/>
          <w:sz w:val="22"/>
        </w:rPr>
        <w:t xml:space="preserve">(1)(a) requires a </w:t>
      </w:r>
      <w:r w:rsidR="008C0616" w:rsidRPr="006F2F68">
        <w:rPr>
          <w:rFonts w:ascii="Times New Roman" w:hAnsi="Times New Roman" w:cs="Times New Roman"/>
          <w:sz w:val="22"/>
        </w:rPr>
        <w:t>CRB</w:t>
      </w:r>
      <w:r w:rsidR="00E00F5F" w:rsidRPr="006F2F68">
        <w:rPr>
          <w:rFonts w:ascii="Times New Roman" w:hAnsi="Times New Roman" w:cs="Times New Roman"/>
          <w:sz w:val="22"/>
        </w:rPr>
        <w:t xml:space="preserve"> to assess the risk of re-identification of the credit reporting information it intends to use or disclose for research purposes, either by itself or by the recipients of the de-identified information.</w:t>
      </w:r>
    </w:p>
    <w:p w14:paraId="404CB024" w14:textId="65D50B32" w:rsidR="00E00F5F" w:rsidRPr="006F2F68" w:rsidRDefault="00DB440D"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8</w:t>
      </w:r>
      <w:r w:rsidR="00E00F5F" w:rsidRPr="006F2F68">
        <w:rPr>
          <w:rFonts w:ascii="Times New Roman" w:hAnsi="Times New Roman" w:cs="Times New Roman"/>
          <w:sz w:val="22"/>
        </w:rPr>
        <w:t xml:space="preserve">(1)(b) requires a </w:t>
      </w:r>
      <w:r w:rsidR="008C0616" w:rsidRPr="006F2F68">
        <w:rPr>
          <w:rFonts w:ascii="Times New Roman" w:hAnsi="Times New Roman" w:cs="Times New Roman"/>
          <w:sz w:val="22"/>
        </w:rPr>
        <w:t>CRB</w:t>
      </w:r>
      <w:r w:rsidR="00E00F5F" w:rsidRPr="006F2F68">
        <w:rPr>
          <w:rFonts w:ascii="Times New Roman" w:hAnsi="Times New Roman" w:cs="Times New Roman"/>
          <w:sz w:val="22"/>
        </w:rPr>
        <w:t xml:space="preserve"> to use the risk assessment referred to in </w:t>
      </w:r>
      <w:r w:rsidR="00646A78" w:rsidRPr="006F2F68">
        <w:rPr>
          <w:rFonts w:ascii="Times New Roman" w:hAnsi="Times New Roman" w:cs="Times New Roman"/>
          <w:sz w:val="22"/>
        </w:rPr>
        <w:t xml:space="preserve">subsection </w:t>
      </w:r>
      <w:r w:rsidR="00B5679E">
        <w:rPr>
          <w:rFonts w:ascii="Times New Roman" w:hAnsi="Times New Roman" w:cs="Times New Roman"/>
          <w:sz w:val="22"/>
        </w:rPr>
        <w:t>8</w:t>
      </w:r>
      <w:r w:rsidR="00E00F5F" w:rsidRPr="006F2F68">
        <w:rPr>
          <w:rFonts w:ascii="Times New Roman" w:hAnsi="Times New Roman" w:cs="Times New Roman"/>
          <w:sz w:val="22"/>
        </w:rPr>
        <w:t>(1)(a) to determine the de-identification technique or techniques appropriate to the circumstances.</w:t>
      </w:r>
    </w:p>
    <w:p w14:paraId="590E2A58" w14:textId="391B6E02" w:rsidR="00E00F5F" w:rsidRPr="006F2F68" w:rsidRDefault="00E00F5F"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8</w:t>
      </w:r>
      <w:r w:rsidRPr="006F2F68">
        <w:rPr>
          <w:rFonts w:ascii="Times New Roman" w:hAnsi="Times New Roman" w:cs="Times New Roman"/>
          <w:sz w:val="22"/>
        </w:rPr>
        <w:t xml:space="preserve">(1)(c) requires a </w:t>
      </w:r>
      <w:r w:rsidR="008C0616" w:rsidRPr="006F2F68">
        <w:rPr>
          <w:rFonts w:ascii="Times New Roman" w:hAnsi="Times New Roman" w:cs="Times New Roman"/>
          <w:sz w:val="22"/>
        </w:rPr>
        <w:t>CRB</w:t>
      </w:r>
      <w:r w:rsidRPr="006F2F68">
        <w:rPr>
          <w:rFonts w:ascii="Times New Roman" w:hAnsi="Times New Roman" w:cs="Times New Roman"/>
          <w:sz w:val="22"/>
        </w:rPr>
        <w:t xml:space="preserve"> to take reasonable steps to ensure the de-identified information cannot be re-identified.</w:t>
      </w:r>
    </w:p>
    <w:p w14:paraId="0F7B66EF" w14:textId="0605E4DF" w:rsidR="00E00F5F" w:rsidRPr="006F2F68" w:rsidRDefault="00E00F5F"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8</w:t>
      </w:r>
      <w:r w:rsidRPr="006F2F68">
        <w:rPr>
          <w:rFonts w:ascii="Times New Roman" w:hAnsi="Times New Roman" w:cs="Times New Roman"/>
          <w:sz w:val="22"/>
        </w:rPr>
        <w:t xml:space="preserve">(2) provides for a prohibition on the re-identification of de-identified information. </w:t>
      </w:r>
      <w:r w:rsidR="00DB440D" w:rsidRPr="006F2F68">
        <w:rPr>
          <w:rFonts w:ascii="Times New Roman" w:hAnsi="Times New Roman" w:cs="Times New Roman"/>
          <w:sz w:val="22"/>
        </w:rPr>
        <w:t xml:space="preserve">Subsection </w:t>
      </w:r>
      <w:r w:rsidR="00B5679E">
        <w:rPr>
          <w:rFonts w:ascii="Times New Roman" w:hAnsi="Times New Roman" w:cs="Times New Roman"/>
          <w:sz w:val="22"/>
        </w:rPr>
        <w:t>8</w:t>
      </w:r>
      <w:r w:rsidRPr="006F2F68">
        <w:rPr>
          <w:rFonts w:ascii="Times New Roman" w:hAnsi="Times New Roman" w:cs="Times New Roman"/>
          <w:sz w:val="22"/>
        </w:rPr>
        <w:t xml:space="preserve">(2)(a) requires a </w:t>
      </w:r>
      <w:r w:rsidR="008C0616" w:rsidRPr="006F2F68">
        <w:rPr>
          <w:rFonts w:ascii="Times New Roman" w:hAnsi="Times New Roman" w:cs="Times New Roman"/>
          <w:sz w:val="22"/>
        </w:rPr>
        <w:t>CRB</w:t>
      </w:r>
      <w:r w:rsidRPr="006F2F68">
        <w:rPr>
          <w:rFonts w:ascii="Times New Roman" w:hAnsi="Times New Roman" w:cs="Times New Roman"/>
          <w:sz w:val="22"/>
        </w:rPr>
        <w:t xml:space="preserve"> not to re-identify or attempt to re-identify de-identified information. </w:t>
      </w:r>
      <w:r w:rsidR="00DB440D" w:rsidRPr="006F2F68">
        <w:rPr>
          <w:rFonts w:ascii="Times New Roman" w:hAnsi="Times New Roman" w:cs="Times New Roman"/>
          <w:sz w:val="22"/>
        </w:rPr>
        <w:t xml:space="preserve">Subsection </w:t>
      </w:r>
      <w:r w:rsidR="00B5679E">
        <w:rPr>
          <w:rFonts w:ascii="Times New Roman" w:hAnsi="Times New Roman" w:cs="Times New Roman"/>
          <w:sz w:val="22"/>
        </w:rPr>
        <w:t>8</w:t>
      </w:r>
      <w:r w:rsidRPr="006F2F68">
        <w:rPr>
          <w:rFonts w:ascii="Times New Roman" w:hAnsi="Times New Roman" w:cs="Times New Roman"/>
          <w:sz w:val="22"/>
        </w:rPr>
        <w:t xml:space="preserve">(2)(b) requires a </w:t>
      </w:r>
      <w:r w:rsidR="008C0616" w:rsidRPr="006F2F68">
        <w:rPr>
          <w:rFonts w:ascii="Times New Roman" w:hAnsi="Times New Roman" w:cs="Times New Roman"/>
          <w:sz w:val="22"/>
        </w:rPr>
        <w:t>CRB</w:t>
      </w:r>
      <w:r w:rsidRPr="006F2F68">
        <w:rPr>
          <w:rFonts w:ascii="Times New Roman" w:hAnsi="Times New Roman" w:cs="Times New Roman"/>
          <w:sz w:val="22"/>
        </w:rPr>
        <w:t xml:space="preserve"> to destroy any information that it intentionally re-identifies. </w:t>
      </w:r>
    </w:p>
    <w:p w14:paraId="0C28A70F" w14:textId="2653FEE2" w:rsidR="00E00F5F" w:rsidRPr="006F2F68" w:rsidRDefault="00E00F5F"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8</w:t>
      </w:r>
      <w:r w:rsidRPr="006F2F68">
        <w:rPr>
          <w:rFonts w:ascii="Times New Roman" w:hAnsi="Times New Roman" w:cs="Times New Roman"/>
          <w:sz w:val="22"/>
        </w:rPr>
        <w:t xml:space="preserve">(3) provides for the only exception to the prohibition in subsection </w:t>
      </w:r>
      <w:r w:rsidR="00B5679E">
        <w:rPr>
          <w:rFonts w:ascii="Times New Roman" w:hAnsi="Times New Roman" w:cs="Times New Roman"/>
          <w:sz w:val="22"/>
        </w:rPr>
        <w:t>8</w:t>
      </w:r>
      <w:r w:rsidRPr="006F2F68">
        <w:rPr>
          <w:rFonts w:ascii="Times New Roman" w:hAnsi="Times New Roman" w:cs="Times New Roman"/>
          <w:sz w:val="22"/>
        </w:rPr>
        <w:t xml:space="preserve">(2). Subsection </w:t>
      </w:r>
      <w:r w:rsidR="00B5679E">
        <w:rPr>
          <w:rFonts w:ascii="Times New Roman" w:hAnsi="Times New Roman" w:cs="Times New Roman"/>
          <w:sz w:val="22"/>
        </w:rPr>
        <w:t>8</w:t>
      </w:r>
      <w:r w:rsidRPr="006F2F68">
        <w:rPr>
          <w:rFonts w:ascii="Times New Roman" w:hAnsi="Times New Roman" w:cs="Times New Roman"/>
          <w:sz w:val="22"/>
        </w:rPr>
        <w:t xml:space="preserve">(3) states subsection </w:t>
      </w:r>
      <w:r w:rsidR="00B5679E">
        <w:rPr>
          <w:rFonts w:ascii="Times New Roman" w:hAnsi="Times New Roman" w:cs="Times New Roman"/>
          <w:sz w:val="22"/>
        </w:rPr>
        <w:t>8</w:t>
      </w:r>
      <w:r w:rsidRPr="006F2F68">
        <w:rPr>
          <w:rFonts w:ascii="Times New Roman" w:hAnsi="Times New Roman" w:cs="Times New Roman"/>
          <w:sz w:val="22"/>
        </w:rPr>
        <w:t>(2) does not apply if the re-identification of de-identified information is required by Australian law or a court/tribunal order.</w:t>
      </w:r>
    </w:p>
    <w:p w14:paraId="0E9DA1D3" w14:textId="77777777" w:rsidR="00E00F5F" w:rsidRPr="006F2F68" w:rsidRDefault="00E00F5F" w:rsidP="00D77981">
      <w:pPr>
        <w:rPr>
          <w:rFonts w:ascii="Times New Roman" w:hAnsi="Times New Roman" w:cs="Times New Roman"/>
          <w:sz w:val="22"/>
        </w:rPr>
      </w:pPr>
      <w:r w:rsidRPr="006F2F68">
        <w:rPr>
          <w:rFonts w:ascii="Times New Roman" w:hAnsi="Times New Roman" w:cs="Times New Roman"/>
          <w:sz w:val="22"/>
        </w:rPr>
        <w:t xml:space="preserve">The terms Australian law and court/tribunal order are defined in the Privacy Act.  </w:t>
      </w:r>
    </w:p>
    <w:p w14:paraId="5055D80B" w14:textId="77777777" w:rsidR="00E00F5F" w:rsidRPr="006F2F68" w:rsidRDefault="00E00F5F" w:rsidP="00385379">
      <w:pPr>
        <w:pStyle w:val="ListParagraph"/>
        <w:keepNext/>
        <w:keepLines/>
        <w:numPr>
          <w:ilvl w:val="0"/>
          <w:numId w:val="16"/>
        </w:numPr>
        <w:tabs>
          <w:tab w:val="left" w:pos="567"/>
        </w:tabs>
        <w:spacing w:before="240" w:after="120"/>
        <w:contextualSpacing/>
        <w:outlineLvl w:val="2"/>
        <w:rPr>
          <w:rFonts w:ascii="Times New Roman" w:hAnsi="Times New Roman" w:cs="Times New Roman"/>
          <w:b/>
          <w:sz w:val="22"/>
        </w:rPr>
      </w:pPr>
      <w:r w:rsidRPr="006F2F68">
        <w:rPr>
          <w:rFonts w:ascii="Times New Roman" w:hAnsi="Times New Roman" w:cs="Times New Roman"/>
          <w:b/>
          <w:sz w:val="22"/>
        </w:rPr>
        <w:lastRenderedPageBreak/>
        <w:t>Disclosure of de-identified information</w:t>
      </w:r>
    </w:p>
    <w:p w14:paraId="084E0746" w14:textId="7F65E7FC" w:rsidR="00E00F5F" w:rsidRPr="006F2F68" w:rsidRDefault="00E00F5F"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9</w:t>
      </w:r>
      <w:r w:rsidRPr="006F2F68">
        <w:rPr>
          <w:rFonts w:ascii="Times New Roman" w:hAnsi="Times New Roman" w:cs="Times New Roman"/>
          <w:sz w:val="22"/>
        </w:rPr>
        <w:t xml:space="preserve">(1) provides that </w:t>
      </w:r>
      <w:bookmarkStart w:id="0" w:name="_Ref351640711"/>
      <w:r w:rsidRPr="006F2F68">
        <w:rPr>
          <w:rFonts w:ascii="Times New Roman" w:hAnsi="Times New Roman" w:cs="Times New Roman"/>
          <w:sz w:val="22"/>
        </w:rPr>
        <w:t xml:space="preserve">a </w:t>
      </w:r>
      <w:r w:rsidR="008C0616" w:rsidRPr="006F2F68">
        <w:rPr>
          <w:rFonts w:ascii="Times New Roman" w:hAnsi="Times New Roman" w:cs="Times New Roman"/>
          <w:sz w:val="22"/>
        </w:rPr>
        <w:t>CRB</w:t>
      </w:r>
      <w:r w:rsidRPr="006F2F68">
        <w:rPr>
          <w:rFonts w:ascii="Times New Roman" w:hAnsi="Times New Roman" w:cs="Times New Roman"/>
          <w:sz w:val="22"/>
        </w:rPr>
        <w:t xml:space="preserve"> only disclose de-identified information for a permitted purpose if the receiving entity has an Australian link. Australian link is as defined in the Privacy Act.  </w:t>
      </w:r>
    </w:p>
    <w:bookmarkEnd w:id="0"/>
    <w:p w14:paraId="51310CC5" w14:textId="5294823A" w:rsidR="00E618BF" w:rsidRPr="006F2F68" w:rsidRDefault="00E00F5F"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9</w:t>
      </w:r>
      <w:r w:rsidRPr="006F2F68">
        <w:rPr>
          <w:rFonts w:ascii="Times New Roman" w:hAnsi="Times New Roman" w:cs="Times New Roman"/>
          <w:sz w:val="22"/>
        </w:rPr>
        <w:t xml:space="preserve">(2) provides that before disclosing de-identified information, a </w:t>
      </w:r>
      <w:r w:rsidR="008C0616" w:rsidRPr="006F2F68">
        <w:rPr>
          <w:rFonts w:ascii="Times New Roman" w:hAnsi="Times New Roman" w:cs="Times New Roman"/>
          <w:sz w:val="22"/>
        </w:rPr>
        <w:t>CRB</w:t>
      </w:r>
      <w:r w:rsidRPr="006F2F68">
        <w:rPr>
          <w:rFonts w:ascii="Times New Roman" w:hAnsi="Times New Roman" w:cs="Times New Roman"/>
          <w:sz w:val="22"/>
        </w:rPr>
        <w:t xml:space="preserve"> must take reasonable steps to ensure the entity receiving the information meets several obligations. These obligations include that entity will not re-identify or attempt to re-identify de-identified information (</w:t>
      </w:r>
      <w:r w:rsidR="00DB440D" w:rsidRPr="006F2F68">
        <w:rPr>
          <w:rFonts w:ascii="Times New Roman" w:hAnsi="Times New Roman" w:cs="Times New Roman"/>
          <w:sz w:val="22"/>
        </w:rPr>
        <w:t xml:space="preserve">subsection </w:t>
      </w:r>
      <w:r w:rsidR="00B5679E">
        <w:rPr>
          <w:rFonts w:ascii="Times New Roman" w:hAnsi="Times New Roman" w:cs="Times New Roman"/>
          <w:sz w:val="22"/>
        </w:rPr>
        <w:t>9</w:t>
      </w:r>
      <w:r w:rsidRPr="006F2F68">
        <w:rPr>
          <w:rFonts w:ascii="Times New Roman" w:hAnsi="Times New Roman" w:cs="Times New Roman"/>
          <w:sz w:val="22"/>
        </w:rPr>
        <w:t>(2)(a)), that the entity destroy any information that it unintentionally re-identifies (</w:t>
      </w:r>
      <w:r w:rsidR="00DB440D" w:rsidRPr="006F2F68">
        <w:rPr>
          <w:rFonts w:ascii="Times New Roman" w:hAnsi="Times New Roman" w:cs="Times New Roman"/>
          <w:sz w:val="22"/>
        </w:rPr>
        <w:t xml:space="preserve">subsection </w:t>
      </w:r>
      <w:r w:rsidR="00B5679E">
        <w:rPr>
          <w:rFonts w:ascii="Times New Roman" w:hAnsi="Times New Roman" w:cs="Times New Roman"/>
          <w:sz w:val="22"/>
        </w:rPr>
        <w:t>9</w:t>
      </w:r>
      <w:r w:rsidRPr="006F2F68">
        <w:rPr>
          <w:rFonts w:ascii="Times New Roman" w:hAnsi="Times New Roman" w:cs="Times New Roman"/>
          <w:sz w:val="22"/>
        </w:rPr>
        <w:t>(2)(b)) and that the entity will not disclose the de-identified information to any other entity</w:t>
      </w:r>
      <w:r w:rsidR="005A4C2C" w:rsidRPr="006F2F68">
        <w:rPr>
          <w:rFonts w:ascii="Times New Roman" w:hAnsi="Times New Roman" w:cs="Times New Roman"/>
          <w:sz w:val="22"/>
        </w:rPr>
        <w:t xml:space="preserve"> </w:t>
      </w:r>
      <w:r w:rsidRPr="006F2F68">
        <w:rPr>
          <w:rFonts w:ascii="Times New Roman" w:hAnsi="Times New Roman" w:cs="Times New Roman"/>
          <w:sz w:val="22"/>
        </w:rPr>
        <w:t>(</w:t>
      </w:r>
      <w:r w:rsidR="00DB440D" w:rsidRPr="006F2F68">
        <w:rPr>
          <w:rFonts w:ascii="Times New Roman" w:hAnsi="Times New Roman" w:cs="Times New Roman"/>
          <w:sz w:val="22"/>
        </w:rPr>
        <w:t xml:space="preserve">subsection </w:t>
      </w:r>
      <w:r w:rsidR="00B5679E">
        <w:rPr>
          <w:rFonts w:ascii="Times New Roman" w:hAnsi="Times New Roman" w:cs="Times New Roman"/>
          <w:sz w:val="22"/>
        </w:rPr>
        <w:t>9</w:t>
      </w:r>
      <w:r w:rsidRPr="006F2F68">
        <w:rPr>
          <w:rFonts w:ascii="Times New Roman" w:hAnsi="Times New Roman" w:cs="Times New Roman"/>
          <w:sz w:val="22"/>
        </w:rPr>
        <w:t xml:space="preserve">(2)(c)). </w:t>
      </w:r>
    </w:p>
    <w:p w14:paraId="3E585760" w14:textId="2BFD8E62" w:rsidR="00E00F5F" w:rsidRPr="006F2F68" w:rsidRDefault="00E00F5F" w:rsidP="00D77981">
      <w:pPr>
        <w:rPr>
          <w:rFonts w:ascii="Times New Roman" w:hAnsi="Times New Roman" w:cs="Times New Roman"/>
          <w:sz w:val="22"/>
        </w:rPr>
      </w:pPr>
      <w:r w:rsidRPr="006F2F68">
        <w:rPr>
          <w:rFonts w:ascii="Times New Roman" w:hAnsi="Times New Roman" w:cs="Times New Roman"/>
          <w:sz w:val="22"/>
        </w:rPr>
        <w:t xml:space="preserve">Subsection </w:t>
      </w:r>
      <w:r w:rsidR="00B5679E">
        <w:rPr>
          <w:rFonts w:ascii="Times New Roman" w:hAnsi="Times New Roman" w:cs="Times New Roman"/>
          <w:sz w:val="22"/>
        </w:rPr>
        <w:t>9</w:t>
      </w:r>
      <w:r w:rsidRPr="006F2F68">
        <w:rPr>
          <w:rFonts w:ascii="Times New Roman" w:hAnsi="Times New Roman" w:cs="Times New Roman"/>
          <w:sz w:val="22"/>
        </w:rPr>
        <w:t xml:space="preserve">(3) clarifies that </w:t>
      </w:r>
      <w:r w:rsidR="00DB440D" w:rsidRPr="006F2F68">
        <w:rPr>
          <w:rFonts w:ascii="Times New Roman" w:hAnsi="Times New Roman" w:cs="Times New Roman"/>
          <w:sz w:val="22"/>
        </w:rPr>
        <w:t xml:space="preserve">subsection </w:t>
      </w:r>
      <w:r w:rsidR="00B5679E">
        <w:rPr>
          <w:rFonts w:ascii="Times New Roman" w:hAnsi="Times New Roman" w:cs="Times New Roman"/>
          <w:sz w:val="22"/>
        </w:rPr>
        <w:t>9</w:t>
      </w:r>
      <w:r w:rsidRPr="006F2F68">
        <w:rPr>
          <w:rFonts w:ascii="Times New Roman" w:hAnsi="Times New Roman" w:cs="Times New Roman"/>
          <w:sz w:val="22"/>
        </w:rPr>
        <w:t xml:space="preserve">(2)(c) does not apply to the disclosure of the aggregated results of any analysis done on that de-identified information. </w:t>
      </w:r>
      <w:r w:rsidR="004F03D8" w:rsidRPr="006F2F68">
        <w:rPr>
          <w:rFonts w:ascii="Times New Roman" w:hAnsi="Times New Roman" w:cs="Times New Roman"/>
          <w:sz w:val="22"/>
        </w:rPr>
        <w:t xml:space="preserve">The effect of subsection </w:t>
      </w:r>
      <w:r w:rsidR="00B5679E">
        <w:rPr>
          <w:rFonts w:ascii="Times New Roman" w:hAnsi="Times New Roman" w:cs="Times New Roman"/>
          <w:sz w:val="22"/>
        </w:rPr>
        <w:t>9</w:t>
      </w:r>
      <w:r w:rsidR="004F03D8" w:rsidRPr="006F2F68">
        <w:rPr>
          <w:rFonts w:ascii="Times New Roman" w:hAnsi="Times New Roman" w:cs="Times New Roman"/>
          <w:sz w:val="22"/>
        </w:rPr>
        <w:t xml:space="preserve">(3) </w:t>
      </w:r>
      <w:r w:rsidR="00955AA1" w:rsidRPr="006F2F68">
        <w:rPr>
          <w:rFonts w:ascii="Times New Roman" w:hAnsi="Times New Roman" w:cs="Times New Roman"/>
          <w:sz w:val="22"/>
        </w:rPr>
        <w:t xml:space="preserve">is </w:t>
      </w:r>
      <w:r w:rsidR="00801EC1" w:rsidRPr="006F2F68">
        <w:rPr>
          <w:rFonts w:ascii="Times New Roman" w:hAnsi="Times New Roman" w:cs="Times New Roman"/>
          <w:sz w:val="22"/>
        </w:rPr>
        <w:t xml:space="preserve">to distinguish </w:t>
      </w:r>
      <w:r w:rsidR="00971B60" w:rsidRPr="006F2F68">
        <w:rPr>
          <w:rFonts w:ascii="Times New Roman" w:hAnsi="Times New Roman" w:cs="Times New Roman"/>
          <w:sz w:val="22"/>
        </w:rPr>
        <w:t>the disclosure of de-identified information, which</w:t>
      </w:r>
      <w:r w:rsidR="00924CFB" w:rsidRPr="006F2F68">
        <w:rPr>
          <w:rFonts w:ascii="Times New Roman" w:hAnsi="Times New Roman" w:cs="Times New Roman"/>
          <w:sz w:val="22"/>
        </w:rPr>
        <w:t xml:space="preserve"> is prohibited due to risk of re-identification, and the disclosure of any analysis performed on de-identified information presented as aggregated results</w:t>
      </w:r>
      <w:r w:rsidR="004B2B8E" w:rsidRPr="006F2F68">
        <w:rPr>
          <w:rFonts w:ascii="Times New Roman" w:hAnsi="Times New Roman" w:cs="Times New Roman"/>
          <w:sz w:val="22"/>
        </w:rPr>
        <w:t xml:space="preserve">. Aggregation of the results is considered to </w:t>
      </w:r>
      <w:r w:rsidR="00091FED" w:rsidRPr="006F2F68">
        <w:rPr>
          <w:rFonts w:ascii="Times New Roman" w:hAnsi="Times New Roman" w:cs="Times New Roman"/>
          <w:sz w:val="22"/>
        </w:rPr>
        <w:t xml:space="preserve">minimise </w:t>
      </w:r>
      <w:r w:rsidR="004B2B8E" w:rsidRPr="006F2F68">
        <w:rPr>
          <w:rFonts w:ascii="Times New Roman" w:hAnsi="Times New Roman" w:cs="Times New Roman"/>
          <w:sz w:val="22"/>
        </w:rPr>
        <w:t xml:space="preserve">the risk of re-identification and </w:t>
      </w:r>
      <w:r w:rsidR="00EC68FF" w:rsidRPr="006F2F68">
        <w:rPr>
          <w:rFonts w:ascii="Times New Roman" w:hAnsi="Times New Roman" w:cs="Times New Roman"/>
          <w:sz w:val="22"/>
        </w:rPr>
        <w:t>is thus</w:t>
      </w:r>
      <w:r w:rsidR="00A376D0" w:rsidRPr="006F2F68">
        <w:rPr>
          <w:rFonts w:ascii="Times New Roman" w:hAnsi="Times New Roman" w:cs="Times New Roman"/>
          <w:sz w:val="22"/>
        </w:rPr>
        <w:t xml:space="preserve"> permitted</w:t>
      </w:r>
      <w:r w:rsidR="004B2B8E" w:rsidRPr="006F2F68">
        <w:rPr>
          <w:rFonts w:ascii="Times New Roman" w:hAnsi="Times New Roman" w:cs="Times New Roman"/>
          <w:sz w:val="22"/>
        </w:rPr>
        <w:t xml:space="preserve"> by subsection </w:t>
      </w:r>
      <w:r w:rsidR="00B5679E">
        <w:rPr>
          <w:rFonts w:ascii="Times New Roman" w:hAnsi="Times New Roman" w:cs="Times New Roman"/>
          <w:sz w:val="22"/>
        </w:rPr>
        <w:t>9</w:t>
      </w:r>
      <w:r w:rsidR="004B2B8E" w:rsidRPr="006F2F68">
        <w:rPr>
          <w:rFonts w:ascii="Times New Roman" w:hAnsi="Times New Roman" w:cs="Times New Roman"/>
          <w:sz w:val="22"/>
        </w:rPr>
        <w:t>(3)</w:t>
      </w:r>
      <w:r w:rsidR="00A376D0" w:rsidRPr="006F2F68">
        <w:rPr>
          <w:rFonts w:ascii="Times New Roman" w:hAnsi="Times New Roman" w:cs="Times New Roman"/>
          <w:sz w:val="22"/>
        </w:rPr>
        <w:t xml:space="preserve">. </w:t>
      </w:r>
    </w:p>
    <w:p w14:paraId="18B7339E" w14:textId="3832C012" w:rsidR="0063404E" w:rsidRPr="006F2F68" w:rsidRDefault="00A85E59" w:rsidP="00D77981">
      <w:pPr>
        <w:rPr>
          <w:rFonts w:ascii="Times New Roman" w:hAnsi="Times New Roman" w:cs="Times New Roman"/>
          <w:sz w:val="22"/>
        </w:rPr>
      </w:pPr>
      <w:r w:rsidRPr="006F2F68">
        <w:rPr>
          <w:rFonts w:ascii="Times New Roman" w:hAnsi="Times New Roman" w:cs="Times New Roman"/>
          <w:sz w:val="22"/>
        </w:rPr>
        <w:t>Note that t</w:t>
      </w:r>
      <w:r w:rsidR="007F6AF0" w:rsidRPr="006F2F68">
        <w:rPr>
          <w:rFonts w:ascii="Times New Roman" w:hAnsi="Times New Roman" w:cs="Times New Roman"/>
          <w:sz w:val="22"/>
        </w:rPr>
        <w:t xml:space="preserve">he term </w:t>
      </w:r>
      <w:r w:rsidR="00B1417C" w:rsidRPr="006F2F68">
        <w:rPr>
          <w:rFonts w:ascii="Times New Roman" w:hAnsi="Times New Roman" w:cs="Times New Roman"/>
          <w:sz w:val="22"/>
        </w:rPr>
        <w:t>‘a</w:t>
      </w:r>
      <w:r w:rsidR="0007523D" w:rsidRPr="006F2F68">
        <w:rPr>
          <w:rFonts w:ascii="Times New Roman" w:hAnsi="Times New Roman" w:cs="Times New Roman"/>
          <w:sz w:val="22"/>
        </w:rPr>
        <w:t>gg</w:t>
      </w:r>
      <w:r w:rsidR="007F6AF0" w:rsidRPr="006F2F68">
        <w:rPr>
          <w:rFonts w:ascii="Times New Roman" w:hAnsi="Times New Roman" w:cs="Times New Roman"/>
          <w:sz w:val="22"/>
        </w:rPr>
        <w:t>regated results</w:t>
      </w:r>
      <w:r w:rsidR="00B1417C" w:rsidRPr="006F2F68">
        <w:rPr>
          <w:rFonts w:ascii="Times New Roman" w:hAnsi="Times New Roman" w:cs="Times New Roman"/>
          <w:sz w:val="22"/>
        </w:rPr>
        <w:t>’</w:t>
      </w:r>
      <w:r w:rsidR="007F6AF0" w:rsidRPr="006F2F68">
        <w:rPr>
          <w:rFonts w:ascii="Times New Roman" w:hAnsi="Times New Roman" w:cs="Times New Roman"/>
          <w:sz w:val="22"/>
        </w:rPr>
        <w:t xml:space="preserve"> is defined in subsection 4(2).  </w:t>
      </w:r>
    </w:p>
    <w:p w14:paraId="5E1CCC8C" w14:textId="77777777" w:rsidR="00E00F5F" w:rsidRPr="006F2F68" w:rsidRDefault="00E00F5F" w:rsidP="00385379">
      <w:pPr>
        <w:pStyle w:val="ListParagraph"/>
        <w:keepNext/>
        <w:keepLines/>
        <w:numPr>
          <w:ilvl w:val="0"/>
          <w:numId w:val="16"/>
        </w:numPr>
        <w:tabs>
          <w:tab w:val="left" w:pos="567"/>
        </w:tabs>
        <w:spacing w:before="240" w:after="120"/>
        <w:contextualSpacing/>
        <w:outlineLvl w:val="2"/>
        <w:rPr>
          <w:rFonts w:ascii="Times New Roman" w:hAnsi="Times New Roman" w:cs="Times New Roman"/>
          <w:b/>
          <w:sz w:val="22"/>
        </w:rPr>
      </w:pPr>
      <w:r w:rsidRPr="006F2F68">
        <w:rPr>
          <w:rFonts w:ascii="Times New Roman" w:hAnsi="Times New Roman" w:cs="Times New Roman"/>
          <w:b/>
          <w:sz w:val="22"/>
        </w:rPr>
        <w:t>Openness</w:t>
      </w:r>
    </w:p>
    <w:p w14:paraId="0C9297DC" w14:textId="394C10FB" w:rsidR="008903DA" w:rsidRDefault="00E00F5F" w:rsidP="00835548">
      <w:pPr>
        <w:rPr>
          <w:rFonts w:ascii="Times New Roman" w:hAnsi="Times New Roman" w:cs="Times New Roman"/>
          <w:sz w:val="22"/>
        </w:rPr>
      </w:pPr>
      <w:r w:rsidRPr="006F2F68">
        <w:rPr>
          <w:rFonts w:ascii="Times New Roman" w:hAnsi="Times New Roman" w:cs="Times New Roman"/>
          <w:sz w:val="22"/>
        </w:rPr>
        <w:t xml:space="preserve">Section </w:t>
      </w:r>
      <w:r w:rsidR="00B5679E">
        <w:rPr>
          <w:rFonts w:ascii="Times New Roman" w:hAnsi="Times New Roman" w:cs="Times New Roman"/>
          <w:sz w:val="22"/>
        </w:rPr>
        <w:t>10</w:t>
      </w:r>
      <w:r w:rsidRPr="006F2F68">
        <w:rPr>
          <w:rFonts w:ascii="Times New Roman" w:hAnsi="Times New Roman" w:cs="Times New Roman"/>
          <w:sz w:val="22"/>
        </w:rPr>
        <w:t xml:space="preserve"> provides that a </w:t>
      </w:r>
      <w:r w:rsidR="008C0616" w:rsidRPr="006F2F68">
        <w:rPr>
          <w:rFonts w:ascii="Times New Roman" w:hAnsi="Times New Roman" w:cs="Times New Roman"/>
          <w:sz w:val="22"/>
        </w:rPr>
        <w:t>CRB</w:t>
      </w:r>
      <w:r w:rsidRPr="006F2F68">
        <w:rPr>
          <w:rFonts w:ascii="Times New Roman" w:hAnsi="Times New Roman" w:cs="Times New Roman"/>
          <w:sz w:val="22"/>
        </w:rPr>
        <w:t xml:space="preserve"> must include a statement on the management of de-identified information in its ‘credit reporting’ privacy policy (under s 20</w:t>
      </w:r>
      <w:proofErr w:type="gramStart"/>
      <w:r w:rsidRPr="006F2F68">
        <w:rPr>
          <w:rFonts w:ascii="Times New Roman" w:hAnsi="Times New Roman" w:cs="Times New Roman"/>
          <w:sz w:val="22"/>
        </w:rPr>
        <w:t>B(</w:t>
      </w:r>
      <w:proofErr w:type="gramEnd"/>
      <w:r w:rsidRPr="006F2F68">
        <w:rPr>
          <w:rFonts w:ascii="Times New Roman" w:hAnsi="Times New Roman" w:cs="Times New Roman"/>
          <w:sz w:val="22"/>
        </w:rPr>
        <w:t xml:space="preserve">3) of the Privacy Act). The statement must specify that de-identified information is used or disclosed for the purposes of conducting credit related research. </w:t>
      </w:r>
    </w:p>
    <w:p w14:paraId="7EA4024A" w14:textId="6F0A5A57" w:rsidR="00B5679E" w:rsidRDefault="00B5679E" w:rsidP="00835548">
      <w:pPr>
        <w:rPr>
          <w:rFonts w:ascii="Times New Roman" w:hAnsi="Times New Roman" w:cs="Times New Roman"/>
          <w:b/>
          <w:bCs/>
          <w:sz w:val="22"/>
        </w:rPr>
      </w:pPr>
      <w:r w:rsidRPr="00A86572">
        <w:rPr>
          <w:rFonts w:ascii="Times New Roman" w:hAnsi="Times New Roman" w:cs="Times New Roman"/>
          <w:b/>
          <w:bCs/>
          <w:sz w:val="22"/>
        </w:rPr>
        <w:t>Schedule 1</w:t>
      </w:r>
      <w:r w:rsidR="00E50004" w:rsidRPr="00A86572">
        <w:rPr>
          <w:rFonts w:ascii="Times New Roman" w:hAnsi="Times New Roman" w:cs="Times New Roman"/>
          <w:b/>
          <w:bCs/>
          <w:sz w:val="22"/>
        </w:rPr>
        <w:t xml:space="preserve"> </w:t>
      </w:r>
      <w:r w:rsidR="00E50004">
        <w:rPr>
          <w:rFonts w:ascii="Times New Roman" w:hAnsi="Times New Roman" w:cs="Times New Roman"/>
          <w:b/>
          <w:bCs/>
          <w:sz w:val="22"/>
        </w:rPr>
        <w:t>–</w:t>
      </w:r>
      <w:r w:rsidR="00E50004" w:rsidRPr="00A86572">
        <w:rPr>
          <w:rFonts w:ascii="Times New Roman" w:hAnsi="Times New Roman" w:cs="Times New Roman"/>
          <w:b/>
          <w:bCs/>
          <w:sz w:val="22"/>
        </w:rPr>
        <w:t xml:space="preserve"> Repeals</w:t>
      </w:r>
    </w:p>
    <w:p w14:paraId="0FD08A92" w14:textId="66DB457B" w:rsidR="00E50004" w:rsidRPr="00E50004" w:rsidRDefault="00E50004" w:rsidP="00835548">
      <w:pPr>
        <w:rPr>
          <w:rFonts w:ascii="Times New Roman" w:hAnsi="Times New Roman" w:cs="Times New Roman"/>
          <w:sz w:val="22"/>
        </w:rPr>
      </w:pPr>
      <w:r>
        <w:rPr>
          <w:rFonts w:ascii="Times New Roman" w:hAnsi="Times New Roman" w:cs="Times New Roman"/>
          <w:sz w:val="22"/>
        </w:rPr>
        <w:t xml:space="preserve">Schedule 1 provides for the repeal of the </w:t>
      </w:r>
      <w:r w:rsidRPr="00A86572">
        <w:rPr>
          <w:rFonts w:ascii="Times New Roman" w:hAnsi="Times New Roman" w:cs="Times New Roman"/>
          <w:i/>
          <w:iCs/>
          <w:sz w:val="22"/>
        </w:rPr>
        <w:t xml:space="preserve">Privacy </w:t>
      </w:r>
      <w:r w:rsidR="00C27242" w:rsidRPr="00A86572">
        <w:rPr>
          <w:rFonts w:ascii="Times New Roman" w:hAnsi="Times New Roman" w:cs="Times New Roman"/>
          <w:i/>
          <w:iCs/>
          <w:sz w:val="22"/>
        </w:rPr>
        <w:t>(Credit Related Research) Rule 2014</w:t>
      </w:r>
      <w:r w:rsidR="00C27242">
        <w:rPr>
          <w:rFonts w:ascii="Times New Roman" w:hAnsi="Times New Roman" w:cs="Times New Roman"/>
          <w:sz w:val="22"/>
        </w:rPr>
        <w:t xml:space="preserve">. </w:t>
      </w:r>
    </w:p>
    <w:sectPr w:rsidR="00E50004" w:rsidRPr="00E50004" w:rsidSect="00467BB4">
      <w:footerReference w:type="default" r:id="rId8"/>
      <w:headerReference w:type="first" r:id="rId9"/>
      <w:footerReference w:type="first" r:id="rId10"/>
      <w:pgSz w:w="11906" w:h="16838" w:code="9"/>
      <w:pgMar w:top="1049" w:right="1418" w:bottom="1418" w:left="1418" w:header="52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752FE" w14:textId="77777777" w:rsidR="00A11857" w:rsidRDefault="00A11857" w:rsidP="00207961">
      <w:pPr>
        <w:spacing w:after="0"/>
      </w:pPr>
      <w:r>
        <w:separator/>
      </w:r>
    </w:p>
    <w:p w14:paraId="4B47928B" w14:textId="77777777" w:rsidR="00A11857" w:rsidRDefault="00A11857"/>
  </w:endnote>
  <w:endnote w:type="continuationSeparator" w:id="0">
    <w:p w14:paraId="58842003" w14:textId="77777777" w:rsidR="00A11857" w:rsidRDefault="00A11857" w:rsidP="00207961">
      <w:pPr>
        <w:spacing w:after="0"/>
      </w:pPr>
      <w:r>
        <w:continuationSeparator/>
      </w:r>
    </w:p>
    <w:p w14:paraId="5FCCF47F" w14:textId="77777777" w:rsidR="00A11857" w:rsidRDefault="00A11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Arial"/>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ource Sans Pro Light">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858435"/>
      <w:docPartObj>
        <w:docPartGallery w:val="Page Numbers (Bottom of Page)"/>
        <w:docPartUnique/>
      </w:docPartObj>
    </w:sdtPr>
    <w:sdtEndPr>
      <w:rPr>
        <w:rStyle w:val="Strong"/>
        <w:b/>
        <w:bCs/>
      </w:rPr>
    </w:sdtEndPr>
    <w:sdtContent>
      <w:p w14:paraId="2E77A0FF" w14:textId="3BD9F502" w:rsidR="0044324C" w:rsidRPr="003C4F0A" w:rsidRDefault="0044324C">
        <w:pPr>
          <w:pStyle w:val="Footer"/>
          <w:rPr>
            <w:color w:val="000000" w:themeColor="text1"/>
          </w:rPr>
        </w:pPr>
        <w:r w:rsidRPr="0044324C">
          <w:rPr>
            <w:rStyle w:val="PageNumber"/>
          </w:rPr>
          <w:fldChar w:fldCharType="begin"/>
        </w:r>
        <w:r w:rsidRPr="0044324C">
          <w:rPr>
            <w:rStyle w:val="PageNumber"/>
          </w:rPr>
          <w:instrText xml:space="preserve"> PAGE   \* MERGEFORMAT </w:instrText>
        </w:r>
        <w:r w:rsidRPr="0044324C">
          <w:rPr>
            <w:rStyle w:val="PageNumber"/>
          </w:rPr>
          <w:fldChar w:fldCharType="separate"/>
        </w:r>
        <w:r w:rsidR="00FE2067">
          <w:rPr>
            <w:rStyle w:val="PageNumber"/>
            <w:noProof/>
          </w:rPr>
          <w:t>4</w:t>
        </w:r>
        <w:r w:rsidRPr="0044324C">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275603"/>
      <w:docPartObj>
        <w:docPartGallery w:val="Page Numbers (Bottom of Page)"/>
        <w:docPartUnique/>
      </w:docPartObj>
    </w:sdtPr>
    <w:sdtEndPr>
      <w:rPr>
        <w:rStyle w:val="Strong"/>
        <w:b/>
        <w:bCs/>
      </w:rPr>
    </w:sdtEndPr>
    <w:sdtContent>
      <w:p w14:paraId="047228AA" w14:textId="706ED0C2" w:rsidR="003D5BE5" w:rsidRPr="003C4F0A" w:rsidRDefault="003D5BE5" w:rsidP="003D5BE5">
        <w:pPr>
          <w:pStyle w:val="Footer"/>
          <w:rPr>
            <w:rStyle w:val="Strong"/>
            <w:b w:val="0"/>
            <w:bCs w:val="0"/>
          </w:rPr>
        </w:pPr>
        <w:r w:rsidRPr="003D5BE5">
          <w:fldChar w:fldCharType="begin"/>
        </w:r>
        <w:r w:rsidRPr="003D5BE5">
          <w:instrText xml:space="preserve"> PAGE   \* MERGEFORMAT </w:instrText>
        </w:r>
        <w:r w:rsidRPr="003D5BE5">
          <w:fldChar w:fldCharType="separate"/>
        </w:r>
        <w:r w:rsidR="00FE2067">
          <w:rPr>
            <w:noProof/>
          </w:rPr>
          <w:t>1</w:t>
        </w:r>
        <w:r w:rsidRPr="003D5BE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23580" w14:textId="77777777" w:rsidR="00A11857" w:rsidRDefault="00A11857" w:rsidP="00B32094">
      <w:pPr>
        <w:spacing w:before="60" w:after="60"/>
      </w:pPr>
      <w:r>
        <w:separator/>
      </w:r>
    </w:p>
  </w:footnote>
  <w:footnote w:type="continuationSeparator" w:id="0">
    <w:p w14:paraId="2B57E524" w14:textId="77777777" w:rsidR="00A11857" w:rsidRDefault="00A11857" w:rsidP="00207961">
      <w:pPr>
        <w:spacing w:after="0"/>
      </w:pPr>
      <w:r>
        <w:continuationSeparator/>
      </w:r>
    </w:p>
    <w:p w14:paraId="65FE63DA" w14:textId="77777777" w:rsidR="00A11857" w:rsidRDefault="00A11857"/>
  </w:footnote>
  <w:footnote w:id="1">
    <w:p w14:paraId="5B4964D9" w14:textId="7ADC6FD2" w:rsidR="00E00F5F" w:rsidRPr="006E5B23" w:rsidRDefault="00E00F5F" w:rsidP="00E00F5F">
      <w:pPr>
        <w:pStyle w:val="FootnoteText"/>
        <w:rPr>
          <w:rFonts w:ascii="Times New Roman" w:hAnsi="Times New Roman" w:cs="Times New Roman"/>
          <w:szCs w:val="18"/>
        </w:rPr>
      </w:pPr>
      <w:r w:rsidRPr="006E5B23">
        <w:rPr>
          <w:rStyle w:val="FootnoteReference"/>
          <w:rFonts w:ascii="Times New Roman" w:hAnsi="Times New Roman" w:cs="Times New Roman"/>
          <w:szCs w:val="18"/>
        </w:rPr>
        <w:footnoteRef/>
      </w:r>
      <w:r w:rsidRPr="006E5B23">
        <w:rPr>
          <w:rFonts w:ascii="Times New Roman" w:hAnsi="Times New Roman" w:cs="Times New Roman"/>
          <w:szCs w:val="18"/>
        </w:rPr>
        <w:t xml:space="preserve"> Explanatory Memorandum to the Privacy Amendment (Enhancing Privacy Protection) Bill 2012</w:t>
      </w:r>
      <w:r w:rsidR="0089166C" w:rsidRPr="006E5B23">
        <w:rPr>
          <w:rFonts w:ascii="Times New Roman" w:hAnsi="Times New Roman" w:cs="Times New Roman"/>
          <w:szCs w:val="18"/>
        </w:rPr>
        <w:t>,</w:t>
      </w:r>
      <w:r w:rsidRPr="006E5B23">
        <w:rPr>
          <w:rFonts w:ascii="Times New Roman" w:hAnsi="Times New Roman" w:cs="Times New Roman"/>
          <w:szCs w:val="18"/>
        </w:rPr>
        <w:t xml:space="preserve"> p</w:t>
      </w:r>
      <w:r w:rsidR="0089166C" w:rsidRPr="006E5B23">
        <w:rPr>
          <w:rFonts w:ascii="Times New Roman" w:hAnsi="Times New Roman" w:cs="Times New Roman"/>
          <w:szCs w:val="18"/>
        </w:rPr>
        <w:t xml:space="preserve"> </w:t>
      </w:r>
      <w:r w:rsidRPr="006E5B23">
        <w:rPr>
          <w:rFonts w:ascii="Times New Roman" w:hAnsi="Times New Roman" w:cs="Times New Roman"/>
          <w:szCs w:val="18"/>
        </w:rPr>
        <w:t>144</w:t>
      </w:r>
      <w:r w:rsidR="00881583" w:rsidRPr="006E5B23">
        <w:rPr>
          <w:rFonts w:ascii="Times New Roman" w:hAnsi="Times New Roman" w:cs="Times New Roman"/>
          <w:szCs w:val="18"/>
        </w:rPr>
        <w:t>.</w:t>
      </w:r>
    </w:p>
  </w:footnote>
  <w:footnote w:id="2">
    <w:p w14:paraId="06A3ED91" w14:textId="5EBE497A" w:rsidR="0089166C" w:rsidRPr="006E5B23" w:rsidRDefault="0089166C">
      <w:pPr>
        <w:pStyle w:val="FootnoteText"/>
        <w:rPr>
          <w:rFonts w:ascii="Times New Roman" w:hAnsi="Times New Roman" w:cs="Times New Roman"/>
          <w:szCs w:val="18"/>
        </w:rPr>
      </w:pPr>
      <w:r w:rsidRPr="006E5B23">
        <w:rPr>
          <w:rStyle w:val="FootnoteReference"/>
          <w:rFonts w:ascii="Times New Roman" w:hAnsi="Times New Roman" w:cs="Times New Roman"/>
          <w:szCs w:val="18"/>
        </w:rPr>
        <w:footnoteRef/>
      </w:r>
      <w:r w:rsidRPr="006E5B23">
        <w:rPr>
          <w:rFonts w:ascii="Times New Roman" w:hAnsi="Times New Roman" w:cs="Times New Roman"/>
          <w:szCs w:val="18"/>
        </w:rPr>
        <w:t xml:space="preserve"> </w:t>
      </w:r>
      <w:r w:rsidR="0068731C" w:rsidRPr="006E5B23">
        <w:rPr>
          <w:rFonts w:ascii="Times New Roman" w:hAnsi="Times New Roman" w:cs="Times New Roman"/>
          <w:szCs w:val="18"/>
        </w:rPr>
        <w:t xml:space="preserve">Australian Law Reform Commission, </w:t>
      </w:r>
      <w:hyperlink r:id="rId1" w:history="1">
        <w:r w:rsidR="0068731C" w:rsidRPr="006E5B23">
          <w:rPr>
            <w:rStyle w:val="Hyperlink"/>
            <w:rFonts w:ascii="Times New Roman" w:hAnsi="Times New Roman" w:cs="Times New Roman"/>
            <w:i/>
            <w:iCs/>
            <w:szCs w:val="18"/>
          </w:rPr>
          <w:t>For Your Information: Australian Privacy Law and Practice</w:t>
        </w:r>
      </w:hyperlink>
      <w:r w:rsidR="006E14BC" w:rsidRPr="006E5B23">
        <w:rPr>
          <w:rFonts w:ascii="Times New Roman" w:hAnsi="Times New Roman" w:cs="Times New Roman"/>
          <w:szCs w:val="18"/>
        </w:rPr>
        <w:t>,</w:t>
      </w:r>
      <w:r w:rsidR="0068731C" w:rsidRPr="006E5B23">
        <w:rPr>
          <w:rFonts w:ascii="Times New Roman" w:hAnsi="Times New Roman" w:cs="Times New Roman"/>
          <w:szCs w:val="18"/>
        </w:rPr>
        <w:t xml:space="preserve"> ALRC Report 108</w:t>
      </w:r>
      <w:r w:rsidR="001D3883" w:rsidRPr="006E5B23">
        <w:rPr>
          <w:rFonts w:ascii="Times New Roman" w:hAnsi="Times New Roman" w:cs="Times New Roman"/>
          <w:szCs w:val="18"/>
        </w:rPr>
        <w:t xml:space="preserve">, ALRC, </w:t>
      </w:r>
      <w:r w:rsidR="00F66585" w:rsidRPr="006E5B23">
        <w:rPr>
          <w:rFonts w:ascii="Times New Roman" w:hAnsi="Times New Roman" w:cs="Times New Roman"/>
          <w:szCs w:val="18"/>
        </w:rPr>
        <w:t>Sydney, 2008.</w:t>
      </w:r>
      <w:r w:rsidR="001D3883" w:rsidRPr="006E5B23">
        <w:rPr>
          <w:rFonts w:ascii="Times New Roman" w:hAnsi="Times New Roman" w:cs="Times New Roman"/>
          <w:szCs w:val="18"/>
        </w:rPr>
        <w:t xml:space="preserve"> </w:t>
      </w:r>
    </w:p>
  </w:footnote>
  <w:footnote w:id="3">
    <w:p w14:paraId="1D348089" w14:textId="7E58E6BB" w:rsidR="0089166C" w:rsidRPr="006E5B23" w:rsidRDefault="0089166C" w:rsidP="0089166C">
      <w:pPr>
        <w:pStyle w:val="FootnoteText"/>
        <w:rPr>
          <w:rFonts w:ascii="Times New Roman" w:hAnsi="Times New Roman" w:cs="Times New Roman"/>
          <w:szCs w:val="18"/>
        </w:rPr>
      </w:pPr>
      <w:r w:rsidRPr="006E5B23">
        <w:rPr>
          <w:rStyle w:val="FootnoteReference"/>
          <w:rFonts w:ascii="Times New Roman" w:hAnsi="Times New Roman" w:cs="Times New Roman"/>
          <w:szCs w:val="18"/>
        </w:rPr>
        <w:footnoteRef/>
      </w:r>
      <w:r w:rsidRPr="006E5B23">
        <w:rPr>
          <w:rFonts w:ascii="Times New Roman" w:hAnsi="Times New Roman" w:cs="Times New Roman"/>
          <w:szCs w:val="18"/>
        </w:rPr>
        <w:t xml:space="preserve"> The 5 types are: the date the credit account was opened; the type of credit account opened; the date the credit account was closed; the current limit of each open credit account; and repayment performance history about a person over the last two years and the number of repayment cycles that person was in arrears.</w:t>
      </w:r>
      <w:r w:rsidR="007D29D0">
        <w:rPr>
          <w:rFonts w:ascii="Times New Roman" w:hAnsi="Times New Roman" w:cs="Times New Roman"/>
          <w:szCs w:val="18"/>
        </w:rPr>
        <w:t xml:space="preserve"> </w:t>
      </w:r>
      <w:r w:rsidR="00492F79">
        <w:rPr>
          <w:rFonts w:ascii="Times New Roman" w:hAnsi="Times New Roman" w:cs="Times New Roman"/>
          <w:szCs w:val="18"/>
        </w:rPr>
        <w:t xml:space="preserve">A further category of financial hardship information was introduced </w:t>
      </w:r>
      <w:r w:rsidR="00E73B41">
        <w:rPr>
          <w:rFonts w:ascii="Times New Roman" w:hAnsi="Times New Roman" w:cs="Times New Roman"/>
          <w:szCs w:val="18"/>
        </w:rPr>
        <w:t xml:space="preserve">as part of the </w:t>
      </w:r>
      <w:r w:rsidR="00E73B41" w:rsidRPr="00861175">
        <w:rPr>
          <w:rFonts w:ascii="Times New Roman" w:hAnsi="Times New Roman" w:cs="Times New Roman"/>
          <w:i/>
          <w:iCs/>
          <w:szCs w:val="18"/>
        </w:rPr>
        <w:t xml:space="preserve">National Consumer Credit Protection </w:t>
      </w:r>
      <w:r w:rsidR="00B7355B" w:rsidRPr="00861175">
        <w:rPr>
          <w:rFonts w:ascii="Times New Roman" w:hAnsi="Times New Roman" w:cs="Times New Roman"/>
          <w:i/>
          <w:iCs/>
          <w:szCs w:val="18"/>
        </w:rPr>
        <w:t>Amendment (Mandatory Credit Reporting and Other Measures) Act 2021</w:t>
      </w:r>
      <w:r w:rsidR="00B7355B">
        <w:rPr>
          <w:rFonts w:ascii="Times New Roman" w:hAnsi="Times New Roman" w:cs="Times New Roman"/>
          <w:szCs w:val="18"/>
        </w:rPr>
        <w:t>.</w:t>
      </w:r>
    </w:p>
  </w:footnote>
  <w:footnote w:id="4">
    <w:p w14:paraId="481EEB87" w14:textId="1BBA3CE3" w:rsidR="00B01AC3" w:rsidRPr="006E5B23" w:rsidRDefault="00B01AC3">
      <w:pPr>
        <w:pStyle w:val="FootnoteText"/>
        <w:rPr>
          <w:rFonts w:ascii="Times New Roman" w:hAnsi="Times New Roman" w:cs="Times New Roman"/>
          <w:szCs w:val="18"/>
        </w:rPr>
      </w:pPr>
      <w:r w:rsidRPr="006E5B23">
        <w:rPr>
          <w:rStyle w:val="FootnoteReference"/>
          <w:rFonts w:ascii="Times New Roman" w:hAnsi="Times New Roman" w:cs="Times New Roman"/>
          <w:szCs w:val="18"/>
        </w:rPr>
        <w:footnoteRef/>
      </w:r>
      <w:r w:rsidRPr="006E5B23">
        <w:rPr>
          <w:rFonts w:ascii="Times New Roman" w:hAnsi="Times New Roman" w:cs="Times New Roman"/>
          <w:szCs w:val="18"/>
        </w:rPr>
        <w:t xml:space="preserve"> Office of Parliamentary Counsel, </w:t>
      </w:r>
      <w:hyperlink r:id="rId2" w:history="1">
        <w:r w:rsidRPr="006E5B23">
          <w:rPr>
            <w:rStyle w:val="Hyperlink"/>
            <w:rFonts w:ascii="Times New Roman" w:hAnsi="Times New Roman" w:cs="Times New Roman"/>
            <w:i/>
            <w:szCs w:val="18"/>
          </w:rPr>
          <w:t xml:space="preserve">Instruments </w:t>
        </w:r>
        <w:r w:rsidR="00BD57BB" w:rsidRPr="006E5B23">
          <w:rPr>
            <w:rStyle w:val="Hyperlink"/>
            <w:rFonts w:ascii="Times New Roman" w:hAnsi="Times New Roman" w:cs="Times New Roman"/>
            <w:i/>
            <w:szCs w:val="18"/>
          </w:rPr>
          <w:t>Handbook</w:t>
        </w:r>
      </w:hyperlink>
      <w:r w:rsidR="00BD57BB" w:rsidRPr="006E5B23">
        <w:rPr>
          <w:rFonts w:ascii="Times New Roman" w:hAnsi="Times New Roman" w:cs="Times New Roman"/>
          <w:szCs w:val="18"/>
        </w:rPr>
        <w:t>, Document release [3.7], September 2022.</w:t>
      </w:r>
    </w:p>
  </w:footnote>
  <w:footnote w:id="5">
    <w:p w14:paraId="02020AB8" w14:textId="77777777" w:rsidR="000C7507" w:rsidRPr="006E5B23" w:rsidRDefault="000C7507" w:rsidP="000C7507">
      <w:pPr>
        <w:pStyle w:val="FootnoteText"/>
        <w:rPr>
          <w:rFonts w:ascii="Times New Roman" w:hAnsi="Times New Roman" w:cs="Times New Roman"/>
          <w:szCs w:val="18"/>
        </w:rPr>
      </w:pPr>
      <w:r w:rsidRPr="006E5B23">
        <w:rPr>
          <w:rStyle w:val="FootnoteReference"/>
          <w:rFonts w:ascii="Times New Roman" w:hAnsi="Times New Roman" w:cs="Times New Roman"/>
          <w:szCs w:val="18"/>
        </w:rPr>
        <w:footnoteRef/>
      </w:r>
      <w:r w:rsidRPr="006E5B23">
        <w:rPr>
          <w:rFonts w:ascii="Times New Roman" w:hAnsi="Times New Roman" w:cs="Times New Roman"/>
          <w:szCs w:val="18"/>
        </w:rPr>
        <w:t xml:space="preserve"> </w:t>
      </w:r>
      <w:hyperlink r:id="rId3" w:history="1">
        <w:r w:rsidRPr="006E5B23">
          <w:rPr>
            <w:rStyle w:val="Hyperlink"/>
            <w:rFonts w:ascii="Times New Roman" w:hAnsi="Times New Roman" w:cs="Times New Roman"/>
            <w:szCs w:val="18"/>
          </w:rPr>
          <w:t xml:space="preserve"> </w:t>
        </w:r>
        <w:r w:rsidRPr="006E5B23">
          <w:rPr>
            <w:rStyle w:val="Hyperlink"/>
            <w:rFonts w:ascii="Times New Roman" w:hAnsi="Times New Roman" w:cs="Times New Roman"/>
            <w:iCs/>
            <w:szCs w:val="18"/>
          </w:rPr>
          <w:t>See</w:t>
        </w:r>
      </w:hyperlink>
      <w:r w:rsidRPr="006E5B23">
        <w:rPr>
          <w:rFonts w:ascii="Times New Roman" w:hAnsi="Times New Roman" w:cs="Times New Roman"/>
          <w:i/>
          <w:szCs w:val="18"/>
        </w:rPr>
        <w:t xml:space="preserve"> </w:t>
      </w:r>
      <w:hyperlink r:id="rId4" w:history="1">
        <w:r w:rsidRPr="006E5B23">
          <w:rPr>
            <w:rStyle w:val="Hyperlink"/>
            <w:rFonts w:ascii="Times New Roman" w:hAnsi="Times New Roman" w:cs="Times New Roman"/>
            <w:szCs w:val="18"/>
          </w:rPr>
          <w:t>Federal Register of Legislation - Legislation Act 2003</w:t>
        </w:r>
      </w:hyperlink>
      <w:r w:rsidRPr="006E5B23">
        <w:rPr>
          <w:rFonts w:ascii="Times New Roman" w:hAnsi="Times New Roman" w:cs="Times New Roman"/>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A3DC" w14:textId="46AE01C5" w:rsidR="00DE3B0B" w:rsidRDefault="003D5BE5" w:rsidP="004A4CC0">
    <w:pPr>
      <w:pStyle w:val="Header"/>
    </w:pPr>
    <w:r w:rsidRPr="004D4D9B">
      <w:rPr>
        <w:noProof/>
        <w:lang w:eastAsia="en-AU"/>
      </w:rPr>
      <w:drawing>
        <wp:anchor distT="0" distB="954405" distL="114300" distR="114300" simplePos="0" relativeHeight="251658240" behindDoc="1" locked="1" layoutInCell="1" allowOverlap="1" wp14:anchorId="22881C29" wp14:editId="2B6BC054">
          <wp:simplePos x="0" y="0"/>
          <wp:positionH relativeFrom="page">
            <wp:posOffset>901700</wp:posOffset>
          </wp:positionH>
          <wp:positionV relativeFrom="page">
            <wp:posOffset>686435</wp:posOffset>
          </wp:positionV>
          <wp:extent cx="3834000" cy="554400"/>
          <wp:effectExtent l="0" t="0" r="0" b="0"/>
          <wp:wrapTopAndBottom/>
          <wp:docPr id="1" name="Picture 1" descr="Commonwealth Coat of Arms Australian Government&#10;Office of the Australian Information Commissioner">
            <a:extLst xmlns:a="http://schemas.openxmlformats.org/drawingml/2006/main">
              <a:ext uri="{FF2B5EF4-FFF2-40B4-BE49-F238E27FC236}">
                <a16:creationId xmlns:a16="http://schemas.microsoft.com/office/drawing/2014/main" id="{F96B9712-AA0B-47B8-9376-2710BD4D0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Australian Government&#10;Office of the Australian Information Commissioner">
                    <a:extLst>
                      <a:ext uri="{FF2B5EF4-FFF2-40B4-BE49-F238E27FC236}">
                        <a16:creationId xmlns:a16="http://schemas.microsoft.com/office/drawing/2014/main" id="{F96B9712-AA0B-47B8-9376-2710BD4D0866}"/>
                      </a:ext>
                    </a:extLst>
                  </pic:cNvPr>
                  <pic:cNvPicPr>
                    <a:picLocks noChangeAspect="1"/>
                  </pic:cNvPicPr>
                </pic:nvPicPr>
                <pic:blipFill>
                  <a:blip r:embed="rId1"/>
                  <a:stretch>
                    <a:fillRect/>
                  </a:stretch>
                </pic:blipFill>
                <pic:spPr>
                  <a:xfrm>
                    <a:off x="0" y="0"/>
                    <a:ext cx="3834000" cy="554400"/>
                  </a:xfrm>
                  <a:prstGeom prst="rect">
                    <a:avLst/>
                  </a:prstGeom>
                </pic:spPr>
              </pic:pic>
            </a:graphicData>
          </a:graphic>
          <wp14:sizeRelH relativeFrom="margin">
            <wp14:pctWidth>0</wp14:pctWidth>
          </wp14:sizeRelH>
          <wp14:sizeRelV relativeFrom="margin">
            <wp14:pctHeight>0</wp14:pctHeight>
          </wp14:sizeRelV>
        </wp:anchor>
      </w:drawing>
    </w:r>
  </w:p>
  <w:p w14:paraId="276FF488" w14:textId="77777777" w:rsidR="003319E9" w:rsidRPr="004A4CC0" w:rsidRDefault="003319E9" w:rsidP="004A4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081B6A"/>
    <w:lvl w:ilvl="0">
      <w:start w:val="1"/>
      <w:numFmt w:val="decimal"/>
      <w:pStyle w:val="ListNumber5"/>
      <w:lvlText w:val="%1."/>
      <w:lvlJc w:val="left"/>
      <w:pPr>
        <w:tabs>
          <w:tab w:val="num" w:pos="1492"/>
        </w:tabs>
        <w:ind w:left="1492" w:hanging="360"/>
      </w:pPr>
    </w:lvl>
  </w:abstractNum>
  <w:abstractNum w:abstractNumId="1" w15:restartNumberingAfterBreak="0">
    <w:nsid w:val="04014207"/>
    <w:multiLevelType w:val="hybridMultilevel"/>
    <w:tmpl w:val="6E58B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73B59"/>
    <w:multiLevelType w:val="multilevel"/>
    <w:tmpl w:val="4F62CCD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3" w15:restartNumberingAfterBreak="0">
    <w:nsid w:val="07946224"/>
    <w:multiLevelType w:val="hybridMultilevel"/>
    <w:tmpl w:val="EF8EA34C"/>
    <w:lvl w:ilvl="0" w:tplc="A5C275A6">
      <w:start w:val="1"/>
      <w:numFmt w:val="lowerLetter"/>
      <w:lvlText w:val="(%1)"/>
      <w:lvlJc w:val="left"/>
      <w:pPr>
        <w:ind w:left="2370" w:hanging="111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4" w15:restartNumberingAfterBreak="0">
    <w:nsid w:val="08124350"/>
    <w:multiLevelType w:val="multilevel"/>
    <w:tmpl w:val="7DB63B52"/>
    <w:lvl w:ilvl="0">
      <w:start w:val="1"/>
      <w:numFmt w:val="bullet"/>
      <w:pStyle w:val="ListBullet"/>
      <w:lvlText w:val=""/>
      <w:lvlJc w:val="left"/>
      <w:pPr>
        <w:ind w:left="568"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852" w:hanging="284"/>
      </w:pPr>
      <w:rPr>
        <w:rFonts w:ascii="Times New Roman" w:hAnsi="Times New Roman" w:cs="Times New Roman" w:hint="default"/>
        <w:color w:val="auto"/>
      </w:rPr>
    </w:lvl>
    <w:lvl w:ilvl="2">
      <w:start w:val="1"/>
      <w:numFmt w:val="bullet"/>
      <w:pStyle w:val="ListBullet3"/>
      <w:lvlText w:val=""/>
      <w:lvlJc w:val="left"/>
      <w:pPr>
        <w:ind w:left="1136" w:hanging="284"/>
      </w:pPr>
      <w:rPr>
        <w:rFonts w:ascii="Symbol" w:hAnsi="Symbol" w:hint="default"/>
        <w:color w:val="auto"/>
      </w:rPr>
    </w:lvl>
    <w:lvl w:ilvl="3">
      <w:start w:val="1"/>
      <w:numFmt w:val="bullet"/>
      <w:pStyle w:val="ListBullet4"/>
      <w:lvlText w:val=""/>
      <w:lvlJc w:val="left"/>
      <w:pPr>
        <w:ind w:left="483" w:hanging="199"/>
      </w:pPr>
      <w:rPr>
        <w:rFonts w:ascii="Symbol" w:hAnsi="Symbol" w:hint="default"/>
        <w:color w:val="auto"/>
      </w:rPr>
    </w:lvl>
    <w:lvl w:ilvl="4">
      <w:start w:val="1"/>
      <w:numFmt w:val="bullet"/>
      <w:pStyle w:val="IndentBullet1"/>
      <w:lvlText w:val=""/>
      <w:lvlJc w:val="left"/>
      <w:pPr>
        <w:ind w:left="851" w:hanging="283"/>
      </w:pPr>
      <w:rPr>
        <w:rFonts w:ascii="Symbol" w:hAnsi="Symbol" w:hint="default"/>
        <w:color w:val="auto"/>
      </w:rPr>
    </w:lvl>
    <w:lvl w:ilvl="5">
      <w:start w:val="1"/>
      <w:numFmt w:val="bullet"/>
      <w:pStyle w:val="IndentBullet2"/>
      <w:lvlText w:val="−"/>
      <w:lvlJc w:val="left"/>
      <w:pPr>
        <w:ind w:left="1135" w:hanging="284"/>
      </w:pPr>
      <w:rPr>
        <w:rFonts w:ascii="Times New Roman" w:hAnsi="Times New Roman" w:cs="Times New Roman" w:hint="default"/>
        <w:color w:val="auto"/>
      </w:rPr>
    </w:lvl>
    <w:lvl w:ilvl="6">
      <w:start w:val="1"/>
      <w:numFmt w:val="none"/>
      <w:lvlText w:val=""/>
      <w:lvlJc w:val="left"/>
      <w:pPr>
        <w:ind w:left="2272" w:hanging="284"/>
      </w:pPr>
      <w:rPr>
        <w:rFonts w:hint="default"/>
      </w:rPr>
    </w:lvl>
    <w:lvl w:ilvl="7">
      <w:start w:val="1"/>
      <w:numFmt w:val="none"/>
      <w:lvlText w:val=""/>
      <w:lvlJc w:val="left"/>
      <w:pPr>
        <w:ind w:left="2556" w:hanging="284"/>
      </w:pPr>
      <w:rPr>
        <w:rFonts w:hint="default"/>
      </w:rPr>
    </w:lvl>
    <w:lvl w:ilvl="8">
      <w:start w:val="1"/>
      <w:numFmt w:val="none"/>
      <w:lvlText w:val=""/>
      <w:lvlJc w:val="left"/>
      <w:pPr>
        <w:ind w:left="2840" w:hanging="284"/>
      </w:pPr>
      <w:rPr>
        <w:rFonts w:hint="default"/>
      </w:rPr>
    </w:lvl>
  </w:abstractNum>
  <w:abstractNum w:abstractNumId="5" w15:restartNumberingAfterBreak="0">
    <w:nsid w:val="0B07348D"/>
    <w:multiLevelType w:val="hybridMultilevel"/>
    <w:tmpl w:val="89562A9C"/>
    <w:lvl w:ilvl="0" w:tplc="F948E5A8">
      <w:start w:val="1"/>
      <w:numFmt w:val="bullet"/>
      <w:lvlText w:val=""/>
      <w:lvlJc w:val="left"/>
      <w:pPr>
        <w:ind w:left="720" w:hanging="360"/>
      </w:pPr>
      <w:rPr>
        <w:rFonts w:ascii="Symbol" w:hAnsi="Symbol"/>
      </w:rPr>
    </w:lvl>
    <w:lvl w:ilvl="1" w:tplc="0E5406A6">
      <w:start w:val="1"/>
      <w:numFmt w:val="bullet"/>
      <w:lvlText w:val=""/>
      <w:lvlJc w:val="left"/>
      <w:pPr>
        <w:ind w:left="720" w:hanging="360"/>
      </w:pPr>
      <w:rPr>
        <w:rFonts w:ascii="Symbol" w:hAnsi="Symbol"/>
      </w:rPr>
    </w:lvl>
    <w:lvl w:ilvl="2" w:tplc="6B84255E">
      <w:start w:val="1"/>
      <w:numFmt w:val="bullet"/>
      <w:lvlText w:val=""/>
      <w:lvlJc w:val="left"/>
      <w:pPr>
        <w:ind w:left="720" w:hanging="360"/>
      </w:pPr>
      <w:rPr>
        <w:rFonts w:ascii="Symbol" w:hAnsi="Symbol"/>
      </w:rPr>
    </w:lvl>
    <w:lvl w:ilvl="3" w:tplc="F8F80206">
      <w:start w:val="1"/>
      <w:numFmt w:val="bullet"/>
      <w:lvlText w:val=""/>
      <w:lvlJc w:val="left"/>
      <w:pPr>
        <w:ind w:left="720" w:hanging="360"/>
      </w:pPr>
      <w:rPr>
        <w:rFonts w:ascii="Symbol" w:hAnsi="Symbol"/>
      </w:rPr>
    </w:lvl>
    <w:lvl w:ilvl="4" w:tplc="FCF294A4">
      <w:start w:val="1"/>
      <w:numFmt w:val="bullet"/>
      <w:lvlText w:val=""/>
      <w:lvlJc w:val="left"/>
      <w:pPr>
        <w:ind w:left="720" w:hanging="360"/>
      </w:pPr>
      <w:rPr>
        <w:rFonts w:ascii="Symbol" w:hAnsi="Symbol"/>
      </w:rPr>
    </w:lvl>
    <w:lvl w:ilvl="5" w:tplc="FD309D8E">
      <w:start w:val="1"/>
      <w:numFmt w:val="bullet"/>
      <w:lvlText w:val=""/>
      <w:lvlJc w:val="left"/>
      <w:pPr>
        <w:ind w:left="720" w:hanging="360"/>
      </w:pPr>
      <w:rPr>
        <w:rFonts w:ascii="Symbol" w:hAnsi="Symbol"/>
      </w:rPr>
    </w:lvl>
    <w:lvl w:ilvl="6" w:tplc="E682C35A">
      <w:start w:val="1"/>
      <w:numFmt w:val="bullet"/>
      <w:lvlText w:val=""/>
      <w:lvlJc w:val="left"/>
      <w:pPr>
        <w:ind w:left="720" w:hanging="360"/>
      </w:pPr>
      <w:rPr>
        <w:rFonts w:ascii="Symbol" w:hAnsi="Symbol"/>
      </w:rPr>
    </w:lvl>
    <w:lvl w:ilvl="7" w:tplc="EE501336">
      <w:start w:val="1"/>
      <w:numFmt w:val="bullet"/>
      <w:lvlText w:val=""/>
      <w:lvlJc w:val="left"/>
      <w:pPr>
        <w:ind w:left="720" w:hanging="360"/>
      </w:pPr>
      <w:rPr>
        <w:rFonts w:ascii="Symbol" w:hAnsi="Symbol"/>
      </w:rPr>
    </w:lvl>
    <w:lvl w:ilvl="8" w:tplc="86EA5362">
      <w:start w:val="1"/>
      <w:numFmt w:val="bullet"/>
      <w:lvlText w:val=""/>
      <w:lvlJc w:val="left"/>
      <w:pPr>
        <w:ind w:left="720" w:hanging="360"/>
      </w:pPr>
      <w:rPr>
        <w:rFonts w:ascii="Symbol" w:hAnsi="Symbol"/>
      </w:rPr>
    </w:lvl>
  </w:abstractNum>
  <w:abstractNum w:abstractNumId="6"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2020DD9"/>
    <w:multiLevelType w:val="hybridMultilevel"/>
    <w:tmpl w:val="FA8C90BE"/>
    <w:lvl w:ilvl="0" w:tplc="0C090017">
      <w:start w:val="1"/>
      <w:numFmt w:val="lowerLetter"/>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8" w15:restartNumberingAfterBreak="0">
    <w:nsid w:val="12A1534B"/>
    <w:multiLevelType w:val="multilevel"/>
    <w:tmpl w:val="7DB63B52"/>
    <w:styleLink w:val="BulletsOAIC"/>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568" w:hanging="284"/>
      </w:pPr>
      <w:rPr>
        <w:rFonts w:ascii="Times New Roman" w:hAnsi="Times New Roman" w:cs="Times New Roman"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99" w:hanging="199"/>
      </w:pPr>
      <w:rPr>
        <w:rFonts w:ascii="Symbol" w:hAnsi="Symbol" w:hint="default"/>
        <w:color w:val="auto"/>
      </w:rPr>
    </w:lvl>
    <w:lvl w:ilvl="4">
      <w:start w:val="1"/>
      <w:numFmt w:val="bullet"/>
      <w:lvlText w:val=""/>
      <w:lvlJc w:val="left"/>
      <w:pPr>
        <w:ind w:left="567" w:hanging="283"/>
      </w:pPr>
      <w:rPr>
        <w:rFonts w:ascii="Symbol" w:hAnsi="Symbol" w:hint="default"/>
        <w:color w:val="auto"/>
      </w:rPr>
    </w:lvl>
    <w:lvl w:ilvl="5">
      <w:start w:val="1"/>
      <w:numFmt w:val="bullet"/>
      <w:lvlText w:val="−"/>
      <w:lvlJc w:val="left"/>
      <w:pPr>
        <w:ind w:left="851" w:hanging="284"/>
      </w:pPr>
      <w:rPr>
        <w:rFonts w:ascii="Times New Roman" w:hAnsi="Times New Roman" w:cs="Times New Roman" w:hint="default"/>
        <w:color w:val="auto"/>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1A6B3397"/>
    <w:multiLevelType w:val="hybridMultilevel"/>
    <w:tmpl w:val="EF426E10"/>
    <w:lvl w:ilvl="0" w:tplc="B4A0CFAA">
      <w:start w:val="1"/>
      <w:numFmt w:val="lowerLetter"/>
      <w:lvlText w:val="%1)"/>
      <w:lvlJc w:val="left"/>
      <w:pPr>
        <w:ind w:left="1440" w:hanging="360"/>
      </w:pPr>
    </w:lvl>
    <w:lvl w:ilvl="1" w:tplc="63A0718C">
      <w:start w:val="1"/>
      <w:numFmt w:val="lowerLetter"/>
      <w:lvlText w:val="%2)"/>
      <w:lvlJc w:val="left"/>
      <w:pPr>
        <w:ind w:left="1440" w:hanging="360"/>
      </w:pPr>
    </w:lvl>
    <w:lvl w:ilvl="2" w:tplc="7E1A39E2">
      <w:start w:val="1"/>
      <w:numFmt w:val="lowerLetter"/>
      <w:lvlText w:val="%3)"/>
      <w:lvlJc w:val="left"/>
      <w:pPr>
        <w:ind w:left="1440" w:hanging="360"/>
      </w:pPr>
    </w:lvl>
    <w:lvl w:ilvl="3" w:tplc="FF3672A8">
      <w:start w:val="1"/>
      <w:numFmt w:val="lowerLetter"/>
      <w:lvlText w:val="%4)"/>
      <w:lvlJc w:val="left"/>
      <w:pPr>
        <w:ind w:left="1440" w:hanging="360"/>
      </w:pPr>
    </w:lvl>
    <w:lvl w:ilvl="4" w:tplc="2424EABC">
      <w:start w:val="1"/>
      <w:numFmt w:val="lowerLetter"/>
      <w:lvlText w:val="%5)"/>
      <w:lvlJc w:val="left"/>
      <w:pPr>
        <w:ind w:left="1440" w:hanging="360"/>
      </w:pPr>
    </w:lvl>
    <w:lvl w:ilvl="5" w:tplc="F3549AA6">
      <w:start w:val="1"/>
      <w:numFmt w:val="lowerLetter"/>
      <w:lvlText w:val="%6)"/>
      <w:lvlJc w:val="left"/>
      <w:pPr>
        <w:ind w:left="1440" w:hanging="360"/>
      </w:pPr>
    </w:lvl>
    <w:lvl w:ilvl="6" w:tplc="67A0CAA4">
      <w:start w:val="1"/>
      <w:numFmt w:val="lowerLetter"/>
      <w:lvlText w:val="%7)"/>
      <w:lvlJc w:val="left"/>
      <w:pPr>
        <w:ind w:left="1440" w:hanging="360"/>
      </w:pPr>
    </w:lvl>
    <w:lvl w:ilvl="7" w:tplc="6E0EB2D0">
      <w:start w:val="1"/>
      <w:numFmt w:val="lowerLetter"/>
      <w:lvlText w:val="%8)"/>
      <w:lvlJc w:val="left"/>
      <w:pPr>
        <w:ind w:left="1440" w:hanging="360"/>
      </w:pPr>
    </w:lvl>
    <w:lvl w:ilvl="8" w:tplc="85AED9BA">
      <w:start w:val="1"/>
      <w:numFmt w:val="lowerLetter"/>
      <w:lvlText w:val="%9)"/>
      <w:lvlJc w:val="left"/>
      <w:pPr>
        <w:ind w:left="1440" w:hanging="360"/>
      </w:pPr>
    </w:lvl>
  </w:abstractNum>
  <w:abstractNum w:abstractNumId="10"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1" w15:restartNumberingAfterBreak="0">
    <w:nsid w:val="22DA40AF"/>
    <w:multiLevelType w:val="hybridMultilevel"/>
    <w:tmpl w:val="918412CA"/>
    <w:lvl w:ilvl="0" w:tplc="2D707A2C">
      <w:start w:val="1"/>
      <w:numFmt w:val="lowerLetter"/>
      <w:lvlText w:val="%1)"/>
      <w:lvlJc w:val="left"/>
      <w:pPr>
        <w:ind w:left="1440" w:hanging="360"/>
      </w:pPr>
    </w:lvl>
    <w:lvl w:ilvl="1" w:tplc="7E027A46">
      <w:start w:val="1"/>
      <w:numFmt w:val="lowerLetter"/>
      <w:lvlText w:val="%2)"/>
      <w:lvlJc w:val="left"/>
      <w:pPr>
        <w:ind w:left="1440" w:hanging="360"/>
      </w:pPr>
    </w:lvl>
    <w:lvl w:ilvl="2" w:tplc="7584E06C">
      <w:start w:val="1"/>
      <w:numFmt w:val="lowerLetter"/>
      <w:lvlText w:val="%3)"/>
      <w:lvlJc w:val="left"/>
      <w:pPr>
        <w:ind w:left="1440" w:hanging="360"/>
      </w:pPr>
    </w:lvl>
    <w:lvl w:ilvl="3" w:tplc="426ED00C">
      <w:start w:val="1"/>
      <w:numFmt w:val="lowerLetter"/>
      <w:lvlText w:val="%4)"/>
      <w:lvlJc w:val="left"/>
      <w:pPr>
        <w:ind w:left="1440" w:hanging="360"/>
      </w:pPr>
    </w:lvl>
    <w:lvl w:ilvl="4" w:tplc="08B43F44">
      <w:start w:val="1"/>
      <w:numFmt w:val="lowerLetter"/>
      <w:lvlText w:val="%5)"/>
      <w:lvlJc w:val="left"/>
      <w:pPr>
        <w:ind w:left="1440" w:hanging="360"/>
      </w:pPr>
    </w:lvl>
    <w:lvl w:ilvl="5" w:tplc="8F263BA0">
      <w:start w:val="1"/>
      <w:numFmt w:val="lowerLetter"/>
      <w:lvlText w:val="%6)"/>
      <w:lvlJc w:val="left"/>
      <w:pPr>
        <w:ind w:left="1440" w:hanging="360"/>
      </w:pPr>
    </w:lvl>
    <w:lvl w:ilvl="6" w:tplc="BC3257A6">
      <w:start w:val="1"/>
      <w:numFmt w:val="lowerLetter"/>
      <w:lvlText w:val="%7)"/>
      <w:lvlJc w:val="left"/>
      <w:pPr>
        <w:ind w:left="1440" w:hanging="360"/>
      </w:pPr>
    </w:lvl>
    <w:lvl w:ilvl="7" w:tplc="13B6A7C8">
      <w:start w:val="1"/>
      <w:numFmt w:val="lowerLetter"/>
      <w:lvlText w:val="%8)"/>
      <w:lvlJc w:val="left"/>
      <w:pPr>
        <w:ind w:left="1440" w:hanging="360"/>
      </w:pPr>
    </w:lvl>
    <w:lvl w:ilvl="8" w:tplc="39607E12">
      <w:start w:val="1"/>
      <w:numFmt w:val="lowerLetter"/>
      <w:lvlText w:val="%9)"/>
      <w:lvlJc w:val="left"/>
      <w:pPr>
        <w:ind w:left="1440" w:hanging="360"/>
      </w:pPr>
    </w:lvl>
  </w:abstractNum>
  <w:abstractNum w:abstractNumId="12" w15:restartNumberingAfterBreak="0">
    <w:nsid w:val="332B33B8"/>
    <w:multiLevelType w:val="hybridMultilevel"/>
    <w:tmpl w:val="2370D2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D57C5A"/>
    <w:multiLevelType w:val="multilevel"/>
    <w:tmpl w:val="239ED75E"/>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284" w:hanging="284"/>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4" w15:restartNumberingAfterBreak="0">
    <w:nsid w:val="35FE1F79"/>
    <w:multiLevelType w:val="hybridMultilevel"/>
    <w:tmpl w:val="47645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F671F"/>
    <w:multiLevelType w:val="hybridMultilevel"/>
    <w:tmpl w:val="4882151E"/>
    <w:lvl w:ilvl="0" w:tplc="C6FC5E7E">
      <w:start w:val="1"/>
      <w:numFmt w:val="decimal"/>
      <w:lvlText w:val="(%1)"/>
      <w:lvlJc w:val="left"/>
      <w:pPr>
        <w:ind w:left="1070" w:hanging="360"/>
      </w:pPr>
      <w:rPr>
        <w:rFonts w:hint="default"/>
      </w:rPr>
    </w:lvl>
    <w:lvl w:ilvl="1" w:tplc="0C090017">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D51381"/>
    <w:multiLevelType w:val="multilevel"/>
    <w:tmpl w:val="D1203646"/>
    <w:numStyleLink w:val="TableNumbersOAIC"/>
  </w:abstractNum>
  <w:abstractNum w:abstractNumId="17" w15:restartNumberingAfterBreak="0">
    <w:nsid w:val="44326D2C"/>
    <w:multiLevelType w:val="hybridMultilevel"/>
    <w:tmpl w:val="24E01162"/>
    <w:lvl w:ilvl="0" w:tplc="3BE4FB8C">
      <w:start w:val="1"/>
      <w:numFmt w:val="bullet"/>
      <w:lvlText w:val=""/>
      <w:lvlJc w:val="left"/>
      <w:pPr>
        <w:ind w:left="720" w:hanging="360"/>
      </w:pPr>
      <w:rPr>
        <w:rFonts w:ascii="Symbol" w:hAnsi="Symbol"/>
      </w:rPr>
    </w:lvl>
    <w:lvl w:ilvl="1" w:tplc="B1385E96">
      <w:start w:val="1"/>
      <w:numFmt w:val="bullet"/>
      <w:lvlText w:val=""/>
      <w:lvlJc w:val="left"/>
      <w:pPr>
        <w:ind w:left="720" w:hanging="360"/>
      </w:pPr>
      <w:rPr>
        <w:rFonts w:ascii="Symbol" w:hAnsi="Symbol"/>
      </w:rPr>
    </w:lvl>
    <w:lvl w:ilvl="2" w:tplc="FB7C8866">
      <w:start w:val="1"/>
      <w:numFmt w:val="bullet"/>
      <w:lvlText w:val=""/>
      <w:lvlJc w:val="left"/>
      <w:pPr>
        <w:ind w:left="720" w:hanging="360"/>
      </w:pPr>
      <w:rPr>
        <w:rFonts w:ascii="Symbol" w:hAnsi="Symbol"/>
      </w:rPr>
    </w:lvl>
    <w:lvl w:ilvl="3" w:tplc="51A213C6">
      <w:start w:val="1"/>
      <w:numFmt w:val="bullet"/>
      <w:lvlText w:val=""/>
      <w:lvlJc w:val="left"/>
      <w:pPr>
        <w:ind w:left="720" w:hanging="360"/>
      </w:pPr>
      <w:rPr>
        <w:rFonts w:ascii="Symbol" w:hAnsi="Symbol"/>
      </w:rPr>
    </w:lvl>
    <w:lvl w:ilvl="4" w:tplc="08DAE040">
      <w:start w:val="1"/>
      <w:numFmt w:val="bullet"/>
      <w:lvlText w:val=""/>
      <w:lvlJc w:val="left"/>
      <w:pPr>
        <w:ind w:left="720" w:hanging="360"/>
      </w:pPr>
      <w:rPr>
        <w:rFonts w:ascii="Symbol" w:hAnsi="Symbol"/>
      </w:rPr>
    </w:lvl>
    <w:lvl w:ilvl="5" w:tplc="7584D686">
      <w:start w:val="1"/>
      <w:numFmt w:val="bullet"/>
      <w:lvlText w:val=""/>
      <w:lvlJc w:val="left"/>
      <w:pPr>
        <w:ind w:left="720" w:hanging="360"/>
      </w:pPr>
      <w:rPr>
        <w:rFonts w:ascii="Symbol" w:hAnsi="Symbol"/>
      </w:rPr>
    </w:lvl>
    <w:lvl w:ilvl="6" w:tplc="4C0A803E">
      <w:start w:val="1"/>
      <w:numFmt w:val="bullet"/>
      <w:lvlText w:val=""/>
      <w:lvlJc w:val="left"/>
      <w:pPr>
        <w:ind w:left="720" w:hanging="360"/>
      </w:pPr>
      <w:rPr>
        <w:rFonts w:ascii="Symbol" w:hAnsi="Symbol"/>
      </w:rPr>
    </w:lvl>
    <w:lvl w:ilvl="7" w:tplc="41ACD6E8">
      <w:start w:val="1"/>
      <w:numFmt w:val="bullet"/>
      <w:lvlText w:val=""/>
      <w:lvlJc w:val="left"/>
      <w:pPr>
        <w:ind w:left="720" w:hanging="360"/>
      </w:pPr>
      <w:rPr>
        <w:rFonts w:ascii="Symbol" w:hAnsi="Symbol"/>
      </w:rPr>
    </w:lvl>
    <w:lvl w:ilvl="8" w:tplc="3C70F55C">
      <w:start w:val="1"/>
      <w:numFmt w:val="bullet"/>
      <w:lvlText w:val=""/>
      <w:lvlJc w:val="left"/>
      <w:pPr>
        <w:ind w:left="720" w:hanging="360"/>
      </w:pPr>
      <w:rPr>
        <w:rFonts w:ascii="Symbol" w:hAnsi="Symbol"/>
      </w:rPr>
    </w:lvl>
  </w:abstractNum>
  <w:abstractNum w:abstractNumId="18"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9" w15:restartNumberingAfterBreak="0">
    <w:nsid w:val="583377CC"/>
    <w:multiLevelType w:val="multilevel"/>
    <w:tmpl w:val="4F62CCD2"/>
    <w:numStyleLink w:val="NumbersOAIC"/>
  </w:abstractNum>
  <w:abstractNum w:abstractNumId="20" w15:restartNumberingAfterBreak="0">
    <w:nsid w:val="5BC43C2A"/>
    <w:multiLevelType w:val="multilevel"/>
    <w:tmpl w:val="239ED75E"/>
    <w:numStyleLink w:val="NumberedParagraphsList"/>
  </w:abstractNum>
  <w:abstractNum w:abstractNumId="21"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1C6CFD"/>
    <w:multiLevelType w:val="hybridMultilevel"/>
    <w:tmpl w:val="EEB2B650"/>
    <w:lvl w:ilvl="0" w:tplc="AF3414DA">
      <w:start w:val="1"/>
      <w:numFmt w:val="bullet"/>
      <w:lvlText w:val=""/>
      <w:lvlJc w:val="left"/>
      <w:pPr>
        <w:ind w:left="720" w:hanging="360"/>
      </w:pPr>
      <w:rPr>
        <w:rFonts w:ascii="Symbol" w:hAnsi="Symbol"/>
      </w:rPr>
    </w:lvl>
    <w:lvl w:ilvl="1" w:tplc="57CE1282">
      <w:start w:val="1"/>
      <w:numFmt w:val="bullet"/>
      <w:lvlText w:val=""/>
      <w:lvlJc w:val="left"/>
      <w:pPr>
        <w:ind w:left="720" w:hanging="360"/>
      </w:pPr>
      <w:rPr>
        <w:rFonts w:ascii="Symbol" w:hAnsi="Symbol"/>
      </w:rPr>
    </w:lvl>
    <w:lvl w:ilvl="2" w:tplc="5514783A">
      <w:start w:val="1"/>
      <w:numFmt w:val="bullet"/>
      <w:lvlText w:val=""/>
      <w:lvlJc w:val="left"/>
      <w:pPr>
        <w:ind w:left="720" w:hanging="360"/>
      </w:pPr>
      <w:rPr>
        <w:rFonts w:ascii="Symbol" w:hAnsi="Symbol"/>
      </w:rPr>
    </w:lvl>
    <w:lvl w:ilvl="3" w:tplc="BB123D22">
      <w:start w:val="1"/>
      <w:numFmt w:val="bullet"/>
      <w:lvlText w:val=""/>
      <w:lvlJc w:val="left"/>
      <w:pPr>
        <w:ind w:left="720" w:hanging="360"/>
      </w:pPr>
      <w:rPr>
        <w:rFonts w:ascii="Symbol" w:hAnsi="Symbol"/>
      </w:rPr>
    </w:lvl>
    <w:lvl w:ilvl="4" w:tplc="CDA6D3F6">
      <w:start w:val="1"/>
      <w:numFmt w:val="bullet"/>
      <w:lvlText w:val=""/>
      <w:lvlJc w:val="left"/>
      <w:pPr>
        <w:ind w:left="720" w:hanging="360"/>
      </w:pPr>
      <w:rPr>
        <w:rFonts w:ascii="Symbol" w:hAnsi="Symbol"/>
      </w:rPr>
    </w:lvl>
    <w:lvl w:ilvl="5" w:tplc="009CD438">
      <w:start w:val="1"/>
      <w:numFmt w:val="bullet"/>
      <w:lvlText w:val=""/>
      <w:lvlJc w:val="left"/>
      <w:pPr>
        <w:ind w:left="720" w:hanging="360"/>
      </w:pPr>
      <w:rPr>
        <w:rFonts w:ascii="Symbol" w:hAnsi="Symbol"/>
      </w:rPr>
    </w:lvl>
    <w:lvl w:ilvl="6" w:tplc="24484FA2">
      <w:start w:val="1"/>
      <w:numFmt w:val="bullet"/>
      <w:lvlText w:val=""/>
      <w:lvlJc w:val="left"/>
      <w:pPr>
        <w:ind w:left="720" w:hanging="360"/>
      </w:pPr>
      <w:rPr>
        <w:rFonts w:ascii="Symbol" w:hAnsi="Symbol"/>
      </w:rPr>
    </w:lvl>
    <w:lvl w:ilvl="7" w:tplc="5ABA116A">
      <w:start w:val="1"/>
      <w:numFmt w:val="bullet"/>
      <w:lvlText w:val=""/>
      <w:lvlJc w:val="left"/>
      <w:pPr>
        <w:ind w:left="720" w:hanging="360"/>
      </w:pPr>
      <w:rPr>
        <w:rFonts w:ascii="Symbol" w:hAnsi="Symbol"/>
      </w:rPr>
    </w:lvl>
    <w:lvl w:ilvl="8" w:tplc="4F8E4B1A">
      <w:start w:val="1"/>
      <w:numFmt w:val="bullet"/>
      <w:lvlText w:val=""/>
      <w:lvlJc w:val="left"/>
      <w:pPr>
        <w:ind w:left="720" w:hanging="360"/>
      </w:pPr>
      <w:rPr>
        <w:rFonts w:ascii="Symbol" w:hAnsi="Symbol"/>
      </w:rPr>
    </w:lvl>
  </w:abstractNum>
  <w:abstractNum w:abstractNumId="23" w15:restartNumberingAfterBreak="0">
    <w:nsid w:val="7A491769"/>
    <w:multiLevelType w:val="hybridMultilevel"/>
    <w:tmpl w:val="7A160FBA"/>
    <w:lvl w:ilvl="0" w:tplc="96A84C9C">
      <w:start w:val="1"/>
      <w:numFmt w:val="bullet"/>
      <w:lvlText w:val=""/>
      <w:lvlJc w:val="left"/>
      <w:pPr>
        <w:ind w:left="720" w:hanging="360"/>
      </w:pPr>
      <w:rPr>
        <w:rFonts w:ascii="Symbol" w:hAnsi="Symbol"/>
      </w:rPr>
    </w:lvl>
    <w:lvl w:ilvl="1" w:tplc="527E1BEE">
      <w:start w:val="1"/>
      <w:numFmt w:val="bullet"/>
      <w:lvlText w:val=""/>
      <w:lvlJc w:val="left"/>
      <w:pPr>
        <w:ind w:left="720" w:hanging="360"/>
      </w:pPr>
      <w:rPr>
        <w:rFonts w:ascii="Symbol" w:hAnsi="Symbol"/>
      </w:rPr>
    </w:lvl>
    <w:lvl w:ilvl="2" w:tplc="C3F409C0">
      <w:start w:val="1"/>
      <w:numFmt w:val="bullet"/>
      <w:lvlText w:val=""/>
      <w:lvlJc w:val="left"/>
      <w:pPr>
        <w:ind w:left="720" w:hanging="360"/>
      </w:pPr>
      <w:rPr>
        <w:rFonts w:ascii="Symbol" w:hAnsi="Symbol"/>
      </w:rPr>
    </w:lvl>
    <w:lvl w:ilvl="3" w:tplc="6DC20F06">
      <w:start w:val="1"/>
      <w:numFmt w:val="bullet"/>
      <w:lvlText w:val=""/>
      <w:lvlJc w:val="left"/>
      <w:pPr>
        <w:ind w:left="720" w:hanging="360"/>
      </w:pPr>
      <w:rPr>
        <w:rFonts w:ascii="Symbol" w:hAnsi="Symbol"/>
      </w:rPr>
    </w:lvl>
    <w:lvl w:ilvl="4" w:tplc="BAF6FCF4">
      <w:start w:val="1"/>
      <w:numFmt w:val="bullet"/>
      <w:lvlText w:val=""/>
      <w:lvlJc w:val="left"/>
      <w:pPr>
        <w:ind w:left="720" w:hanging="360"/>
      </w:pPr>
      <w:rPr>
        <w:rFonts w:ascii="Symbol" w:hAnsi="Symbol"/>
      </w:rPr>
    </w:lvl>
    <w:lvl w:ilvl="5" w:tplc="BAB07138">
      <w:start w:val="1"/>
      <w:numFmt w:val="bullet"/>
      <w:lvlText w:val=""/>
      <w:lvlJc w:val="left"/>
      <w:pPr>
        <w:ind w:left="720" w:hanging="360"/>
      </w:pPr>
      <w:rPr>
        <w:rFonts w:ascii="Symbol" w:hAnsi="Symbol"/>
      </w:rPr>
    </w:lvl>
    <w:lvl w:ilvl="6" w:tplc="FBC42968">
      <w:start w:val="1"/>
      <w:numFmt w:val="bullet"/>
      <w:lvlText w:val=""/>
      <w:lvlJc w:val="left"/>
      <w:pPr>
        <w:ind w:left="720" w:hanging="360"/>
      </w:pPr>
      <w:rPr>
        <w:rFonts w:ascii="Symbol" w:hAnsi="Symbol"/>
      </w:rPr>
    </w:lvl>
    <w:lvl w:ilvl="7" w:tplc="C796819C">
      <w:start w:val="1"/>
      <w:numFmt w:val="bullet"/>
      <w:lvlText w:val=""/>
      <w:lvlJc w:val="left"/>
      <w:pPr>
        <w:ind w:left="720" w:hanging="360"/>
      </w:pPr>
      <w:rPr>
        <w:rFonts w:ascii="Symbol" w:hAnsi="Symbol"/>
      </w:rPr>
    </w:lvl>
    <w:lvl w:ilvl="8" w:tplc="C898E6FE">
      <w:start w:val="1"/>
      <w:numFmt w:val="bullet"/>
      <w:lvlText w:val=""/>
      <w:lvlJc w:val="left"/>
      <w:pPr>
        <w:ind w:left="720" w:hanging="360"/>
      </w:pPr>
      <w:rPr>
        <w:rFonts w:ascii="Symbol" w:hAnsi="Symbol"/>
      </w:rPr>
    </w:lvl>
  </w:abstractNum>
  <w:abstractNum w:abstractNumId="24" w15:restartNumberingAfterBreak="0">
    <w:nsid w:val="7B0014CA"/>
    <w:multiLevelType w:val="hybridMultilevel"/>
    <w:tmpl w:val="3D5695D6"/>
    <w:lvl w:ilvl="0" w:tplc="B832C51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E03E5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BF"/>
    <w:multiLevelType w:val="hybridMultilevel"/>
    <w:tmpl w:val="9B801DDE"/>
    <w:lvl w:ilvl="0" w:tplc="43EC157C">
      <w:start w:val="1"/>
      <w:numFmt w:val="decimal"/>
      <w:pStyle w:val="Legnumberedpara"/>
      <w:lvlText w:val="%1"/>
      <w:lvlJc w:val="left"/>
      <w:pPr>
        <w:ind w:left="912" w:hanging="55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7342107">
    <w:abstractNumId w:val="21"/>
  </w:num>
  <w:num w:numId="2" w16cid:durableId="1793816857">
    <w:abstractNumId w:val="2"/>
  </w:num>
  <w:num w:numId="3" w16cid:durableId="32392731">
    <w:abstractNumId w:val="25"/>
  </w:num>
  <w:num w:numId="4" w16cid:durableId="206114650">
    <w:abstractNumId w:val="10"/>
  </w:num>
  <w:num w:numId="5" w16cid:durableId="293485841">
    <w:abstractNumId w:val="6"/>
  </w:num>
  <w:num w:numId="6" w16cid:durableId="287778153">
    <w:abstractNumId w:val="8"/>
  </w:num>
  <w:num w:numId="7" w16cid:durableId="999774109">
    <w:abstractNumId w:val="18"/>
  </w:num>
  <w:num w:numId="8" w16cid:durableId="870410665">
    <w:abstractNumId w:val="16"/>
  </w:num>
  <w:num w:numId="9" w16cid:durableId="1013607045">
    <w:abstractNumId w:val="13"/>
  </w:num>
  <w:num w:numId="10" w16cid:durableId="1333951753">
    <w:abstractNumId w:val="0"/>
  </w:num>
  <w:num w:numId="11" w16cid:durableId="1701978917">
    <w:abstractNumId w:val="19"/>
  </w:num>
  <w:num w:numId="12" w16cid:durableId="1433550099">
    <w:abstractNumId w:val="20"/>
  </w:num>
  <w:num w:numId="13" w16cid:durableId="830635691">
    <w:abstractNumId w:val="4"/>
  </w:num>
  <w:num w:numId="14" w16cid:durableId="1863006793">
    <w:abstractNumId w:val="26"/>
  </w:num>
  <w:num w:numId="15" w16cid:durableId="986016391">
    <w:abstractNumId w:val="24"/>
  </w:num>
  <w:num w:numId="16" w16cid:durableId="163596018">
    <w:abstractNumId w:val="12"/>
  </w:num>
  <w:num w:numId="17" w16cid:durableId="1705784894">
    <w:abstractNumId w:val="15"/>
  </w:num>
  <w:num w:numId="18" w16cid:durableId="385688906">
    <w:abstractNumId w:val="14"/>
  </w:num>
  <w:num w:numId="19" w16cid:durableId="940114604">
    <w:abstractNumId w:val="5"/>
  </w:num>
  <w:num w:numId="20" w16cid:durableId="1006060471">
    <w:abstractNumId w:val="9"/>
  </w:num>
  <w:num w:numId="21" w16cid:durableId="89279373">
    <w:abstractNumId w:val="11"/>
  </w:num>
  <w:num w:numId="22" w16cid:durableId="1130593745">
    <w:abstractNumId w:val="22"/>
  </w:num>
  <w:num w:numId="23" w16cid:durableId="668098628">
    <w:abstractNumId w:val="17"/>
  </w:num>
  <w:num w:numId="24" w16cid:durableId="280383332">
    <w:abstractNumId w:val="23"/>
  </w:num>
  <w:num w:numId="25" w16cid:durableId="50664956">
    <w:abstractNumId w:val="7"/>
  </w:num>
  <w:num w:numId="26" w16cid:durableId="1255940680">
    <w:abstractNumId w:val="3"/>
  </w:num>
  <w:num w:numId="27" w16cid:durableId="109374548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B9"/>
    <w:rsid w:val="00002A0B"/>
    <w:rsid w:val="00002F88"/>
    <w:rsid w:val="00003276"/>
    <w:rsid w:val="0000543C"/>
    <w:rsid w:val="00005974"/>
    <w:rsid w:val="00005E59"/>
    <w:rsid w:val="000064BE"/>
    <w:rsid w:val="000065C1"/>
    <w:rsid w:val="0000671A"/>
    <w:rsid w:val="000069C9"/>
    <w:rsid w:val="00007404"/>
    <w:rsid w:val="000119AE"/>
    <w:rsid w:val="00011A27"/>
    <w:rsid w:val="0001377B"/>
    <w:rsid w:val="00013AA2"/>
    <w:rsid w:val="0001467B"/>
    <w:rsid w:val="00014CA1"/>
    <w:rsid w:val="00015173"/>
    <w:rsid w:val="000153C5"/>
    <w:rsid w:val="000157E3"/>
    <w:rsid w:val="000178D1"/>
    <w:rsid w:val="00020AFA"/>
    <w:rsid w:val="00021409"/>
    <w:rsid w:val="00025373"/>
    <w:rsid w:val="000255F5"/>
    <w:rsid w:val="0002598C"/>
    <w:rsid w:val="0002699C"/>
    <w:rsid w:val="00026AD8"/>
    <w:rsid w:val="00026D02"/>
    <w:rsid w:val="000278DF"/>
    <w:rsid w:val="0003190F"/>
    <w:rsid w:val="00033443"/>
    <w:rsid w:val="00033FD9"/>
    <w:rsid w:val="0004086C"/>
    <w:rsid w:val="00041649"/>
    <w:rsid w:val="00041FFA"/>
    <w:rsid w:val="0004248F"/>
    <w:rsid w:val="000429E6"/>
    <w:rsid w:val="00043C6D"/>
    <w:rsid w:val="00043E5C"/>
    <w:rsid w:val="0004554D"/>
    <w:rsid w:val="00046328"/>
    <w:rsid w:val="000511E6"/>
    <w:rsid w:val="0005293B"/>
    <w:rsid w:val="00052AC3"/>
    <w:rsid w:val="00053ABE"/>
    <w:rsid w:val="000544A5"/>
    <w:rsid w:val="00055300"/>
    <w:rsid w:val="000554B4"/>
    <w:rsid w:val="00055A91"/>
    <w:rsid w:val="00056B3C"/>
    <w:rsid w:val="00057CEF"/>
    <w:rsid w:val="00057F65"/>
    <w:rsid w:val="000604D2"/>
    <w:rsid w:val="00061575"/>
    <w:rsid w:val="00063AA3"/>
    <w:rsid w:val="00064D0E"/>
    <w:rsid w:val="00065483"/>
    <w:rsid w:val="00065BA7"/>
    <w:rsid w:val="00070021"/>
    <w:rsid w:val="00070E70"/>
    <w:rsid w:val="00071460"/>
    <w:rsid w:val="00072113"/>
    <w:rsid w:val="00072A25"/>
    <w:rsid w:val="00074379"/>
    <w:rsid w:val="00074CD1"/>
    <w:rsid w:val="0007523D"/>
    <w:rsid w:val="00075483"/>
    <w:rsid w:val="00075A24"/>
    <w:rsid w:val="0008084E"/>
    <w:rsid w:val="00081408"/>
    <w:rsid w:val="00082A86"/>
    <w:rsid w:val="0008338B"/>
    <w:rsid w:val="0008511A"/>
    <w:rsid w:val="000866DA"/>
    <w:rsid w:val="00086CA9"/>
    <w:rsid w:val="0009083C"/>
    <w:rsid w:val="000913C6"/>
    <w:rsid w:val="000916CB"/>
    <w:rsid w:val="00091FED"/>
    <w:rsid w:val="00093B03"/>
    <w:rsid w:val="00093E2D"/>
    <w:rsid w:val="00094667"/>
    <w:rsid w:val="00094C05"/>
    <w:rsid w:val="00095C53"/>
    <w:rsid w:val="000964C9"/>
    <w:rsid w:val="00096761"/>
    <w:rsid w:val="00096968"/>
    <w:rsid w:val="00097305"/>
    <w:rsid w:val="000A002E"/>
    <w:rsid w:val="000A200E"/>
    <w:rsid w:val="000A443D"/>
    <w:rsid w:val="000B1568"/>
    <w:rsid w:val="000B1EAB"/>
    <w:rsid w:val="000B2663"/>
    <w:rsid w:val="000B32D5"/>
    <w:rsid w:val="000B4213"/>
    <w:rsid w:val="000B46AF"/>
    <w:rsid w:val="000B50AE"/>
    <w:rsid w:val="000B51D5"/>
    <w:rsid w:val="000B6108"/>
    <w:rsid w:val="000C0E65"/>
    <w:rsid w:val="000C10E9"/>
    <w:rsid w:val="000C21B5"/>
    <w:rsid w:val="000C2BBD"/>
    <w:rsid w:val="000C34D9"/>
    <w:rsid w:val="000C42E0"/>
    <w:rsid w:val="000C4BFA"/>
    <w:rsid w:val="000C5A74"/>
    <w:rsid w:val="000C61E7"/>
    <w:rsid w:val="000C6A2A"/>
    <w:rsid w:val="000C7507"/>
    <w:rsid w:val="000C76F5"/>
    <w:rsid w:val="000C7B37"/>
    <w:rsid w:val="000D0535"/>
    <w:rsid w:val="000D1709"/>
    <w:rsid w:val="000D1F43"/>
    <w:rsid w:val="000D318B"/>
    <w:rsid w:val="000D483B"/>
    <w:rsid w:val="000D5DC6"/>
    <w:rsid w:val="000D7A38"/>
    <w:rsid w:val="000D7EFA"/>
    <w:rsid w:val="000E0C4E"/>
    <w:rsid w:val="000E1BC1"/>
    <w:rsid w:val="000E358A"/>
    <w:rsid w:val="000E3837"/>
    <w:rsid w:val="000E4646"/>
    <w:rsid w:val="000E48B4"/>
    <w:rsid w:val="000E4C12"/>
    <w:rsid w:val="000F06F5"/>
    <w:rsid w:val="000F1D86"/>
    <w:rsid w:val="000F3D06"/>
    <w:rsid w:val="000F56CB"/>
    <w:rsid w:val="000F5814"/>
    <w:rsid w:val="000F5CC5"/>
    <w:rsid w:val="000F75EF"/>
    <w:rsid w:val="001008A8"/>
    <w:rsid w:val="001008C2"/>
    <w:rsid w:val="001028E4"/>
    <w:rsid w:val="0010398E"/>
    <w:rsid w:val="00104964"/>
    <w:rsid w:val="0010526B"/>
    <w:rsid w:val="00105CEF"/>
    <w:rsid w:val="00111980"/>
    <w:rsid w:val="001124D0"/>
    <w:rsid w:val="0011268F"/>
    <w:rsid w:val="00112F49"/>
    <w:rsid w:val="001146F2"/>
    <w:rsid w:val="00115CF4"/>
    <w:rsid w:val="0011669B"/>
    <w:rsid w:val="001169A2"/>
    <w:rsid w:val="00116D63"/>
    <w:rsid w:val="001177DF"/>
    <w:rsid w:val="00117CFA"/>
    <w:rsid w:val="00117E0C"/>
    <w:rsid w:val="00124466"/>
    <w:rsid w:val="00124B5E"/>
    <w:rsid w:val="001303A4"/>
    <w:rsid w:val="001307D8"/>
    <w:rsid w:val="00130DAC"/>
    <w:rsid w:val="0013251D"/>
    <w:rsid w:val="001334A5"/>
    <w:rsid w:val="00135322"/>
    <w:rsid w:val="00135C2C"/>
    <w:rsid w:val="001361BE"/>
    <w:rsid w:val="00136842"/>
    <w:rsid w:val="0013699C"/>
    <w:rsid w:val="00136DA2"/>
    <w:rsid w:val="00137F8A"/>
    <w:rsid w:val="00143D5A"/>
    <w:rsid w:val="001466FF"/>
    <w:rsid w:val="0014760E"/>
    <w:rsid w:val="001503BD"/>
    <w:rsid w:val="001546B3"/>
    <w:rsid w:val="00154900"/>
    <w:rsid w:val="001553CF"/>
    <w:rsid w:val="0016008D"/>
    <w:rsid w:val="001608B3"/>
    <w:rsid w:val="001623DA"/>
    <w:rsid w:val="00162718"/>
    <w:rsid w:val="00165789"/>
    <w:rsid w:val="00166187"/>
    <w:rsid w:val="00166916"/>
    <w:rsid w:val="00166BC8"/>
    <w:rsid w:val="00167002"/>
    <w:rsid w:val="001712FA"/>
    <w:rsid w:val="00171E96"/>
    <w:rsid w:val="00172870"/>
    <w:rsid w:val="00172A63"/>
    <w:rsid w:val="00172A79"/>
    <w:rsid w:val="001750D9"/>
    <w:rsid w:val="00176D62"/>
    <w:rsid w:val="00177114"/>
    <w:rsid w:val="0018083B"/>
    <w:rsid w:val="00180941"/>
    <w:rsid w:val="00181BA6"/>
    <w:rsid w:val="00182889"/>
    <w:rsid w:val="00184952"/>
    <w:rsid w:val="00184C5A"/>
    <w:rsid w:val="00184CB9"/>
    <w:rsid w:val="00185A3F"/>
    <w:rsid w:val="00186984"/>
    <w:rsid w:val="00187B52"/>
    <w:rsid w:val="00190CD3"/>
    <w:rsid w:val="00192351"/>
    <w:rsid w:val="00197B06"/>
    <w:rsid w:val="001A0085"/>
    <w:rsid w:val="001A07AB"/>
    <w:rsid w:val="001A1C64"/>
    <w:rsid w:val="001A1D99"/>
    <w:rsid w:val="001A51DE"/>
    <w:rsid w:val="001A6CBA"/>
    <w:rsid w:val="001B12AB"/>
    <w:rsid w:val="001B13E7"/>
    <w:rsid w:val="001B1E36"/>
    <w:rsid w:val="001B21D4"/>
    <w:rsid w:val="001B2358"/>
    <w:rsid w:val="001B28B3"/>
    <w:rsid w:val="001B74B5"/>
    <w:rsid w:val="001C0B8C"/>
    <w:rsid w:val="001C1932"/>
    <w:rsid w:val="001C2BE2"/>
    <w:rsid w:val="001C4846"/>
    <w:rsid w:val="001C51D3"/>
    <w:rsid w:val="001C55BC"/>
    <w:rsid w:val="001C67CF"/>
    <w:rsid w:val="001C6A0E"/>
    <w:rsid w:val="001C7A72"/>
    <w:rsid w:val="001D01A5"/>
    <w:rsid w:val="001D05AC"/>
    <w:rsid w:val="001D05F2"/>
    <w:rsid w:val="001D2840"/>
    <w:rsid w:val="001D3686"/>
    <w:rsid w:val="001D3883"/>
    <w:rsid w:val="001D3B38"/>
    <w:rsid w:val="001D40BD"/>
    <w:rsid w:val="001D4824"/>
    <w:rsid w:val="001D5594"/>
    <w:rsid w:val="001D63F4"/>
    <w:rsid w:val="001E05E0"/>
    <w:rsid w:val="001E163E"/>
    <w:rsid w:val="001E1642"/>
    <w:rsid w:val="001E1BB8"/>
    <w:rsid w:val="001E2153"/>
    <w:rsid w:val="001E3D79"/>
    <w:rsid w:val="001E4FF0"/>
    <w:rsid w:val="001E52C0"/>
    <w:rsid w:val="001E72B6"/>
    <w:rsid w:val="001E7BE6"/>
    <w:rsid w:val="001F1C08"/>
    <w:rsid w:val="001F1EE8"/>
    <w:rsid w:val="001F22FF"/>
    <w:rsid w:val="001F23BB"/>
    <w:rsid w:val="001F3AD0"/>
    <w:rsid w:val="001F412B"/>
    <w:rsid w:val="001F4257"/>
    <w:rsid w:val="001F6164"/>
    <w:rsid w:val="001F77CC"/>
    <w:rsid w:val="002011BF"/>
    <w:rsid w:val="00201C8C"/>
    <w:rsid w:val="00202E34"/>
    <w:rsid w:val="00202F44"/>
    <w:rsid w:val="0020326C"/>
    <w:rsid w:val="0020681A"/>
    <w:rsid w:val="00206CC4"/>
    <w:rsid w:val="002077C3"/>
    <w:rsid w:val="00207961"/>
    <w:rsid w:val="002124F4"/>
    <w:rsid w:val="00213108"/>
    <w:rsid w:val="00214036"/>
    <w:rsid w:val="0021443D"/>
    <w:rsid w:val="00215E9C"/>
    <w:rsid w:val="00216E37"/>
    <w:rsid w:val="00217094"/>
    <w:rsid w:val="00217632"/>
    <w:rsid w:val="002253C5"/>
    <w:rsid w:val="00225D6F"/>
    <w:rsid w:val="002265EF"/>
    <w:rsid w:val="002270B2"/>
    <w:rsid w:val="00230642"/>
    <w:rsid w:val="0023248C"/>
    <w:rsid w:val="00232A46"/>
    <w:rsid w:val="002348D9"/>
    <w:rsid w:val="00234B9C"/>
    <w:rsid w:val="00236C2C"/>
    <w:rsid w:val="00236E53"/>
    <w:rsid w:val="002401E0"/>
    <w:rsid w:val="00241D54"/>
    <w:rsid w:val="002423D6"/>
    <w:rsid w:val="0024260D"/>
    <w:rsid w:val="00242615"/>
    <w:rsid w:val="00243D15"/>
    <w:rsid w:val="00245E0D"/>
    <w:rsid w:val="00246D6F"/>
    <w:rsid w:val="002500E4"/>
    <w:rsid w:val="002502FA"/>
    <w:rsid w:val="002507B8"/>
    <w:rsid w:val="00250D3C"/>
    <w:rsid w:val="00252D50"/>
    <w:rsid w:val="00255FA9"/>
    <w:rsid w:val="0025704A"/>
    <w:rsid w:val="00257912"/>
    <w:rsid w:val="002579E7"/>
    <w:rsid w:val="00257D40"/>
    <w:rsid w:val="002631A9"/>
    <w:rsid w:val="002632ED"/>
    <w:rsid w:val="002641BA"/>
    <w:rsid w:val="00266DD3"/>
    <w:rsid w:val="00267E3C"/>
    <w:rsid w:val="00270920"/>
    <w:rsid w:val="00271B26"/>
    <w:rsid w:val="002734AC"/>
    <w:rsid w:val="00273E14"/>
    <w:rsid w:val="0027578A"/>
    <w:rsid w:val="002775DE"/>
    <w:rsid w:val="00277A19"/>
    <w:rsid w:val="00283019"/>
    <w:rsid w:val="0028351B"/>
    <w:rsid w:val="00283B45"/>
    <w:rsid w:val="00284962"/>
    <w:rsid w:val="00285026"/>
    <w:rsid w:val="002859F3"/>
    <w:rsid w:val="00286E35"/>
    <w:rsid w:val="00287662"/>
    <w:rsid w:val="002905E2"/>
    <w:rsid w:val="00290B35"/>
    <w:rsid w:val="00290B9D"/>
    <w:rsid w:val="00292CB9"/>
    <w:rsid w:val="00292E72"/>
    <w:rsid w:val="002934F6"/>
    <w:rsid w:val="002936B5"/>
    <w:rsid w:val="00294DA2"/>
    <w:rsid w:val="00296373"/>
    <w:rsid w:val="00297D3A"/>
    <w:rsid w:val="002A0F4A"/>
    <w:rsid w:val="002A298B"/>
    <w:rsid w:val="002A2E8C"/>
    <w:rsid w:val="002A4A08"/>
    <w:rsid w:val="002A4D1A"/>
    <w:rsid w:val="002A61B6"/>
    <w:rsid w:val="002A6693"/>
    <w:rsid w:val="002B19E3"/>
    <w:rsid w:val="002B428B"/>
    <w:rsid w:val="002B4947"/>
    <w:rsid w:val="002B576B"/>
    <w:rsid w:val="002B5820"/>
    <w:rsid w:val="002B5C36"/>
    <w:rsid w:val="002B6A65"/>
    <w:rsid w:val="002C0C6F"/>
    <w:rsid w:val="002C135F"/>
    <w:rsid w:val="002C1E3C"/>
    <w:rsid w:val="002C27B5"/>
    <w:rsid w:val="002C2F4C"/>
    <w:rsid w:val="002C40E5"/>
    <w:rsid w:val="002C42B6"/>
    <w:rsid w:val="002C4D9C"/>
    <w:rsid w:val="002C5DF9"/>
    <w:rsid w:val="002C76A7"/>
    <w:rsid w:val="002D1EC6"/>
    <w:rsid w:val="002D4E63"/>
    <w:rsid w:val="002D5132"/>
    <w:rsid w:val="002D5327"/>
    <w:rsid w:val="002D77A9"/>
    <w:rsid w:val="002E330F"/>
    <w:rsid w:val="002E3AD5"/>
    <w:rsid w:val="002E3B4D"/>
    <w:rsid w:val="002E564C"/>
    <w:rsid w:val="002E568A"/>
    <w:rsid w:val="002E571C"/>
    <w:rsid w:val="002E585D"/>
    <w:rsid w:val="002E5FF6"/>
    <w:rsid w:val="002E64A5"/>
    <w:rsid w:val="002F0500"/>
    <w:rsid w:val="002F0A87"/>
    <w:rsid w:val="002F119E"/>
    <w:rsid w:val="002F2D16"/>
    <w:rsid w:val="002F3B2C"/>
    <w:rsid w:val="0030200C"/>
    <w:rsid w:val="00302B5A"/>
    <w:rsid w:val="00302CAB"/>
    <w:rsid w:val="003045BF"/>
    <w:rsid w:val="003054A0"/>
    <w:rsid w:val="00305B98"/>
    <w:rsid w:val="00307FDC"/>
    <w:rsid w:val="0031159D"/>
    <w:rsid w:val="00313AE1"/>
    <w:rsid w:val="0031444B"/>
    <w:rsid w:val="0031447B"/>
    <w:rsid w:val="00315999"/>
    <w:rsid w:val="00316AFA"/>
    <w:rsid w:val="00321E75"/>
    <w:rsid w:val="00323F53"/>
    <w:rsid w:val="0032408B"/>
    <w:rsid w:val="00324E1A"/>
    <w:rsid w:val="00324E31"/>
    <w:rsid w:val="0032709A"/>
    <w:rsid w:val="00330482"/>
    <w:rsid w:val="0033100B"/>
    <w:rsid w:val="003319E9"/>
    <w:rsid w:val="0033251B"/>
    <w:rsid w:val="00333526"/>
    <w:rsid w:val="003338BA"/>
    <w:rsid w:val="00333C8A"/>
    <w:rsid w:val="00334F4D"/>
    <w:rsid w:val="003360CA"/>
    <w:rsid w:val="00337543"/>
    <w:rsid w:val="00342AD6"/>
    <w:rsid w:val="00342CE4"/>
    <w:rsid w:val="00342EB6"/>
    <w:rsid w:val="00343166"/>
    <w:rsid w:val="00343E08"/>
    <w:rsid w:val="00345880"/>
    <w:rsid w:val="00346AF8"/>
    <w:rsid w:val="00346D4D"/>
    <w:rsid w:val="00347C66"/>
    <w:rsid w:val="00350705"/>
    <w:rsid w:val="003523CF"/>
    <w:rsid w:val="00352B9D"/>
    <w:rsid w:val="0035372C"/>
    <w:rsid w:val="00356995"/>
    <w:rsid w:val="00360E79"/>
    <w:rsid w:val="00362321"/>
    <w:rsid w:val="0036443F"/>
    <w:rsid w:val="00364A65"/>
    <w:rsid w:val="00364D4E"/>
    <w:rsid w:val="00365520"/>
    <w:rsid w:val="00366B5C"/>
    <w:rsid w:val="00367110"/>
    <w:rsid w:val="003673DA"/>
    <w:rsid w:val="003674A9"/>
    <w:rsid w:val="0036754D"/>
    <w:rsid w:val="00367669"/>
    <w:rsid w:val="0037034C"/>
    <w:rsid w:val="00370E2D"/>
    <w:rsid w:val="00371CA6"/>
    <w:rsid w:val="00372985"/>
    <w:rsid w:val="003730C1"/>
    <w:rsid w:val="0037381F"/>
    <w:rsid w:val="00374466"/>
    <w:rsid w:val="003766AC"/>
    <w:rsid w:val="003803DD"/>
    <w:rsid w:val="00380805"/>
    <w:rsid w:val="003821AF"/>
    <w:rsid w:val="003830F4"/>
    <w:rsid w:val="0038352B"/>
    <w:rsid w:val="00383DB9"/>
    <w:rsid w:val="00385379"/>
    <w:rsid w:val="00387801"/>
    <w:rsid w:val="0039012F"/>
    <w:rsid w:val="00391109"/>
    <w:rsid w:val="00391C33"/>
    <w:rsid w:val="00392224"/>
    <w:rsid w:val="0039246D"/>
    <w:rsid w:val="0039354F"/>
    <w:rsid w:val="00394D69"/>
    <w:rsid w:val="00394DCA"/>
    <w:rsid w:val="00394DF3"/>
    <w:rsid w:val="003952A6"/>
    <w:rsid w:val="00395CA8"/>
    <w:rsid w:val="003A0617"/>
    <w:rsid w:val="003A0F5C"/>
    <w:rsid w:val="003A1A30"/>
    <w:rsid w:val="003A1F7B"/>
    <w:rsid w:val="003A396A"/>
    <w:rsid w:val="003A4BD5"/>
    <w:rsid w:val="003A602F"/>
    <w:rsid w:val="003A63C4"/>
    <w:rsid w:val="003A7847"/>
    <w:rsid w:val="003A7D90"/>
    <w:rsid w:val="003B0590"/>
    <w:rsid w:val="003B2C6C"/>
    <w:rsid w:val="003B33EF"/>
    <w:rsid w:val="003B5BD8"/>
    <w:rsid w:val="003B62A1"/>
    <w:rsid w:val="003B734A"/>
    <w:rsid w:val="003B7A61"/>
    <w:rsid w:val="003C05A4"/>
    <w:rsid w:val="003C2E4F"/>
    <w:rsid w:val="003C34FA"/>
    <w:rsid w:val="003C4F0A"/>
    <w:rsid w:val="003C5FD4"/>
    <w:rsid w:val="003C6162"/>
    <w:rsid w:val="003C65A3"/>
    <w:rsid w:val="003C6ED2"/>
    <w:rsid w:val="003D02CB"/>
    <w:rsid w:val="003D131F"/>
    <w:rsid w:val="003D2F1C"/>
    <w:rsid w:val="003D544C"/>
    <w:rsid w:val="003D5BE5"/>
    <w:rsid w:val="003D75E1"/>
    <w:rsid w:val="003D7C13"/>
    <w:rsid w:val="003D7CD4"/>
    <w:rsid w:val="003E15F1"/>
    <w:rsid w:val="003E210B"/>
    <w:rsid w:val="003E2396"/>
    <w:rsid w:val="003E3F49"/>
    <w:rsid w:val="003E511C"/>
    <w:rsid w:val="003E54A7"/>
    <w:rsid w:val="003E715C"/>
    <w:rsid w:val="003E752D"/>
    <w:rsid w:val="003F1564"/>
    <w:rsid w:val="003F173C"/>
    <w:rsid w:val="003F2300"/>
    <w:rsid w:val="003F23B2"/>
    <w:rsid w:val="003F2C19"/>
    <w:rsid w:val="003F31E6"/>
    <w:rsid w:val="003F370F"/>
    <w:rsid w:val="003F3D8D"/>
    <w:rsid w:val="003F42A9"/>
    <w:rsid w:val="003F77D5"/>
    <w:rsid w:val="004004F6"/>
    <w:rsid w:val="00400802"/>
    <w:rsid w:val="00400EAE"/>
    <w:rsid w:val="00404B07"/>
    <w:rsid w:val="004159B8"/>
    <w:rsid w:val="00415B1E"/>
    <w:rsid w:val="00415D98"/>
    <w:rsid w:val="00416E32"/>
    <w:rsid w:val="00417C86"/>
    <w:rsid w:val="00417F93"/>
    <w:rsid w:val="00420A85"/>
    <w:rsid w:val="00420D0C"/>
    <w:rsid w:val="00420F91"/>
    <w:rsid w:val="00423426"/>
    <w:rsid w:val="00423CCE"/>
    <w:rsid w:val="004247A4"/>
    <w:rsid w:val="00425A70"/>
    <w:rsid w:val="00425BBB"/>
    <w:rsid w:val="00425FC5"/>
    <w:rsid w:val="0043053B"/>
    <w:rsid w:val="004313AA"/>
    <w:rsid w:val="004336F5"/>
    <w:rsid w:val="004354B6"/>
    <w:rsid w:val="004368E1"/>
    <w:rsid w:val="004401C2"/>
    <w:rsid w:val="00442D80"/>
    <w:rsid w:val="0044324C"/>
    <w:rsid w:val="004439EE"/>
    <w:rsid w:val="00444188"/>
    <w:rsid w:val="00444406"/>
    <w:rsid w:val="00445D86"/>
    <w:rsid w:val="004464B5"/>
    <w:rsid w:val="00447122"/>
    <w:rsid w:val="00447D14"/>
    <w:rsid w:val="00451CF4"/>
    <w:rsid w:val="00452476"/>
    <w:rsid w:val="00456CB5"/>
    <w:rsid w:val="00460915"/>
    <w:rsid w:val="004633C8"/>
    <w:rsid w:val="004644BD"/>
    <w:rsid w:val="00464A81"/>
    <w:rsid w:val="00464FC1"/>
    <w:rsid w:val="004655C1"/>
    <w:rsid w:val="00465895"/>
    <w:rsid w:val="00466875"/>
    <w:rsid w:val="00467375"/>
    <w:rsid w:val="00467BB4"/>
    <w:rsid w:val="00473DEE"/>
    <w:rsid w:val="00473E92"/>
    <w:rsid w:val="00475A69"/>
    <w:rsid w:val="00475DD9"/>
    <w:rsid w:val="004766E3"/>
    <w:rsid w:val="00476F98"/>
    <w:rsid w:val="004772A3"/>
    <w:rsid w:val="00477BC6"/>
    <w:rsid w:val="004808D5"/>
    <w:rsid w:val="004816F6"/>
    <w:rsid w:val="00482506"/>
    <w:rsid w:val="00482E6D"/>
    <w:rsid w:val="00483AC3"/>
    <w:rsid w:val="00484517"/>
    <w:rsid w:val="00485B78"/>
    <w:rsid w:val="00487486"/>
    <w:rsid w:val="0049072A"/>
    <w:rsid w:val="00490774"/>
    <w:rsid w:val="00492BC5"/>
    <w:rsid w:val="00492F79"/>
    <w:rsid w:val="0049372D"/>
    <w:rsid w:val="00493BFC"/>
    <w:rsid w:val="00496183"/>
    <w:rsid w:val="00497864"/>
    <w:rsid w:val="00497CA2"/>
    <w:rsid w:val="004A4CC0"/>
    <w:rsid w:val="004A5B41"/>
    <w:rsid w:val="004A67DF"/>
    <w:rsid w:val="004B1868"/>
    <w:rsid w:val="004B22EA"/>
    <w:rsid w:val="004B2B8E"/>
    <w:rsid w:val="004B2E50"/>
    <w:rsid w:val="004C0831"/>
    <w:rsid w:val="004C1F5A"/>
    <w:rsid w:val="004C2044"/>
    <w:rsid w:val="004C33FC"/>
    <w:rsid w:val="004C3AD1"/>
    <w:rsid w:val="004C4983"/>
    <w:rsid w:val="004D02B7"/>
    <w:rsid w:val="004D07D9"/>
    <w:rsid w:val="004D09B5"/>
    <w:rsid w:val="004D1099"/>
    <w:rsid w:val="004D2E27"/>
    <w:rsid w:val="004D3D0D"/>
    <w:rsid w:val="004D76F0"/>
    <w:rsid w:val="004E0535"/>
    <w:rsid w:val="004E1A19"/>
    <w:rsid w:val="004E1F1B"/>
    <w:rsid w:val="004E254F"/>
    <w:rsid w:val="004E51B1"/>
    <w:rsid w:val="004E5C3E"/>
    <w:rsid w:val="004E5E93"/>
    <w:rsid w:val="004E6221"/>
    <w:rsid w:val="004E6939"/>
    <w:rsid w:val="004E6E08"/>
    <w:rsid w:val="004E75F9"/>
    <w:rsid w:val="004F03D8"/>
    <w:rsid w:val="004F2059"/>
    <w:rsid w:val="004F25D7"/>
    <w:rsid w:val="004F275B"/>
    <w:rsid w:val="004F2931"/>
    <w:rsid w:val="004F3096"/>
    <w:rsid w:val="004F4C09"/>
    <w:rsid w:val="004F6307"/>
    <w:rsid w:val="005006EF"/>
    <w:rsid w:val="00500AD1"/>
    <w:rsid w:val="0050188C"/>
    <w:rsid w:val="00502B9B"/>
    <w:rsid w:val="00502F0A"/>
    <w:rsid w:val="00503156"/>
    <w:rsid w:val="0050346C"/>
    <w:rsid w:val="00503B0E"/>
    <w:rsid w:val="00504035"/>
    <w:rsid w:val="00504AA2"/>
    <w:rsid w:val="00505718"/>
    <w:rsid w:val="00506A6F"/>
    <w:rsid w:val="00507DBC"/>
    <w:rsid w:val="005101FC"/>
    <w:rsid w:val="00511B66"/>
    <w:rsid w:val="00513138"/>
    <w:rsid w:val="0051414C"/>
    <w:rsid w:val="00516672"/>
    <w:rsid w:val="00517828"/>
    <w:rsid w:val="00517BE4"/>
    <w:rsid w:val="00520D7C"/>
    <w:rsid w:val="005213C8"/>
    <w:rsid w:val="00521C83"/>
    <w:rsid w:val="00522B24"/>
    <w:rsid w:val="00522FAE"/>
    <w:rsid w:val="00522FD5"/>
    <w:rsid w:val="005232B0"/>
    <w:rsid w:val="00525DFC"/>
    <w:rsid w:val="00531D0C"/>
    <w:rsid w:val="00533108"/>
    <w:rsid w:val="0053458C"/>
    <w:rsid w:val="005351B4"/>
    <w:rsid w:val="00536CC7"/>
    <w:rsid w:val="00540407"/>
    <w:rsid w:val="00544413"/>
    <w:rsid w:val="00544D7B"/>
    <w:rsid w:val="005450A9"/>
    <w:rsid w:val="00545149"/>
    <w:rsid w:val="00546A7F"/>
    <w:rsid w:val="00546EE6"/>
    <w:rsid w:val="00550767"/>
    <w:rsid w:val="00552807"/>
    <w:rsid w:val="00555DE2"/>
    <w:rsid w:val="00560FE3"/>
    <w:rsid w:val="005610B9"/>
    <w:rsid w:val="005619A1"/>
    <w:rsid w:val="00561FE6"/>
    <w:rsid w:val="0056317B"/>
    <w:rsid w:val="005634D5"/>
    <w:rsid w:val="005634DF"/>
    <w:rsid w:val="005703A8"/>
    <w:rsid w:val="005704C9"/>
    <w:rsid w:val="00573D51"/>
    <w:rsid w:val="00575D7E"/>
    <w:rsid w:val="00576BB5"/>
    <w:rsid w:val="00576FE8"/>
    <w:rsid w:val="00577BF8"/>
    <w:rsid w:val="00580888"/>
    <w:rsid w:val="00580A78"/>
    <w:rsid w:val="00580D19"/>
    <w:rsid w:val="005832DC"/>
    <w:rsid w:val="005839AD"/>
    <w:rsid w:val="00584109"/>
    <w:rsid w:val="00584DA6"/>
    <w:rsid w:val="00585E58"/>
    <w:rsid w:val="00586881"/>
    <w:rsid w:val="00587FD9"/>
    <w:rsid w:val="00590A06"/>
    <w:rsid w:val="00590EE5"/>
    <w:rsid w:val="00591AC7"/>
    <w:rsid w:val="00591E8C"/>
    <w:rsid w:val="005934C8"/>
    <w:rsid w:val="00594A2E"/>
    <w:rsid w:val="00595C92"/>
    <w:rsid w:val="0059607B"/>
    <w:rsid w:val="00596749"/>
    <w:rsid w:val="00596A8E"/>
    <w:rsid w:val="00597494"/>
    <w:rsid w:val="0059787A"/>
    <w:rsid w:val="00597AAA"/>
    <w:rsid w:val="005A0311"/>
    <w:rsid w:val="005A28F7"/>
    <w:rsid w:val="005A48B3"/>
    <w:rsid w:val="005A48DB"/>
    <w:rsid w:val="005A4C2C"/>
    <w:rsid w:val="005A5114"/>
    <w:rsid w:val="005A5982"/>
    <w:rsid w:val="005B028C"/>
    <w:rsid w:val="005B0DA4"/>
    <w:rsid w:val="005B1FD7"/>
    <w:rsid w:val="005B268E"/>
    <w:rsid w:val="005B6DBD"/>
    <w:rsid w:val="005B791D"/>
    <w:rsid w:val="005B7ACB"/>
    <w:rsid w:val="005C05D1"/>
    <w:rsid w:val="005C05FE"/>
    <w:rsid w:val="005C06A7"/>
    <w:rsid w:val="005C0937"/>
    <w:rsid w:val="005C36C6"/>
    <w:rsid w:val="005C5AD7"/>
    <w:rsid w:val="005D04A0"/>
    <w:rsid w:val="005D29FA"/>
    <w:rsid w:val="005D2D32"/>
    <w:rsid w:val="005D2FDD"/>
    <w:rsid w:val="005D3B97"/>
    <w:rsid w:val="005D50F3"/>
    <w:rsid w:val="005D64EE"/>
    <w:rsid w:val="005E0230"/>
    <w:rsid w:val="005E1CE9"/>
    <w:rsid w:val="005E2E2F"/>
    <w:rsid w:val="005E34FB"/>
    <w:rsid w:val="005E5A84"/>
    <w:rsid w:val="005E7B8A"/>
    <w:rsid w:val="005F0A36"/>
    <w:rsid w:val="005F35AE"/>
    <w:rsid w:val="005F4C71"/>
    <w:rsid w:val="005F4EA9"/>
    <w:rsid w:val="005F5750"/>
    <w:rsid w:val="005F6484"/>
    <w:rsid w:val="005F77A7"/>
    <w:rsid w:val="0060015D"/>
    <w:rsid w:val="0060084B"/>
    <w:rsid w:val="0060100A"/>
    <w:rsid w:val="006032D4"/>
    <w:rsid w:val="00606169"/>
    <w:rsid w:val="00606886"/>
    <w:rsid w:val="00607FF2"/>
    <w:rsid w:val="006105B7"/>
    <w:rsid w:val="0061135A"/>
    <w:rsid w:val="00613ACA"/>
    <w:rsid w:val="00615093"/>
    <w:rsid w:val="00615867"/>
    <w:rsid w:val="00617E7B"/>
    <w:rsid w:val="00620403"/>
    <w:rsid w:val="006205B0"/>
    <w:rsid w:val="00620FF1"/>
    <w:rsid w:val="006215DF"/>
    <w:rsid w:val="006216DC"/>
    <w:rsid w:val="006222D4"/>
    <w:rsid w:val="0062344F"/>
    <w:rsid w:val="0062428B"/>
    <w:rsid w:val="00624852"/>
    <w:rsid w:val="0062542D"/>
    <w:rsid w:val="006267EF"/>
    <w:rsid w:val="00627742"/>
    <w:rsid w:val="0063206F"/>
    <w:rsid w:val="00633041"/>
    <w:rsid w:val="006331C7"/>
    <w:rsid w:val="0063380F"/>
    <w:rsid w:val="0063404E"/>
    <w:rsid w:val="006341BD"/>
    <w:rsid w:val="00635778"/>
    <w:rsid w:val="00640471"/>
    <w:rsid w:val="00641875"/>
    <w:rsid w:val="00641D75"/>
    <w:rsid w:val="006435D4"/>
    <w:rsid w:val="00646A78"/>
    <w:rsid w:val="00647C64"/>
    <w:rsid w:val="0065204C"/>
    <w:rsid w:val="0065515A"/>
    <w:rsid w:val="006554CD"/>
    <w:rsid w:val="00655902"/>
    <w:rsid w:val="00656B05"/>
    <w:rsid w:val="0065767F"/>
    <w:rsid w:val="0066135A"/>
    <w:rsid w:val="006617C3"/>
    <w:rsid w:val="00662C52"/>
    <w:rsid w:val="00663D6A"/>
    <w:rsid w:val="0066418C"/>
    <w:rsid w:val="00664A40"/>
    <w:rsid w:val="00664A4E"/>
    <w:rsid w:val="0066568D"/>
    <w:rsid w:val="00670F41"/>
    <w:rsid w:val="00672C57"/>
    <w:rsid w:val="00674BA8"/>
    <w:rsid w:val="00676AE3"/>
    <w:rsid w:val="00676C24"/>
    <w:rsid w:val="00677138"/>
    <w:rsid w:val="0068044D"/>
    <w:rsid w:val="00680AE8"/>
    <w:rsid w:val="00680F81"/>
    <w:rsid w:val="00681D68"/>
    <w:rsid w:val="00682963"/>
    <w:rsid w:val="00683A70"/>
    <w:rsid w:val="00684F0B"/>
    <w:rsid w:val="006853C1"/>
    <w:rsid w:val="0068545E"/>
    <w:rsid w:val="006868B2"/>
    <w:rsid w:val="006870EA"/>
    <w:rsid w:val="0068731C"/>
    <w:rsid w:val="0069144C"/>
    <w:rsid w:val="00691526"/>
    <w:rsid w:val="00691804"/>
    <w:rsid w:val="0069230A"/>
    <w:rsid w:val="00692832"/>
    <w:rsid w:val="00693110"/>
    <w:rsid w:val="006940D1"/>
    <w:rsid w:val="00695911"/>
    <w:rsid w:val="006A0285"/>
    <w:rsid w:val="006A1540"/>
    <w:rsid w:val="006A30F2"/>
    <w:rsid w:val="006A32B2"/>
    <w:rsid w:val="006A4873"/>
    <w:rsid w:val="006A57BC"/>
    <w:rsid w:val="006A712B"/>
    <w:rsid w:val="006B0953"/>
    <w:rsid w:val="006B3B24"/>
    <w:rsid w:val="006B46B3"/>
    <w:rsid w:val="006B56B7"/>
    <w:rsid w:val="006C0A6A"/>
    <w:rsid w:val="006C0D49"/>
    <w:rsid w:val="006C14C3"/>
    <w:rsid w:val="006C15D6"/>
    <w:rsid w:val="006C31F1"/>
    <w:rsid w:val="006C3B0B"/>
    <w:rsid w:val="006C4E86"/>
    <w:rsid w:val="006C4F8C"/>
    <w:rsid w:val="006C5346"/>
    <w:rsid w:val="006C66AE"/>
    <w:rsid w:val="006C680D"/>
    <w:rsid w:val="006D2FEA"/>
    <w:rsid w:val="006D4FED"/>
    <w:rsid w:val="006D5685"/>
    <w:rsid w:val="006D7885"/>
    <w:rsid w:val="006E14BC"/>
    <w:rsid w:val="006E29CB"/>
    <w:rsid w:val="006E31F6"/>
    <w:rsid w:val="006E324C"/>
    <w:rsid w:val="006E5324"/>
    <w:rsid w:val="006E5B05"/>
    <w:rsid w:val="006E5B23"/>
    <w:rsid w:val="006E716B"/>
    <w:rsid w:val="006E7749"/>
    <w:rsid w:val="006E7F1A"/>
    <w:rsid w:val="006F0893"/>
    <w:rsid w:val="006F10F1"/>
    <w:rsid w:val="006F1290"/>
    <w:rsid w:val="006F18EF"/>
    <w:rsid w:val="006F2F68"/>
    <w:rsid w:val="006F6614"/>
    <w:rsid w:val="006F6D2D"/>
    <w:rsid w:val="006F7402"/>
    <w:rsid w:val="006F770B"/>
    <w:rsid w:val="0070190B"/>
    <w:rsid w:val="00702881"/>
    <w:rsid w:val="0070442B"/>
    <w:rsid w:val="0070475E"/>
    <w:rsid w:val="0070498D"/>
    <w:rsid w:val="007051F5"/>
    <w:rsid w:val="00705D3C"/>
    <w:rsid w:val="00706EC1"/>
    <w:rsid w:val="00711E40"/>
    <w:rsid w:val="00713328"/>
    <w:rsid w:val="00713C97"/>
    <w:rsid w:val="00713D39"/>
    <w:rsid w:val="00715D2F"/>
    <w:rsid w:val="0071692F"/>
    <w:rsid w:val="00716C37"/>
    <w:rsid w:val="00717C85"/>
    <w:rsid w:val="00720131"/>
    <w:rsid w:val="00720A74"/>
    <w:rsid w:val="00721F99"/>
    <w:rsid w:val="007224F1"/>
    <w:rsid w:val="00722E8E"/>
    <w:rsid w:val="00723198"/>
    <w:rsid w:val="007234E4"/>
    <w:rsid w:val="00723AA1"/>
    <w:rsid w:val="0073137D"/>
    <w:rsid w:val="007334F8"/>
    <w:rsid w:val="0073449B"/>
    <w:rsid w:val="0074102D"/>
    <w:rsid w:val="0074245C"/>
    <w:rsid w:val="007455FA"/>
    <w:rsid w:val="00745CD7"/>
    <w:rsid w:val="0074651D"/>
    <w:rsid w:val="00746D9F"/>
    <w:rsid w:val="00747059"/>
    <w:rsid w:val="00747A36"/>
    <w:rsid w:val="00747AB3"/>
    <w:rsid w:val="00750783"/>
    <w:rsid w:val="00750C45"/>
    <w:rsid w:val="007512E0"/>
    <w:rsid w:val="00753224"/>
    <w:rsid w:val="00754A5A"/>
    <w:rsid w:val="00761B31"/>
    <w:rsid w:val="00762D90"/>
    <w:rsid w:val="007632F0"/>
    <w:rsid w:val="0076355D"/>
    <w:rsid w:val="00763726"/>
    <w:rsid w:val="00764E94"/>
    <w:rsid w:val="00765023"/>
    <w:rsid w:val="0076595C"/>
    <w:rsid w:val="00766535"/>
    <w:rsid w:val="0077106C"/>
    <w:rsid w:val="0077128E"/>
    <w:rsid w:val="0077198B"/>
    <w:rsid w:val="00772095"/>
    <w:rsid w:val="007722F5"/>
    <w:rsid w:val="00773CCC"/>
    <w:rsid w:val="0077490C"/>
    <w:rsid w:val="007758A0"/>
    <w:rsid w:val="00775A76"/>
    <w:rsid w:val="007824A3"/>
    <w:rsid w:val="00784138"/>
    <w:rsid w:val="007841E8"/>
    <w:rsid w:val="00784544"/>
    <w:rsid w:val="007872AF"/>
    <w:rsid w:val="007874F8"/>
    <w:rsid w:val="00787531"/>
    <w:rsid w:val="00791C6F"/>
    <w:rsid w:val="007939E2"/>
    <w:rsid w:val="007945FA"/>
    <w:rsid w:val="00794DCB"/>
    <w:rsid w:val="00795126"/>
    <w:rsid w:val="00795503"/>
    <w:rsid w:val="0079673A"/>
    <w:rsid w:val="00797C9F"/>
    <w:rsid w:val="007A023D"/>
    <w:rsid w:val="007A4788"/>
    <w:rsid w:val="007B042C"/>
    <w:rsid w:val="007B1235"/>
    <w:rsid w:val="007B1AB2"/>
    <w:rsid w:val="007B2C2B"/>
    <w:rsid w:val="007B4E15"/>
    <w:rsid w:val="007C0733"/>
    <w:rsid w:val="007C0AA3"/>
    <w:rsid w:val="007C192B"/>
    <w:rsid w:val="007C3B5E"/>
    <w:rsid w:val="007C3D1C"/>
    <w:rsid w:val="007C44EF"/>
    <w:rsid w:val="007D0D81"/>
    <w:rsid w:val="007D14C1"/>
    <w:rsid w:val="007D171E"/>
    <w:rsid w:val="007D2370"/>
    <w:rsid w:val="007D29D0"/>
    <w:rsid w:val="007D2A11"/>
    <w:rsid w:val="007D36AA"/>
    <w:rsid w:val="007D6331"/>
    <w:rsid w:val="007D6CEC"/>
    <w:rsid w:val="007D6DBF"/>
    <w:rsid w:val="007D776A"/>
    <w:rsid w:val="007D7CB5"/>
    <w:rsid w:val="007E028C"/>
    <w:rsid w:val="007E0976"/>
    <w:rsid w:val="007E135F"/>
    <w:rsid w:val="007E4D1C"/>
    <w:rsid w:val="007E4F35"/>
    <w:rsid w:val="007E53DF"/>
    <w:rsid w:val="007E54DA"/>
    <w:rsid w:val="007E5AAA"/>
    <w:rsid w:val="007E6B6E"/>
    <w:rsid w:val="007E6DD2"/>
    <w:rsid w:val="007E724B"/>
    <w:rsid w:val="007E78D6"/>
    <w:rsid w:val="007F211F"/>
    <w:rsid w:val="007F22BD"/>
    <w:rsid w:val="007F23CB"/>
    <w:rsid w:val="007F368B"/>
    <w:rsid w:val="007F39A5"/>
    <w:rsid w:val="007F4498"/>
    <w:rsid w:val="007F6AF0"/>
    <w:rsid w:val="007F6CA6"/>
    <w:rsid w:val="007F713D"/>
    <w:rsid w:val="007F71DB"/>
    <w:rsid w:val="008006A1"/>
    <w:rsid w:val="00801315"/>
    <w:rsid w:val="008014B1"/>
    <w:rsid w:val="0080171D"/>
    <w:rsid w:val="00801EC1"/>
    <w:rsid w:val="008048C4"/>
    <w:rsid w:val="0080553C"/>
    <w:rsid w:val="00805B5B"/>
    <w:rsid w:val="0080758A"/>
    <w:rsid w:val="008075A9"/>
    <w:rsid w:val="008107D1"/>
    <w:rsid w:val="008116F9"/>
    <w:rsid w:val="0081329F"/>
    <w:rsid w:val="00813A79"/>
    <w:rsid w:val="008142A3"/>
    <w:rsid w:val="008151C2"/>
    <w:rsid w:val="00815D02"/>
    <w:rsid w:val="00816883"/>
    <w:rsid w:val="00817E32"/>
    <w:rsid w:val="0082154C"/>
    <w:rsid w:val="00821581"/>
    <w:rsid w:val="00821C0B"/>
    <w:rsid w:val="008220EB"/>
    <w:rsid w:val="00823EFA"/>
    <w:rsid w:val="008249AF"/>
    <w:rsid w:val="00824D8A"/>
    <w:rsid w:val="00825106"/>
    <w:rsid w:val="008254DE"/>
    <w:rsid w:val="00831900"/>
    <w:rsid w:val="008337A3"/>
    <w:rsid w:val="00833BF2"/>
    <w:rsid w:val="00834D0A"/>
    <w:rsid w:val="00835548"/>
    <w:rsid w:val="008360AA"/>
    <w:rsid w:val="00836FCC"/>
    <w:rsid w:val="00837E41"/>
    <w:rsid w:val="00841124"/>
    <w:rsid w:val="00841530"/>
    <w:rsid w:val="00841C20"/>
    <w:rsid w:val="00841D30"/>
    <w:rsid w:val="00843ACB"/>
    <w:rsid w:val="00844C42"/>
    <w:rsid w:val="008474B5"/>
    <w:rsid w:val="008502AC"/>
    <w:rsid w:val="008517AF"/>
    <w:rsid w:val="008522AA"/>
    <w:rsid w:val="008527B0"/>
    <w:rsid w:val="0085282A"/>
    <w:rsid w:val="00852E5D"/>
    <w:rsid w:val="008530D8"/>
    <w:rsid w:val="00853A34"/>
    <w:rsid w:val="00854349"/>
    <w:rsid w:val="00854990"/>
    <w:rsid w:val="008556A9"/>
    <w:rsid w:val="008578C1"/>
    <w:rsid w:val="00861175"/>
    <w:rsid w:val="008611C7"/>
    <w:rsid w:val="00861677"/>
    <w:rsid w:val="008626D1"/>
    <w:rsid w:val="00862DB1"/>
    <w:rsid w:val="00864401"/>
    <w:rsid w:val="0086506C"/>
    <w:rsid w:val="00865B95"/>
    <w:rsid w:val="008669F2"/>
    <w:rsid w:val="008673F5"/>
    <w:rsid w:val="00867849"/>
    <w:rsid w:val="00867C89"/>
    <w:rsid w:val="0087037F"/>
    <w:rsid w:val="00870442"/>
    <w:rsid w:val="008706D9"/>
    <w:rsid w:val="008717E3"/>
    <w:rsid w:val="00871EC2"/>
    <w:rsid w:val="00873B18"/>
    <w:rsid w:val="00875434"/>
    <w:rsid w:val="00875444"/>
    <w:rsid w:val="00875B38"/>
    <w:rsid w:val="00881583"/>
    <w:rsid w:val="0088399D"/>
    <w:rsid w:val="00883F27"/>
    <w:rsid w:val="00884421"/>
    <w:rsid w:val="00884E1F"/>
    <w:rsid w:val="00885480"/>
    <w:rsid w:val="00887506"/>
    <w:rsid w:val="008903DA"/>
    <w:rsid w:val="008912CB"/>
    <w:rsid w:val="0089166C"/>
    <w:rsid w:val="008928AD"/>
    <w:rsid w:val="008933D0"/>
    <w:rsid w:val="00894004"/>
    <w:rsid w:val="0089434F"/>
    <w:rsid w:val="008951B5"/>
    <w:rsid w:val="008967D5"/>
    <w:rsid w:val="00896DDE"/>
    <w:rsid w:val="008976A3"/>
    <w:rsid w:val="008A21DE"/>
    <w:rsid w:val="008A3055"/>
    <w:rsid w:val="008A3B36"/>
    <w:rsid w:val="008A451C"/>
    <w:rsid w:val="008A4DBF"/>
    <w:rsid w:val="008A5A66"/>
    <w:rsid w:val="008A78B2"/>
    <w:rsid w:val="008A7E97"/>
    <w:rsid w:val="008B038F"/>
    <w:rsid w:val="008B04FA"/>
    <w:rsid w:val="008B3132"/>
    <w:rsid w:val="008B6380"/>
    <w:rsid w:val="008B7151"/>
    <w:rsid w:val="008B784A"/>
    <w:rsid w:val="008C0616"/>
    <w:rsid w:val="008C071A"/>
    <w:rsid w:val="008C2312"/>
    <w:rsid w:val="008C23F7"/>
    <w:rsid w:val="008C2808"/>
    <w:rsid w:val="008C337E"/>
    <w:rsid w:val="008C339D"/>
    <w:rsid w:val="008C37EA"/>
    <w:rsid w:val="008C4F9E"/>
    <w:rsid w:val="008C7F05"/>
    <w:rsid w:val="008D00A9"/>
    <w:rsid w:val="008D0C89"/>
    <w:rsid w:val="008D10E4"/>
    <w:rsid w:val="008D23D2"/>
    <w:rsid w:val="008D3120"/>
    <w:rsid w:val="008D335C"/>
    <w:rsid w:val="008D375E"/>
    <w:rsid w:val="008D4827"/>
    <w:rsid w:val="008D498C"/>
    <w:rsid w:val="008D56E8"/>
    <w:rsid w:val="008D6198"/>
    <w:rsid w:val="008E1FB8"/>
    <w:rsid w:val="008E23BF"/>
    <w:rsid w:val="008E3F43"/>
    <w:rsid w:val="008E4504"/>
    <w:rsid w:val="008E462B"/>
    <w:rsid w:val="008E4B9C"/>
    <w:rsid w:val="008E56AF"/>
    <w:rsid w:val="008E5974"/>
    <w:rsid w:val="008E63DE"/>
    <w:rsid w:val="008E6AD7"/>
    <w:rsid w:val="008E6B39"/>
    <w:rsid w:val="008F13BD"/>
    <w:rsid w:val="008F393B"/>
    <w:rsid w:val="008F3CD4"/>
    <w:rsid w:val="008F3D9B"/>
    <w:rsid w:val="008F4404"/>
    <w:rsid w:val="008F458E"/>
    <w:rsid w:val="008F5D12"/>
    <w:rsid w:val="008F6EFC"/>
    <w:rsid w:val="008F7553"/>
    <w:rsid w:val="00900653"/>
    <w:rsid w:val="00903041"/>
    <w:rsid w:val="00904DC3"/>
    <w:rsid w:val="009118D1"/>
    <w:rsid w:val="00913B1A"/>
    <w:rsid w:val="00914281"/>
    <w:rsid w:val="009146DB"/>
    <w:rsid w:val="00914EE9"/>
    <w:rsid w:val="009152C2"/>
    <w:rsid w:val="00915F22"/>
    <w:rsid w:val="00915F49"/>
    <w:rsid w:val="0091627A"/>
    <w:rsid w:val="0091631B"/>
    <w:rsid w:val="00916546"/>
    <w:rsid w:val="00917132"/>
    <w:rsid w:val="0091734E"/>
    <w:rsid w:val="009174CD"/>
    <w:rsid w:val="00917624"/>
    <w:rsid w:val="00917CB9"/>
    <w:rsid w:val="009205ED"/>
    <w:rsid w:val="00920D8A"/>
    <w:rsid w:val="00920E1E"/>
    <w:rsid w:val="00922141"/>
    <w:rsid w:val="00923F9C"/>
    <w:rsid w:val="00924677"/>
    <w:rsid w:val="00924CFB"/>
    <w:rsid w:val="0092650A"/>
    <w:rsid w:val="00927AB8"/>
    <w:rsid w:val="00930388"/>
    <w:rsid w:val="0093351F"/>
    <w:rsid w:val="00933531"/>
    <w:rsid w:val="00935089"/>
    <w:rsid w:val="00936949"/>
    <w:rsid w:val="00936BDF"/>
    <w:rsid w:val="009372EC"/>
    <w:rsid w:val="0093730B"/>
    <w:rsid w:val="00937962"/>
    <w:rsid w:val="00937BAE"/>
    <w:rsid w:val="009402FD"/>
    <w:rsid w:val="00940831"/>
    <w:rsid w:val="0094175D"/>
    <w:rsid w:val="00943061"/>
    <w:rsid w:val="0094318F"/>
    <w:rsid w:val="00943964"/>
    <w:rsid w:val="00944703"/>
    <w:rsid w:val="0094489E"/>
    <w:rsid w:val="00944A9C"/>
    <w:rsid w:val="00945042"/>
    <w:rsid w:val="009452FC"/>
    <w:rsid w:val="0094531B"/>
    <w:rsid w:val="009461DA"/>
    <w:rsid w:val="00947F75"/>
    <w:rsid w:val="00950DA9"/>
    <w:rsid w:val="00952EA1"/>
    <w:rsid w:val="00952F7C"/>
    <w:rsid w:val="009543B2"/>
    <w:rsid w:val="00954840"/>
    <w:rsid w:val="00955AA1"/>
    <w:rsid w:val="00956347"/>
    <w:rsid w:val="00956E5B"/>
    <w:rsid w:val="00960BBF"/>
    <w:rsid w:val="00963B6A"/>
    <w:rsid w:val="00963D2A"/>
    <w:rsid w:val="00966DA7"/>
    <w:rsid w:val="00967242"/>
    <w:rsid w:val="009673F6"/>
    <w:rsid w:val="009719DD"/>
    <w:rsid w:val="00971B60"/>
    <w:rsid w:val="009741AC"/>
    <w:rsid w:val="00975478"/>
    <w:rsid w:val="00977C7A"/>
    <w:rsid w:val="00980882"/>
    <w:rsid w:val="00980B7A"/>
    <w:rsid w:val="00982CC3"/>
    <w:rsid w:val="00982F29"/>
    <w:rsid w:val="00983007"/>
    <w:rsid w:val="00983023"/>
    <w:rsid w:val="009832EA"/>
    <w:rsid w:val="0098580D"/>
    <w:rsid w:val="00986433"/>
    <w:rsid w:val="0098746C"/>
    <w:rsid w:val="009901EA"/>
    <w:rsid w:val="00992B07"/>
    <w:rsid w:val="00992E1D"/>
    <w:rsid w:val="00992E20"/>
    <w:rsid w:val="00992F05"/>
    <w:rsid w:val="0099452A"/>
    <w:rsid w:val="00995D37"/>
    <w:rsid w:val="009961F6"/>
    <w:rsid w:val="009A06F5"/>
    <w:rsid w:val="009A0D0B"/>
    <w:rsid w:val="009A120D"/>
    <w:rsid w:val="009A2C5F"/>
    <w:rsid w:val="009A3E28"/>
    <w:rsid w:val="009A3F0F"/>
    <w:rsid w:val="009A3F2B"/>
    <w:rsid w:val="009B0C24"/>
    <w:rsid w:val="009B245C"/>
    <w:rsid w:val="009B401D"/>
    <w:rsid w:val="009B4058"/>
    <w:rsid w:val="009B6052"/>
    <w:rsid w:val="009B68BF"/>
    <w:rsid w:val="009C23CD"/>
    <w:rsid w:val="009C68D8"/>
    <w:rsid w:val="009C6942"/>
    <w:rsid w:val="009C72FB"/>
    <w:rsid w:val="009C7ADB"/>
    <w:rsid w:val="009C7C76"/>
    <w:rsid w:val="009D100E"/>
    <w:rsid w:val="009D1510"/>
    <w:rsid w:val="009D19DD"/>
    <w:rsid w:val="009D26F2"/>
    <w:rsid w:val="009D3DF6"/>
    <w:rsid w:val="009D46B9"/>
    <w:rsid w:val="009D6537"/>
    <w:rsid w:val="009E0C41"/>
    <w:rsid w:val="009E0CB6"/>
    <w:rsid w:val="009E551C"/>
    <w:rsid w:val="009E5DD1"/>
    <w:rsid w:val="009E5E3D"/>
    <w:rsid w:val="009E62EA"/>
    <w:rsid w:val="009E73F1"/>
    <w:rsid w:val="009E7698"/>
    <w:rsid w:val="009F0185"/>
    <w:rsid w:val="009F0763"/>
    <w:rsid w:val="009F15D2"/>
    <w:rsid w:val="009F1EBB"/>
    <w:rsid w:val="009F2A16"/>
    <w:rsid w:val="009F3959"/>
    <w:rsid w:val="009F4370"/>
    <w:rsid w:val="009F60C9"/>
    <w:rsid w:val="009F782D"/>
    <w:rsid w:val="009F7B8D"/>
    <w:rsid w:val="00A0089B"/>
    <w:rsid w:val="00A031B8"/>
    <w:rsid w:val="00A07A04"/>
    <w:rsid w:val="00A10D75"/>
    <w:rsid w:val="00A11838"/>
    <w:rsid w:val="00A11857"/>
    <w:rsid w:val="00A11B29"/>
    <w:rsid w:val="00A11C43"/>
    <w:rsid w:val="00A12689"/>
    <w:rsid w:val="00A12E02"/>
    <w:rsid w:val="00A12E73"/>
    <w:rsid w:val="00A14423"/>
    <w:rsid w:val="00A16A91"/>
    <w:rsid w:val="00A16BFB"/>
    <w:rsid w:val="00A17A70"/>
    <w:rsid w:val="00A17CF9"/>
    <w:rsid w:val="00A20417"/>
    <w:rsid w:val="00A21798"/>
    <w:rsid w:val="00A218D4"/>
    <w:rsid w:val="00A21982"/>
    <w:rsid w:val="00A22777"/>
    <w:rsid w:val="00A22DB1"/>
    <w:rsid w:val="00A22F58"/>
    <w:rsid w:val="00A23ED5"/>
    <w:rsid w:val="00A247E9"/>
    <w:rsid w:val="00A249A8"/>
    <w:rsid w:val="00A24CDD"/>
    <w:rsid w:val="00A271D1"/>
    <w:rsid w:val="00A306BD"/>
    <w:rsid w:val="00A31353"/>
    <w:rsid w:val="00A31DC7"/>
    <w:rsid w:val="00A32C67"/>
    <w:rsid w:val="00A343A4"/>
    <w:rsid w:val="00A3483E"/>
    <w:rsid w:val="00A35578"/>
    <w:rsid w:val="00A3669A"/>
    <w:rsid w:val="00A36C45"/>
    <w:rsid w:val="00A376D0"/>
    <w:rsid w:val="00A37FC2"/>
    <w:rsid w:val="00A434B6"/>
    <w:rsid w:val="00A438CD"/>
    <w:rsid w:val="00A43B5E"/>
    <w:rsid w:val="00A445C3"/>
    <w:rsid w:val="00A44E62"/>
    <w:rsid w:val="00A45228"/>
    <w:rsid w:val="00A45501"/>
    <w:rsid w:val="00A45AD9"/>
    <w:rsid w:val="00A469C5"/>
    <w:rsid w:val="00A46B5A"/>
    <w:rsid w:val="00A51906"/>
    <w:rsid w:val="00A522D3"/>
    <w:rsid w:val="00A523B0"/>
    <w:rsid w:val="00A52F78"/>
    <w:rsid w:val="00A533D4"/>
    <w:rsid w:val="00A53703"/>
    <w:rsid w:val="00A53B35"/>
    <w:rsid w:val="00A54FCC"/>
    <w:rsid w:val="00A5548C"/>
    <w:rsid w:val="00A56E13"/>
    <w:rsid w:val="00A57C6B"/>
    <w:rsid w:val="00A60F0F"/>
    <w:rsid w:val="00A61D28"/>
    <w:rsid w:val="00A652EE"/>
    <w:rsid w:val="00A66D7B"/>
    <w:rsid w:val="00A67DB3"/>
    <w:rsid w:val="00A70D7A"/>
    <w:rsid w:val="00A720E6"/>
    <w:rsid w:val="00A72C6F"/>
    <w:rsid w:val="00A737DE"/>
    <w:rsid w:val="00A73A23"/>
    <w:rsid w:val="00A742B1"/>
    <w:rsid w:val="00A749AF"/>
    <w:rsid w:val="00A76636"/>
    <w:rsid w:val="00A77C32"/>
    <w:rsid w:val="00A77EA5"/>
    <w:rsid w:val="00A81F6B"/>
    <w:rsid w:val="00A83988"/>
    <w:rsid w:val="00A84B1F"/>
    <w:rsid w:val="00A85161"/>
    <w:rsid w:val="00A85E59"/>
    <w:rsid w:val="00A86572"/>
    <w:rsid w:val="00A90B4A"/>
    <w:rsid w:val="00A915F8"/>
    <w:rsid w:val="00A91B00"/>
    <w:rsid w:val="00A92E97"/>
    <w:rsid w:val="00A93468"/>
    <w:rsid w:val="00A95B53"/>
    <w:rsid w:val="00A963FB"/>
    <w:rsid w:val="00A9674C"/>
    <w:rsid w:val="00AA0162"/>
    <w:rsid w:val="00AA09E7"/>
    <w:rsid w:val="00AA2A68"/>
    <w:rsid w:val="00AA2D51"/>
    <w:rsid w:val="00AA3E33"/>
    <w:rsid w:val="00AA58AD"/>
    <w:rsid w:val="00AA58BC"/>
    <w:rsid w:val="00AA5C26"/>
    <w:rsid w:val="00AA5C4D"/>
    <w:rsid w:val="00AA616F"/>
    <w:rsid w:val="00AA6834"/>
    <w:rsid w:val="00AA7A07"/>
    <w:rsid w:val="00AB1BDB"/>
    <w:rsid w:val="00AB1F31"/>
    <w:rsid w:val="00AB216F"/>
    <w:rsid w:val="00AB3A57"/>
    <w:rsid w:val="00AB5674"/>
    <w:rsid w:val="00AB62DF"/>
    <w:rsid w:val="00AB7842"/>
    <w:rsid w:val="00AC29B7"/>
    <w:rsid w:val="00AC2D95"/>
    <w:rsid w:val="00AC52BE"/>
    <w:rsid w:val="00AC5BE1"/>
    <w:rsid w:val="00AD010A"/>
    <w:rsid w:val="00AD0794"/>
    <w:rsid w:val="00AD0841"/>
    <w:rsid w:val="00AD0945"/>
    <w:rsid w:val="00AD1FDD"/>
    <w:rsid w:val="00AD2260"/>
    <w:rsid w:val="00AD40F1"/>
    <w:rsid w:val="00AD569C"/>
    <w:rsid w:val="00AD6121"/>
    <w:rsid w:val="00AD7C93"/>
    <w:rsid w:val="00AD7CD5"/>
    <w:rsid w:val="00AE073A"/>
    <w:rsid w:val="00AE1B00"/>
    <w:rsid w:val="00AE1D42"/>
    <w:rsid w:val="00AE3CA0"/>
    <w:rsid w:val="00AE3E30"/>
    <w:rsid w:val="00AE43DF"/>
    <w:rsid w:val="00AE5E37"/>
    <w:rsid w:val="00AE6300"/>
    <w:rsid w:val="00AE6376"/>
    <w:rsid w:val="00AE653E"/>
    <w:rsid w:val="00AE7474"/>
    <w:rsid w:val="00AE76B3"/>
    <w:rsid w:val="00AF004F"/>
    <w:rsid w:val="00AF1055"/>
    <w:rsid w:val="00AF21B8"/>
    <w:rsid w:val="00AF2668"/>
    <w:rsid w:val="00AF3690"/>
    <w:rsid w:val="00AF4C28"/>
    <w:rsid w:val="00AF4C63"/>
    <w:rsid w:val="00AF4FFB"/>
    <w:rsid w:val="00AF69B5"/>
    <w:rsid w:val="00B00047"/>
    <w:rsid w:val="00B00132"/>
    <w:rsid w:val="00B00351"/>
    <w:rsid w:val="00B01AC3"/>
    <w:rsid w:val="00B03F06"/>
    <w:rsid w:val="00B05441"/>
    <w:rsid w:val="00B071F1"/>
    <w:rsid w:val="00B075CD"/>
    <w:rsid w:val="00B078C1"/>
    <w:rsid w:val="00B07DC8"/>
    <w:rsid w:val="00B10965"/>
    <w:rsid w:val="00B12520"/>
    <w:rsid w:val="00B12CF0"/>
    <w:rsid w:val="00B12F40"/>
    <w:rsid w:val="00B1417C"/>
    <w:rsid w:val="00B146AA"/>
    <w:rsid w:val="00B15F2E"/>
    <w:rsid w:val="00B1695B"/>
    <w:rsid w:val="00B1752A"/>
    <w:rsid w:val="00B20DDC"/>
    <w:rsid w:val="00B2176E"/>
    <w:rsid w:val="00B22634"/>
    <w:rsid w:val="00B23BD5"/>
    <w:rsid w:val="00B25209"/>
    <w:rsid w:val="00B261D7"/>
    <w:rsid w:val="00B26FD3"/>
    <w:rsid w:val="00B270F0"/>
    <w:rsid w:val="00B3010E"/>
    <w:rsid w:val="00B30BA3"/>
    <w:rsid w:val="00B30F35"/>
    <w:rsid w:val="00B32094"/>
    <w:rsid w:val="00B32AFE"/>
    <w:rsid w:val="00B32EF0"/>
    <w:rsid w:val="00B32FC5"/>
    <w:rsid w:val="00B37BB3"/>
    <w:rsid w:val="00B41561"/>
    <w:rsid w:val="00B41CBE"/>
    <w:rsid w:val="00B424A5"/>
    <w:rsid w:val="00B4385B"/>
    <w:rsid w:val="00B439B6"/>
    <w:rsid w:val="00B46F1D"/>
    <w:rsid w:val="00B47D19"/>
    <w:rsid w:val="00B51F48"/>
    <w:rsid w:val="00B53BA7"/>
    <w:rsid w:val="00B54097"/>
    <w:rsid w:val="00B5679E"/>
    <w:rsid w:val="00B5798F"/>
    <w:rsid w:val="00B60EA8"/>
    <w:rsid w:val="00B629B1"/>
    <w:rsid w:val="00B638B7"/>
    <w:rsid w:val="00B64EAB"/>
    <w:rsid w:val="00B6582A"/>
    <w:rsid w:val="00B7182F"/>
    <w:rsid w:val="00B7355B"/>
    <w:rsid w:val="00B74824"/>
    <w:rsid w:val="00B75A5F"/>
    <w:rsid w:val="00B764A4"/>
    <w:rsid w:val="00B76723"/>
    <w:rsid w:val="00B7698F"/>
    <w:rsid w:val="00B80C92"/>
    <w:rsid w:val="00B81A5D"/>
    <w:rsid w:val="00B81BE4"/>
    <w:rsid w:val="00B8396A"/>
    <w:rsid w:val="00B87AC3"/>
    <w:rsid w:val="00B90280"/>
    <w:rsid w:val="00B90C6E"/>
    <w:rsid w:val="00B90FC3"/>
    <w:rsid w:val="00B91210"/>
    <w:rsid w:val="00B914C0"/>
    <w:rsid w:val="00B92096"/>
    <w:rsid w:val="00B97DC6"/>
    <w:rsid w:val="00BA11AF"/>
    <w:rsid w:val="00BA1F4B"/>
    <w:rsid w:val="00BA2401"/>
    <w:rsid w:val="00BA5608"/>
    <w:rsid w:val="00BA578A"/>
    <w:rsid w:val="00BA5E45"/>
    <w:rsid w:val="00BA6847"/>
    <w:rsid w:val="00BB052D"/>
    <w:rsid w:val="00BB084E"/>
    <w:rsid w:val="00BB26B3"/>
    <w:rsid w:val="00BB2F25"/>
    <w:rsid w:val="00BB2FAF"/>
    <w:rsid w:val="00BB5C78"/>
    <w:rsid w:val="00BB69E9"/>
    <w:rsid w:val="00BC3EB0"/>
    <w:rsid w:val="00BC4810"/>
    <w:rsid w:val="00BC7576"/>
    <w:rsid w:val="00BC79FF"/>
    <w:rsid w:val="00BD0C49"/>
    <w:rsid w:val="00BD0CAF"/>
    <w:rsid w:val="00BD1376"/>
    <w:rsid w:val="00BD145A"/>
    <w:rsid w:val="00BD15C3"/>
    <w:rsid w:val="00BD1613"/>
    <w:rsid w:val="00BD21CD"/>
    <w:rsid w:val="00BD298B"/>
    <w:rsid w:val="00BD390D"/>
    <w:rsid w:val="00BD3B4A"/>
    <w:rsid w:val="00BD3CB0"/>
    <w:rsid w:val="00BD4358"/>
    <w:rsid w:val="00BD4A55"/>
    <w:rsid w:val="00BD57BB"/>
    <w:rsid w:val="00BD7EE9"/>
    <w:rsid w:val="00BE0369"/>
    <w:rsid w:val="00BE110D"/>
    <w:rsid w:val="00BE362C"/>
    <w:rsid w:val="00BE3B45"/>
    <w:rsid w:val="00BE6759"/>
    <w:rsid w:val="00BE6EC7"/>
    <w:rsid w:val="00BF1589"/>
    <w:rsid w:val="00BF1C47"/>
    <w:rsid w:val="00BF248D"/>
    <w:rsid w:val="00BF44F8"/>
    <w:rsid w:val="00BF5637"/>
    <w:rsid w:val="00BF6DB1"/>
    <w:rsid w:val="00BF7355"/>
    <w:rsid w:val="00BF7F30"/>
    <w:rsid w:val="00C0042E"/>
    <w:rsid w:val="00C016B7"/>
    <w:rsid w:val="00C01BE7"/>
    <w:rsid w:val="00C024EF"/>
    <w:rsid w:val="00C025E3"/>
    <w:rsid w:val="00C03ED8"/>
    <w:rsid w:val="00C0457B"/>
    <w:rsid w:val="00C05A67"/>
    <w:rsid w:val="00C06AC9"/>
    <w:rsid w:val="00C10428"/>
    <w:rsid w:val="00C11028"/>
    <w:rsid w:val="00C127FB"/>
    <w:rsid w:val="00C12959"/>
    <w:rsid w:val="00C12C65"/>
    <w:rsid w:val="00C140E7"/>
    <w:rsid w:val="00C144FD"/>
    <w:rsid w:val="00C14AFB"/>
    <w:rsid w:val="00C15C34"/>
    <w:rsid w:val="00C15F9D"/>
    <w:rsid w:val="00C177FC"/>
    <w:rsid w:val="00C225EE"/>
    <w:rsid w:val="00C246F7"/>
    <w:rsid w:val="00C253BC"/>
    <w:rsid w:val="00C25803"/>
    <w:rsid w:val="00C26B54"/>
    <w:rsid w:val="00C27242"/>
    <w:rsid w:val="00C30786"/>
    <w:rsid w:val="00C33B9B"/>
    <w:rsid w:val="00C33D83"/>
    <w:rsid w:val="00C348BA"/>
    <w:rsid w:val="00C348FD"/>
    <w:rsid w:val="00C34F78"/>
    <w:rsid w:val="00C351CC"/>
    <w:rsid w:val="00C35F07"/>
    <w:rsid w:val="00C36AEC"/>
    <w:rsid w:val="00C37726"/>
    <w:rsid w:val="00C3773E"/>
    <w:rsid w:val="00C4031F"/>
    <w:rsid w:val="00C41116"/>
    <w:rsid w:val="00C43016"/>
    <w:rsid w:val="00C44DD0"/>
    <w:rsid w:val="00C4512B"/>
    <w:rsid w:val="00C46518"/>
    <w:rsid w:val="00C4776E"/>
    <w:rsid w:val="00C50A69"/>
    <w:rsid w:val="00C5251C"/>
    <w:rsid w:val="00C54D3D"/>
    <w:rsid w:val="00C552DB"/>
    <w:rsid w:val="00C56EC3"/>
    <w:rsid w:val="00C602C4"/>
    <w:rsid w:val="00C604F3"/>
    <w:rsid w:val="00C60594"/>
    <w:rsid w:val="00C6587F"/>
    <w:rsid w:val="00C6590B"/>
    <w:rsid w:val="00C65DDC"/>
    <w:rsid w:val="00C70C3B"/>
    <w:rsid w:val="00C71DE6"/>
    <w:rsid w:val="00C74357"/>
    <w:rsid w:val="00C745B3"/>
    <w:rsid w:val="00C74669"/>
    <w:rsid w:val="00C74934"/>
    <w:rsid w:val="00C7762F"/>
    <w:rsid w:val="00C814C6"/>
    <w:rsid w:val="00C818D1"/>
    <w:rsid w:val="00C8210E"/>
    <w:rsid w:val="00C85025"/>
    <w:rsid w:val="00C90482"/>
    <w:rsid w:val="00C922B6"/>
    <w:rsid w:val="00C924AB"/>
    <w:rsid w:val="00C92E34"/>
    <w:rsid w:val="00C945BB"/>
    <w:rsid w:val="00C948E7"/>
    <w:rsid w:val="00C97CE0"/>
    <w:rsid w:val="00CA047F"/>
    <w:rsid w:val="00CA0593"/>
    <w:rsid w:val="00CA0940"/>
    <w:rsid w:val="00CA1425"/>
    <w:rsid w:val="00CA186B"/>
    <w:rsid w:val="00CA2480"/>
    <w:rsid w:val="00CA2649"/>
    <w:rsid w:val="00CA305F"/>
    <w:rsid w:val="00CA362D"/>
    <w:rsid w:val="00CA5D09"/>
    <w:rsid w:val="00CA6B2D"/>
    <w:rsid w:val="00CA770D"/>
    <w:rsid w:val="00CA7F51"/>
    <w:rsid w:val="00CB0A6A"/>
    <w:rsid w:val="00CB3EF0"/>
    <w:rsid w:val="00CB5224"/>
    <w:rsid w:val="00CB6557"/>
    <w:rsid w:val="00CB6D50"/>
    <w:rsid w:val="00CB6DBC"/>
    <w:rsid w:val="00CB7C6E"/>
    <w:rsid w:val="00CC3D19"/>
    <w:rsid w:val="00CC3E1D"/>
    <w:rsid w:val="00CC449D"/>
    <w:rsid w:val="00CC5876"/>
    <w:rsid w:val="00CC6872"/>
    <w:rsid w:val="00CC6C4F"/>
    <w:rsid w:val="00CC740C"/>
    <w:rsid w:val="00CD0719"/>
    <w:rsid w:val="00CD1D77"/>
    <w:rsid w:val="00CD2437"/>
    <w:rsid w:val="00CD2E3D"/>
    <w:rsid w:val="00CD3484"/>
    <w:rsid w:val="00CD3B70"/>
    <w:rsid w:val="00CD44B0"/>
    <w:rsid w:val="00CD45E4"/>
    <w:rsid w:val="00CD484C"/>
    <w:rsid w:val="00CD709B"/>
    <w:rsid w:val="00CD7256"/>
    <w:rsid w:val="00CE01C8"/>
    <w:rsid w:val="00CE0F0A"/>
    <w:rsid w:val="00CE1689"/>
    <w:rsid w:val="00CE31F7"/>
    <w:rsid w:val="00CE3667"/>
    <w:rsid w:val="00CE5F33"/>
    <w:rsid w:val="00CE713C"/>
    <w:rsid w:val="00CE7183"/>
    <w:rsid w:val="00CE7E64"/>
    <w:rsid w:val="00CF0E17"/>
    <w:rsid w:val="00CF1250"/>
    <w:rsid w:val="00CF273D"/>
    <w:rsid w:val="00CF2B6F"/>
    <w:rsid w:val="00CF2D9A"/>
    <w:rsid w:val="00CF3E94"/>
    <w:rsid w:val="00CF4676"/>
    <w:rsid w:val="00CF4CCF"/>
    <w:rsid w:val="00CF6855"/>
    <w:rsid w:val="00CF6F3D"/>
    <w:rsid w:val="00CF7297"/>
    <w:rsid w:val="00D00B8D"/>
    <w:rsid w:val="00D00F8E"/>
    <w:rsid w:val="00D0312E"/>
    <w:rsid w:val="00D044F8"/>
    <w:rsid w:val="00D04D3C"/>
    <w:rsid w:val="00D053DB"/>
    <w:rsid w:val="00D06E67"/>
    <w:rsid w:val="00D10083"/>
    <w:rsid w:val="00D100C7"/>
    <w:rsid w:val="00D10432"/>
    <w:rsid w:val="00D10B56"/>
    <w:rsid w:val="00D113AF"/>
    <w:rsid w:val="00D11558"/>
    <w:rsid w:val="00D119A7"/>
    <w:rsid w:val="00D123A6"/>
    <w:rsid w:val="00D130A2"/>
    <w:rsid w:val="00D14292"/>
    <w:rsid w:val="00D14AFC"/>
    <w:rsid w:val="00D14C61"/>
    <w:rsid w:val="00D14EE8"/>
    <w:rsid w:val="00D15EB0"/>
    <w:rsid w:val="00D173A5"/>
    <w:rsid w:val="00D175CD"/>
    <w:rsid w:val="00D17E6E"/>
    <w:rsid w:val="00D227D4"/>
    <w:rsid w:val="00D24130"/>
    <w:rsid w:val="00D25FFE"/>
    <w:rsid w:val="00D3083F"/>
    <w:rsid w:val="00D30B53"/>
    <w:rsid w:val="00D31B45"/>
    <w:rsid w:val="00D3357A"/>
    <w:rsid w:val="00D36027"/>
    <w:rsid w:val="00D373EA"/>
    <w:rsid w:val="00D41497"/>
    <w:rsid w:val="00D4333D"/>
    <w:rsid w:val="00D4348D"/>
    <w:rsid w:val="00D445FD"/>
    <w:rsid w:val="00D44AC6"/>
    <w:rsid w:val="00D450AD"/>
    <w:rsid w:val="00D46575"/>
    <w:rsid w:val="00D4690C"/>
    <w:rsid w:val="00D47696"/>
    <w:rsid w:val="00D50534"/>
    <w:rsid w:val="00D51C5F"/>
    <w:rsid w:val="00D51E09"/>
    <w:rsid w:val="00D536F7"/>
    <w:rsid w:val="00D55429"/>
    <w:rsid w:val="00D616F3"/>
    <w:rsid w:val="00D61A86"/>
    <w:rsid w:val="00D637A2"/>
    <w:rsid w:val="00D63D86"/>
    <w:rsid w:val="00D66BDF"/>
    <w:rsid w:val="00D66F3F"/>
    <w:rsid w:val="00D703B3"/>
    <w:rsid w:val="00D74B61"/>
    <w:rsid w:val="00D75401"/>
    <w:rsid w:val="00D75AC2"/>
    <w:rsid w:val="00D75FC1"/>
    <w:rsid w:val="00D77981"/>
    <w:rsid w:val="00D77A3F"/>
    <w:rsid w:val="00D80597"/>
    <w:rsid w:val="00D8165A"/>
    <w:rsid w:val="00D82418"/>
    <w:rsid w:val="00D82843"/>
    <w:rsid w:val="00D85C8A"/>
    <w:rsid w:val="00D8689E"/>
    <w:rsid w:val="00D92FC8"/>
    <w:rsid w:val="00D9327D"/>
    <w:rsid w:val="00D93E7C"/>
    <w:rsid w:val="00D95782"/>
    <w:rsid w:val="00D97688"/>
    <w:rsid w:val="00DA0312"/>
    <w:rsid w:val="00DA3264"/>
    <w:rsid w:val="00DA3A33"/>
    <w:rsid w:val="00DA6588"/>
    <w:rsid w:val="00DB440D"/>
    <w:rsid w:val="00DB627D"/>
    <w:rsid w:val="00DB6C45"/>
    <w:rsid w:val="00DB7FCE"/>
    <w:rsid w:val="00DC05A5"/>
    <w:rsid w:val="00DC413C"/>
    <w:rsid w:val="00DC4247"/>
    <w:rsid w:val="00DC50FE"/>
    <w:rsid w:val="00DC6E16"/>
    <w:rsid w:val="00DC76D1"/>
    <w:rsid w:val="00DC76E6"/>
    <w:rsid w:val="00DC789B"/>
    <w:rsid w:val="00DD11CD"/>
    <w:rsid w:val="00DD2D30"/>
    <w:rsid w:val="00DD380C"/>
    <w:rsid w:val="00DD3F76"/>
    <w:rsid w:val="00DD49C2"/>
    <w:rsid w:val="00DD5CFE"/>
    <w:rsid w:val="00DD619E"/>
    <w:rsid w:val="00DD6B1F"/>
    <w:rsid w:val="00DD7ADC"/>
    <w:rsid w:val="00DD7D5C"/>
    <w:rsid w:val="00DE0387"/>
    <w:rsid w:val="00DE0C93"/>
    <w:rsid w:val="00DE1187"/>
    <w:rsid w:val="00DE1AB7"/>
    <w:rsid w:val="00DE22B0"/>
    <w:rsid w:val="00DE22F9"/>
    <w:rsid w:val="00DE3B0B"/>
    <w:rsid w:val="00DE41F2"/>
    <w:rsid w:val="00DE4299"/>
    <w:rsid w:val="00DE50C6"/>
    <w:rsid w:val="00DE512D"/>
    <w:rsid w:val="00DE5E70"/>
    <w:rsid w:val="00DE696F"/>
    <w:rsid w:val="00DF0376"/>
    <w:rsid w:val="00DF0520"/>
    <w:rsid w:val="00DF11FE"/>
    <w:rsid w:val="00DF3360"/>
    <w:rsid w:val="00DF34EE"/>
    <w:rsid w:val="00DF3769"/>
    <w:rsid w:val="00DF416D"/>
    <w:rsid w:val="00DF4A51"/>
    <w:rsid w:val="00DF50E9"/>
    <w:rsid w:val="00DF530A"/>
    <w:rsid w:val="00DF7066"/>
    <w:rsid w:val="00E006AA"/>
    <w:rsid w:val="00E00F5F"/>
    <w:rsid w:val="00E037C8"/>
    <w:rsid w:val="00E03A0F"/>
    <w:rsid w:val="00E04C1A"/>
    <w:rsid w:val="00E0554F"/>
    <w:rsid w:val="00E06277"/>
    <w:rsid w:val="00E10035"/>
    <w:rsid w:val="00E114D3"/>
    <w:rsid w:val="00E125D1"/>
    <w:rsid w:val="00E128FD"/>
    <w:rsid w:val="00E12DF5"/>
    <w:rsid w:val="00E20521"/>
    <w:rsid w:val="00E20C4E"/>
    <w:rsid w:val="00E2293A"/>
    <w:rsid w:val="00E22CDE"/>
    <w:rsid w:val="00E23992"/>
    <w:rsid w:val="00E239AF"/>
    <w:rsid w:val="00E23C04"/>
    <w:rsid w:val="00E23E48"/>
    <w:rsid w:val="00E23FDC"/>
    <w:rsid w:val="00E25410"/>
    <w:rsid w:val="00E25E9D"/>
    <w:rsid w:val="00E2734D"/>
    <w:rsid w:val="00E30710"/>
    <w:rsid w:val="00E31505"/>
    <w:rsid w:val="00E31BC6"/>
    <w:rsid w:val="00E323CA"/>
    <w:rsid w:val="00E34D3C"/>
    <w:rsid w:val="00E35E35"/>
    <w:rsid w:val="00E36063"/>
    <w:rsid w:val="00E36B90"/>
    <w:rsid w:val="00E42770"/>
    <w:rsid w:val="00E45029"/>
    <w:rsid w:val="00E4665E"/>
    <w:rsid w:val="00E46749"/>
    <w:rsid w:val="00E46DA6"/>
    <w:rsid w:val="00E50004"/>
    <w:rsid w:val="00E513D1"/>
    <w:rsid w:val="00E5172A"/>
    <w:rsid w:val="00E52E47"/>
    <w:rsid w:val="00E531B7"/>
    <w:rsid w:val="00E54E1B"/>
    <w:rsid w:val="00E551EB"/>
    <w:rsid w:val="00E55773"/>
    <w:rsid w:val="00E55E95"/>
    <w:rsid w:val="00E572B2"/>
    <w:rsid w:val="00E57AAA"/>
    <w:rsid w:val="00E60DDF"/>
    <w:rsid w:val="00E618BF"/>
    <w:rsid w:val="00E63FC8"/>
    <w:rsid w:val="00E64803"/>
    <w:rsid w:val="00E651BA"/>
    <w:rsid w:val="00E67780"/>
    <w:rsid w:val="00E71BDD"/>
    <w:rsid w:val="00E7254D"/>
    <w:rsid w:val="00E72ADB"/>
    <w:rsid w:val="00E7325F"/>
    <w:rsid w:val="00E73B41"/>
    <w:rsid w:val="00E7536E"/>
    <w:rsid w:val="00E75B46"/>
    <w:rsid w:val="00E75DF4"/>
    <w:rsid w:val="00E8057A"/>
    <w:rsid w:val="00E80794"/>
    <w:rsid w:val="00E83B8C"/>
    <w:rsid w:val="00E83FA9"/>
    <w:rsid w:val="00E84283"/>
    <w:rsid w:val="00E8476F"/>
    <w:rsid w:val="00E8519D"/>
    <w:rsid w:val="00E85734"/>
    <w:rsid w:val="00E85CCA"/>
    <w:rsid w:val="00E85FA3"/>
    <w:rsid w:val="00E90919"/>
    <w:rsid w:val="00E91791"/>
    <w:rsid w:val="00E9190E"/>
    <w:rsid w:val="00E91CDC"/>
    <w:rsid w:val="00E9246B"/>
    <w:rsid w:val="00E941D7"/>
    <w:rsid w:val="00E94E49"/>
    <w:rsid w:val="00EA1786"/>
    <w:rsid w:val="00EA3D60"/>
    <w:rsid w:val="00EA60E3"/>
    <w:rsid w:val="00EA7277"/>
    <w:rsid w:val="00EA76B6"/>
    <w:rsid w:val="00EA7B7B"/>
    <w:rsid w:val="00EB0D58"/>
    <w:rsid w:val="00EB1C81"/>
    <w:rsid w:val="00EB214F"/>
    <w:rsid w:val="00EB2765"/>
    <w:rsid w:val="00EB3345"/>
    <w:rsid w:val="00EB3EDD"/>
    <w:rsid w:val="00EB40FA"/>
    <w:rsid w:val="00EB45FA"/>
    <w:rsid w:val="00EB481A"/>
    <w:rsid w:val="00EB61F5"/>
    <w:rsid w:val="00EB671B"/>
    <w:rsid w:val="00EB730B"/>
    <w:rsid w:val="00EC09D8"/>
    <w:rsid w:val="00EC23C9"/>
    <w:rsid w:val="00EC2701"/>
    <w:rsid w:val="00EC2EE6"/>
    <w:rsid w:val="00EC3510"/>
    <w:rsid w:val="00EC5810"/>
    <w:rsid w:val="00EC6035"/>
    <w:rsid w:val="00EC62DD"/>
    <w:rsid w:val="00EC68FF"/>
    <w:rsid w:val="00EC76F9"/>
    <w:rsid w:val="00EC7BD1"/>
    <w:rsid w:val="00ED003D"/>
    <w:rsid w:val="00ED0138"/>
    <w:rsid w:val="00ED0EFD"/>
    <w:rsid w:val="00ED2186"/>
    <w:rsid w:val="00ED2553"/>
    <w:rsid w:val="00ED4A94"/>
    <w:rsid w:val="00ED4BE1"/>
    <w:rsid w:val="00ED55F0"/>
    <w:rsid w:val="00ED5B33"/>
    <w:rsid w:val="00ED78F9"/>
    <w:rsid w:val="00ED7D1B"/>
    <w:rsid w:val="00ED7E44"/>
    <w:rsid w:val="00EE03A6"/>
    <w:rsid w:val="00EE0522"/>
    <w:rsid w:val="00EE074F"/>
    <w:rsid w:val="00EE13F9"/>
    <w:rsid w:val="00EE1B93"/>
    <w:rsid w:val="00EE54F2"/>
    <w:rsid w:val="00EE5C09"/>
    <w:rsid w:val="00EE7E9A"/>
    <w:rsid w:val="00EF0A1C"/>
    <w:rsid w:val="00EF391F"/>
    <w:rsid w:val="00EF3F6E"/>
    <w:rsid w:val="00EF59B4"/>
    <w:rsid w:val="00EF630E"/>
    <w:rsid w:val="00EF66D0"/>
    <w:rsid w:val="00EF7A20"/>
    <w:rsid w:val="00F006F9"/>
    <w:rsid w:val="00F00A81"/>
    <w:rsid w:val="00F012B1"/>
    <w:rsid w:val="00F033FC"/>
    <w:rsid w:val="00F03FBC"/>
    <w:rsid w:val="00F0690F"/>
    <w:rsid w:val="00F0744F"/>
    <w:rsid w:val="00F07A41"/>
    <w:rsid w:val="00F07D2F"/>
    <w:rsid w:val="00F07E68"/>
    <w:rsid w:val="00F1026C"/>
    <w:rsid w:val="00F1100A"/>
    <w:rsid w:val="00F12AB5"/>
    <w:rsid w:val="00F1364C"/>
    <w:rsid w:val="00F13E5C"/>
    <w:rsid w:val="00F147B7"/>
    <w:rsid w:val="00F15FB2"/>
    <w:rsid w:val="00F16118"/>
    <w:rsid w:val="00F162BB"/>
    <w:rsid w:val="00F163A3"/>
    <w:rsid w:val="00F165C3"/>
    <w:rsid w:val="00F174CE"/>
    <w:rsid w:val="00F17558"/>
    <w:rsid w:val="00F20525"/>
    <w:rsid w:val="00F20911"/>
    <w:rsid w:val="00F20A42"/>
    <w:rsid w:val="00F21039"/>
    <w:rsid w:val="00F23243"/>
    <w:rsid w:val="00F252B3"/>
    <w:rsid w:val="00F26828"/>
    <w:rsid w:val="00F27572"/>
    <w:rsid w:val="00F309CB"/>
    <w:rsid w:val="00F31017"/>
    <w:rsid w:val="00F31B35"/>
    <w:rsid w:val="00F32A36"/>
    <w:rsid w:val="00F32C86"/>
    <w:rsid w:val="00F336E7"/>
    <w:rsid w:val="00F34130"/>
    <w:rsid w:val="00F34F7E"/>
    <w:rsid w:val="00F35990"/>
    <w:rsid w:val="00F372B4"/>
    <w:rsid w:val="00F4079C"/>
    <w:rsid w:val="00F408DC"/>
    <w:rsid w:val="00F416DF"/>
    <w:rsid w:val="00F43A99"/>
    <w:rsid w:val="00F44F59"/>
    <w:rsid w:val="00F461F8"/>
    <w:rsid w:val="00F462A8"/>
    <w:rsid w:val="00F50523"/>
    <w:rsid w:val="00F5108D"/>
    <w:rsid w:val="00F5132D"/>
    <w:rsid w:val="00F5250F"/>
    <w:rsid w:val="00F569B5"/>
    <w:rsid w:val="00F57E3F"/>
    <w:rsid w:val="00F60385"/>
    <w:rsid w:val="00F6061D"/>
    <w:rsid w:val="00F6254B"/>
    <w:rsid w:val="00F647B7"/>
    <w:rsid w:val="00F66585"/>
    <w:rsid w:val="00F66F35"/>
    <w:rsid w:val="00F6767D"/>
    <w:rsid w:val="00F7105B"/>
    <w:rsid w:val="00F7126F"/>
    <w:rsid w:val="00F71496"/>
    <w:rsid w:val="00F73B76"/>
    <w:rsid w:val="00F76480"/>
    <w:rsid w:val="00F7720C"/>
    <w:rsid w:val="00F77DFE"/>
    <w:rsid w:val="00F80EDF"/>
    <w:rsid w:val="00F81184"/>
    <w:rsid w:val="00F811B2"/>
    <w:rsid w:val="00F816BE"/>
    <w:rsid w:val="00F81C91"/>
    <w:rsid w:val="00F82F28"/>
    <w:rsid w:val="00F84623"/>
    <w:rsid w:val="00F905E6"/>
    <w:rsid w:val="00F90984"/>
    <w:rsid w:val="00F93D97"/>
    <w:rsid w:val="00F979D0"/>
    <w:rsid w:val="00FA02B0"/>
    <w:rsid w:val="00FA1D38"/>
    <w:rsid w:val="00FA225B"/>
    <w:rsid w:val="00FA3E3A"/>
    <w:rsid w:val="00FA5CC8"/>
    <w:rsid w:val="00FA7BA5"/>
    <w:rsid w:val="00FA7F96"/>
    <w:rsid w:val="00FB005F"/>
    <w:rsid w:val="00FB062A"/>
    <w:rsid w:val="00FB23BD"/>
    <w:rsid w:val="00FB330E"/>
    <w:rsid w:val="00FB51A4"/>
    <w:rsid w:val="00FB5E8C"/>
    <w:rsid w:val="00FB7A3D"/>
    <w:rsid w:val="00FB7A6E"/>
    <w:rsid w:val="00FC0D1B"/>
    <w:rsid w:val="00FC14AF"/>
    <w:rsid w:val="00FC3190"/>
    <w:rsid w:val="00FC3F06"/>
    <w:rsid w:val="00FC4152"/>
    <w:rsid w:val="00FC6005"/>
    <w:rsid w:val="00FC6FFE"/>
    <w:rsid w:val="00FC72A9"/>
    <w:rsid w:val="00FC7ED0"/>
    <w:rsid w:val="00FD0FF4"/>
    <w:rsid w:val="00FD1E4F"/>
    <w:rsid w:val="00FD3665"/>
    <w:rsid w:val="00FD3666"/>
    <w:rsid w:val="00FD64FB"/>
    <w:rsid w:val="00FE0141"/>
    <w:rsid w:val="00FE03D2"/>
    <w:rsid w:val="00FE0720"/>
    <w:rsid w:val="00FE0D48"/>
    <w:rsid w:val="00FE0ED2"/>
    <w:rsid w:val="00FE2067"/>
    <w:rsid w:val="00FE5117"/>
    <w:rsid w:val="00FE7912"/>
    <w:rsid w:val="00FE7F7A"/>
    <w:rsid w:val="00FF2D7A"/>
    <w:rsid w:val="00FF2F78"/>
    <w:rsid w:val="00FF3DC0"/>
    <w:rsid w:val="00FF3DEA"/>
    <w:rsid w:val="00FF3F59"/>
    <w:rsid w:val="00FF49F3"/>
    <w:rsid w:val="00FF4F96"/>
    <w:rsid w:val="00FF5E31"/>
    <w:rsid w:val="00FF6945"/>
    <w:rsid w:val="00FF6A79"/>
    <w:rsid w:val="00FF7DFE"/>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C3A1DB"/>
  <w15:docId w15:val="{BE922B93-0F48-4E26-9F58-590F5A7E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qFormat="1"/>
    <w:lsdException w:name="List Bullet 4" w:semiHidden="1" w:unhideWhenUsed="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126"/>
    <w:pPr>
      <w:spacing w:after="160"/>
      <w:ind w:left="0" w:firstLine="0"/>
    </w:pPr>
    <w:rPr>
      <w:rFonts w:asciiTheme="minorHAnsi" w:eastAsiaTheme="minorHAnsi" w:hAnsiTheme="minorHAnsi" w:cstheme="minorBidi"/>
      <w:sz w:val="24"/>
      <w:szCs w:val="22"/>
      <w:lang w:eastAsia="en-US"/>
    </w:rPr>
  </w:style>
  <w:style w:type="paragraph" w:styleId="Heading1">
    <w:name w:val="heading 1"/>
    <w:basedOn w:val="Normal"/>
    <w:next w:val="Normal"/>
    <w:link w:val="Heading1Char"/>
    <w:uiPriority w:val="1"/>
    <w:qFormat/>
    <w:rsid w:val="007E0976"/>
    <w:pPr>
      <w:keepNext/>
      <w:keepLines/>
      <w:spacing w:before="240" w:after="180"/>
      <w:outlineLvl w:val="0"/>
    </w:pPr>
    <w:rPr>
      <w:rFonts w:ascii="Source Sans Pro" w:eastAsia="SimHei" w:hAnsi="Source Sans Pro"/>
      <w:color w:val="002A3A" w:themeColor="text2"/>
      <w:spacing w:val="1"/>
      <w:sz w:val="48"/>
      <w:szCs w:val="32"/>
    </w:rPr>
  </w:style>
  <w:style w:type="paragraph" w:styleId="Heading2">
    <w:name w:val="heading 2"/>
    <w:basedOn w:val="Normal"/>
    <w:next w:val="Normal"/>
    <w:link w:val="Heading2Char"/>
    <w:uiPriority w:val="1"/>
    <w:qFormat/>
    <w:rsid w:val="007E0976"/>
    <w:pPr>
      <w:keepNext/>
      <w:keepLines/>
      <w:spacing w:before="240" w:after="140"/>
      <w:outlineLvl w:val="1"/>
    </w:pPr>
    <w:rPr>
      <w:rFonts w:ascii="Source Sans Pro" w:eastAsia="SimHei" w:hAnsi="Source Sans Pro"/>
      <w:color w:val="002A3A" w:themeColor="text2"/>
      <w:spacing w:val="1"/>
      <w:sz w:val="40"/>
      <w:szCs w:val="26"/>
    </w:rPr>
  </w:style>
  <w:style w:type="paragraph" w:styleId="Heading3">
    <w:name w:val="heading 3"/>
    <w:basedOn w:val="Normal"/>
    <w:next w:val="Normal"/>
    <w:link w:val="Heading3Char"/>
    <w:uiPriority w:val="9"/>
    <w:qFormat/>
    <w:rsid w:val="004A4CC0"/>
    <w:pPr>
      <w:keepNext/>
      <w:keepLines/>
      <w:spacing w:before="180"/>
      <w:outlineLvl w:val="2"/>
    </w:pPr>
    <w:rPr>
      <w:rFonts w:asciiTheme="majorHAnsi" w:eastAsiaTheme="majorEastAsia" w:hAnsiTheme="majorHAnsi" w:cstheme="majorBidi"/>
      <w:bCs/>
      <w:color w:val="002A3A" w:themeColor="text2"/>
      <w:sz w:val="30"/>
    </w:rPr>
  </w:style>
  <w:style w:type="paragraph" w:styleId="Heading4">
    <w:name w:val="heading 4"/>
    <w:basedOn w:val="Normal"/>
    <w:next w:val="Normal"/>
    <w:link w:val="Heading4Char"/>
    <w:uiPriority w:val="9"/>
    <w:qFormat/>
    <w:rsid w:val="00AD0794"/>
    <w:pPr>
      <w:keepNext/>
      <w:keepLines/>
      <w:spacing w:before="80" w:after="80"/>
      <w:outlineLvl w:val="3"/>
    </w:pPr>
    <w:rPr>
      <w:rFonts w:asciiTheme="majorHAnsi" w:eastAsiaTheme="majorEastAsia" w:hAnsiTheme="majorHAnsi" w:cstheme="majorBidi"/>
      <w:b/>
      <w:bCs/>
      <w:iCs/>
      <w:color w:val="002A3A" w:themeColor="text2"/>
    </w:rPr>
  </w:style>
  <w:style w:type="paragraph" w:styleId="Heading5">
    <w:name w:val="heading 5"/>
    <w:basedOn w:val="Normal"/>
    <w:next w:val="Normal"/>
    <w:link w:val="Heading5Char"/>
    <w:uiPriority w:val="9"/>
    <w:qFormat/>
    <w:rsid w:val="00A46B5A"/>
    <w:pPr>
      <w:keepNext/>
      <w:keepLines/>
      <w:spacing w:before="240"/>
      <w:outlineLvl w:val="4"/>
    </w:pPr>
    <w:rPr>
      <w:rFonts w:asciiTheme="majorHAnsi" w:eastAsiaTheme="majorEastAsia" w:hAnsiTheme="majorHAnsi" w:cstheme="majorBidi"/>
      <w:i/>
      <w:color w:val="002A3A" w:themeColor="text2"/>
    </w:rPr>
  </w:style>
  <w:style w:type="paragraph" w:styleId="Heading6">
    <w:name w:val="heading 6"/>
    <w:basedOn w:val="Normal"/>
    <w:next w:val="Normal"/>
    <w:link w:val="Heading6Char"/>
    <w:uiPriority w:val="9"/>
    <w:semiHidden/>
    <w:qFormat/>
    <w:rsid w:val="007945FA"/>
    <w:pPr>
      <w:keepNext/>
      <w:keepLines/>
      <w:spacing w:before="340"/>
      <w:outlineLvl w:val="5"/>
    </w:pPr>
    <w:rPr>
      <w:rFonts w:asciiTheme="majorHAnsi" w:eastAsiaTheme="majorEastAsia" w:hAnsiTheme="majorHAnsi" w:cstheme="majorBidi"/>
      <w:iCs/>
      <w:color w:val="002A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1"/>
    <w:rsid w:val="007E0976"/>
    <w:rPr>
      <w:rFonts w:ascii="Source Sans Pro" w:eastAsia="SimHei" w:hAnsi="Source Sans Pro"/>
      <w:color w:val="002A3A" w:themeColor="text2"/>
      <w:spacing w:val="1"/>
      <w:sz w:val="48"/>
      <w:szCs w:val="32"/>
      <w:lang w:eastAsia="en-US"/>
    </w:rPr>
  </w:style>
  <w:style w:type="character" w:customStyle="1" w:styleId="Heading2Char">
    <w:name w:val="Heading 2 Char"/>
    <w:basedOn w:val="DefaultParagraphFont"/>
    <w:link w:val="Heading2"/>
    <w:uiPriority w:val="1"/>
    <w:rsid w:val="007E0976"/>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9"/>
    <w:rsid w:val="004A4CC0"/>
    <w:rPr>
      <w:rFonts w:asciiTheme="majorHAnsi" w:eastAsiaTheme="majorEastAsia" w:hAnsiTheme="majorHAnsi" w:cstheme="majorBidi"/>
      <w:bCs/>
      <w:color w:val="002A3A" w:themeColor="text2"/>
      <w:sz w:val="30"/>
      <w:lang w:eastAsia="en-US"/>
    </w:rPr>
  </w:style>
  <w:style w:type="character" w:customStyle="1" w:styleId="Heading4Char">
    <w:name w:val="Heading 4 Char"/>
    <w:basedOn w:val="DefaultParagraphFont"/>
    <w:link w:val="Heading4"/>
    <w:uiPriority w:val="9"/>
    <w:rsid w:val="00AD0794"/>
    <w:rPr>
      <w:rFonts w:asciiTheme="majorHAnsi" w:eastAsiaTheme="majorEastAsia" w:hAnsiTheme="majorHAnsi" w:cstheme="majorBidi"/>
      <w:b/>
      <w:bCs/>
      <w:iCs/>
      <w:color w:val="002A3A" w:themeColor="text2"/>
      <w:sz w:val="24"/>
      <w:szCs w:val="22"/>
      <w:lang w:eastAsia="en-US"/>
    </w:rPr>
  </w:style>
  <w:style w:type="character" w:customStyle="1" w:styleId="Heading5Char">
    <w:name w:val="Heading 5 Char"/>
    <w:basedOn w:val="DefaultParagraphFont"/>
    <w:link w:val="Heading5"/>
    <w:uiPriority w:val="9"/>
    <w:rsid w:val="00A46B5A"/>
    <w:rPr>
      <w:rFonts w:asciiTheme="majorHAnsi" w:eastAsiaTheme="majorEastAsia" w:hAnsiTheme="majorHAnsi" w:cstheme="majorBidi"/>
      <w:i/>
      <w:color w:val="002A3A" w:themeColor="text2"/>
      <w:sz w:val="24"/>
      <w:szCs w:val="22"/>
      <w:lang w:eastAsia="en-US"/>
    </w:rPr>
  </w:style>
  <w:style w:type="paragraph" w:styleId="ListParagraph">
    <w:name w:val="List Paragraph"/>
    <w:basedOn w:val="Normal"/>
    <w:link w:val="ListParagraphChar"/>
    <w:uiPriority w:val="34"/>
    <w:qFormat/>
    <w:rsid w:val="008951B5"/>
    <w:pPr>
      <w:ind w:left="284"/>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semiHidden/>
    <w:qFormat/>
    <w:rsid w:val="00CE01C8"/>
    <w:pPr>
      <w:numPr>
        <w:ilvl w:val="1"/>
        <w:numId w:val="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3D5BE5"/>
    <w:pPr>
      <w:spacing w:after="0"/>
    </w:pPr>
    <w:rPr>
      <w:color w:val="002A3A" w:themeColor="text2"/>
      <w:sz w:val="18"/>
    </w:rPr>
  </w:style>
  <w:style w:type="character" w:customStyle="1" w:styleId="FooterChar">
    <w:name w:val="Footer Char"/>
    <w:basedOn w:val="DefaultParagraphFont"/>
    <w:link w:val="Footer"/>
    <w:uiPriority w:val="99"/>
    <w:rsid w:val="003D5BE5"/>
    <w:rPr>
      <w:rFonts w:asciiTheme="minorHAnsi" w:hAnsiTheme="minorHAnsi"/>
      <w:color w:val="002A3A" w:themeColor="text2"/>
      <w:sz w:val="18"/>
    </w:rPr>
  </w:style>
  <w:style w:type="paragraph" w:styleId="Title">
    <w:name w:val="Title"/>
    <w:basedOn w:val="Normal"/>
    <w:next w:val="Normal"/>
    <w:link w:val="TitleChar"/>
    <w:uiPriority w:val="10"/>
    <w:qFormat/>
    <w:rsid w:val="003319E9"/>
    <w:pPr>
      <w:adjustRightInd w:val="0"/>
      <w:spacing w:before="240" w:after="520" w:line="520" w:lineRule="atLeast"/>
    </w:pPr>
    <w:rPr>
      <w:rFonts w:ascii="Source Sans Pro Light" w:eastAsiaTheme="majorEastAsia" w:hAnsi="Source Sans Pro Light" w:cstheme="majorBidi"/>
      <w:color w:val="002A3A" w:themeColor="text2"/>
      <w:spacing w:val="-10"/>
      <w:kern w:val="28"/>
      <w:sz w:val="44"/>
      <w:szCs w:val="52"/>
    </w:rPr>
  </w:style>
  <w:style w:type="character" w:customStyle="1" w:styleId="TitleChar">
    <w:name w:val="Title Char"/>
    <w:basedOn w:val="DefaultParagraphFont"/>
    <w:link w:val="Title"/>
    <w:uiPriority w:val="10"/>
    <w:rsid w:val="00A306BD"/>
    <w:rPr>
      <w:rFonts w:ascii="Source Sans Pro Light" w:eastAsiaTheme="majorEastAsia" w:hAnsi="Source Sans Pro Light" w:cstheme="majorBidi"/>
      <w:color w:val="002A3A" w:themeColor="text2"/>
      <w:spacing w:val="-10"/>
      <w:kern w:val="28"/>
      <w:sz w:val="4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AF4C63"/>
    <w:pPr>
      <w:numPr>
        <w:ilvl w:val="1"/>
        <w:numId w:val="13"/>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93730B"/>
    <w:pPr>
      <w:numPr>
        <w:numId w:val="2"/>
      </w:numPr>
    </w:pPr>
  </w:style>
  <w:style w:type="table" w:styleId="TableGrid">
    <w:name w:val="Table Grid"/>
    <w:basedOn w:val="TableNormal"/>
    <w:uiPriority w:val="3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93730B"/>
    <w:pPr>
      <w:numPr>
        <w:numId w:val="11"/>
      </w:numPr>
    </w:pPr>
  </w:style>
  <w:style w:type="paragraph" w:styleId="ListNumber2">
    <w:name w:val="List Number 2"/>
    <w:basedOn w:val="Normal"/>
    <w:uiPriority w:val="99"/>
    <w:rsid w:val="0093730B"/>
    <w:pPr>
      <w:numPr>
        <w:ilvl w:val="1"/>
        <w:numId w:val="11"/>
      </w:numPr>
    </w:pPr>
  </w:style>
  <w:style w:type="paragraph" w:customStyle="1" w:styleId="TableHeading">
    <w:name w:val="Table Heading"/>
    <w:basedOn w:val="TableText"/>
    <w:qFormat/>
    <w:rsid w:val="00387801"/>
    <w:rPr>
      <w:color w:val="002A3A" w:themeColor="text2"/>
    </w:rPr>
  </w:style>
  <w:style w:type="paragraph" w:customStyle="1" w:styleId="TableText">
    <w:name w:val="Table Text"/>
    <w:basedOn w:val="Normal"/>
    <w:uiPriority w:val="60"/>
    <w:qFormat/>
    <w:rsid w:val="00387801"/>
    <w:pPr>
      <w:adjustRightInd w:val="0"/>
      <w:spacing w:before="60" w:after="60"/>
    </w:pPr>
    <w:rPr>
      <w:color w:val="000000" w:themeColor="text1"/>
    </w:rPr>
  </w:style>
  <w:style w:type="paragraph" w:customStyle="1" w:styleId="TableBullet">
    <w:name w:val="Table Bullet"/>
    <w:basedOn w:val="TableText"/>
    <w:link w:val="TableBulletChar"/>
    <w:qFormat/>
    <w:rsid w:val="00EB40FA"/>
    <w:pPr>
      <w:numPr>
        <w:numId w:val="3"/>
      </w:numPr>
      <w:ind w:left="170" w:hanging="170"/>
    </w:pPr>
  </w:style>
  <w:style w:type="paragraph" w:styleId="Caption">
    <w:name w:val="caption"/>
    <w:basedOn w:val="Normal"/>
    <w:next w:val="Normal"/>
    <w:uiPriority w:val="35"/>
    <w:qFormat/>
    <w:rsid w:val="001B74B5"/>
    <w:rPr>
      <w:b/>
      <w:iCs/>
      <w:color w:val="002A3A" w:themeColor="text2"/>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rsid w:val="00940831"/>
    <w:rPr>
      <w:color w:val="002A3A" w:themeColor="text2"/>
      <w:u w:val="single"/>
    </w:rPr>
  </w:style>
  <w:style w:type="table" w:customStyle="1" w:styleId="OAICTable">
    <w:name w:val="OAIC Table"/>
    <w:basedOn w:val="TableNormal"/>
    <w:uiPriority w:val="99"/>
    <w:rsid w:val="00387801"/>
    <w:pPr>
      <w:ind w:left="0" w:firstLine="0"/>
    </w:pPr>
    <w:rPr>
      <w:rFonts w:asciiTheme="minorHAnsi" w:hAnsiTheme="minorHAnsi"/>
    </w:rPr>
    <w:tblPr>
      <w:tblBorders>
        <w:bottom w:val="single" w:sz="4" w:space="0" w:color="DDD8D9" w:themeColor="accent6"/>
        <w:insideH w:val="single" w:sz="4" w:space="0" w:color="DDD8D9" w:themeColor="accent6"/>
      </w:tblBorders>
    </w:tblPr>
    <w:tcPr>
      <w:shd w:val="clear" w:color="auto" w:fill="auto"/>
    </w:tcPr>
    <w:tblStylePr w:type="firstRow">
      <w:rPr>
        <w:b/>
        <w:color w:val="auto"/>
        <w:sz w:val="22"/>
      </w:rPr>
      <w:tblPr/>
      <w:tcPr>
        <w:shd w:val="clear" w:color="auto" w:fill="DDD8D9" w:themeFill="accent6"/>
      </w:tc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93730B"/>
    <w:pPr>
      <w:numPr>
        <w:ilvl w:val="2"/>
        <w:numId w:val="11"/>
      </w:numPr>
      <w:ind w:left="851"/>
    </w:pPr>
  </w:style>
  <w:style w:type="paragraph" w:styleId="FootnoteText">
    <w:name w:val="footnote text"/>
    <w:basedOn w:val="Normal"/>
    <w:link w:val="FootnoteTextChar"/>
    <w:uiPriority w:val="99"/>
    <w:unhideWhenUsed/>
    <w:rsid w:val="002632ED"/>
    <w:pPr>
      <w:tabs>
        <w:tab w:val="left" w:pos="170"/>
      </w:tabs>
      <w:spacing w:after="60"/>
      <w:ind w:left="170" w:right="567" w:hanging="170"/>
    </w:pPr>
    <w:rPr>
      <w:sz w:val="18"/>
    </w:rPr>
  </w:style>
  <w:style w:type="character" w:customStyle="1" w:styleId="TableBulletChar">
    <w:name w:val="Table Bullet Char"/>
    <w:link w:val="TableBullet"/>
    <w:locked/>
    <w:rsid w:val="00EB40FA"/>
    <w:rPr>
      <w:rFonts w:asciiTheme="minorHAnsi" w:eastAsiaTheme="minorHAnsi" w:hAnsiTheme="minorHAnsi" w:cstheme="minorBidi"/>
      <w:color w:val="000000" w:themeColor="text1"/>
      <w:sz w:val="24"/>
      <w:szCs w:val="22"/>
      <w:lang w:eastAsia="en-US"/>
    </w:rPr>
  </w:style>
  <w:style w:type="character" w:customStyle="1" w:styleId="FootnoteTextChar">
    <w:name w:val="Footnote Text Char"/>
    <w:basedOn w:val="DefaultParagraphFont"/>
    <w:link w:val="FootnoteText"/>
    <w:uiPriority w:val="99"/>
    <w:rsid w:val="002632ED"/>
    <w:rPr>
      <w:rFonts w:asciiTheme="minorHAnsi" w:hAnsiTheme="minorHAnsi"/>
      <w:sz w:val="18"/>
    </w:rPr>
  </w:style>
  <w:style w:type="paragraph" w:styleId="Header">
    <w:name w:val="header"/>
    <w:basedOn w:val="Normal"/>
    <w:link w:val="HeaderChar"/>
    <w:uiPriority w:val="99"/>
    <w:rsid w:val="006C66AE"/>
    <w:pPr>
      <w:spacing w:after="0"/>
    </w:pPr>
    <w:rPr>
      <w:sz w:val="16"/>
    </w:rPr>
  </w:style>
  <w:style w:type="character" w:customStyle="1" w:styleId="HeaderChar">
    <w:name w:val="Header Char"/>
    <w:basedOn w:val="DefaultParagraphFont"/>
    <w:link w:val="Header"/>
    <w:uiPriority w:val="99"/>
    <w:rsid w:val="006C66AE"/>
    <w:rPr>
      <w:rFonts w:asciiTheme="minorHAnsi" w:hAnsiTheme="minorHAnsi"/>
      <w:sz w:val="16"/>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rsid w:val="00624852"/>
    <w:rPr>
      <w:color w:val="000000" w:themeColor="text1"/>
      <w:sz w:val="22"/>
    </w:rPr>
  </w:style>
  <w:style w:type="paragraph" w:customStyle="1" w:styleId="CalloutBox">
    <w:name w:val="Callout Box"/>
    <w:basedOn w:val="CallouttextB"/>
    <w:next w:val="Normal"/>
    <w:rsid w:val="00BD3B4A"/>
  </w:style>
  <w:style w:type="paragraph" w:customStyle="1" w:styleId="Source">
    <w:name w:val="Source"/>
    <w:next w:val="Normal"/>
    <w:uiPriority w:val="97"/>
    <w:semiHidden/>
    <w:rsid w:val="001B74B5"/>
    <w:pPr>
      <w:numPr>
        <w:numId w:val="5"/>
      </w:numPr>
    </w:pPr>
    <w:rPr>
      <w:rFonts w:asciiTheme="minorHAnsi" w:eastAsia="Times New Roman" w:hAnsiTheme="minorHAnsi" w:cstheme="minorHAnsi"/>
      <w:spacing w:val="-3"/>
      <w:sz w:val="18"/>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93351F"/>
    <w:rPr>
      <w:b/>
      <w:color w:val="002A3A" w:themeColor="text2"/>
    </w:rPr>
  </w:style>
  <w:style w:type="paragraph" w:customStyle="1" w:styleId="TableCaption">
    <w:name w:val="Table Caption"/>
    <w:basedOn w:val="Normal"/>
    <w:next w:val="Normal"/>
    <w:rsid w:val="001B74B5"/>
    <w:rPr>
      <w:b/>
      <w:color w:val="002A3A" w:themeColor="text2"/>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semiHidden/>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pPr>
    <w:rPr>
      <w:sz w:val="28"/>
    </w:rPr>
  </w:style>
  <w:style w:type="numbering" w:customStyle="1" w:styleId="BulletsOAIC">
    <w:name w:val="Bullets_OAIC"/>
    <w:uiPriority w:val="99"/>
    <w:rsid w:val="00AF4C63"/>
    <w:pPr>
      <w:numPr>
        <w:numId w:val="6"/>
      </w:numPr>
    </w:pPr>
  </w:style>
  <w:style w:type="paragraph" w:styleId="TOCHeading">
    <w:name w:val="TOC Heading"/>
    <w:basedOn w:val="Heading1"/>
    <w:next w:val="Normal"/>
    <w:uiPriority w:val="39"/>
    <w:semiHidden/>
    <w:qFormat/>
    <w:rsid w:val="008D56E8"/>
    <w:pPr>
      <w:spacing w:after="600" w:line="240" w:lineRule="atLeast"/>
      <w:contextualSpacing/>
      <w:outlineLvl w:val="9"/>
    </w:pPr>
    <w:rPr>
      <w:color w:val="B81D30" w:themeColor="accent1" w:themeShade="BF"/>
      <w:sz w:val="54"/>
    </w:rPr>
  </w:style>
  <w:style w:type="paragraph" w:styleId="ListBullet">
    <w:name w:val="List Bullet"/>
    <w:basedOn w:val="Normal"/>
    <w:uiPriority w:val="99"/>
    <w:qFormat/>
    <w:rsid w:val="00AF4C63"/>
    <w:pPr>
      <w:numPr>
        <w:numId w:val="13"/>
      </w:numPr>
    </w:pPr>
  </w:style>
  <w:style w:type="paragraph" w:customStyle="1" w:styleId="CoverDate">
    <w:name w:val="Cover Date"/>
    <w:basedOn w:val="Normal"/>
    <w:rsid w:val="00A22DB1"/>
    <w:pPr>
      <w:spacing w:after="0"/>
    </w:pPr>
    <w:rPr>
      <w:b/>
      <w:color w:val="7F7F7F" w:themeColor="text1" w:themeTint="80"/>
      <w:sz w:val="20"/>
    </w:rPr>
  </w:style>
  <w:style w:type="character" w:styleId="PageNumber">
    <w:name w:val="page number"/>
    <w:basedOn w:val="DefaultParagraphFont"/>
    <w:uiPriority w:val="99"/>
    <w:semiHidden/>
    <w:rsid w:val="0044324C"/>
    <w:rPr>
      <w:b w:val="0"/>
      <w:color w:val="000000" w:themeColor="text1"/>
    </w:rPr>
  </w:style>
  <w:style w:type="paragraph" w:customStyle="1" w:styleId="CoverHeading">
    <w:name w:val="Cover Heading"/>
    <w:basedOn w:val="Normal"/>
    <w:semiHidden/>
    <w:qFormat/>
    <w:rsid w:val="00420D0C"/>
    <w:pPr>
      <w:spacing w:before="360" w:line="194" w:lineRule="auto"/>
      <w:contextualSpacing/>
    </w:pPr>
    <w:rPr>
      <w:color w:val="FFFFFF" w:themeColor="background2"/>
      <w:sz w:val="60"/>
    </w:rPr>
  </w:style>
  <w:style w:type="paragraph" w:customStyle="1" w:styleId="CoverSubheading">
    <w:name w:val="Cover Subheading"/>
    <w:basedOn w:val="Normal"/>
    <w:rsid w:val="00A22DB1"/>
    <w:pPr>
      <w:spacing w:after="600" w:line="400" w:lineRule="atLeast"/>
      <w:contextualSpacing/>
    </w:pPr>
    <w:rPr>
      <w:b/>
      <w:color w:val="002A3A" w:themeColor="text2"/>
      <w:spacing w:val="-10"/>
      <w:sz w:val="32"/>
    </w:rPr>
  </w:style>
  <w:style w:type="paragraph" w:customStyle="1" w:styleId="CoverDetails">
    <w:name w:val="Cover Details"/>
    <w:basedOn w:val="Normal"/>
    <w:semiHidden/>
    <w:qFormat/>
    <w:rsid w:val="00C348FD"/>
    <w:pPr>
      <w:spacing w:after="100"/>
    </w:pPr>
    <w:rPr>
      <w:color w:val="FFFFFF" w:themeColor="background2"/>
      <w:spacing w:val="-6"/>
    </w:rPr>
  </w:style>
  <w:style w:type="paragraph" w:customStyle="1" w:styleId="CoverDetailsHeading">
    <w:name w:val="Cover Details Heading"/>
    <w:basedOn w:val="Normal"/>
    <w:semiHidden/>
    <w:qFormat/>
    <w:rsid w:val="00B87AC3"/>
    <w:pPr>
      <w:spacing w:after="80"/>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086C"/>
    <w:pPr>
      <w:numPr>
        <w:ilvl w:val="1"/>
        <w:numId w:val="12"/>
      </w:numPr>
    </w:pPr>
  </w:style>
  <w:style w:type="character" w:customStyle="1" w:styleId="Heading6Char">
    <w:name w:val="Heading 6 Char"/>
    <w:basedOn w:val="DefaultParagraphFont"/>
    <w:link w:val="Heading6"/>
    <w:uiPriority w:val="9"/>
    <w:semiHidden/>
    <w:rsid w:val="007945FA"/>
    <w:rPr>
      <w:rFonts w:asciiTheme="majorHAnsi" w:eastAsiaTheme="majorEastAsia" w:hAnsiTheme="majorHAnsi" w:cstheme="majorBidi"/>
      <w:iCs/>
      <w:color w:val="002A3A" w:themeColor="text2"/>
      <w:sz w:val="22"/>
    </w:rPr>
  </w:style>
  <w:style w:type="numbering" w:customStyle="1" w:styleId="NumberedParagraphsList">
    <w:name w:val="NumberedParagraphs List"/>
    <w:uiPriority w:val="99"/>
    <w:rsid w:val="0004086C"/>
    <w:pPr>
      <w:numPr>
        <w:numId w:val="9"/>
      </w:numPr>
    </w:pPr>
  </w:style>
  <w:style w:type="paragraph" w:styleId="TOC4">
    <w:name w:val="toc 4"/>
    <w:basedOn w:val="Normal"/>
    <w:next w:val="Normal"/>
    <w:uiPriority w:val="39"/>
    <w:semiHidden/>
    <w:rsid w:val="00D0312E"/>
    <w:pPr>
      <w:tabs>
        <w:tab w:val="left" w:pos="737"/>
        <w:tab w:val="right" w:leader="dot" w:pos="9072"/>
      </w:tabs>
    </w:pPr>
    <w:rPr>
      <w:sz w:val="20"/>
    </w:rPr>
  </w:style>
  <w:style w:type="paragraph" w:customStyle="1" w:styleId="IndentBullet1">
    <w:name w:val="Indent Bullet 1"/>
    <w:basedOn w:val="Normal"/>
    <w:qFormat/>
    <w:rsid w:val="00AF4C63"/>
    <w:pPr>
      <w:numPr>
        <w:ilvl w:val="4"/>
        <w:numId w:val="13"/>
      </w:numPr>
    </w:pPr>
  </w:style>
  <w:style w:type="paragraph" w:customStyle="1" w:styleId="IndentBullet2">
    <w:name w:val="Indent Bullet 2"/>
    <w:basedOn w:val="ListParagraph"/>
    <w:qFormat/>
    <w:rsid w:val="00AF4C63"/>
    <w:pPr>
      <w:numPr>
        <w:ilvl w:val="5"/>
        <w:numId w:val="13"/>
      </w:numPr>
    </w:pPr>
  </w:style>
  <w:style w:type="character" w:styleId="FollowedHyperlink">
    <w:name w:val="FollowedHyperlink"/>
    <w:basedOn w:val="DefaultParagraphFont"/>
    <w:uiPriority w:val="99"/>
    <w:semiHidden/>
    <w:unhideWhenUsed/>
    <w:rsid w:val="00E114D3"/>
    <w:rPr>
      <w:color w:val="000000" w:themeColor="followedHyperlink"/>
      <w:u w:val="single"/>
    </w:rPr>
  </w:style>
  <w:style w:type="paragraph" w:customStyle="1" w:styleId="Details">
    <w:name w:val="Details"/>
    <w:basedOn w:val="Normal"/>
    <w:rsid w:val="00624852"/>
    <w:pPr>
      <w:spacing w:before="120"/>
    </w:pPr>
  </w:style>
  <w:style w:type="paragraph" w:customStyle="1" w:styleId="Label">
    <w:name w:val="Label"/>
    <w:basedOn w:val="Details"/>
    <w:rsid w:val="00624852"/>
    <w:rPr>
      <w:b/>
    </w:rPr>
  </w:style>
  <w:style w:type="table" w:styleId="GridTable5Dark-Accent4">
    <w:name w:val="Grid Table 5 Dark Accent 4"/>
    <w:basedOn w:val="TableNormal"/>
    <w:uiPriority w:val="50"/>
    <w:rsid w:val="009F78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B2B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B2B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B2B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B2B6" w:themeFill="accent4"/>
      </w:tcPr>
    </w:tblStylePr>
    <w:tblStylePr w:type="band1Vert">
      <w:tblPr/>
      <w:tcPr>
        <w:shd w:val="clear" w:color="auto" w:fill="E6E0E1" w:themeFill="accent4" w:themeFillTint="66"/>
      </w:tcPr>
    </w:tblStylePr>
    <w:tblStylePr w:type="band1Horz">
      <w:tblPr/>
      <w:tcPr>
        <w:shd w:val="clear" w:color="auto" w:fill="E6E0E1" w:themeFill="accent4" w:themeFillTint="66"/>
      </w:tcPr>
    </w:tblStylePr>
  </w:style>
  <w:style w:type="table" w:styleId="ListTable7Colorful-Accent6">
    <w:name w:val="List Table 7 Colorful Accent 6"/>
    <w:basedOn w:val="TableNormal"/>
    <w:uiPriority w:val="52"/>
    <w:rsid w:val="009F782D"/>
    <w:rPr>
      <w:color w:val="A99D9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8D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8D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8D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8D9" w:themeColor="accent6"/>
        </w:tcBorders>
        <w:shd w:val="clear" w:color="auto" w:fill="FFFFFF" w:themeFill="background1"/>
      </w:tcPr>
    </w:tblStylePr>
    <w:tblStylePr w:type="band1Vert">
      <w:tblPr/>
      <w:tcPr>
        <w:shd w:val="clear" w:color="auto" w:fill="F8F7F7" w:themeFill="accent6" w:themeFillTint="33"/>
      </w:tcPr>
    </w:tblStylePr>
    <w:tblStylePr w:type="band1Horz">
      <w:tblPr/>
      <w:tcPr>
        <w:shd w:val="clear" w:color="auto" w:fill="F8F7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0554F"/>
    <w:rPr>
      <w:color w:val="977E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B2B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B2B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B2B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B2B6" w:themeColor="accent4"/>
        </w:tcBorders>
        <w:shd w:val="clear" w:color="auto" w:fill="FFFFFF" w:themeFill="background1"/>
      </w:tcPr>
    </w:tblStylePr>
    <w:tblStylePr w:type="band1Vert">
      <w:tblPr/>
      <w:tcPr>
        <w:shd w:val="clear" w:color="auto" w:fill="F2EFF0" w:themeFill="accent4" w:themeFillTint="33"/>
      </w:tcPr>
    </w:tblStylePr>
    <w:tblStylePr w:type="band1Horz">
      <w:tblPr/>
      <w:tcPr>
        <w:shd w:val="clear" w:color="auto" w:fill="F2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B32094"/>
    <w:rPr>
      <w:vertAlign w:val="superscript"/>
    </w:rPr>
  </w:style>
  <w:style w:type="character" w:styleId="Strong">
    <w:name w:val="Strong"/>
    <w:basedOn w:val="DefaultParagraphFont"/>
    <w:uiPriority w:val="22"/>
    <w:qFormat/>
    <w:rsid w:val="003D5BE5"/>
    <w:rPr>
      <w:b/>
      <w:bCs/>
    </w:rPr>
  </w:style>
  <w:style w:type="paragraph" w:styleId="ListBullet3">
    <w:name w:val="List Bullet 3"/>
    <w:basedOn w:val="Normal"/>
    <w:uiPriority w:val="99"/>
    <w:qFormat/>
    <w:rsid w:val="00AF4C63"/>
    <w:pPr>
      <w:numPr>
        <w:ilvl w:val="2"/>
        <w:numId w:val="13"/>
      </w:numPr>
      <w:contextualSpacing/>
    </w:pPr>
  </w:style>
  <w:style w:type="numbering" w:customStyle="1" w:styleId="NumbersOAIC1">
    <w:name w:val="Numbers_OAIC1"/>
    <w:uiPriority w:val="99"/>
    <w:rsid w:val="003D5BE5"/>
  </w:style>
  <w:style w:type="numbering" w:customStyle="1" w:styleId="BulletsOAIC1">
    <w:name w:val="Bullets_OAIC1"/>
    <w:uiPriority w:val="99"/>
    <w:rsid w:val="003D5BE5"/>
  </w:style>
  <w:style w:type="paragraph" w:styleId="NoSpacing">
    <w:name w:val="No Spacing"/>
    <w:uiPriority w:val="1"/>
    <w:rsid w:val="00BD3B4A"/>
    <w:pPr>
      <w:ind w:left="0" w:firstLine="0"/>
    </w:pPr>
    <w:rPr>
      <w:rFonts w:asciiTheme="minorHAnsi" w:hAnsiTheme="minorHAnsi"/>
      <w:sz w:val="22"/>
    </w:rPr>
  </w:style>
  <w:style w:type="table" w:customStyle="1" w:styleId="CalloutA">
    <w:name w:val="Callout A"/>
    <w:basedOn w:val="TableNormal"/>
    <w:uiPriority w:val="99"/>
    <w:rsid w:val="00BD3B4A"/>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themeFill="accent6"/>
      <w:vAlign w:val="center"/>
    </w:tcPr>
  </w:style>
  <w:style w:type="table" w:customStyle="1" w:styleId="CalloutB">
    <w:name w:val="Callout B"/>
    <w:basedOn w:val="TableNormal"/>
    <w:uiPriority w:val="99"/>
    <w:rsid w:val="00BD3B4A"/>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F3DD6D" w:themeFill="accent5"/>
    </w:tcPr>
  </w:style>
  <w:style w:type="table" w:customStyle="1" w:styleId="CalloutC">
    <w:name w:val="Callout C"/>
    <w:basedOn w:val="TableNormal"/>
    <w:uiPriority w:val="99"/>
    <w:rsid w:val="00BD3B4A"/>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F3DD6D" w:themeFill="accent5"/>
      </w:tcPr>
    </w:tblStylePr>
    <w:tblStylePr w:type="swCell">
      <w:tblPr/>
      <w:tcPr>
        <w:shd w:val="clear" w:color="auto" w:fill="F3DD6D" w:themeFill="accent5"/>
      </w:tcPr>
    </w:tblStylePr>
  </w:style>
  <w:style w:type="table" w:customStyle="1" w:styleId="CalloutD">
    <w:name w:val="Callout D"/>
    <w:basedOn w:val="TableNormal"/>
    <w:uiPriority w:val="99"/>
    <w:rsid w:val="00BD3B4A"/>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hemeFill="accent6"/>
      </w:tcPr>
    </w:tblStylePr>
    <w:tblStylePr w:type="swCell">
      <w:tblPr/>
      <w:tcPr>
        <w:shd w:val="clear" w:color="auto" w:fill="DDD8D9" w:themeFill="accent6"/>
      </w:tcPr>
    </w:tblStylePr>
  </w:style>
  <w:style w:type="paragraph" w:customStyle="1" w:styleId="CallouttextA">
    <w:name w:val="Callout text A"/>
    <w:basedOn w:val="Normal"/>
    <w:next w:val="Normal"/>
    <w:rsid w:val="00BD3B4A"/>
    <w:pPr>
      <w:pBdr>
        <w:top w:val="single" w:sz="4" w:space="10" w:color="F3DD6D" w:themeColor="accent5"/>
        <w:left w:val="single" w:sz="4" w:space="10" w:color="F3DD6D" w:themeColor="accent5"/>
        <w:bottom w:val="single" w:sz="4" w:space="10" w:color="F3DD6D" w:themeColor="accent5"/>
        <w:right w:val="single" w:sz="4" w:space="10" w:color="F3DD6D" w:themeColor="accent5"/>
      </w:pBdr>
      <w:shd w:val="clear" w:color="auto" w:fill="F3DD6D" w:themeFill="accent5"/>
      <w:ind w:left="227" w:right="227"/>
    </w:pPr>
    <w:rPr>
      <w:spacing w:val="1"/>
    </w:rPr>
  </w:style>
  <w:style w:type="paragraph" w:customStyle="1" w:styleId="CallouttextB">
    <w:name w:val="Callout text B"/>
    <w:basedOn w:val="CallouttextA"/>
    <w:next w:val="Normal"/>
    <w:rsid w:val="00BD3B4A"/>
    <w:pPr>
      <w:pBdr>
        <w:top w:val="single" w:sz="4" w:space="10" w:color="DDD8D9" w:themeColor="accent6"/>
        <w:left w:val="single" w:sz="4" w:space="10" w:color="DDD8D9" w:themeColor="accent6"/>
        <w:bottom w:val="single" w:sz="4" w:space="10" w:color="DDD8D9" w:themeColor="accent6"/>
        <w:right w:val="single" w:sz="4" w:space="10" w:color="DDD8D9" w:themeColor="accent6"/>
      </w:pBdr>
      <w:shd w:val="clear" w:color="auto" w:fill="DDD8D9" w:themeFill="accent6"/>
    </w:pPr>
  </w:style>
  <w:style w:type="paragraph" w:styleId="MacroText">
    <w:name w:val="macro"/>
    <w:link w:val="MacroTextChar"/>
    <w:uiPriority w:val="99"/>
    <w:semiHidden/>
    <w:unhideWhenUsed/>
    <w:rsid w:val="008951B5"/>
    <w:pPr>
      <w:tabs>
        <w:tab w:val="left" w:pos="480"/>
        <w:tab w:val="left" w:pos="960"/>
        <w:tab w:val="left" w:pos="1440"/>
        <w:tab w:val="left" w:pos="1920"/>
        <w:tab w:val="left" w:pos="2400"/>
        <w:tab w:val="left" w:pos="2880"/>
        <w:tab w:val="left" w:pos="3360"/>
        <w:tab w:val="left" w:pos="3840"/>
        <w:tab w:val="left" w:pos="4320"/>
      </w:tabs>
      <w:spacing w:line="260" w:lineRule="atLeast"/>
      <w:ind w:firstLine="0"/>
    </w:pPr>
    <w:rPr>
      <w:rFonts w:ascii="Consolas" w:hAnsi="Consolas"/>
    </w:rPr>
  </w:style>
  <w:style w:type="character" w:customStyle="1" w:styleId="MacroTextChar">
    <w:name w:val="Macro Text Char"/>
    <w:basedOn w:val="DefaultParagraphFont"/>
    <w:link w:val="MacroText"/>
    <w:uiPriority w:val="99"/>
    <w:semiHidden/>
    <w:rsid w:val="008951B5"/>
    <w:rPr>
      <w:rFonts w:ascii="Consolas" w:hAnsi="Consolas"/>
    </w:rPr>
  </w:style>
  <w:style w:type="paragraph" w:styleId="ListNumber5">
    <w:name w:val="List Number 5"/>
    <w:basedOn w:val="Normal"/>
    <w:uiPriority w:val="99"/>
    <w:unhideWhenUsed/>
    <w:rsid w:val="008951B5"/>
    <w:pPr>
      <w:numPr>
        <w:numId w:val="10"/>
      </w:numPr>
      <w:contextualSpacing/>
    </w:pPr>
  </w:style>
  <w:style w:type="paragraph" w:styleId="ListBullet4">
    <w:name w:val="List Bullet 4"/>
    <w:basedOn w:val="Normal"/>
    <w:uiPriority w:val="99"/>
    <w:unhideWhenUsed/>
    <w:rsid w:val="00AF4C63"/>
    <w:pPr>
      <w:numPr>
        <w:ilvl w:val="3"/>
        <w:numId w:val="13"/>
      </w:numPr>
      <w:spacing w:before="180" w:after="0"/>
    </w:pPr>
  </w:style>
  <w:style w:type="table" w:customStyle="1" w:styleId="Agreement">
    <w:name w:val="Agreement"/>
    <w:basedOn w:val="TableNormal"/>
    <w:uiPriority w:val="99"/>
    <w:rsid w:val="008951B5"/>
    <w:pPr>
      <w:ind w:left="0" w:firstLine="0"/>
    </w:pPr>
    <w:rPr>
      <w:rFonts w:asciiTheme="minorHAnsi" w:hAnsiTheme="minorHAnsi"/>
    </w:rPr>
    <w:tblPr>
      <w:tblBorders>
        <w:insideH w:val="single" w:sz="4" w:space="0" w:color="DDD8D9" w:themeColor="accent6"/>
      </w:tblBorders>
    </w:tblPr>
    <w:tcPr>
      <w:vAlign w:val="bottom"/>
    </w:tcPr>
    <w:tblStylePr w:type="firstRow">
      <w:rPr>
        <w:rFonts w:asciiTheme="minorHAnsi" w:hAnsiTheme="minorHAnsi"/>
        <w:b w:val="0"/>
        <w:i w:val="0"/>
        <w:sz w:val="30"/>
      </w:rPr>
      <w:tblPr/>
      <w:tcPr>
        <w:shd w:val="clear" w:color="auto" w:fill="DDD8D9" w:themeFill="accent6"/>
      </w:tcPr>
    </w:tblStylePr>
    <w:tblStylePr w:type="lastRow">
      <w:pPr>
        <w:jc w:val="left"/>
      </w:pPr>
      <w:tblPr/>
      <w:tcPr>
        <w:shd w:val="clear" w:color="auto" w:fill="DDD8D9" w:themeFill="accent6"/>
      </w:tcPr>
    </w:tblStylePr>
    <w:tblStylePr w:type="swCell">
      <w:pPr>
        <w:jc w:val="left"/>
      </w:pPr>
      <w:tblPr/>
      <w:tcPr>
        <w:vAlign w:val="top"/>
      </w:tcPr>
    </w:tblStylePr>
  </w:style>
  <w:style w:type="table" w:customStyle="1" w:styleId="OAICForm">
    <w:name w:val="OAIC Form"/>
    <w:basedOn w:val="TableNormal"/>
    <w:uiPriority w:val="99"/>
    <w:rsid w:val="00387801"/>
    <w:pPr>
      <w:ind w:left="0" w:firstLine="0"/>
    </w:pPr>
    <w:tblPr>
      <w:tblBorders>
        <w:bottom w:val="single" w:sz="4" w:space="0" w:color="DDD8D9" w:themeColor="accent6"/>
        <w:insideH w:val="single" w:sz="4" w:space="0" w:color="DDD8D9" w:themeColor="accent6"/>
      </w:tblBorders>
    </w:tblPr>
    <w:tblStylePr w:type="firstCol">
      <w:tblPr/>
      <w:tcPr>
        <w:shd w:val="clear" w:color="auto" w:fill="DDD8D9" w:themeFill="accent6"/>
      </w:tcPr>
    </w:tblStylePr>
  </w:style>
  <w:style w:type="paragraph" w:customStyle="1" w:styleId="TableUnderline">
    <w:name w:val="Table Underline"/>
    <w:basedOn w:val="NoSpacing"/>
    <w:qFormat/>
    <w:rsid w:val="00F462A8"/>
    <w:pPr>
      <w:pBdr>
        <w:bottom w:val="single" w:sz="4" w:space="1" w:color="DDD8D9" w:themeColor="accent6"/>
      </w:pBdr>
      <w:spacing w:after="200"/>
    </w:pPr>
  </w:style>
  <w:style w:type="paragraph" w:customStyle="1" w:styleId="Heading1-RightAligned">
    <w:name w:val="Heading 1 - Right Aligned"/>
    <w:basedOn w:val="Heading1"/>
    <w:qFormat/>
    <w:rsid w:val="00F462A8"/>
    <w:pPr>
      <w:jc w:val="right"/>
    </w:pPr>
  </w:style>
  <w:style w:type="character" w:styleId="UnresolvedMention">
    <w:name w:val="Unresolved Mention"/>
    <w:basedOn w:val="DefaultParagraphFont"/>
    <w:uiPriority w:val="99"/>
    <w:semiHidden/>
    <w:unhideWhenUsed/>
    <w:rsid w:val="006F770B"/>
    <w:rPr>
      <w:color w:val="605E5C"/>
      <w:shd w:val="clear" w:color="auto" w:fill="E1DFDD"/>
    </w:rPr>
  </w:style>
  <w:style w:type="paragraph" w:customStyle="1" w:styleId="Legnumberedpara">
    <w:name w:val="Leg numbered para"/>
    <w:basedOn w:val="ListParagraph"/>
    <w:link w:val="LegnumberedparaChar"/>
    <w:qFormat/>
    <w:rsid w:val="009E0CB6"/>
    <w:pPr>
      <w:numPr>
        <w:numId w:val="14"/>
      </w:numPr>
      <w:ind w:left="426" w:hanging="426"/>
    </w:pPr>
    <w:rPr>
      <w:rFonts w:asciiTheme="majorHAnsi" w:hAnsiTheme="majorHAnsi"/>
      <w:color w:val="002A3A" w:themeColor="text2"/>
      <w:spacing w:val="10"/>
    </w:rPr>
  </w:style>
  <w:style w:type="character" w:customStyle="1" w:styleId="ListParagraphChar">
    <w:name w:val="List Paragraph Char"/>
    <w:basedOn w:val="DefaultParagraphFont"/>
    <w:link w:val="ListParagraph"/>
    <w:uiPriority w:val="34"/>
    <w:rsid w:val="00E23C04"/>
    <w:rPr>
      <w:rFonts w:asciiTheme="minorHAnsi" w:hAnsiTheme="minorHAnsi"/>
      <w:sz w:val="22"/>
    </w:rPr>
  </w:style>
  <w:style w:type="character" w:customStyle="1" w:styleId="LegnumberedparaChar">
    <w:name w:val="Leg numbered para Char"/>
    <w:basedOn w:val="ListParagraphChar"/>
    <w:link w:val="Legnumberedpara"/>
    <w:rsid w:val="009E0CB6"/>
    <w:rPr>
      <w:rFonts w:asciiTheme="majorHAnsi" w:eastAsiaTheme="minorHAnsi" w:hAnsiTheme="majorHAnsi" w:cstheme="minorBidi"/>
      <w:color w:val="002A3A" w:themeColor="text2"/>
      <w:spacing w:val="10"/>
      <w:sz w:val="24"/>
      <w:szCs w:val="22"/>
      <w:lang w:eastAsia="en-US"/>
    </w:rPr>
  </w:style>
  <w:style w:type="paragraph" w:styleId="NormalWeb">
    <w:name w:val="Normal (Web)"/>
    <w:basedOn w:val="Normal"/>
    <w:uiPriority w:val="99"/>
    <w:unhideWhenUsed/>
    <w:rsid w:val="00841C20"/>
    <w:pPr>
      <w:spacing w:before="100" w:beforeAutospacing="1" w:after="100" w:afterAutospacing="1"/>
    </w:pPr>
    <w:rPr>
      <w:rFonts w:ascii="Times New Roman" w:eastAsia="Times New Roman" w:hAnsi="Times New Roman"/>
      <w:szCs w:val="24"/>
      <w:lang w:eastAsia="en-AU"/>
    </w:rPr>
  </w:style>
  <w:style w:type="character" w:styleId="Emphasis">
    <w:name w:val="Emphasis"/>
    <w:basedOn w:val="DefaultParagraphFont"/>
    <w:uiPriority w:val="20"/>
    <w:qFormat/>
    <w:rsid w:val="00841C20"/>
    <w:rPr>
      <w:i/>
      <w:iCs/>
    </w:rPr>
  </w:style>
  <w:style w:type="paragraph" w:customStyle="1" w:styleId="paragraph">
    <w:name w:val="paragraph"/>
    <w:basedOn w:val="Normal"/>
    <w:rsid w:val="00DC4247"/>
    <w:pPr>
      <w:spacing w:before="100" w:beforeAutospacing="1" w:after="100" w:afterAutospacing="1"/>
    </w:pPr>
    <w:rPr>
      <w:rFonts w:ascii="Times New Roman" w:hAnsi="Times New Roman"/>
      <w:szCs w:val="24"/>
      <w:lang w:eastAsia="en-AU"/>
    </w:rPr>
  </w:style>
  <w:style w:type="paragraph" w:customStyle="1" w:styleId="Default">
    <w:name w:val="Default"/>
    <w:rsid w:val="00692832"/>
    <w:pPr>
      <w:autoSpaceDE w:val="0"/>
      <w:autoSpaceDN w:val="0"/>
      <w:adjustRightInd w:val="0"/>
      <w:ind w:left="0" w:firstLine="0"/>
    </w:pPr>
    <w:rPr>
      <w:rFonts w:cs="Arial"/>
      <w:color w:val="000000"/>
      <w:sz w:val="24"/>
      <w:szCs w:val="24"/>
    </w:rPr>
  </w:style>
  <w:style w:type="paragraph" w:styleId="Revision">
    <w:name w:val="Revision"/>
    <w:hidden/>
    <w:uiPriority w:val="99"/>
    <w:semiHidden/>
    <w:rsid w:val="00520D7C"/>
    <w:pPr>
      <w:ind w:left="0" w:firstLine="0"/>
    </w:pPr>
    <w:rPr>
      <w:rFonts w:asciiTheme="minorHAnsi" w:hAnsiTheme="minorHAnsi"/>
      <w:sz w:val="22"/>
    </w:rPr>
  </w:style>
  <w:style w:type="paragraph" w:customStyle="1" w:styleId="Bulletlist">
    <w:name w:val="Bullet list"/>
    <w:basedOn w:val="ListParagraph"/>
    <w:rsid w:val="00E00F5F"/>
    <w:pPr>
      <w:numPr>
        <w:numId w:val="15"/>
      </w:numPr>
      <w:spacing w:after="120"/>
      <w:ind w:hanging="578"/>
    </w:pPr>
    <w:rPr>
      <w:rFonts w:eastAsia="Times New Roman"/>
      <w:lang w:eastAsia="en-AU"/>
    </w:rPr>
  </w:style>
  <w:style w:type="paragraph" w:customStyle="1" w:styleId="ndissubsection">
    <w:name w:val="ndissubsection"/>
    <w:basedOn w:val="Normal"/>
    <w:rsid w:val="00E00F5F"/>
    <w:pPr>
      <w:spacing w:before="100" w:beforeAutospacing="1" w:after="100" w:afterAutospacing="1"/>
    </w:pPr>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FE7F7A"/>
    <w:rPr>
      <w:sz w:val="16"/>
      <w:szCs w:val="16"/>
    </w:rPr>
  </w:style>
  <w:style w:type="paragraph" w:styleId="CommentText">
    <w:name w:val="annotation text"/>
    <w:basedOn w:val="Normal"/>
    <w:link w:val="CommentTextChar"/>
    <w:uiPriority w:val="99"/>
    <w:unhideWhenUsed/>
    <w:rsid w:val="00FE7F7A"/>
    <w:rPr>
      <w:sz w:val="20"/>
      <w:szCs w:val="20"/>
    </w:rPr>
  </w:style>
  <w:style w:type="character" w:customStyle="1" w:styleId="CommentTextChar">
    <w:name w:val="Comment Text Char"/>
    <w:basedOn w:val="DefaultParagraphFont"/>
    <w:link w:val="CommentText"/>
    <w:uiPriority w:val="99"/>
    <w:rsid w:val="00FE7F7A"/>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E7F7A"/>
    <w:rPr>
      <w:b/>
      <w:bCs/>
    </w:rPr>
  </w:style>
  <w:style w:type="character" w:customStyle="1" w:styleId="CommentSubjectChar">
    <w:name w:val="Comment Subject Char"/>
    <w:basedOn w:val="CommentTextChar"/>
    <w:link w:val="CommentSubject"/>
    <w:uiPriority w:val="99"/>
    <w:semiHidden/>
    <w:rsid w:val="00FE7F7A"/>
    <w:rPr>
      <w:rFonts w:ascii="Calibri" w:eastAsiaTheme="minorHAnsi" w:hAnsi="Calibri" w:cstheme="minorBidi"/>
      <w:b/>
      <w:bCs/>
      <w:lang w:eastAsia="en-US"/>
    </w:rPr>
  </w:style>
  <w:style w:type="paragraph" w:styleId="Quote">
    <w:name w:val="Quote"/>
    <w:basedOn w:val="Normal"/>
    <w:next w:val="Normal"/>
    <w:link w:val="QuoteChar"/>
    <w:uiPriority w:val="29"/>
    <w:qFormat/>
    <w:rsid w:val="0079512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95126"/>
    <w:rPr>
      <w:rFonts w:ascii="Calibri" w:eastAsiaTheme="minorHAnsi" w:hAnsi="Calibri" w:cstheme="minorBidi"/>
      <w:i/>
      <w:iCs/>
      <w:color w:val="404040" w:themeColor="text1" w:themeTint="B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1576">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663895787">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156801360">
      <w:bodyDiv w:val="1"/>
      <w:marLeft w:val="0"/>
      <w:marRight w:val="0"/>
      <w:marTop w:val="0"/>
      <w:marBottom w:val="0"/>
      <w:divBdr>
        <w:top w:val="none" w:sz="0" w:space="0" w:color="auto"/>
        <w:left w:val="none" w:sz="0" w:space="0" w:color="auto"/>
        <w:bottom w:val="none" w:sz="0" w:space="0" w:color="auto"/>
        <w:right w:val="none" w:sz="0" w:space="0" w:color="auto"/>
      </w:divBdr>
    </w:div>
    <w:div w:id="1179077937">
      <w:bodyDiv w:val="1"/>
      <w:marLeft w:val="0"/>
      <w:marRight w:val="0"/>
      <w:marTop w:val="0"/>
      <w:marBottom w:val="0"/>
      <w:divBdr>
        <w:top w:val="none" w:sz="0" w:space="0" w:color="auto"/>
        <w:left w:val="none" w:sz="0" w:space="0" w:color="auto"/>
        <w:bottom w:val="none" w:sz="0" w:space="0" w:color="auto"/>
        <w:right w:val="none" w:sz="0" w:space="0" w:color="auto"/>
      </w:divBdr>
    </w:div>
    <w:div w:id="1355499026">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80670817">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89201058">
      <w:bodyDiv w:val="1"/>
      <w:marLeft w:val="0"/>
      <w:marRight w:val="0"/>
      <w:marTop w:val="0"/>
      <w:marBottom w:val="0"/>
      <w:divBdr>
        <w:top w:val="none" w:sz="0" w:space="0" w:color="auto"/>
        <w:left w:val="none" w:sz="0" w:space="0" w:color="auto"/>
        <w:bottom w:val="none" w:sz="0" w:space="0" w:color="auto"/>
        <w:right w:val="none" w:sz="0" w:space="0" w:color="auto"/>
      </w:divBdr>
    </w:div>
    <w:div w:id="1791437776">
      <w:bodyDiv w:val="1"/>
      <w:marLeft w:val="0"/>
      <w:marRight w:val="0"/>
      <w:marTop w:val="0"/>
      <w:marBottom w:val="0"/>
      <w:divBdr>
        <w:top w:val="none" w:sz="0" w:space="0" w:color="auto"/>
        <w:left w:val="none" w:sz="0" w:space="0" w:color="auto"/>
        <w:bottom w:val="none" w:sz="0" w:space="0" w:color="auto"/>
        <w:right w:val="none" w:sz="0" w:space="0" w:color="auto"/>
      </w:divBdr>
    </w:div>
    <w:div w:id="1830057331">
      <w:bodyDiv w:val="1"/>
      <w:marLeft w:val="0"/>
      <w:marRight w:val="0"/>
      <w:marTop w:val="0"/>
      <w:marBottom w:val="0"/>
      <w:divBdr>
        <w:top w:val="none" w:sz="0" w:space="0" w:color="auto"/>
        <w:left w:val="none" w:sz="0" w:space="0" w:color="auto"/>
        <w:bottom w:val="none" w:sz="0" w:space="0" w:color="auto"/>
        <w:right w:val="none" w:sz="0" w:space="0" w:color="auto"/>
      </w:divBdr>
    </w:div>
    <w:div w:id="1876577681">
      <w:bodyDiv w:val="1"/>
      <w:marLeft w:val="0"/>
      <w:marRight w:val="0"/>
      <w:marTop w:val="0"/>
      <w:marBottom w:val="0"/>
      <w:divBdr>
        <w:top w:val="none" w:sz="0" w:space="0" w:color="auto"/>
        <w:left w:val="none" w:sz="0" w:space="0" w:color="auto"/>
        <w:bottom w:val="none" w:sz="0" w:space="0" w:color="auto"/>
        <w:right w:val="none" w:sz="0" w:space="0" w:color="auto"/>
      </w:divBdr>
    </w:div>
    <w:div w:id="18926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20See" TargetMode="External"/><Relationship Id="rId2" Type="http://schemas.openxmlformats.org/officeDocument/2006/relationships/hyperlink" Target="https://www.opc.gov.au/publications/opc-instruments-handbook" TargetMode="External"/><Relationship Id="rId1" Type="http://schemas.openxmlformats.org/officeDocument/2006/relationships/hyperlink" Target="https://www.alrc.gov.au/publication/for-your-information-australian-privacy-law-and-practice-alrc-report-108/" TargetMode="External"/><Relationship Id="rId4" Type="http://schemas.openxmlformats.org/officeDocument/2006/relationships/hyperlink" Target="https://www.legislation.gov.au/C2004A01224/lates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OAIC\Executive%20brief.dotm" TargetMode="External"/></Relationships>
</file>

<file path=word/theme/theme1.xml><?xml version="1.0" encoding="utf-8"?>
<a:theme xmlns:a="http://schemas.openxmlformats.org/drawingml/2006/main" name="Office Theme">
  <a:themeElements>
    <a:clrScheme name="OAIC MEMO">
      <a:dk1>
        <a:sysClr val="windowText" lastClr="000000"/>
      </a:dk1>
      <a:lt1>
        <a:sysClr val="window" lastClr="FFFFFF"/>
      </a:lt1>
      <a:dk2>
        <a:srgbClr val="002A3A"/>
      </a:dk2>
      <a:lt2>
        <a:srgbClr val="FFFFFF"/>
      </a:lt2>
      <a:accent1>
        <a:srgbClr val="E03E52"/>
      </a:accent1>
      <a:accent2>
        <a:srgbClr val="00A9CE"/>
      </a:accent2>
      <a:accent3>
        <a:srgbClr val="3CDBC0"/>
      </a:accent3>
      <a:accent4>
        <a:srgbClr val="C1B2B6"/>
      </a:accent4>
      <a:accent5>
        <a:srgbClr val="F3DD6D"/>
      </a:accent5>
      <a:accent6>
        <a:srgbClr val="DDD8D9"/>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2668-2D6F-473E-B875-0693ABBA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 brief</Template>
  <TotalTime>3497</TotalTime>
  <Pages>9</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OAIC</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CARPENTER,Catherine</dc:creator>
  <cp:lastModifiedBy>BILAC,Nicole</cp:lastModifiedBy>
  <cp:revision>850</cp:revision>
  <cp:lastPrinted>2018-01-11T04:04:00Z</cp:lastPrinted>
  <dcterms:created xsi:type="dcterms:W3CDTF">2023-06-20T23:21:00Z</dcterms:created>
  <dcterms:modified xsi:type="dcterms:W3CDTF">2024-07-10T08:16:00Z</dcterms:modified>
  <cp:category>Executive 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2023-02-15T22:21:50Z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197be969-255d-448c-9e48-a2eb67f2609f</vt:lpwstr>
  </property>
  <property fmtid="{D5CDD505-2E9C-101B-9397-08002B2CF9AE}" pid="8" name="MSIP_Label_79d889eb-932f-4752-8739-64d25806ef64_ContentBits">
    <vt:lpwstr>0</vt:lpwstr>
  </property>
</Properties>
</file>