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CE6A0" w14:textId="77777777" w:rsidR="00715914" w:rsidRPr="00263158" w:rsidRDefault="00DA186E" w:rsidP="00B05CF4">
      <w:pPr>
        <w:rPr>
          <w:sz w:val="28"/>
        </w:rPr>
      </w:pPr>
      <w:r w:rsidRPr="00263158">
        <w:rPr>
          <w:noProof/>
          <w:lang w:eastAsia="en-AU"/>
        </w:rPr>
        <w:drawing>
          <wp:inline distT="0" distB="0" distL="0" distR="0" wp14:anchorId="6BA43730" wp14:editId="5D050CC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E787B49" w14:textId="77777777" w:rsidR="00715914" w:rsidRPr="00263158" w:rsidRDefault="00715914" w:rsidP="00715914">
      <w:pPr>
        <w:rPr>
          <w:sz w:val="19"/>
        </w:rPr>
      </w:pPr>
    </w:p>
    <w:p w14:paraId="6F1EA6C3" w14:textId="77777777" w:rsidR="00715914" w:rsidRPr="00263158" w:rsidRDefault="0028390E" w:rsidP="00715914">
      <w:pPr>
        <w:pStyle w:val="ShortT"/>
      </w:pPr>
      <w:r w:rsidRPr="00263158">
        <w:t>Consumer Goods (Infant Sleep Products) Safety Standard 202</w:t>
      </w:r>
      <w:r w:rsidR="0048450A" w:rsidRPr="00263158">
        <w:t>4</w:t>
      </w:r>
    </w:p>
    <w:p w14:paraId="05F081CD" w14:textId="77777777" w:rsidR="0028390E" w:rsidRPr="00263158" w:rsidRDefault="0028390E" w:rsidP="00970413">
      <w:pPr>
        <w:pStyle w:val="SignCoverPageStart"/>
        <w:rPr>
          <w:szCs w:val="22"/>
        </w:rPr>
      </w:pPr>
      <w:r w:rsidRPr="00263158">
        <w:rPr>
          <w:szCs w:val="22"/>
        </w:rPr>
        <w:t>I, Stephen Jones, Assistant Treasurer</w:t>
      </w:r>
      <w:r w:rsidR="009728E8" w:rsidRPr="00263158">
        <w:rPr>
          <w:szCs w:val="22"/>
        </w:rPr>
        <w:t xml:space="preserve"> and Minister for Financial Services</w:t>
      </w:r>
      <w:r w:rsidRPr="00263158">
        <w:rPr>
          <w:szCs w:val="22"/>
        </w:rPr>
        <w:t>, make the following safety standard.</w:t>
      </w:r>
    </w:p>
    <w:p w14:paraId="76B04BCB" w14:textId="26A9E12C" w:rsidR="0028390E" w:rsidRPr="00263158" w:rsidRDefault="0028390E" w:rsidP="00970413">
      <w:pPr>
        <w:keepNext/>
        <w:spacing w:before="300" w:line="240" w:lineRule="atLeast"/>
        <w:ind w:right="397"/>
        <w:jc w:val="both"/>
        <w:rPr>
          <w:szCs w:val="22"/>
        </w:rPr>
      </w:pPr>
      <w:r w:rsidRPr="00263158">
        <w:rPr>
          <w:szCs w:val="22"/>
        </w:rPr>
        <w:t>Dated</w:t>
      </w:r>
      <w:r w:rsidR="003B0684">
        <w:rPr>
          <w:szCs w:val="22"/>
        </w:rPr>
        <w:t xml:space="preserve"> 15 July </w:t>
      </w:r>
      <w:r w:rsidR="0048450A" w:rsidRPr="00263158">
        <w:rPr>
          <w:szCs w:val="22"/>
        </w:rPr>
        <w:t>2024</w:t>
      </w:r>
    </w:p>
    <w:p w14:paraId="64589F08" w14:textId="77777777" w:rsidR="0028390E" w:rsidRPr="00263158" w:rsidRDefault="0028390E" w:rsidP="00970413">
      <w:pPr>
        <w:keepNext/>
        <w:tabs>
          <w:tab w:val="left" w:pos="3402"/>
        </w:tabs>
        <w:spacing w:before="1440" w:line="300" w:lineRule="atLeast"/>
        <w:ind w:right="397"/>
        <w:rPr>
          <w:szCs w:val="22"/>
        </w:rPr>
      </w:pPr>
      <w:r w:rsidRPr="00263158">
        <w:rPr>
          <w:szCs w:val="22"/>
        </w:rPr>
        <w:t>Stephen Jones</w:t>
      </w:r>
    </w:p>
    <w:p w14:paraId="36D9F283" w14:textId="77777777" w:rsidR="0028390E" w:rsidRPr="00263158" w:rsidRDefault="003F1515" w:rsidP="003F1515">
      <w:pPr>
        <w:pStyle w:val="SignCoverPageEnd"/>
        <w:rPr>
          <w:szCs w:val="22"/>
        </w:rPr>
      </w:pPr>
      <w:r w:rsidRPr="00263158">
        <w:rPr>
          <w:szCs w:val="22"/>
        </w:rPr>
        <w:t>Assistant Treasurer</w:t>
      </w:r>
      <w:r w:rsidRPr="00263158">
        <w:rPr>
          <w:szCs w:val="22"/>
        </w:rPr>
        <w:br/>
        <w:t>Minister for Financial Services</w:t>
      </w:r>
    </w:p>
    <w:p w14:paraId="6239680D" w14:textId="77777777" w:rsidR="0028390E" w:rsidRPr="00263158" w:rsidRDefault="0028390E" w:rsidP="00970413"/>
    <w:p w14:paraId="4F599A1B" w14:textId="77777777" w:rsidR="00715914" w:rsidRPr="00A06914" w:rsidRDefault="00715914" w:rsidP="00715914">
      <w:pPr>
        <w:pStyle w:val="Header"/>
        <w:tabs>
          <w:tab w:val="clear" w:pos="4150"/>
          <w:tab w:val="clear" w:pos="8307"/>
        </w:tabs>
      </w:pPr>
      <w:r w:rsidRPr="00A06914">
        <w:rPr>
          <w:rStyle w:val="CharChapNo"/>
        </w:rPr>
        <w:t xml:space="preserve"> </w:t>
      </w:r>
      <w:r w:rsidRPr="00A06914">
        <w:rPr>
          <w:rStyle w:val="CharChapText"/>
        </w:rPr>
        <w:t xml:space="preserve"> </w:t>
      </w:r>
    </w:p>
    <w:p w14:paraId="3B79E06A" w14:textId="77777777" w:rsidR="00715914" w:rsidRPr="00A06914" w:rsidRDefault="00715914" w:rsidP="00715914">
      <w:pPr>
        <w:pStyle w:val="Header"/>
        <w:tabs>
          <w:tab w:val="clear" w:pos="4150"/>
          <w:tab w:val="clear" w:pos="8307"/>
        </w:tabs>
      </w:pPr>
      <w:r w:rsidRPr="00A06914">
        <w:rPr>
          <w:rStyle w:val="CharPartNo"/>
        </w:rPr>
        <w:t xml:space="preserve"> </w:t>
      </w:r>
      <w:r w:rsidRPr="00A06914">
        <w:rPr>
          <w:rStyle w:val="CharPartText"/>
        </w:rPr>
        <w:t xml:space="preserve"> </w:t>
      </w:r>
    </w:p>
    <w:p w14:paraId="4DA31DD8" w14:textId="77777777" w:rsidR="00715914" w:rsidRPr="00A06914" w:rsidRDefault="00715914" w:rsidP="00715914">
      <w:pPr>
        <w:pStyle w:val="Header"/>
        <w:tabs>
          <w:tab w:val="clear" w:pos="4150"/>
          <w:tab w:val="clear" w:pos="8307"/>
        </w:tabs>
      </w:pPr>
      <w:r w:rsidRPr="00A06914">
        <w:rPr>
          <w:rStyle w:val="CharDivNo"/>
        </w:rPr>
        <w:t xml:space="preserve"> </w:t>
      </w:r>
      <w:r w:rsidRPr="00A06914">
        <w:rPr>
          <w:rStyle w:val="CharDivText"/>
        </w:rPr>
        <w:t xml:space="preserve"> </w:t>
      </w:r>
    </w:p>
    <w:p w14:paraId="05BCD16C" w14:textId="77777777" w:rsidR="00715914" w:rsidRPr="00263158" w:rsidRDefault="00715914" w:rsidP="00715914">
      <w:pPr>
        <w:sectPr w:rsidR="00715914" w:rsidRPr="00263158" w:rsidSect="00BA694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7BAC991" w14:textId="77777777" w:rsidR="00F67BCA" w:rsidRPr="00263158" w:rsidRDefault="00715914" w:rsidP="00715914">
      <w:pPr>
        <w:outlineLvl w:val="0"/>
        <w:rPr>
          <w:sz w:val="36"/>
        </w:rPr>
      </w:pPr>
      <w:r w:rsidRPr="00263158">
        <w:rPr>
          <w:sz w:val="36"/>
        </w:rPr>
        <w:lastRenderedPageBreak/>
        <w:t>Contents</w:t>
      </w:r>
    </w:p>
    <w:p w14:paraId="13D39566" w14:textId="6422F0DC" w:rsidR="007F0D40" w:rsidRPr="00263158" w:rsidRDefault="007F0D40">
      <w:pPr>
        <w:pStyle w:val="TOC2"/>
        <w:rPr>
          <w:rFonts w:asciiTheme="minorHAnsi" w:eastAsiaTheme="minorEastAsia" w:hAnsiTheme="minorHAnsi" w:cstheme="minorBidi"/>
          <w:b w:val="0"/>
          <w:noProof/>
          <w:kern w:val="0"/>
          <w:sz w:val="22"/>
          <w:szCs w:val="22"/>
        </w:rPr>
      </w:pPr>
      <w:r w:rsidRPr="00263158">
        <w:fldChar w:fldCharType="begin"/>
      </w:r>
      <w:r w:rsidRPr="00263158">
        <w:instrText xml:space="preserve"> TOC \o "1-9" </w:instrText>
      </w:r>
      <w:r w:rsidRPr="00263158">
        <w:fldChar w:fldCharType="separate"/>
      </w:r>
      <w:r w:rsidRPr="00263158">
        <w:rPr>
          <w:noProof/>
        </w:rPr>
        <w:t>Part 1—Preliminary</w:t>
      </w:r>
      <w:r w:rsidRPr="00263158">
        <w:rPr>
          <w:b w:val="0"/>
          <w:noProof/>
          <w:sz w:val="18"/>
        </w:rPr>
        <w:tab/>
      </w:r>
      <w:r w:rsidRPr="00263158">
        <w:rPr>
          <w:b w:val="0"/>
          <w:noProof/>
          <w:sz w:val="18"/>
        </w:rPr>
        <w:fldChar w:fldCharType="begin"/>
      </w:r>
      <w:r w:rsidRPr="00263158">
        <w:rPr>
          <w:b w:val="0"/>
          <w:noProof/>
          <w:sz w:val="18"/>
        </w:rPr>
        <w:instrText xml:space="preserve"> PAGEREF _Toc169168210 \h </w:instrText>
      </w:r>
      <w:r w:rsidRPr="00263158">
        <w:rPr>
          <w:b w:val="0"/>
          <w:noProof/>
          <w:sz w:val="18"/>
        </w:rPr>
      </w:r>
      <w:r w:rsidRPr="00263158">
        <w:rPr>
          <w:b w:val="0"/>
          <w:noProof/>
          <w:sz w:val="18"/>
        </w:rPr>
        <w:fldChar w:fldCharType="separate"/>
      </w:r>
      <w:r w:rsidR="006A02DC">
        <w:rPr>
          <w:b w:val="0"/>
          <w:noProof/>
          <w:sz w:val="18"/>
        </w:rPr>
        <w:t>1</w:t>
      </w:r>
      <w:r w:rsidRPr="00263158">
        <w:rPr>
          <w:b w:val="0"/>
          <w:noProof/>
          <w:sz w:val="18"/>
        </w:rPr>
        <w:fldChar w:fldCharType="end"/>
      </w:r>
    </w:p>
    <w:p w14:paraId="371715BD" w14:textId="44399314" w:rsidR="007F0D40" w:rsidRPr="00263158" w:rsidRDefault="007F0D40">
      <w:pPr>
        <w:pStyle w:val="TOC5"/>
        <w:rPr>
          <w:rFonts w:asciiTheme="minorHAnsi" w:eastAsiaTheme="minorEastAsia" w:hAnsiTheme="minorHAnsi" w:cstheme="minorBidi"/>
          <w:noProof/>
          <w:kern w:val="0"/>
          <w:sz w:val="22"/>
          <w:szCs w:val="22"/>
        </w:rPr>
      </w:pPr>
      <w:r w:rsidRPr="00263158">
        <w:rPr>
          <w:noProof/>
        </w:rPr>
        <w:t>1</w:t>
      </w:r>
      <w:r w:rsidRPr="00263158">
        <w:rPr>
          <w:noProof/>
        </w:rPr>
        <w:tab/>
        <w:t>Name</w:t>
      </w:r>
      <w:r w:rsidRPr="00263158">
        <w:rPr>
          <w:noProof/>
        </w:rPr>
        <w:tab/>
      </w:r>
      <w:r w:rsidRPr="00263158">
        <w:rPr>
          <w:noProof/>
        </w:rPr>
        <w:fldChar w:fldCharType="begin"/>
      </w:r>
      <w:r w:rsidRPr="00263158">
        <w:rPr>
          <w:noProof/>
        </w:rPr>
        <w:instrText xml:space="preserve"> PAGEREF _Toc169168211 \h </w:instrText>
      </w:r>
      <w:r w:rsidRPr="00263158">
        <w:rPr>
          <w:noProof/>
        </w:rPr>
      </w:r>
      <w:r w:rsidRPr="00263158">
        <w:rPr>
          <w:noProof/>
        </w:rPr>
        <w:fldChar w:fldCharType="separate"/>
      </w:r>
      <w:r w:rsidR="006A02DC">
        <w:rPr>
          <w:noProof/>
        </w:rPr>
        <w:t>1</w:t>
      </w:r>
      <w:r w:rsidRPr="00263158">
        <w:rPr>
          <w:noProof/>
        </w:rPr>
        <w:fldChar w:fldCharType="end"/>
      </w:r>
    </w:p>
    <w:p w14:paraId="0BA9C988" w14:textId="09DB1C73" w:rsidR="007F0D40" w:rsidRPr="00263158" w:rsidRDefault="007F0D40">
      <w:pPr>
        <w:pStyle w:val="TOC5"/>
        <w:rPr>
          <w:rFonts w:asciiTheme="minorHAnsi" w:eastAsiaTheme="minorEastAsia" w:hAnsiTheme="minorHAnsi" w:cstheme="minorBidi"/>
          <w:noProof/>
          <w:kern w:val="0"/>
          <w:sz w:val="22"/>
          <w:szCs w:val="22"/>
        </w:rPr>
      </w:pPr>
      <w:r w:rsidRPr="00263158">
        <w:rPr>
          <w:noProof/>
        </w:rPr>
        <w:t>2</w:t>
      </w:r>
      <w:r w:rsidRPr="00263158">
        <w:rPr>
          <w:noProof/>
        </w:rPr>
        <w:tab/>
        <w:t>Commencement</w:t>
      </w:r>
      <w:r w:rsidRPr="00263158">
        <w:rPr>
          <w:noProof/>
        </w:rPr>
        <w:tab/>
      </w:r>
      <w:r w:rsidRPr="00263158">
        <w:rPr>
          <w:noProof/>
        </w:rPr>
        <w:fldChar w:fldCharType="begin"/>
      </w:r>
      <w:r w:rsidRPr="00263158">
        <w:rPr>
          <w:noProof/>
        </w:rPr>
        <w:instrText xml:space="preserve"> PAGEREF _Toc169168212 \h </w:instrText>
      </w:r>
      <w:r w:rsidRPr="00263158">
        <w:rPr>
          <w:noProof/>
        </w:rPr>
      </w:r>
      <w:r w:rsidRPr="00263158">
        <w:rPr>
          <w:noProof/>
        </w:rPr>
        <w:fldChar w:fldCharType="separate"/>
      </w:r>
      <w:r w:rsidR="006A02DC">
        <w:rPr>
          <w:noProof/>
        </w:rPr>
        <w:t>1</w:t>
      </w:r>
      <w:r w:rsidRPr="00263158">
        <w:rPr>
          <w:noProof/>
        </w:rPr>
        <w:fldChar w:fldCharType="end"/>
      </w:r>
    </w:p>
    <w:p w14:paraId="0BA52008" w14:textId="4BE8D57E" w:rsidR="007F0D40" w:rsidRPr="00263158" w:rsidRDefault="007F0D40">
      <w:pPr>
        <w:pStyle w:val="TOC5"/>
        <w:rPr>
          <w:rFonts w:asciiTheme="minorHAnsi" w:eastAsiaTheme="minorEastAsia" w:hAnsiTheme="minorHAnsi" w:cstheme="minorBidi"/>
          <w:noProof/>
          <w:kern w:val="0"/>
          <w:sz w:val="22"/>
          <w:szCs w:val="22"/>
        </w:rPr>
      </w:pPr>
      <w:r w:rsidRPr="00263158">
        <w:rPr>
          <w:noProof/>
        </w:rPr>
        <w:t>3</w:t>
      </w:r>
      <w:r w:rsidRPr="00263158">
        <w:rPr>
          <w:noProof/>
        </w:rPr>
        <w:tab/>
        <w:t>Authority</w:t>
      </w:r>
      <w:r w:rsidRPr="00263158">
        <w:rPr>
          <w:noProof/>
        </w:rPr>
        <w:tab/>
      </w:r>
      <w:r w:rsidRPr="00263158">
        <w:rPr>
          <w:noProof/>
        </w:rPr>
        <w:fldChar w:fldCharType="begin"/>
      </w:r>
      <w:r w:rsidRPr="00263158">
        <w:rPr>
          <w:noProof/>
        </w:rPr>
        <w:instrText xml:space="preserve"> PAGEREF _Toc169168213 \h </w:instrText>
      </w:r>
      <w:r w:rsidRPr="00263158">
        <w:rPr>
          <w:noProof/>
        </w:rPr>
      </w:r>
      <w:r w:rsidRPr="00263158">
        <w:rPr>
          <w:noProof/>
        </w:rPr>
        <w:fldChar w:fldCharType="separate"/>
      </w:r>
      <w:r w:rsidR="006A02DC">
        <w:rPr>
          <w:noProof/>
        </w:rPr>
        <w:t>1</w:t>
      </w:r>
      <w:r w:rsidRPr="00263158">
        <w:rPr>
          <w:noProof/>
        </w:rPr>
        <w:fldChar w:fldCharType="end"/>
      </w:r>
    </w:p>
    <w:p w14:paraId="58CA7A2B" w14:textId="13ABD9A9" w:rsidR="007F0D40" w:rsidRPr="00263158" w:rsidRDefault="007F0D40">
      <w:pPr>
        <w:pStyle w:val="TOC5"/>
        <w:rPr>
          <w:rFonts w:asciiTheme="minorHAnsi" w:eastAsiaTheme="minorEastAsia" w:hAnsiTheme="minorHAnsi" w:cstheme="minorBidi"/>
          <w:noProof/>
          <w:kern w:val="0"/>
          <w:sz w:val="22"/>
          <w:szCs w:val="22"/>
        </w:rPr>
      </w:pPr>
      <w:r w:rsidRPr="00263158">
        <w:rPr>
          <w:noProof/>
        </w:rPr>
        <w:t>4</w:t>
      </w:r>
      <w:r w:rsidRPr="00263158">
        <w:rPr>
          <w:noProof/>
        </w:rPr>
        <w:tab/>
        <w:t>Schedules</w:t>
      </w:r>
      <w:r w:rsidRPr="00263158">
        <w:rPr>
          <w:noProof/>
        </w:rPr>
        <w:tab/>
      </w:r>
      <w:r w:rsidRPr="00263158">
        <w:rPr>
          <w:noProof/>
        </w:rPr>
        <w:fldChar w:fldCharType="begin"/>
      </w:r>
      <w:r w:rsidRPr="00263158">
        <w:rPr>
          <w:noProof/>
        </w:rPr>
        <w:instrText xml:space="preserve"> PAGEREF _Toc169168214 \h </w:instrText>
      </w:r>
      <w:r w:rsidRPr="00263158">
        <w:rPr>
          <w:noProof/>
        </w:rPr>
      </w:r>
      <w:r w:rsidRPr="00263158">
        <w:rPr>
          <w:noProof/>
        </w:rPr>
        <w:fldChar w:fldCharType="separate"/>
      </w:r>
      <w:r w:rsidR="006A02DC">
        <w:rPr>
          <w:noProof/>
        </w:rPr>
        <w:t>1</w:t>
      </w:r>
      <w:r w:rsidRPr="00263158">
        <w:rPr>
          <w:noProof/>
        </w:rPr>
        <w:fldChar w:fldCharType="end"/>
      </w:r>
    </w:p>
    <w:p w14:paraId="6ABDA45A" w14:textId="5743B1D1" w:rsidR="007F0D40" w:rsidRPr="00263158" w:rsidRDefault="007F0D40">
      <w:pPr>
        <w:pStyle w:val="TOC5"/>
        <w:rPr>
          <w:rFonts w:asciiTheme="minorHAnsi" w:eastAsiaTheme="minorEastAsia" w:hAnsiTheme="minorHAnsi" w:cstheme="minorBidi"/>
          <w:noProof/>
          <w:kern w:val="0"/>
          <w:sz w:val="22"/>
          <w:szCs w:val="22"/>
        </w:rPr>
      </w:pPr>
      <w:r w:rsidRPr="00263158">
        <w:rPr>
          <w:noProof/>
        </w:rPr>
        <w:t>5</w:t>
      </w:r>
      <w:r w:rsidRPr="00263158">
        <w:rPr>
          <w:noProof/>
        </w:rPr>
        <w:tab/>
        <w:t>Application</w:t>
      </w:r>
      <w:r w:rsidRPr="00263158">
        <w:rPr>
          <w:noProof/>
        </w:rPr>
        <w:tab/>
      </w:r>
      <w:r w:rsidRPr="00263158">
        <w:rPr>
          <w:noProof/>
        </w:rPr>
        <w:fldChar w:fldCharType="begin"/>
      </w:r>
      <w:r w:rsidRPr="00263158">
        <w:rPr>
          <w:noProof/>
        </w:rPr>
        <w:instrText xml:space="preserve"> PAGEREF _Toc169168215 \h </w:instrText>
      </w:r>
      <w:r w:rsidRPr="00263158">
        <w:rPr>
          <w:noProof/>
        </w:rPr>
      </w:r>
      <w:r w:rsidRPr="00263158">
        <w:rPr>
          <w:noProof/>
        </w:rPr>
        <w:fldChar w:fldCharType="separate"/>
      </w:r>
      <w:r w:rsidR="006A02DC">
        <w:rPr>
          <w:noProof/>
        </w:rPr>
        <w:t>1</w:t>
      </w:r>
      <w:r w:rsidRPr="00263158">
        <w:rPr>
          <w:noProof/>
        </w:rPr>
        <w:fldChar w:fldCharType="end"/>
      </w:r>
    </w:p>
    <w:p w14:paraId="0856FDA5" w14:textId="18506783" w:rsidR="007F0D40" w:rsidRPr="00263158" w:rsidRDefault="007F0D40">
      <w:pPr>
        <w:pStyle w:val="TOC5"/>
        <w:rPr>
          <w:rFonts w:asciiTheme="minorHAnsi" w:eastAsiaTheme="minorEastAsia" w:hAnsiTheme="minorHAnsi" w:cstheme="minorBidi"/>
          <w:noProof/>
          <w:kern w:val="0"/>
          <w:sz w:val="22"/>
          <w:szCs w:val="22"/>
        </w:rPr>
      </w:pPr>
      <w:r w:rsidRPr="00263158">
        <w:rPr>
          <w:noProof/>
        </w:rPr>
        <w:t>6</w:t>
      </w:r>
      <w:r w:rsidRPr="00263158">
        <w:rPr>
          <w:noProof/>
        </w:rPr>
        <w:tab/>
        <w:t>Definitions</w:t>
      </w:r>
      <w:r w:rsidRPr="00263158">
        <w:rPr>
          <w:noProof/>
        </w:rPr>
        <w:tab/>
      </w:r>
      <w:r w:rsidRPr="00263158">
        <w:rPr>
          <w:noProof/>
        </w:rPr>
        <w:fldChar w:fldCharType="begin"/>
      </w:r>
      <w:r w:rsidRPr="00263158">
        <w:rPr>
          <w:noProof/>
        </w:rPr>
        <w:instrText xml:space="preserve"> PAGEREF _Toc169168216 \h </w:instrText>
      </w:r>
      <w:r w:rsidRPr="00263158">
        <w:rPr>
          <w:noProof/>
        </w:rPr>
      </w:r>
      <w:r w:rsidRPr="00263158">
        <w:rPr>
          <w:noProof/>
        </w:rPr>
        <w:fldChar w:fldCharType="separate"/>
      </w:r>
      <w:r w:rsidR="006A02DC">
        <w:rPr>
          <w:noProof/>
        </w:rPr>
        <w:t>2</w:t>
      </w:r>
      <w:r w:rsidRPr="00263158">
        <w:rPr>
          <w:noProof/>
        </w:rPr>
        <w:fldChar w:fldCharType="end"/>
      </w:r>
    </w:p>
    <w:p w14:paraId="0C4D5A77" w14:textId="102A8BBF" w:rsidR="007F0D40" w:rsidRPr="00263158" w:rsidRDefault="007F0D40">
      <w:pPr>
        <w:pStyle w:val="TOC2"/>
        <w:rPr>
          <w:rFonts w:asciiTheme="minorHAnsi" w:eastAsiaTheme="minorEastAsia" w:hAnsiTheme="minorHAnsi" w:cstheme="minorBidi"/>
          <w:b w:val="0"/>
          <w:noProof/>
          <w:kern w:val="0"/>
          <w:sz w:val="22"/>
          <w:szCs w:val="22"/>
        </w:rPr>
      </w:pPr>
      <w:r w:rsidRPr="00263158">
        <w:rPr>
          <w:noProof/>
        </w:rPr>
        <w:t>Part 2—Requirements during the transitional period</w:t>
      </w:r>
      <w:r w:rsidRPr="00263158">
        <w:rPr>
          <w:b w:val="0"/>
          <w:noProof/>
          <w:sz w:val="18"/>
        </w:rPr>
        <w:tab/>
      </w:r>
      <w:r w:rsidRPr="00263158">
        <w:rPr>
          <w:b w:val="0"/>
          <w:noProof/>
          <w:sz w:val="18"/>
        </w:rPr>
        <w:fldChar w:fldCharType="begin"/>
      </w:r>
      <w:r w:rsidRPr="00263158">
        <w:rPr>
          <w:b w:val="0"/>
          <w:noProof/>
          <w:sz w:val="18"/>
        </w:rPr>
        <w:instrText xml:space="preserve"> PAGEREF _Toc169168217 \h </w:instrText>
      </w:r>
      <w:r w:rsidRPr="00263158">
        <w:rPr>
          <w:b w:val="0"/>
          <w:noProof/>
          <w:sz w:val="18"/>
        </w:rPr>
      </w:r>
      <w:r w:rsidRPr="00263158">
        <w:rPr>
          <w:b w:val="0"/>
          <w:noProof/>
          <w:sz w:val="18"/>
        </w:rPr>
        <w:fldChar w:fldCharType="separate"/>
      </w:r>
      <w:r w:rsidR="006A02DC">
        <w:rPr>
          <w:b w:val="0"/>
          <w:noProof/>
          <w:sz w:val="18"/>
        </w:rPr>
        <w:t>5</w:t>
      </w:r>
      <w:r w:rsidRPr="00263158">
        <w:rPr>
          <w:b w:val="0"/>
          <w:noProof/>
          <w:sz w:val="18"/>
        </w:rPr>
        <w:fldChar w:fldCharType="end"/>
      </w:r>
    </w:p>
    <w:p w14:paraId="0E945190" w14:textId="6A182051" w:rsidR="007F0D40" w:rsidRPr="00263158" w:rsidRDefault="007F0D40">
      <w:pPr>
        <w:pStyle w:val="TOC5"/>
        <w:rPr>
          <w:rFonts w:asciiTheme="minorHAnsi" w:eastAsiaTheme="minorEastAsia" w:hAnsiTheme="minorHAnsi" w:cstheme="minorBidi"/>
          <w:noProof/>
          <w:kern w:val="0"/>
          <w:sz w:val="22"/>
          <w:szCs w:val="22"/>
        </w:rPr>
      </w:pPr>
      <w:r w:rsidRPr="00263158">
        <w:rPr>
          <w:noProof/>
        </w:rPr>
        <w:t>7</w:t>
      </w:r>
      <w:r w:rsidRPr="00263158">
        <w:rPr>
          <w:noProof/>
        </w:rPr>
        <w:tab/>
        <w:t>During the transitional period—folding cots</w:t>
      </w:r>
      <w:r w:rsidRPr="00263158">
        <w:rPr>
          <w:noProof/>
        </w:rPr>
        <w:tab/>
      </w:r>
      <w:r w:rsidRPr="00263158">
        <w:rPr>
          <w:noProof/>
        </w:rPr>
        <w:fldChar w:fldCharType="begin"/>
      </w:r>
      <w:r w:rsidRPr="00263158">
        <w:rPr>
          <w:noProof/>
        </w:rPr>
        <w:instrText xml:space="preserve"> PAGEREF _Toc169168218 \h </w:instrText>
      </w:r>
      <w:r w:rsidRPr="00263158">
        <w:rPr>
          <w:noProof/>
        </w:rPr>
      </w:r>
      <w:r w:rsidRPr="00263158">
        <w:rPr>
          <w:noProof/>
        </w:rPr>
        <w:fldChar w:fldCharType="separate"/>
      </w:r>
      <w:r w:rsidR="006A02DC">
        <w:rPr>
          <w:noProof/>
        </w:rPr>
        <w:t>5</w:t>
      </w:r>
      <w:r w:rsidRPr="00263158">
        <w:rPr>
          <w:noProof/>
        </w:rPr>
        <w:fldChar w:fldCharType="end"/>
      </w:r>
    </w:p>
    <w:p w14:paraId="6B09BBFB" w14:textId="29C7D7A5" w:rsidR="007F0D40" w:rsidRPr="00263158" w:rsidRDefault="007F0D40">
      <w:pPr>
        <w:pStyle w:val="TOC5"/>
        <w:rPr>
          <w:rFonts w:asciiTheme="minorHAnsi" w:eastAsiaTheme="minorEastAsia" w:hAnsiTheme="minorHAnsi" w:cstheme="minorBidi"/>
          <w:noProof/>
          <w:kern w:val="0"/>
          <w:sz w:val="22"/>
          <w:szCs w:val="22"/>
        </w:rPr>
      </w:pPr>
      <w:r w:rsidRPr="00263158">
        <w:rPr>
          <w:noProof/>
        </w:rPr>
        <w:t>8</w:t>
      </w:r>
      <w:r w:rsidRPr="00263158">
        <w:rPr>
          <w:noProof/>
        </w:rPr>
        <w:tab/>
        <w:t>During the transitional period—household cots</w:t>
      </w:r>
      <w:r w:rsidRPr="00263158">
        <w:rPr>
          <w:noProof/>
        </w:rPr>
        <w:tab/>
      </w:r>
      <w:r w:rsidRPr="00263158">
        <w:rPr>
          <w:noProof/>
        </w:rPr>
        <w:fldChar w:fldCharType="begin"/>
      </w:r>
      <w:r w:rsidRPr="00263158">
        <w:rPr>
          <w:noProof/>
        </w:rPr>
        <w:instrText xml:space="preserve"> PAGEREF _Toc169168219 \h </w:instrText>
      </w:r>
      <w:r w:rsidRPr="00263158">
        <w:rPr>
          <w:noProof/>
        </w:rPr>
      </w:r>
      <w:r w:rsidRPr="00263158">
        <w:rPr>
          <w:noProof/>
        </w:rPr>
        <w:fldChar w:fldCharType="separate"/>
      </w:r>
      <w:r w:rsidR="006A02DC">
        <w:rPr>
          <w:noProof/>
        </w:rPr>
        <w:t>5</w:t>
      </w:r>
      <w:r w:rsidRPr="00263158">
        <w:rPr>
          <w:noProof/>
        </w:rPr>
        <w:fldChar w:fldCharType="end"/>
      </w:r>
    </w:p>
    <w:p w14:paraId="6F7D6EA3" w14:textId="4C62BF09" w:rsidR="007F0D40" w:rsidRPr="00263158" w:rsidRDefault="007F0D40">
      <w:pPr>
        <w:pStyle w:val="TOC5"/>
        <w:rPr>
          <w:rFonts w:asciiTheme="minorHAnsi" w:eastAsiaTheme="minorEastAsia" w:hAnsiTheme="minorHAnsi" w:cstheme="minorBidi"/>
          <w:noProof/>
          <w:kern w:val="0"/>
          <w:sz w:val="22"/>
          <w:szCs w:val="22"/>
        </w:rPr>
      </w:pPr>
      <w:r w:rsidRPr="00263158">
        <w:rPr>
          <w:noProof/>
        </w:rPr>
        <w:t>9</w:t>
      </w:r>
      <w:r w:rsidRPr="00263158">
        <w:rPr>
          <w:noProof/>
        </w:rPr>
        <w:tab/>
        <w:t>Repeal of this Part</w:t>
      </w:r>
      <w:r w:rsidRPr="00263158">
        <w:rPr>
          <w:noProof/>
        </w:rPr>
        <w:tab/>
      </w:r>
      <w:r w:rsidRPr="00263158">
        <w:rPr>
          <w:noProof/>
        </w:rPr>
        <w:fldChar w:fldCharType="begin"/>
      </w:r>
      <w:r w:rsidRPr="00263158">
        <w:rPr>
          <w:noProof/>
        </w:rPr>
        <w:instrText xml:space="preserve"> PAGEREF _Toc169168220 \h </w:instrText>
      </w:r>
      <w:r w:rsidRPr="00263158">
        <w:rPr>
          <w:noProof/>
        </w:rPr>
      </w:r>
      <w:r w:rsidRPr="00263158">
        <w:rPr>
          <w:noProof/>
        </w:rPr>
        <w:fldChar w:fldCharType="separate"/>
      </w:r>
      <w:r w:rsidR="006A02DC">
        <w:rPr>
          <w:noProof/>
        </w:rPr>
        <w:t>5</w:t>
      </w:r>
      <w:r w:rsidRPr="00263158">
        <w:rPr>
          <w:noProof/>
        </w:rPr>
        <w:fldChar w:fldCharType="end"/>
      </w:r>
    </w:p>
    <w:p w14:paraId="3A0A5721" w14:textId="6BD80788" w:rsidR="007F0D40" w:rsidRPr="00263158" w:rsidRDefault="007F0D40">
      <w:pPr>
        <w:pStyle w:val="TOC2"/>
        <w:rPr>
          <w:rFonts w:asciiTheme="minorHAnsi" w:eastAsiaTheme="minorEastAsia" w:hAnsiTheme="minorHAnsi" w:cstheme="minorBidi"/>
          <w:b w:val="0"/>
          <w:noProof/>
          <w:kern w:val="0"/>
          <w:sz w:val="22"/>
          <w:szCs w:val="22"/>
        </w:rPr>
      </w:pPr>
      <w:r w:rsidRPr="00263158">
        <w:rPr>
          <w:noProof/>
        </w:rPr>
        <w:t>Part 3—Requirements after the transitional period</w:t>
      </w:r>
      <w:r w:rsidRPr="00263158">
        <w:rPr>
          <w:b w:val="0"/>
          <w:noProof/>
          <w:sz w:val="18"/>
        </w:rPr>
        <w:tab/>
      </w:r>
      <w:r w:rsidRPr="00263158">
        <w:rPr>
          <w:b w:val="0"/>
          <w:noProof/>
          <w:sz w:val="18"/>
        </w:rPr>
        <w:fldChar w:fldCharType="begin"/>
      </w:r>
      <w:r w:rsidRPr="00263158">
        <w:rPr>
          <w:b w:val="0"/>
          <w:noProof/>
          <w:sz w:val="18"/>
        </w:rPr>
        <w:instrText xml:space="preserve"> PAGEREF _Toc169168221 \h </w:instrText>
      </w:r>
      <w:r w:rsidRPr="00263158">
        <w:rPr>
          <w:b w:val="0"/>
          <w:noProof/>
          <w:sz w:val="18"/>
        </w:rPr>
      </w:r>
      <w:r w:rsidRPr="00263158">
        <w:rPr>
          <w:b w:val="0"/>
          <w:noProof/>
          <w:sz w:val="18"/>
        </w:rPr>
        <w:fldChar w:fldCharType="separate"/>
      </w:r>
      <w:r w:rsidR="006A02DC">
        <w:rPr>
          <w:b w:val="0"/>
          <w:noProof/>
          <w:sz w:val="18"/>
        </w:rPr>
        <w:t>6</w:t>
      </w:r>
      <w:r w:rsidRPr="00263158">
        <w:rPr>
          <w:b w:val="0"/>
          <w:noProof/>
          <w:sz w:val="18"/>
        </w:rPr>
        <w:fldChar w:fldCharType="end"/>
      </w:r>
    </w:p>
    <w:p w14:paraId="39BD66D4" w14:textId="4BCF583A" w:rsidR="007F0D40" w:rsidRPr="00263158" w:rsidRDefault="007F0D40">
      <w:pPr>
        <w:pStyle w:val="TOC3"/>
        <w:rPr>
          <w:rFonts w:asciiTheme="minorHAnsi" w:eastAsiaTheme="minorEastAsia" w:hAnsiTheme="minorHAnsi" w:cstheme="minorBidi"/>
          <w:b w:val="0"/>
          <w:noProof/>
          <w:kern w:val="0"/>
          <w:szCs w:val="22"/>
        </w:rPr>
      </w:pPr>
      <w:r w:rsidRPr="00263158">
        <w:rPr>
          <w:noProof/>
        </w:rPr>
        <w:t>Division 1—Requirements after the transitional period</w:t>
      </w:r>
      <w:r w:rsidRPr="00263158">
        <w:rPr>
          <w:b w:val="0"/>
          <w:noProof/>
          <w:sz w:val="18"/>
        </w:rPr>
        <w:tab/>
      </w:r>
      <w:r w:rsidRPr="00263158">
        <w:rPr>
          <w:b w:val="0"/>
          <w:noProof/>
          <w:sz w:val="18"/>
        </w:rPr>
        <w:fldChar w:fldCharType="begin"/>
      </w:r>
      <w:r w:rsidRPr="00263158">
        <w:rPr>
          <w:b w:val="0"/>
          <w:noProof/>
          <w:sz w:val="18"/>
        </w:rPr>
        <w:instrText xml:space="preserve"> PAGEREF _Toc169168222 \h </w:instrText>
      </w:r>
      <w:r w:rsidRPr="00263158">
        <w:rPr>
          <w:b w:val="0"/>
          <w:noProof/>
          <w:sz w:val="18"/>
        </w:rPr>
      </w:r>
      <w:r w:rsidRPr="00263158">
        <w:rPr>
          <w:b w:val="0"/>
          <w:noProof/>
          <w:sz w:val="18"/>
        </w:rPr>
        <w:fldChar w:fldCharType="separate"/>
      </w:r>
      <w:r w:rsidR="006A02DC">
        <w:rPr>
          <w:b w:val="0"/>
          <w:noProof/>
          <w:sz w:val="18"/>
        </w:rPr>
        <w:t>6</w:t>
      </w:r>
      <w:r w:rsidRPr="00263158">
        <w:rPr>
          <w:b w:val="0"/>
          <w:noProof/>
          <w:sz w:val="18"/>
        </w:rPr>
        <w:fldChar w:fldCharType="end"/>
      </w:r>
    </w:p>
    <w:p w14:paraId="321EA4B0" w14:textId="68C3F979" w:rsidR="007F0D40" w:rsidRPr="00263158" w:rsidRDefault="007F0D40">
      <w:pPr>
        <w:pStyle w:val="TOC5"/>
        <w:rPr>
          <w:rFonts w:asciiTheme="minorHAnsi" w:eastAsiaTheme="minorEastAsia" w:hAnsiTheme="minorHAnsi" w:cstheme="minorBidi"/>
          <w:noProof/>
          <w:kern w:val="0"/>
          <w:sz w:val="22"/>
          <w:szCs w:val="22"/>
        </w:rPr>
      </w:pPr>
      <w:r w:rsidRPr="00263158">
        <w:rPr>
          <w:noProof/>
        </w:rPr>
        <w:t>10</w:t>
      </w:r>
      <w:r w:rsidRPr="00263158">
        <w:rPr>
          <w:noProof/>
        </w:rPr>
        <w:tab/>
        <w:t>After the transitional period—folding cots</w:t>
      </w:r>
      <w:r w:rsidRPr="00263158">
        <w:rPr>
          <w:noProof/>
        </w:rPr>
        <w:tab/>
      </w:r>
      <w:r w:rsidRPr="00263158">
        <w:rPr>
          <w:noProof/>
        </w:rPr>
        <w:fldChar w:fldCharType="begin"/>
      </w:r>
      <w:r w:rsidRPr="00263158">
        <w:rPr>
          <w:noProof/>
        </w:rPr>
        <w:instrText xml:space="preserve"> PAGEREF _Toc169168223 \h </w:instrText>
      </w:r>
      <w:r w:rsidRPr="00263158">
        <w:rPr>
          <w:noProof/>
        </w:rPr>
      </w:r>
      <w:r w:rsidRPr="00263158">
        <w:rPr>
          <w:noProof/>
        </w:rPr>
        <w:fldChar w:fldCharType="separate"/>
      </w:r>
      <w:r w:rsidR="006A02DC">
        <w:rPr>
          <w:noProof/>
        </w:rPr>
        <w:t>6</w:t>
      </w:r>
      <w:r w:rsidRPr="00263158">
        <w:rPr>
          <w:noProof/>
        </w:rPr>
        <w:fldChar w:fldCharType="end"/>
      </w:r>
    </w:p>
    <w:p w14:paraId="5CA0CD53" w14:textId="4C558F3D" w:rsidR="007F0D40" w:rsidRPr="00263158" w:rsidRDefault="007F0D40">
      <w:pPr>
        <w:pStyle w:val="TOC5"/>
        <w:rPr>
          <w:rFonts w:asciiTheme="minorHAnsi" w:eastAsiaTheme="minorEastAsia" w:hAnsiTheme="minorHAnsi" w:cstheme="minorBidi"/>
          <w:noProof/>
          <w:kern w:val="0"/>
          <w:sz w:val="22"/>
          <w:szCs w:val="22"/>
        </w:rPr>
      </w:pPr>
      <w:r w:rsidRPr="00263158">
        <w:rPr>
          <w:noProof/>
        </w:rPr>
        <w:t>11</w:t>
      </w:r>
      <w:r w:rsidRPr="00263158">
        <w:rPr>
          <w:noProof/>
        </w:rPr>
        <w:tab/>
        <w:t>After the transitional period—household cots</w:t>
      </w:r>
      <w:r w:rsidRPr="00263158">
        <w:rPr>
          <w:noProof/>
        </w:rPr>
        <w:tab/>
      </w:r>
      <w:r w:rsidRPr="00263158">
        <w:rPr>
          <w:noProof/>
        </w:rPr>
        <w:fldChar w:fldCharType="begin"/>
      </w:r>
      <w:r w:rsidRPr="00263158">
        <w:rPr>
          <w:noProof/>
        </w:rPr>
        <w:instrText xml:space="preserve"> PAGEREF _Toc169168224 \h </w:instrText>
      </w:r>
      <w:r w:rsidRPr="00263158">
        <w:rPr>
          <w:noProof/>
        </w:rPr>
      </w:r>
      <w:r w:rsidRPr="00263158">
        <w:rPr>
          <w:noProof/>
        </w:rPr>
        <w:fldChar w:fldCharType="separate"/>
      </w:r>
      <w:r w:rsidR="006A02DC">
        <w:rPr>
          <w:noProof/>
        </w:rPr>
        <w:t>6</w:t>
      </w:r>
      <w:r w:rsidRPr="00263158">
        <w:rPr>
          <w:noProof/>
        </w:rPr>
        <w:fldChar w:fldCharType="end"/>
      </w:r>
    </w:p>
    <w:p w14:paraId="1FF1DDBE" w14:textId="00CEDB0E" w:rsidR="007F0D40" w:rsidRPr="00263158" w:rsidRDefault="007F0D40">
      <w:pPr>
        <w:pStyle w:val="TOC5"/>
        <w:rPr>
          <w:rFonts w:asciiTheme="minorHAnsi" w:eastAsiaTheme="minorEastAsia" w:hAnsiTheme="minorHAnsi" w:cstheme="minorBidi"/>
          <w:noProof/>
          <w:kern w:val="0"/>
          <w:sz w:val="22"/>
          <w:szCs w:val="22"/>
        </w:rPr>
      </w:pPr>
      <w:r w:rsidRPr="00263158">
        <w:rPr>
          <w:noProof/>
        </w:rPr>
        <w:t>12</w:t>
      </w:r>
      <w:r w:rsidRPr="00263158">
        <w:rPr>
          <w:noProof/>
        </w:rPr>
        <w:tab/>
        <w:t>After the transitional period—bassinets</w:t>
      </w:r>
      <w:r w:rsidRPr="00263158">
        <w:rPr>
          <w:noProof/>
        </w:rPr>
        <w:tab/>
      </w:r>
      <w:r w:rsidRPr="00263158">
        <w:rPr>
          <w:noProof/>
        </w:rPr>
        <w:fldChar w:fldCharType="begin"/>
      </w:r>
      <w:r w:rsidRPr="00263158">
        <w:rPr>
          <w:noProof/>
        </w:rPr>
        <w:instrText xml:space="preserve"> PAGEREF _Toc169168225 \h </w:instrText>
      </w:r>
      <w:r w:rsidRPr="00263158">
        <w:rPr>
          <w:noProof/>
        </w:rPr>
      </w:r>
      <w:r w:rsidRPr="00263158">
        <w:rPr>
          <w:noProof/>
        </w:rPr>
        <w:fldChar w:fldCharType="separate"/>
      </w:r>
      <w:r w:rsidR="006A02DC">
        <w:rPr>
          <w:noProof/>
        </w:rPr>
        <w:t>6</w:t>
      </w:r>
      <w:r w:rsidRPr="00263158">
        <w:rPr>
          <w:noProof/>
        </w:rPr>
        <w:fldChar w:fldCharType="end"/>
      </w:r>
    </w:p>
    <w:p w14:paraId="1CD48DC7" w14:textId="60C6B647" w:rsidR="007F0D40" w:rsidRPr="00263158" w:rsidRDefault="007F0D40">
      <w:pPr>
        <w:pStyle w:val="TOC5"/>
        <w:rPr>
          <w:rFonts w:asciiTheme="minorHAnsi" w:eastAsiaTheme="minorEastAsia" w:hAnsiTheme="minorHAnsi" w:cstheme="minorBidi"/>
          <w:noProof/>
          <w:kern w:val="0"/>
          <w:sz w:val="22"/>
          <w:szCs w:val="22"/>
        </w:rPr>
      </w:pPr>
      <w:r w:rsidRPr="00263158">
        <w:rPr>
          <w:noProof/>
        </w:rPr>
        <w:t>13</w:t>
      </w:r>
      <w:r w:rsidRPr="00263158">
        <w:rPr>
          <w:noProof/>
        </w:rPr>
        <w:tab/>
        <w:t>After the transitional period—other infant sleep products</w:t>
      </w:r>
      <w:r w:rsidRPr="00263158">
        <w:rPr>
          <w:noProof/>
        </w:rPr>
        <w:tab/>
      </w:r>
      <w:r w:rsidRPr="00263158">
        <w:rPr>
          <w:noProof/>
        </w:rPr>
        <w:fldChar w:fldCharType="begin"/>
      </w:r>
      <w:r w:rsidRPr="00263158">
        <w:rPr>
          <w:noProof/>
        </w:rPr>
        <w:instrText xml:space="preserve"> PAGEREF _Toc169168226 \h </w:instrText>
      </w:r>
      <w:r w:rsidRPr="00263158">
        <w:rPr>
          <w:noProof/>
        </w:rPr>
      </w:r>
      <w:r w:rsidRPr="00263158">
        <w:rPr>
          <w:noProof/>
        </w:rPr>
        <w:fldChar w:fldCharType="separate"/>
      </w:r>
      <w:r w:rsidR="006A02DC">
        <w:rPr>
          <w:noProof/>
        </w:rPr>
        <w:t>7</w:t>
      </w:r>
      <w:r w:rsidRPr="00263158">
        <w:rPr>
          <w:noProof/>
        </w:rPr>
        <w:fldChar w:fldCharType="end"/>
      </w:r>
    </w:p>
    <w:p w14:paraId="214FD746" w14:textId="6BB39F92" w:rsidR="007F0D40" w:rsidRPr="00263158" w:rsidRDefault="007F0D40">
      <w:pPr>
        <w:pStyle w:val="TOC3"/>
        <w:rPr>
          <w:rFonts w:asciiTheme="minorHAnsi" w:eastAsiaTheme="minorEastAsia" w:hAnsiTheme="minorHAnsi" w:cstheme="minorBidi"/>
          <w:b w:val="0"/>
          <w:noProof/>
          <w:kern w:val="0"/>
          <w:szCs w:val="22"/>
        </w:rPr>
      </w:pPr>
      <w:r w:rsidRPr="00263158">
        <w:rPr>
          <w:noProof/>
        </w:rPr>
        <w:t>Division 2—General requirements</w:t>
      </w:r>
      <w:r w:rsidRPr="00263158">
        <w:rPr>
          <w:b w:val="0"/>
          <w:noProof/>
          <w:sz w:val="18"/>
        </w:rPr>
        <w:tab/>
      </w:r>
      <w:r w:rsidRPr="00263158">
        <w:rPr>
          <w:b w:val="0"/>
          <w:noProof/>
          <w:sz w:val="18"/>
        </w:rPr>
        <w:fldChar w:fldCharType="begin"/>
      </w:r>
      <w:r w:rsidRPr="00263158">
        <w:rPr>
          <w:b w:val="0"/>
          <w:noProof/>
          <w:sz w:val="18"/>
        </w:rPr>
        <w:instrText xml:space="preserve"> PAGEREF _Toc169168227 \h </w:instrText>
      </w:r>
      <w:r w:rsidRPr="00263158">
        <w:rPr>
          <w:b w:val="0"/>
          <w:noProof/>
          <w:sz w:val="18"/>
        </w:rPr>
      </w:r>
      <w:r w:rsidRPr="00263158">
        <w:rPr>
          <w:b w:val="0"/>
          <w:noProof/>
          <w:sz w:val="18"/>
        </w:rPr>
        <w:fldChar w:fldCharType="separate"/>
      </w:r>
      <w:r w:rsidR="006A02DC">
        <w:rPr>
          <w:b w:val="0"/>
          <w:noProof/>
          <w:sz w:val="18"/>
        </w:rPr>
        <w:t>8</w:t>
      </w:r>
      <w:r w:rsidRPr="00263158">
        <w:rPr>
          <w:b w:val="0"/>
          <w:noProof/>
          <w:sz w:val="18"/>
        </w:rPr>
        <w:fldChar w:fldCharType="end"/>
      </w:r>
    </w:p>
    <w:p w14:paraId="0F0252F4" w14:textId="6CB32865" w:rsidR="007F0D40" w:rsidRPr="00263158" w:rsidRDefault="007F0D40">
      <w:pPr>
        <w:pStyle w:val="TOC5"/>
        <w:rPr>
          <w:rFonts w:asciiTheme="minorHAnsi" w:eastAsiaTheme="minorEastAsia" w:hAnsiTheme="minorHAnsi" w:cstheme="minorBidi"/>
          <w:noProof/>
          <w:kern w:val="0"/>
          <w:sz w:val="22"/>
          <w:szCs w:val="22"/>
        </w:rPr>
      </w:pPr>
      <w:r w:rsidRPr="00263158">
        <w:rPr>
          <w:noProof/>
        </w:rPr>
        <w:t>14</w:t>
      </w:r>
      <w:r w:rsidRPr="00263158">
        <w:rPr>
          <w:noProof/>
        </w:rPr>
        <w:tab/>
        <w:t>Incline (horizontal)</w:t>
      </w:r>
      <w:r w:rsidRPr="00263158">
        <w:rPr>
          <w:noProof/>
        </w:rPr>
        <w:tab/>
      </w:r>
      <w:r w:rsidRPr="00263158">
        <w:rPr>
          <w:noProof/>
        </w:rPr>
        <w:fldChar w:fldCharType="begin"/>
      </w:r>
      <w:r w:rsidRPr="00263158">
        <w:rPr>
          <w:noProof/>
        </w:rPr>
        <w:instrText xml:space="preserve"> PAGEREF _Toc169168228 \h </w:instrText>
      </w:r>
      <w:r w:rsidRPr="00263158">
        <w:rPr>
          <w:noProof/>
        </w:rPr>
      </w:r>
      <w:r w:rsidRPr="00263158">
        <w:rPr>
          <w:noProof/>
        </w:rPr>
        <w:fldChar w:fldCharType="separate"/>
      </w:r>
      <w:r w:rsidR="006A02DC">
        <w:rPr>
          <w:noProof/>
        </w:rPr>
        <w:t>8</w:t>
      </w:r>
      <w:r w:rsidRPr="00263158">
        <w:rPr>
          <w:noProof/>
        </w:rPr>
        <w:fldChar w:fldCharType="end"/>
      </w:r>
    </w:p>
    <w:p w14:paraId="673508CB" w14:textId="157252B4" w:rsidR="007F0D40" w:rsidRPr="00263158" w:rsidRDefault="007F0D40">
      <w:pPr>
        <w:pStyle w:val="TOC5"/>
        <w:rPr>
          <w:rFonts w:asciiTheme="minorHAnsi" w:eastAsiaTheme="minorEastAsia" w:hAnsiTheme="minorHAnsi" w:cstheme="minorBidi"/>
          <w:noProof/>
          <w:kern w:val="0"/>
          <w:sz w:val="22"/>
          <w:szCs w:val="22"/>
        </w:rPr>
      </w:pPr>
      <w:r w:rsidRPr="00263158">
        <w:rPr>
          <w:noProof/>
        </w:rPr>
        <w:t>15</w:t>
      </w:r>
      <w:r w:rsidRPr="00263158">
        <w:rPr>
          <w:noProof/>
        </w:rPr>
        <w:tab/>
        <w:t>Incline (vertical)</w:t>
      </w:r>
      <w:r w:rsidRPr="00263158">
        <w:rPr>
          <w:noProof/>
        </w:rPr>
        <w:tab/>
      </w:r>
      <w:r w:rsidRPr="00263158">
        <w:rPr>
          <w:noProof/>
        </w:rPr>
        <w:fldChar w:fldCharType="begin"/>
      </w:r>
      <w:r w:rsidRPr="00263158">
        <w:rPr>
          <w:noProof/>
        </w:rPr>
        <w:instrText xml:space="preserve"> PAGEREF _Toc169168229 \h </w:instrText>
      </w:r>
      <w:r w:rsidRPr="00263158">
        <w:rPr>
          <w:noProof/>
        </w:rPr>
      </w:r>
      <w:r w:rsidRPr="00263158">
        <w:rPr>
          <w:noProof/>
        </w:rPr>
        <w:fldChar w:fldCharType="separate"/>
      </w:r>
      <w:r w:rsidR="006A02DC">
        <w:rPr>
          <w:noProof/>
        </w:rPr>
        <w:t>8</w:t>
      </w:r>
      <w:r w:rsidRPr="00263158">
        <w:rPr>
          <w:noProof/>
        </w:rPr>
        <w:fldChar w:fldCharType="end"/>
      </w:r>
    </w:p>
    <w:p w14:paraId="789F4FC0" w14:textId="4A31F460" w:rsidR="007F0D40" w:rsidRPr="00263158" w:rsidRDefault="007F0D40">
      <w:pPr>
        <w:pStyle w:val="TOC5"/>
        <w:rPr>
          <w:rFonts w:asciiTheme="minorHAnsi" w:eastAsiaTheme="minorEastAsia" w:hAnsiTheme="minorHAnsi" w:cstheme="minorBidi"/>
          <w:noProof/>
          <w:kern w:val="0"/>
          <w:sz w:val="22"/>
          <w:szCs w:val="22"/>
        </w:rPr>
      </w:pPr>
      <w:r w:rsidRPr="00263158">
        <w:rPr>
          <w:noProof/>
        </w:rPr>
        <w:t>16</w:t>
      </w:r>
      <w:r w:rsidRPr="00263158">
        <w:rPr>
          <w:noProof/>
        </w:rPr>
        <w:tab/>
        <w:t>Curvature</w:t>
      </w:r>
      <w:r w:rsidRPr="00263158">
        <w:rPr>
          <w:noProof/>
        </w:rPr>
        <w:tab/>
      </w:r>
      <w:r w:rsidRPr="00263158">
        <w:rPr>
          <w:noProof/>
        </w:rPr>
        <w:fldChar w:fldCharType="begin"/>
      </w:r>
      <w:r w:rsidRPr="00263158">
        <w:rPr>
          <w:noProof/>
        </w:rPr>
        <w:instrText xml:space="preserve"> PAGEREF _Toc169168230 \h </w:instrText>
      </w:r>
      <w:r w:rsidRPr="00263158">
        <w:rPr>
          <w:noProof/>
        </w:rPr>
      </w:r>
      <w:r w:rsidRPr="00263158">
        <w:rPr>
          <w:noProof/>
        </w:rPr>
        <w:fldChar w:fldCharType="separate"/>
      </w:r>
      <w:r w:rsidR="006A02DC">
        <w:rPr>
          <w:noProof/>
        </w:rPr>
        <w:t>8</w:t>
      </w:r>
      <w:r w:rsidRPr="00263158">
        <w:rPr>
          <w:noProof/>
        </w:rPr>
        <w:fldChar w:fldCharType="end"/>
      </w:r>
    </w:p>
    <w:p w14:paraId="12C36A32" w14:textId="2FEF6005" w:rsidR="007F0D40" w:rsidRPr="00263158" w:rsidRDefault="007F0D40">
      <w:pPr>
        <w:pStyle w:val="TOC5"/>
        <w:rPr>
          <w:rFonts w:asciiTheme="minorHAnsi" w:eastAsiaTheme="minorEastAsia" w:hAnsiTheme="minorHAnsi" w:cstheme="minorBidi"/>
          <w:noProof/>
          <w:kern w:val="0"/>
          <w:sz w:val="22"/>
          <w:szCs w:val="22"/>
        </w:rPr>
      </w:pPr>
      <w:r w:rsidRPr="00263158">
        <w:rPr>
          <w:noProof/>
        </w:rPr>
        <w:t>17</w:t>
      </w:r>
      <w:r w:rsidRPr="00263158">
        <w:rPr>
          <w:noProof/>
        </w:rPr>
        <w:tab/>
        <w:t>Surface rigidity</w:t>
      </w:r>
      <w:r w:rsidRPr="00263158">
        <w:rPr>
          <w:noProof/>
        </w:rPr>
        <w:tab/>
      </w:r>
      <w:r w:rsidRPr="00263158">
        <w:rPr>
          <w:noProof/>
        </w:rPr>
        <w:fldChar w:fldCharType="begin"/>
      </w:r>
      <w:r w:rsidRPr="00263158">
        <w:rPr>
          <w:noProof/>
        </w:rPr>
        <w:instrText xml:space="preserve"> PAGEREF _Toc169168231 \h </w:instrText>
      </w:r>
      <w:r w:rsidRPr="00263158">
        <w:rPr>
          <w:noProof/>
        </w:rPr>
      </w:r>
      <w:r w:rsidRPr="00263158">
        <w:rPr>
          <w:noProof/>
        </w:rPr>
        <w:fldChar w:fldCharType="separate"/>
      </w:r>
      <w:r w:rsidR="006A02DC">
        <w:rPr>
          <w:noProof/>
        </w:rPr>
        <w:t>9</w:t>
      </w:r>
      <w:r w:rsidRPr="00263158">
        <w:rPr>
          <w:noProof/>
        </w:rPr>
        <w:fldChar w:fldCharType="end"/>
      </w:r>
    </w:p>
    <w:p w14:paraId="6DCDB3F0" w14:textId="70657649" w:rsidR="007F0D40" w:rsidRPr="00263158" w:rsidRDefault="007F0D40">
      <w:pPr>
        <w:pStyle w:val="TOC5"/>
        <w:rPr>
          <w:rFonts w:asciiTheme="minorHAnsi" w:eastAsiaTheme="minorEastAsia" w:hAnsiTheme="minorHAnsi" w:cstheme="minorBidi"/>
          <w:noProof/>
          <w:kern w:val="0"/>
          <w:sz w:val="22"/>
          <w:szCs w:val="22"/>
        </w:rPr>
      </w:pPr>
      <w:r w:rsidRPr="00263158">
        <w:rPr>
          <w:noProof/>
        </w:rPr>
        <w:t>18</w:t>
      </w:r>
      <w:r w:rsidRPr="00263158">
        <w:rPr>
          <w:noProof/>
        </w:rPr>
        <w:tab/>
        <w:t>Mattress</w:t>
      </w:r>
      <w:r w:rsidRPr="00263158">
        <w:rPr>
          <w:noProof/>
        </w:rPr>
        <w:tab/>
      </w:r>
      <w:r w:rsidRPr="00263158">
        <w:rPr>
          <w:noProof/>
        </w:rPr>
        <w:fldChar w:fldCharType="begin"/>
      </w:r>
      <w:r w:rsidRPr="00263158">
        <w:rPr>
          <w:noProof/>
        </w:rPr>
        <w:instrText xml:space="preserve"> PAGEREF _Toc169168232 \h </w:instrText>
      </w:r>
      <w:r w:rsidRPr="00263158">
        <w:rPr>
          <w:noProof/>
        </w:rPr>
      </w:r>
      <w:r w:rsidRPr="00263158">
        <w:rPr>
          <w:noProof/>
        </w:rPr>
        <w:fldChar w:fldCharType="separate"/>
      </w:r>
      <w:r w:rsidR="006A02DC">
        <w:rPr>
          <w:noProof/>
        </w:rPr>
        <w:t>9</w:t>
      </w:r>
      <w:r w:rsidRPr="00263158">
        <w:rPr>
          <w:noProof/>
        </w:rPr>
        <w:fldChar w:fldCharType="end"/>
      </w:r>
    </w:p>
    <w:p w14:paraId="077CEBBD" w14:textId="330B97E7" w:rsidR="007F0D40" w:rsidRPr="00263158" w:rsidRDefault="007F0D40">
      <w:pPr>
        <w:pStyle w:val="TOC5"/>
        <w:rPr>
          <w:rFonts w:asciiTheme="minorHAnsi" w:eastAsiaTheme="minorEastAsia" w:hAnsiTheme="minorHAnsi" w:cstheme="minorBidi"/>
          <w:noProof/>
          <w:kern w:val="0"/>
          <w:sz w:val="22"/>
          <w:szCs w:val="22"/>
        </w:rPr>
      </w:pPr>
      <w:r w:rsidRPr="00263158">
        <w:rPr>
          <w:noProof/>
        </w:rPr>
        <w:t>19</w:t>
      </w:r>
      <w:r w:rsidRPr="00263158">
        <w:rPr>
          <w:noProof/>
        </w:rPr>
        <w:tab/>
        <w:t>Material of sides</w:t>
      </w:r>
      <w:r w:rsidRPr="00263158">
        <w:rPr>
          <w:noProof/>
        </w:rPr>
        <w:tab/>
      </w:r>
      <w:r w:rsidRPr="00263158">
        <w:rPr>
          <w:noProof/>
        </w:rPr>
        <w:fldChar w:fldCharType="begin"/>
      </w:r>
      <w:r w:rsidRPr="00263158">
        <w:rPr>
          <w:noProof/>
        </w:rPr>
        <w:instrText xml:space="preserve"> PAGEREF _Toc169168233 \h </w:instrText>
      </w:r>
      <w:r w:rsidRPr="00263158">
        <w:rPr>
          <w:noProof/>
        </w:rPr>
      </w:r>
      <w:r w:rsidRPr="00263158">
        <w:rPr>
          <w:noProof/>
        </w:rPr>
        <w:fldChar w:fldCharType="separate"/>
      </w:r>
      <w:r w:rsidR="006A02DC">
        <w:rPr>
          <w:noProof/>
        </w:rPr>
        <w:t>9</w:t>
      </w:r>
      <w:r w:rsidRPr="00263158">
        <w:rPr>
          <w:noProof/>
        </w:rPr>
        <w:fldChar w:fldCharType="end"/>
      </w:r>
    </w:p>
    <w:p w14:paraId="5E6C545A" w14:textId="50A7052B" w:rsidR="007F0D40" w:rsidRPr="00263158" w:rsidRDefault="007F0D40">
      <w:pPr>
        <w:pStyle w:val="TOC5"/>
        <w:rPr>
          <w:rFonts w:asciiTheme="minorHAnsi" w:eastAsiaTheme="minorEastAsia" w:hAnsiTheme="minorHAnsi" w:cstheme="minorBidi"/>
          <w:noProof/>
          <w:kern w:val="0"/>
          <w:sz w:val="22"/>
          <w:szCs w:val="22"/>
        </w:rPr>
      </w:pPr>
      <w:r w:rsidRPr="00263158">
        <w:rPr>
          <w:noProof/>
        </w:rPr>
        <w:t>20</w:t>
      </w:r>
      <w:r w:rsidRPr="00263158">
        <w:rPr>
          <w:noProof/>
        </w:rPr>
        <w:tab/>
        <w:t>Restraint system etc. prohibited</w:t>
      </w:r>
      <w:r w:rsidRPr="00263158">
        <w:rPr>
          <w:noProof/>
        </w:rPr>
        <w:tab/>
      </w:r>
      <w:r w:rsidRPr="00263158">
        <w:rPr>
          <w:noProof/>
        </w:rPr>
        <w:fldChar w:fldCharType="begin"/>
      </w:r>
      <w:r w:rsidRPr="00263158">
        <w:rPr>
          <w:noProof/>
        </w:rPr>
        <w:instrText xml:space="preserve"> PAGEREF _Toc169168234 \h </w:instrText>
      </w:r>
      <w:r w:rsidRPr="00263158">
        <w:rPr>
          <w:noProof/>
        </w:rPr>
      </w:r>
      <w:r w:rsidRPr="00263158">
        <w:rPr>
          <w:noProof/>
        </w:rPr>
        <w:fldChar w:fldCharType="separate"/>
      </w:r>
      <w:r w:rsidR="006A02DC">
        <w:rPr>
          <w:noProof/>
        </w:rPr>
        <w:t>9</w:t>
      </w:r>
      <w:r w:rsidRPr="00263158">
        <w:rPr>
          <w:noProof/>
        </w:rPr>
        <w:fldChar w:fldCharType="end"/>
      </w:r>
    </w:p>
    <w:p w14:paraId="7CECDE5A" w14:textId="2BB7A54C" w:rsidR="007F0D40" w:rsidRPr="00263158" w:rsidRDefault="007F0D40">
      <w:pPr>
        <w:pStyle w:val="TOC5"/>
        <w:rPr>
          <w:rFonts w:asciiTheme="minorHAnsi" w:eastAsiaTheme="minorEastAsia" w:hAnsiTheme="minorHAnsi" w:cstheme="minorBidi"/>
          <w:noProof/>
          <w:kern w:val="0"/>
          <w:sz w:val="22"/>
          <w:szCs w:val="22"/>
        </w:rPr>
      </w:pPr>
      <w:r w:rsidRPr="00263158">
        <w:rPr>
          <w:noProof/>
        </w:rPr>
        <w:t>21</w:t>
      </w:r>
      <w:r w:rsidRPr="00263158">
        <w:rPr>
          <w:noProof/>
        </w:rPr>
        <w:tab/>
        <w:t>Castors or wheels</w:t>
      </w:r>
      <w:r w:rsidRPr="00263158">
        <w:rPr>
          <w:noProof/>
        </w:rPr>
        <w:tab/>
      </w:r>
      <w:r w:rsidRPr="00263158">
        <w:rPr>
          <w:noProof/>
        </w:rPr>
        <w:fldChar w:fldCharType="begin"/>
      </w:r>
      <w:r w:rsidRPr="00263158">
        <w:rPr>
          <w:noProof/>
        </w:rPr>
        <w:instrText xml:space="preserve"> PAGEREF _Toc169168235 \h </w:instrText>
      </w:r>
      <w:r w:rsidRPr="00263158">
        <w:rPr>
          <w:noProof/>
        </w:rPr>
      </w:r>
      <w:r w:rsidRPr="00263158">
        <w:rPr>
          <w:noProof/>
        </w:rPr>
        <w:fldChar w:fldCharType="separate"/>
      </w:r>
      <w:r w:rsidR="006A02DC">
        <w:rPr>
          <w:noProof/>
        </w:rPr>
        <w:t>9</w:t>
      </w:r>
      <w:r w:rsidRPr="00263158">
        <w:rPr>
          <w:noProof/>
        </w:rPr>
        <w:fldChar w:fldCharType="end"/>
      </w:r>
    </w:p>
    <w:p w14:paraId="261B24D9" w14:textId="0ED38543" w:rsidR="007F0D40" w:rsidRPr="00263158" w:rsidRDefault="007F0D40">
      <w:pPr>
        <w:pStyle w:val="TOC5"/>
        <w:rPr>
          <w:rFonts w:asciiTheme="minorHAnsi" w:eastAsiaTheme="minorEastAsia" w:hAnsiTheme="minorHAnsi" w:cstheme="minorBidi"/>
          <w:noProof/>
          <w:kern w:val="0"/>
          <w:sz w:val="22"/>
          <w:szCs w:val="22"/>
        </w:rPr>
      </w:pPr>
      <w:r w:rsidRPr="00263158">
        <w:rPr>
          <w:noProof/>
        </w:rPr>
        <w:t>22</w:t>
      </w:r>
      <w:r w:rsidRPr="00263158">
        <w:rPr>
          <w:noProof/>
        </w:rPr>
        <w:tab/>
        <w:t>Entanglement hazard</w:t>
      </w:r>
      <w:r w:rsidRPr="00263158">
        <w:rPr>
          <w:noProof/>
        </w:rPr>
        <w:tab/>
      </w:r>
      <w:r w:rsidRPr="00263158">
        <w:rPr>
          <w:noProof/>
        </w:rPr>
        <w:fldChar w:fldCharType="begin"/>
      </w:r>
      <w:r w:rsidRPr="00263158">
        <w:rPr>
          <w:noProof/>
        </w:rPr>
        <w:instrText xml:space="preserve"> PAGEREF _Toc169168236 \h </w:instrText>
      </w:r>
      <w:r w:rsidRPr="00263158">
        <w:rPr>
          <w:noProof/>
        </w:rPr>
      </w:r>
      <w:r w:rsidRPr="00263158">
        <w:rPr>
          <w:noProof/>
        </w:rPr>
        <w:fldChar w:fldCharType="separate"/>
      </w:r>
      <w:r w:rsidR="006A02DC">
        <w:rPr>
          <w:noProof/>
        </w:rPr>
        <w:t>10</w:t>
      </w:r>
      <w:r w:rsidRPr="00263158">
        <w:rPr>
          <w:noProof/>
        </w:rPr>
        <w:fldChar w:fldCharType="end"/>
      </w:r>
    </w:p>
    <w:p w14:paraId="7A615FF0" w14:textId="5D959902" w:rsidR="007F0D40" w:rsidRPr="00263158" w:rsidRDefault="007F0D40">
      <w:pPr>
        <w:pStyle w:val="TOC5"/>
        <w:rPr>
          <w:rFonts w:asciiTheme="minorHAnsi" w:eastAsiaTheme="minorEastAsia" w:hAnsiTheme="minorHAnsi" w:cstheme="minorBidi"/>
          <w:noProof/>
          <w:kern w:val="0"/>
          <w:sz w:val="22"/>
          <w:szCs w:val="22"/>
        </w:rPr>
      </w:pPr>
      <w:r w:rsidRPr="00263158">
        <w:rPr>
          <w:noProof/>
        </w:rPr>
        <w:t>23</w:t>
      </w:r>
      <w:r w:rsidRPr="00263158">
        <w:rPr>
          <w:noProof/>
        </w:rPr>
        <w:tab/>
        <w:t>Fit for purpose</w:t>
      </w:r>
      <w:r w:rsidRPr="00263158">
        <w:rPr>
          <w:noProof/>
        </w:rPr>
        <w:tab/>
      </w:r>
      <w:r w:rsidRPr="00263158">
        <w:rPr>
          <w:noProof/>
        </w:rPr>
        <w:fldChar w:fldCharType="begin"/>
      </w:r>
      <w:r w:rsidRPr="00263158">
        <w:rPr>
          <w:noProof/>
        </w:rPr>
        <w:instrText xml:space="preserve"> PAGEREF _Toc169168237 \h </w:instrText>
      </w:r>
      <w:r w:rsidRPr="00263158">
        <w:rPr>
          <w:noProof/>
        </w:rPr>
      </w:r>
      <w:r w:rsidRPr="00263158">
        <w:rPr>
          <w:noProof/>
        </w:rPr>
        <w:fldChar w:fldCharType="separate"/>
      </w:r>
      <w:r w:rsidR="006A02DC">
        <w:rPr>
          <w:noProof/>
        </w:rPr>
        <w:t>10</w:t>
      </w:r>
      <w:r w:rsidRPr="00263158">
        <w:rPr>
          <w:noProof/>
        </w:rPr>
        <w:fldChar w:fldCharType="end"/>
      </w:r>
    </w:p>
    <w:p w14:paraId="04AA627E" w14:textId="757EC0C7" w:rsidR="007F0D40" w:rsidRPr="00263158" w:rsidRDefault="007F0D40">
      <w:pPr>
        <w:pStyle w:val="TOC5"/>
        <w:rPr>
          <w:rFonts w:asciiTheme="minorHAnsi" w:eastAsiaTheme="minorEastAsia" w:hAnsiTheme="minorHAnsi" w:cstheme="minorBidi"/>
          <w:noProof/>
          <w:kern w:val="0"/>
          <w:sz w:val="22"/>
          <w:szCs w:val="22"/>
        </w:rPr>
      </w:pPr>
      <w:r w:rsidRPr="00263158">
        <w:rPr>
          <w:noProof/>
        </w:rPr>
        <w:t>24</w:t>
      </w:r>
      <w:r w:rsidRPr="00263158">
        <w:rPr>
          <w:noProof/>
        </w:rPr>
        <w:tab/>
        <w:t>Locking mechanism</w:t>
      </w:r>
      <w:r w:rsidRPr="00263158">
        <w:rPr>
          <w:noProof/>
        </w:rPr>
        <w:tab/>
      </w:r>
      <w:r w:rsidRPr="00263158">
        <w:rPr>
          <w:noProof/>
        </w:rPr>
        <w:fldChar w:fldCharType="begin"/>
      </w:r>
      <w:r w:rsidRPr="00263158">
        <w:rPr>
          <w:noProof/>
        </w:rPr>
        <w:instrText xml:space="preserve"> PAGEREF _Toc169168238 \h </w:instrText>
      </w:r>
      <w:r w:rsidRPr="00263158">
        <w:rPr>
          <w:noProof/>
        </w:rPr>
      </w:r>
      <w:r w:rsidRPr="00263158">
        <w:rPr>
          <w:noProof/>
        </w:rPr>
        <w:fldChar w:fldCharType="separate"/>
      </w:r>
      <w:r w:rsidR="006A02DC">
        <w:rPr>
          <w:noProof/>
        </w:rPr>
        <w:t>10</w:t>
      </w:r>
      <w:r w:rsidRPr="00263158">
        <w:rPr>
          <w:noProof/>
        </w:rPr>
        <w:fldChar w:fldCharType="end"/>
      </w:r>
    </w:p>
    <w:p w14:paraId="17912942" w14:textId="663F04FD" w:rsidR="007F0D40" w:rsidRPr="00263158" w:rsidRDefault="007F0D40">
      <w:pPr>
        <w:pStyle w:val="TOC5"/>
        <w:rPr>
          <w:rFonts w:asciiTheme="minorHAnsi" w:eastAsiaTheme="minorEastAsia" w:hAnsiTheme="minorHAnsi" w:cstheme="minorBidi"/>
          <w:noProof/>
          <w:kern w:val="0"/>
          <w:sz w:val="22"/>
          <w:szCs w:val="22"/>
        </w:rPr>
      </w:pPr>
      <w:r w:rsidRPr="00263158">
        <w:rPr>
          <w:noProof/>
        </w:rPr>
        <w:t>25</w:t>
      </w:r>
      <w:r w:rsidRPr="00263158">
        <w:rPr>
          <w:noProof/>
        </w:rPr>
        <w:tab/>
        <w:t>Materials (component requirements)</w:t>
      </w:r>
      <w:r w:rsidRPr="00263158">
        <w:rPr>
          <w:noProof/>
        </w:rPr>
        <w:tab/>
      </w:r>
      <w:r w:rsidRPr="00263158">
        <w:rPr>
          <w:noProof/>
        </w:rPr>
        <w:fldChar w:fldCharType="begin"/>
      </w:r>
      <w:r w:rsidRPr="00263158">
        <w:rPr>
          <w:noProof/>
        </w:rPr>
        <w:instrText xml:space="preserve"> PAGEREF _Toc169168239 \h </w:instrText>
      </w:r>
      <w:r w:rsidRPr="00263158">
        <w:rPr>
          <w:noProof/>
        </w:rPr>
      </w:r>
      <w:r w:rsidRPr="00263158">
        <w:rPr>
          <w:noProof/>
        </w:rPr>
        <w:fldChar w:fldCharType="separate"/>
      </w:r>
      <w:r w:rsidR="006A02DC">
        <w:rPr>
          <w:noProof/>
        </w:rPr>
        <w:t>10</w:t>
      </w:r>
      <w:r w:rsidRPr="00263158">
        <w:rPr>
          <w:noProof/>
        </w:rPr>
        <w:fldChar w:fldCharType="end"/>
      </w:r>
    </w:p>
    <w:p w14:paraId="36E88645" w14:textId="52D48610" w:rsidR="007F0D40" w:rsidRPr="00263158" w:rsidRDefault="007F0D40">
      <w:pPr>
        <w:pStyle w:val="TOC5"/>
        <w:rPr>
          <w:rFonts w:asciiTheme="minorHAnsi" w:eastAsiaTheme="minorEastAsia" w:hAnsiTheme="minorHAnsi" w:cstheme="minorBidi"/>
          <w:noProof/>
          <w:kern w:val="0"/>
          <w:sz w:val="22"/>
          <w:szCs w:val="22"/>
        </w:rPr>
      </w:pPr>
      <w:r w:rsidRPr="00263158">
        <w:rPr>
          <w:noProof/>
        </w:rPr>
        <w:t>26</w:t>
      </w:r>
      <w:r w:rsidRPr="00263158">
        <w:rPr>
          <w:noProof/>
        </w:rPr>
        <w:tab/>
        <w:t>Entrapment hazard</w:t>
      </w:r>
      <w:r w:rsidRPr="00263158">
        <w:rPr>
          <w:noProof/>
        </w:rPr>
        <w:tab/>
      </w:r>
      <w:r w:rsidRPr="00263158">
        <w:rPr>
          <w:noProof/>
        </w:rPr>
        <w:fldChar w:fldCharType="begin"/>
      </w:r>
      <w:r w:rsidRPr="00263158">
        <w:rPr>
          <w:noProof/>
        </w:rPr>
        <w:instrText xml:space="preserve"> PAGEREF _Toc169168240 \h </w:instrText>
      </w:r>
      <w:r w:rsidRPr="00263158">
        <w:rPr>
          <w:noProof/>
        </w:rPr>
      </w:r>
      <w:r w:rsidRPr="00263158">
        <w:rPr>
          <w:noProof/>
        </w:rPr>
        <w:fldChar w:fldCharType="separate"/>
      </w:r>
      <w:r w:rsidR="006A02DC">
        <w:rPr>
          <w:noProof/>
        </w:rPr>
        <w:t>10</w:t>
      </w:r>
      <w:r w:rsidRPr="00263158">
        <w:rPr>
          <w:noProof/>
        </w:rPr>
        <w:fldChar w:fldCharType="end"/>
      </w:r>
    </w:p>
    <w:p w14:paraId="1173CEE0" w14:textId="1DA6C7E7" w:rsidR="007F0D40" w:rsidRPr="00263158" w:rsidRDefault="007F0D40">
      <w:pPr>
        <w:pStyle w:val="TOC5"/>
        <w:rPr>
          <w:rFonts w:asciiTheme="minorHAnsi" w:eastAsiaTheme="minorEastAsia" w:hAnsiTheme="minorHAnsi" w:cstheme="minorBidi"/>
          <w:noProof/>
          <w:kern w:val="0"/>
          <w:sz w:val="22"/>
          <w:szCs w:val="22"/>
        </w:rPr>
      </w:pPr>
      <w:r w:rsidRPr="00263158">
        <w:rPr>
          <w:noProof/>
        </w:rPr>
        <w:t>27</w:t>
      </w:r>
      <w:r w:rsidRPr="00263158">
        <w:rPr>
          <w:noProof/>
        </w:rPr>
        <w:tab/>
        <w:t>Small parts</w:t>
      </w:r>
      <w:r w:rsidRPr="00263158">
        <w:rPr>
          <w:noProof/>
        </w:rPr>
        <w:tab/>
      </w:r>
      <w:r w:rsidRPr="00263158">
        <w:rPr>
          <w:noProof/>
        </w:rPr>
        <w:fldChar w:fldCharType="begin"/>
      </w:r>
      <w:r w:rsidRPr="00263158">
        <w:rPr>
          <w:noProof/>
        </w:rPr>
        <w:instrText xml:space="preserve"> PAGEREF _Toc169168241 \h </w:instrText>
      </w:r>
      <w:r w:rsidRPr="00263158">
        <w:rPr>
          <w:noProof/>
        </w:rPr>
      </w:r>
      <w:r w:rsidRPr="00263158">
        <w:rPr>
          <w:noProof/>
        </w:rPr>
        <w:fldChar w:fldCharType="separate"/>
      </w:r>
      <w:r w:rsidR="006A02DC">
        <w:rPr>
          <w:noProof/>
        </w:rPr>
        <w:t>11</w:t>
      </w:r>
      <w:r w:rsidRPr="00263158">
        <w:rPr>
          <w:noProof/>
        </w:rPr>
        <w:fldChar w:fldCharType="end"/>
      </w:r>
    </w:p>
    <w:p w14:paraId="22D417A2" w14:textId="640736A9" w:rsidR="007F0D40" w:rsidRPr="00263158" w:rsidRDefault="007F0D40">
      <w:pPr>
        <w:pStyle w:val="TOC3"/>
        <w:rPr>
          <w:rFonts w:asciiTheme="minorHAnsi" w:eastAsiaTheme="minorEastAsia" w:hAnsiTheme="minorHAnsi" w:cstheme="minorBidi"/>
          <w:b w:val="0"/>
          <w:noProof/>
          <w:kern w:val="0"/>
          <w:szCs w:val="22"/>
        </w:rPr>
      </w:pPr>
      <w:r w:rsidRPr="00263158">
        <w:rPr>
          <w:noProof/>
        </w:rPr>
        <w:t>Division 3—Specific requirements</w:t>
      </w:r>
      <w:r w:rsidRPr="00263158">
        <w:rPr>
          <w:b w:val="0"/>
          <w:noProof/>
          <w:sz w:val="18"/>
        </w:rPr>
        <w:tab/>
      </w:r>
      <w:r w:rsidRPr="00263158">
        <w:rPr>
          <w:b w:val="0"/>
          <w:noProof/>
          <w:sz w:val="18"/>
        </w:rPr>
        <w:fldChar w:fldCharType="begin"/>
      </w:r>
      <w:r w:rsidRPr="00263158">
        <w:rPr>
          <w:b w:val="0"/>
          <w:noProof/>
          <w:sz w:val="18"/>
        </w:rPr>
        <w:instrText xml:space="preserve"> PAGEREF _Toc169168242 \h </w:instrText>
      </w:r>
      <w:r w:rsidRPr="00263158">
        <w:rPr>
          <w:b w:val="0"/>
          <w:noProof/>
          <w:sz w:val="18"/>
        </w:rPr>
      </w:r>
      <w:r w:rsidRPr="00263158">
        <w:rPr>
          <w:b w:val="0"/>
          <w:noProof/>
          <w:sz w:val="18"/>
        </w:rPr>
        <w:fldChar w:fldCharType="separate"/>
      </w:r>
      <w:r w:rsidR="006A02DC">
        <w:rPr>
          <w:b w:val="0"/>
          <w:noProof/>
          <w:sz w:val="18"/>
        </w:rPr>
        <w:t>12</w:t>
      </w:r>
      <w:r w:rsidRPr="00263158">
        <w:rPr>
          <w:b w:val="0"/>
          <w:noProof/>
          <w:sz w:val="18"/>
        </w:rPr>
        <w:fldChar w:fldCharType="end"/>
      </w:r>
    </w:p>
    <w:p w14:paraId="3D9B546E" w14:textId="4E84B0C8" w:rsidR="007F0D40" w:rsidRPr="00263158" w:rsidRDefault="007F0D40">
      <w:pPr>
        <w:pStyle w:val="TOC4"/>
        <w:rPr>
          <w:rFonts w:asciiTheme="minorHAnsi" w:eastAsiaTheme="minorEastAsia" w:hAnsiTheme="minorHAnsi" w:cstheme="minorBidi"/>
          <w:b w:val="0"/>
          <w:noProof/>
          <w:kern w:val="0"/>
          <w:sz w:val="22"/>
          <w:szCs w:val="22"/>
        </w:rPr>
      </w:pPr>
      <w:r w:rsidRPr="00263158">
        <w:rPr>
          <w:noProof/>
        </w:rPr>
        <w:t>Subdivision A—Specific requirements for bassinets</w:t>
      </w:r>
      <w:r w:rsidRPr="00263158">
        <w:rPr>
          <w:b w:val="0"/>
          <w:noProof/>
          <w:sz w:val="18"/>
        </w:rPr>
        <w:tab/>
      </w:r>
      <w:r w:rsidRPr="00263158">
        <w:rPr>
          <w:b w:val="0"/>
          <w:noProof/>
          <w:sz w:val="18"/>
        </w:rPr>
        <w:fldChar w:fldCharType="begin"/>
      </w:r>
      <w:r w:rsidRPr="00263158">
        <w:rPr>
          <w:b w:val="0"/>
          <w:noProof/>
          <w:sz w:val="18"/>
        </w:rPr>
        <w:instrText xml:space="preserve"> PAGEREF _Toc169168243 \h </w:instrText>
      </w:r>
      <w:r w:rsidRPr="00263158">
        <w:rPr>
          <w:b w:val="0"/>
          <w:noProof/>
          <w:sz w:val="18"/>
        </w:rPr>
      </w:r>
      <w:r w:rsidRPr="00263158">
        <w:rPr>
          <w:b w:val="0"/>
          <w:noProof/>
          <w:sz w:val="18"/>
        </w:rPr>
        <w:fldChar w:fldCharType="separate"/>
      </w:r>
      <w:r w:rsidR="006A02DC">
        <w:rPr>
          <w:b w:val="0"/>
          <w:noProof/>
          <w:sz w:val="18"/>
        </w:rPr>
        <w:t>12</w:t>
      </w:r>
      <w:r w:rsidRPr="00263158">
        <w:rPr>
          <w:b w:val="0"/>
          <w:noProof/>
          <w:sz w:val="18"/>
        </w:rPr>
        <w:fldChar w:fldCharType="end"/>
      </w:r>
    </w:p>
    <w:p w14:paraId="0B02CABE" w14:textId="3F85847E" w:rsidR="007F0D40" w:rsidRPr="00263158" w:rsidRDefault="007F0D40">
      <w:pPr>
        <w:pStyle w:val="TOC5"/>
        <w:rPr>
          <w:rFonts w:asciiTheme="minorHAnsi" w:eastAsiaTheme="minorEastAsia" w:hAnsiTheme="minorHAnsi" w:cstheme="minorBidi"/>
          <w:noProof/>
          <w:kern w:val="0"/>
          <w:sz w:val="22"/>
          <w:szCs w:val="22"/>
        </w:rPr>
      </w:pPr>
      <w:r w:rsidRPr="00263158">
        <w:rPr>
          <w:noProof/>
        </w:rPr>
        <w:t>28</w:t>
      </w:r>
      <w:r w:rsidRPr="00263158">
        <w:rPr>
          <w:noProof/>
        </w:rPr>
        <w:tab/>
        <w:t>Bassinets to which this Subdivision applies</w:t>
      </w:r>
      <w:r w:rsidRPr="00263158">
        <w:rPr>
          <w:noProof/>
        </w:rPr>
        <w:tab/>
      </w:r>
      <w:r w:rsidRPr="00263158">
        <w:rPr>
          <w:noProof/>
        </w:rPr>
        <w:fldChar w:fldCharType="begin"/>
      </w:r>
      <w:r w:rsidRPr="00263158">
        <w:rPr>
          <w:noProof/>
        </w:rPr>
        <w:instrText xml:space="preserve"> PAGEREF _Toc169168244 \h </w:instrText>
      </w:r>
      <w:r w:rsidRPr="00263158">
        <w:rPr>
          <w:noProof/>
        </w:rPr>
      </w:r>
      <w:r w:rsidRPr="00263158">
        <w:rPr>
          <w:noProof/>
        </w:rPr>
        <w:fldChar w:fldCharType="separate"/>
      </w:r>
      <w:r w:rsidR="006A02DC">
        <w:rPr>
          <w:noProof/>
        </w:rPr>
        <w:t>12</w:t>
      </w:r>
      <w:r w:rsidRPr="00263158">
        <w:rPr>
          <w:noProof/>
        </w:rPr>
        <w:fldChar w:fldCharType="end"/>
      </w:r>
    </w:p>
    <w:p w14:paraId="05289925" w14:textId="18D2D5ED" w:rsidR="007F0D40" w:rsidRPr="00263158" w:rsidRDefault="007F0D40">
      <w:pPr>
        <w:pStyle w:val="TOC5"/>
        <w:rPr>
          <w:rFonts w:asciiTheme="minorHAnsi" w:eastAsiaTheme="minorEastAsia" w:hAnsiTheme="minorHAnsi" w:cstheme="minorBidi"/>
          <w:noProof/>
          <w:kern w:val="0"/>
          <w:sz w:val="22"/>
          <w:szCs w:val="22"/>
        </w:rPr>
      </w:pPr>
      <w:r w:rsidRPr="00263158">
        <w:rPr>
          <w:noProof/>
        </w:rPr>
        <w:t>29</w:t>
      </w:r>
      <w:r w:rsidRPr="00263158">
        <w:rPr>
          <w:noProof/>
        </w:rPr>
        <w:tab/>
        <w:t>Side height</w:t>
      </w:r>
      <w:r w:rsidRPr="00263158">
        <w:rPr>
          <w:noProof/>
        </w:rPr>
        <w:tab/>
      </w:r>
      <w:r w:rsidRPr="00263158">
        <w:rPr>
          <w:noProof/>
        </w:rPr>
        <w:fldChar w:fldCharType="begin"/>
      </w:r>
      <w:r w:rsidRPr="00263158">
        <w:rPr>
          <w:noProof/>
        </w:rPr>
        <w:instrText xml:space="preserve"> PAGEREF _Toc169168245 \h </w:instrText>
      </w:r>
      <w:r w:rsidRPr="00263158">
        <w:rPr>
          <w:noProof/>
        </w:rPr>
      </w:r>
      <w:r w:rsidRPr="00263158">
        <w:rPr>
          <w:noProof/>
        </w:rPr>
        <w:fldChar w:fldCharType="separate"/>
      </w:r>
      <w:r w:rsidR="006A02DC">
        <w:rPr>
          <w:noProof/>
        </w:rPr>
        <w:t>12</w:t>
      </w:r>
      <w:r w:rsidRPr="00263158">
        <w:rPr>
          <w:noProof/>
        </w:rPr>
        <w:fldChar w:fldCharType="end"/>
      </w:r>
    </w:p>
    <w:p w14:paraId="0187C3D0" w14:textId="3655A004" w:rsidR="007F0D40" w:rsidRPr="00263158" w:rsidRDefault="007F0D40">
      <w:pPr>
        <w:pStyle w:val="TOC5"/>
        <w:rPr>
          <w:rFonts w:asciiTheme="minorHAnsi" w:eastAsiaTheme="minorEastAsia" w:hAnsiTheme="minorHAnsi" w:cstheme="minorBidi"/>
          <w:noProof/>
          <w:kern w:val="0"/>
          <w:sz w:val="22"/>
          <w:szCs w:val="22"/>
        </w:rPr>
      </w:pPr>
      <w:r w:rsidRPr="00263158">
        <w:rPr>
          <w:noProof/>
        </w:rPr>
        <w:t>30</w:t>
      </w:r>
      <w:r w:rsidRPr="00263158">
        <w:rPr>
          <w:noProof/>
        </w:rPr>
        <w:tab/>
        <w:t>Filler bars</w:t>
      </w:r>
      <w:r w:rsidRPr="00263158">
        <w:rPr>
          <w:noProof/>
        </w:rPr>
        <w:tab/>
      </w:r>
      <w:r w:rsidRPr="00263158">
        <w:rPr>
          <w:noProof/>
        </w:rPr>
        <w:fldChar w:fldCharType="begin"/>
      </w:r>
      <w:r w:rsidRPr="00263158">
        <w:rPr>
          <w:noProof/>
        </w:rPr>
        <w:instrText xml:space="preserve"> PAGEREF _Toc169168246 \h </w:instrText>
      </w:r>
      <w:r w:rsidRPr="00263158">
        <w:rPr>
          <w:noProof/>
        </w:rPr>
      </w:r>
      <w:r w:rsidRPr="00263158">
        <w:rPr>
          <w:noProof/>
        </w:rPr>
        <w:fldChar w:fldCharType="separate"/>
      </w:r>
      <w:r w:rsidR="006A02DC">
        <w:rPr>
          <w:noProof/>
        </w:rPr>
        <w:t>12</w:t>
      </w:r>
      <w:r w:rsidRPr="00263158">
        <w:rPr>
          <w:noProof/>
        </w:rPr>
        <w:fldChar w:fldCharType="end"/>
      </w:r>
    </w:p>
    <w:p w14:paraId="506FABD9" w14:textId="2E33B83F" w:rsidR="007F0D40" w:rsidRPr="00263158" w:rsidRDefault="007F0D40">
      <w:pPr>
        <w:pStyle w:val="TOC5"/>
        <w:rPr>
          <w:rFonts w:asciiTheme="minorHAnsi" w:eastAsiaTheme="minorEastAsia" w:hAnsiTheme="minorHAnsi" w:cstheme="minorBidi"/>
          <w:noProof/>
          <w:kern w:val="0"/>
          <w:sz w:val="22"/>
          <w:szCs w:val="22"/>
        </w:rPr>
      </w:pPr>
      <w:r w:rsidRPr="00263158">
        <w:rPr>
          <w:noProof/>
        </w:rPr>
        <w:t>31</w:t>
      </w:r>
      <w:r w:rsidRPr="00263158">
        <w:rPr>
          <w:noProof/>
        </w:rPr>
        <w:tab/>
        <w:t>Materials</w:t>
      </w:r>
      <w:r w:rsidRPr="00263158">
        <w:rPr>
          <w:noProof/>
        </w:rPr>
        <w:tab/>
      </w:r>
      <w:r w:rsidRPr="00263158">
        <w:rPr>
          <w:noProof/>
        </w:rPr>
        <w:fldChar w:fldCharType="begin"/>
      </w:r>
      <w:r w:rsidRPr="00263158">
        <w:rPr>
          <w:noProof/>
        </w:rPr>
        <w:instrText xml:space="preserve"> PAGEREF _Toc169168247 \h </w:instrText>
      </w:r>
      <w:r w:rsidRPr="00263158">
        <w:rPr>
          <w:noProof/>
        </w:rPr>
      </w:r>
      <w:r w:rsidRPr="00263158">
        <w:rPr>
          <w:noProof/>
        </w:rPr>
        <w:fldChar w:fldCharType="separate"/>
      </w:r>
      <w:r w:rsidR="006A02DC">
        <w:rPr>
          <w:noProof/>
        </w:rPr>
        <w:t>12</w:t>
      </w:r>
      <w:r w:rsidRPr="00263158">
        <w:rPr>
          <w:noProof/>
        </w:rPr>
        <w:fldChar w:fldCharType="end"/>
      </w:r>
    </w:p>
    <w:p w14:paraId="672080E4" w14:textId="7E3E1069" w:rsidR="007F0D40" w:rsidRPr="00263158" w:rsidRDefault="007F0D40">
      <w:pPr>
        <w:pStyle w:val="TOC5"/>
        <w:rPr>
          <w:rFonts w:asciiTheme="minorHAnsi" w:eastAsiaTheme="minorEastAsia" w:hAnsiTheme="minorHAnsi" w:cstheme="minorBidi"/>
          <w:noProof/>
          <w:kern w:val="0"/>
          <w:sz w:val="22"/>
          <w:szCs w:val="22"/>
        </w:rPr>
      </w:pPr>
      <w:r w:rsidRPr="00263158">
        <w:rPr>
          <w:noProof/>
        </w:rPr>
        <w:t>32</w:t>
      </w:r>
      <w:r w:rsidRPr="00263158">
        <w:rPr>
          <w:noProof/>
        </w:rPr>
        <w:tab/>
        <w:t>Base width</w:t>
      </w:r>
      <w:r w:rsidRPr="00263158">
        <w:rPr>
          <w:noProof/>
        </w:rPr>
        <w:tab/>
      </w:r>
      <w:r w:rsidRPr="00263158">
        <w:rPr>
          <w:noProof/>
        </w:rPr>
        <w:fldChar w:fldCharType="begin"/>
      </w:r>
      <w:r w:rsidRPr="00263158">
        <w:rPr>
          <w:noProof/>
        </w:rPr>
        <w:instrText xml:space="preserve"> PAGEREF _Toc169168248 \h </w:instrText>
      </w:r>
      <w:r w:rsidRPr="00263158">
        <w:rPr>
          <w:noProof/>
        </w:rPr>
      </w:r>
      <w:r w:rsidRPr="00263158">
        <w:rPr>
          <w:noProof/>
        </w:rPr>
        <w:fldChar w:fldCharType="separate"/>
      </w:r>
      <w:r w:rsidR="006A02DC">
        <w:rPr>
          <w:noProof/>
        </w:rPr>
        <w:t>12</w:t>
      </w:r>
      <w:r w:rsidRPr="00263158">
        <w:rPr>
          <w:noProof/>
        </w:rPr>
        <w:fldChar w:fldCharType="end"/>
      </w:r>
    </w:p>
    <w:p w14:paraId="64FDA70F" w14:textId="1AA0B133" w:rsidR="007F0D40" w:rsidRPr="00263158" w:rsidRDefault="007F0D40">
      <w:pPr>
        <w:pStyle w:val="TOC5"/>
        <w:rPr>
          <w:rFonts w:asciiTheme="minorHAnsi" w:eastAsiaTheme="minorEastAsia" w:hAnsiTheme="minorHAnsi" w:cstheme="minorBidi"/>
          <w:noProof/>
          <w:kern w:val="0"/>
          <w:sz w:val="22"/>
          <w:szCs w:val="22"/>
        </w:rPr>
      </w:pPr>
      <w:r w:rsidRPr="00263158">
        <w:rPr>
          <w:noProof/>
        </w:rPr>
        <w:t>33</w:t>
      </w:r>
      <w:r w:rsidRPr="00263158">
        <w:rPr>
          <w:noProof/>
        </w:rPr>
        <w:tab/>
        <w:t>Warnings</w:t>
      </w:r>
      <w:r w:rsidRPr="00263158">
        <w:rPr>
          <w:noProof/>
        </w:rPr>
        <w:tab/>
      </w:r>
      <w:r w:rsidRPr="00263158">
        <w:rPr>
          <w:noProof/>
        </w:rPr>
        <w:fldChar w:fldCharType="begin"/>
      </w:r>
      <w:r w:rsidRPr="00263158">
        <w:rPr>
          <w:noProof/>
        </w:rPr>
        <w:instrText xml:space="preserve"> PAGEREF _Toc169168249 \h </w:instrText>
      </w:r>
      <w:r w:rsidRPr="00263158">
        <w:rPr>
          <w:noProof/>
        </w:rPr>
      </w:r>
      <w:r w:rsidRPr="00263158">
        <w:rPr>
          <w:noProof/>
        </w:rPr>
        <w:fldChar w:fldCharType="separate"/>
      </w:r>
      <w:r w:rsidR="006A02DC">
        <w:rPr>
          <w:noProof/>
        </w:rPr>
        <w:t>12</w:t>
      </w:r>
      <w:r w:rsidRPr="00263158">
        <w:rPr>
          <w:noProof/>
        </w:rPr>
        <w:fldChar w:fldCharType="end"/>
      </w:r>
    </w:p>
    <w:p w14:paraId="71FECA6E" w14:textId="1324A8D6" w:rsidR="007F0D40" w:rsidRPr="00263158" w:rsidRDefault="007F0D40">
      <w:pPr>
        <w:pStyle w:val="TOC4"/>
        <w:rPr>
          <w:rFonts w:asciiTheme="minorHAnsi" w:eastAsiaTheme="minorEastAsia" w:hAnsiTheme="minorHAnsi" w:cstheme="minorBidi"/>
          <w:b w:val="0"/>
          <w:noProof/>
          <w:kern w:val="0"/>
          <w:sz w:val="22"/>
          <w:szCs w:val="22"/>
        </w:rPr>
      </w:pPr>
      <w:r w:rsidRPr="00263158">
        <w:rPr>
          <w:noProof/>
        </w:rPr>
        <w:t>Subdivision B—Specific requirements for folding cots</w:t>
      </w:r>
      <w:r w:rsidRPr="00263158">
        <w:rPr>
          <w:b w:val="0"/>
          <w:noProof/>
          <w:sz w:val="18"/>
        </w:rPr>
        <w:tab/>
      </w:r>
      <w:r w:rsidRPr="00263158">
        <w:rPr>
          <w:b w:val="0"/>
          <w:noProof/>
          <w:sz w:val="18"/>
        </w:rPr>
        <w:fldChar w:fldCharType="begin"/>
      </w:r>
      <w:r w:rsidRPr="00263158">
        <w:rPr>
          <w:b w:val="0"/>
          <w:noProof/>
          <w:sz w:val="18"/>
        </w:rPr>
        <w:instrText xml:space="preserve"> PAGEREF _Toc169168250 \h </w:instrText>
      </w:r>
      <w:r w:rsidRPr="00263158">
        <w:rPr>
          <w:b w:val="0"/>
          <w:noProof/>
          <w:sz w:val="18"/>
        </w:rPr>
      </w:r>
      <w:r w:rsidRPr="00263158">
        <w:rPr>
          <w:b w:val="0"/>
          <w:noProof/>
          <w:sz w:val="18"/>
        </w:rPr>
        <w:fldChar w:fldCharType="separate"/>
      </w:r>
      <w:r w:rsidR="006A02DC">
        <w:rPr>
          <w:b w:val="0"/>
          <w:noProof/>
          <w:sz w:val="18"/>
        </w:rPr>
        <w:t>12</w:t>
      </w:r>
      <w:r w:rsidRPr="00263158">
        <w:rPr>
          <w:b w:val="0"/>
          <w:noProof/>
          <w:sz w:val="18"/>
        </w:rPr>
        <w:fldChar w:fldCharType="end"/>
      </w:r>
    </w:p>
    <w:p w14:paraId="56A8D1F3" w14:textId="10C83F1D" w:rsidR="007F0D40" w:rsidRPr="00263158" w:rsidRDefault="007F0D40">
      <w:pPr>
        <w:pStyle w:val="TOC5"/>
        <w:rPr>
          <w:rFonts w:asciiTheme="minorHAnsi" w:eastAsiaTheme="minorEastAsia" w:hAnsiTheme="minorHAnsi" w:cstheme="minorBidi"/>
          <w:noProof/>
          <w:kern w:val="0"/>
          <w:sz w:val="22"/>
          <w:szCs w:val="22"/>
        </w:rPr>
      </w:pPr>
      <w:r w:rsidRPr="00263158">
        <w:rPr>
          <w:noProof/>
        </w:rPr>
        <w:t>34</w:t>
      </w:r>
      <w:r w:rsidRPr="00263158">
        <w:rPr>
          <w:noProof/>
        </w:rPr>
        <w:tab/>
        <w:t>Folding cots to which this Subdivision applies</w:t>
      </w:r>
      <w:r w:rsidRPr="00263158">
        <w:rPr>
          <w:noProof/>
        </w:rPr>
        <w:tab/>
      </w:r>
      <w:r w:rsidRPr="00263158">
        <w:rPr>
          <w:noProof/>
        </w:rPr>
        <w:fldChar w:fldCharType="begin"/>
      </w:r>
      <w:r w:rsidRPr="00263158">
        <w:rPr>
          <w:noProof/>
        </w:rPr>
        <w:instrText xml:space="preserve"> PAGEREF _Toc169168251 \h </w:instrText>
      </w:r>
      <w:r w:rsidRPr="00263158">
        <w:rPr>
          <w:noProof/>
        </w:rPr>
      </w:r>
      <w:r w:rsidRPr="00263158">
        <w:rPr>
          <w:noProof/>
        </w:rPr>
        <w:fldChar w:fldCharType="separate"/>
      </w:r>
      <w:r w:rsidR="006A02DC">
        <w:rPr>
          <w:noProof/>
        </w:rPr>
        <w:t>12</w:t>
      </w:r>
      <w:r w:rsidRPr="00263158">
        <w:rPr>
          <w:noProof/>
        </w:rPr>
        <w:fldChar w:fldCharType="end"/>
      </w:r>
    </w:p>
    <w:p w14:paraId="258B3803" w14:textId="7B789222" w:rsidR="007F0D40" w:rsidRPr="00263158" w:rsidRDefault="007F0D40">
      <w:pPr>
        <w:pStyle w:val="TOC5"/>
        <w:rPr>
          <w:rFonts w:asciiTheme="minorHAnsi" w:eastAsiaTheme="minorEastAsia" w:hAnsiTheme="minorHAnsi" w:cstheme="minorBidi"/>
          <w:noProof/>
          <w:kern w:val="0"/>
          <w:sz w:val="22"/>
          <w:szCs w:val="22"/>
        </w:rPr>
      </w:pPr>
      <w:r w:rsidRPr="00263158">
        <w:rPr>
          <w:noProof/>
        </w:rPr>
        <w:t>35</w:t>
      </w:r>
      <w:r w:rsidRPr="00263158">
        <w:rPr>
          <w:noProof/>
        </w:rPr>
        <w:tab/>
        <w:t>Specific requirements</w:t>
      </w:r>
      <w:r w:rsidRPr="00263158">
        <w:rPr>
          <w:noProof/>
        </w:rPr>
        <w:tab/>
      </w:r>
      <w:r w:rsidRPr="00263158">
        <w:rPr>
          <w:noProof/>
        </w:rPr>
        <w:fldChar w:fldCharType="begin"/>
      </w:r>
      <w:r w:rsidRPr="00263158">
        <w:rPr>
          <w:noProof/>
        </w:rPr>
        <w:instrText xml:space="preserve"> PAGEREF _Toc169168252 \h </w:instrText>
      </w:r>
      <w:r w:rsidRPr="00263158">
        <w:rPr>
          <w:noProof/>
        </w:rPr>
      </w:r>
      <w:r w:rsidRPr="00263158">
        <w:rPr>
          <w:noProof/>
        </w:rPr>
        <w:fldChar w:fldCharType="separate"/>
      </w:r>
      <w:r w:rsidR="006A02DC">
        <w:rPr>
          <w:noProof/>
        </w:rPr>
        <w:t>13</w:t>
      </w:r>
      <w:r w:rsidRPr="00263158">
        <w:rPr>
          <w:noProof/>
        </w:rPr>
        <w:fldChar w:fldCharType="end"/>
      </w:r>
    </w:p>
    <w:p w14:paraId="68F091AC" w14:textId="02270571" w:rsidR="007F0D40" w:rsidRPr="00263158" w:rsidRDefault="007F0D40">
      <w:pPr>
        <w:pStyle w:val="TOC4"/>
        <w:rPr>
          <w:rFonts w:asciiTheme="minorHAnsi" w:eastAsiaTheme="minorEastAsia" w:hAnsiTheme="minorHAnsi" w:cstheme="minorBidi"/>
          <w:b w:val="0"/>
          <w:noProof/>
          <w:kern w:val="0"/>
          <w:sz w:val="22"/>
          <w:szCs w:val="22"/>
        </w:rPr>
      </w:pPr>
      <w:r w:rsidRPr="00263158">
        <w:rPr>
          <w:noProof/>
        </w:rPr>
        <w:t>Subdivision C—Specific requirements for household cots</w:t>
      </w:r>
      <w:r w:rsidRPr="00263158">
        <w:rPr>
          <w:b w:val="0"/>
          <w:noProof/>
          <w:sz w:val="18"/>
        </w:rPr>
        <w:tab/>
      </w:r>
      <w:r w:rsidRPr="00263158">
        <w:rPr>
          <w:b w:val="0"/>
          <w:noProof/>
          <w:sz w:val="18"/>
        </w:rPr>
        <w:fldChar w:fldCharType="begin"/>
      </w:r>
      <w:r w:rsidRPr="00263158">
        <w:rPr>
          <w:b w:val="0"/>
          <w:noProof/>
          <w:sz w:val="18"/>
        </w:rPr>
        <w:instrText xml:space="preserve"> PAGEREF _Toc169168253 \h </w:instrText>
      </w:r>
      <w:r w:rsidRPr="00263158">
        <w:rPr>
          <w:b w:val="0"/>
          <w:noProof/>
          <w:sz w:val="18"/>
        </w:rPr>
      </w:r>
      <w:r w:rsidRPr="00263158">
        <w:rPr>
          <w:b w:val="0"/>
          <w:noProof/>
          <w:sz w:val="18"/>
        </w:rPr>
        <w:fldChar w:fldCharType="separate"/>
      </w:r>
      <w:r w:rsidR="006A02DC">
        <w:rPr>
          <w:b w:val="0"/>
          <w:noProof/>
          <w:sz w:val="18"/>
        </w:rPr>
        <w:t>14</w:t>
      </w:r>
      <w:r w:rsidRPr="00263158">
        <w:rPr>
          <w:b w:val="0"/>
          <w:noProof/>
          <w:sz w:val="18"/>
        </w:rPr>
        <w:fldChar w:fldCharType="end"/>
      </w:r>
    </w:p>
    <w:p w14:paraId="7011515E" w14:textId="167865E2" w:rsidR="007F0D40" w:rsidRPr="00263158" w:rsidRDefault="007F0D40">
      <w:pPr>
        <w:pStyle w:val="TOC5"/>
        <w:rPr>
          <w:rFonts w:asciiTheme="minorHAnsi" w:eastAsiaTheme="minorEastAsia" w:hAnsiTheme="minorHAnsi" w:cstheme="minorBidi"/>
          <w:noProof/>
          <w:kern w:val="0"/>
          <w:sz w:val="22"/>
          <w:szCs w:val="22"/>
        </w:rPr>
      </w:pPr>
      <w:r w:rsidRPr="00263158">
        <w:rPr>
          <w:noProof/>
        </w:rPr>
        <w:t>36</w:t>
      </w:r>
      <w:r w:rsidRPr="00263158">
        <w:rPr>
          <w:noProof/>
        </w:rPr>
        <w:tab/>
        <w:t>Household cots to which this Subdivision applies</w:t>
      </w:r>
      <w:r w:rsidRPr="00263158">
        <w:rPr>
          <w:noProof/>
        </w:rPr>
        <w:tab/>
      </w:r>
      <w:r w:rsidRPr="00263158">
        <w:rPr>
          <w:noProof/>
        </w:rPr>
        <w:fldChar w:fldCharType="begin"/>
      </w:r>
      <w:r w:rsidRPr="00263158">
        <w:rPr>
          <w:noProof/>
        </w:rPr>
        <w:instrText xml:space="preserve"> PAGEREF _Toc169168254 \h </w:instrText>
      </w:r>
      <w:r w:rsidRPr="00263158">
        <w:rPr>
          <w:noProof/>
        </w:rPr>
      </w:r>
      <w:r w:rsidRPr="00263158">
        <w:rPr>
          <w:noProof/>
        </w:rPr>
        <w:fldChar w:fldCharType="separate"/>
      </w:r>
      <w:r w:rsidR="006A02DC">
        <w:rPr>
          <w:noProof/>
        </w:rPr>
        <w:t>14</w:t>
      </w:r>
      <w:r w:rsidRPr="00263158">
        <w:rPr>
          <w:noProof/>
        </w:rPr>
        <w:fldChar w:fldCharType="end"/>
      </w:r>
    </w:p>
    <w:p w14:paraId="636B73D7" w14:textId="4735F33B" w:rsidR="007F0D40" w:rsidRPr="00263158" w:rsidRDefault="007F0D40">
      <w:pPr>
        <w:pStyle w:val="TOC5"/>
        <w:rPr>
          <w:rFonts w:asciiTheme="minorHAnsi" w:eastAsiaTheme="minorEastAsia" w:hAnsiTheme="minorHAnsi" w:cstheme="minorBidi"/>
          <w:noProof/>
          <w:kern w:val="0"/>
          <w:sz w:val="22"/>
          <w:szCs w:val="22"/>
        </w:rPr>
      </w:pPr>
      <w:r w:rsidRPr="00263158">
        <w:rPr>
          <w:noProof/>
        </w:rPr>
        <w:t>37</w:t>
      </w:r>
      <w:r w:rsidRPr="00263158">
        <w:rPr>
          <w:noProof/>
        </w:rPr>
        <w:tab/>
        <w:t>Specific requirements</w:t>
      </w:r>
      <w:r w:rsidRPr="00263158">
        <w:rPr>
          <w:noProof/>
        </w:rPr>
        <w:tab/>
      </w:r>
      <w:r w:rsidRPr="00263158">
        <w:rPr>
          <w:noProof/>
        </w:rPr>
        <w:fldChar w:fldCharType="begin"/>
      </w:r>
      <w:r w:rsidRPr="00263158">
        <w:rPr>
          <w:noProof/>
        </w:rPr>
        <w:instrText xml:space="preserve"> PAGEREF _Toc169168255 \h </w:instrText>
      </w:r>
      <w:r w:rsidRPr="00263158">
        <w:rPr>
          <w:noProof/>
        </w:rPr>
      </w:r>
      <w:r w:rsidRPr="00263158">
        <w:rPr>
          <w:noProof/>
        </w:rPr>
        <w:fldChar w:fldCharType="separate"/>
      </w:r>
      <w:r w:rsidR="006A02DC">
        <w:rPr>
          <w:noProof/>
        </w:rPr>
        <w:t>14</w:t>
      </w:r>
      <w:r w:rsidRPr="00263158">
        <w:rPr>
          <w:noProof/>
        </w:rPr>
        <w:fldChar w:fldCharType="end"/>
      </w:r>
    </w:p>
    <w:p w14:paraId="2C47E024" w14:textId="340A3239" w:rsidR="007F0D40" w:rsidRPr="00263158" w:rsidRDefault="007F0D40">
      <w:pPr>
        <w:pStyle w:val="TOC5"/>
        <w:rPr>
          <w:rFonts w:asciiTheme="minorHAnsi" w:eastAsiaTheme="minorEastAsia" w:hAnsiTheme="minorHAnsi" w:cstheme="minorBidi"/>
          <w:noProof/>
          <w:kern w:val="0"/>
          <w:sz w:val="22"/>
          <w:szCs w:val="22"/>
        </w:rPr>
      </w:pPr>
      <w:r w:rsidRPr="00263158">
        <w:rPr>
          <w:noProof/>
        </w:rPr>
        <w:t>38</w:t>
      </w:r>
      <w:r w:rsidRPr="00263158">
        <w:rPr>
          <w:noProof/>
        </w:rPr>
        <w:tab/>
      </w:r>
      <w:r w:rsidRPr="00263158">
        <w:rPr>
          <w:iCs/>
          <w:noProof/>
        </w:rPr>
        <w:t>Dropside requirements</w:t>
      </w:r>
      <w:r w:rsidRPr="00263158">
        <w:rPr>
          <w:noProof/>
        </w:rPr>
        <w:tab/>
      </w:r>
      <w:r w:rsidRPr="00263158">
        <w:rPr>
          <w:noProof/>
        </w:rPr>
        <w:fldChar w:fldCharType="begin"/>
      </w:r>
      <w:r w:rsidRPr="00263158">
        <w:rPr>
          <w:noProof/>
        </w:rPr>
        <w:instrText xml:space="preserve"> PAGEREF _Toc169168256 \h </w:instrText>
      </w:r>
      <w:r w:rsidRPr="00263158">
        <w:rPr>
          <w:noProof/>
        </w:rPr>
      </w:r>
      <w:r w:rsidRPr="00263158">
        <w:rPr>
          <w:noProof/>
        </w:rPr>
        <w:fldChar w:fldCharType="separate"/>
      </w:r>
      <w:r w:rsidR="006A02DC">
        <w:rPr>
          <w:noProof/>
        </w:rPr>
        <w:t>15</w:t>
      </w:r>
      <w:r w:rsidRPr="00263158">
        <w:rPr>
          <w:noProof/>
        </w:rPr>
        <w:fldChar w:fldCharType="end"/>
      </w:r>
    </w:p>
    <w:p w14:paraId="5C6E812B" w14:textId="50F7D387" w:rsidR="007F0D40" w:rsidRPr="00263158" w:rsidRDefault="007F0D40">
      <w:pPr>
        <w:pStyle w:val="TOC2"/>
        <w:rPr>
          <w:rFonts w:asciiTheme="minorHAnsi" w:eastAsiaTheme="minorEastAsia" w:hAnsiTheme="minorHAnsi" w:cstheme="minorBidi"/>
          <w:b w:val="0"/>
          <w:noProof/>
          <w:kern w:val="0"/>
          <w:sz w:val="22"/>
          <w:szCs w:val="22"/>
        </w:rPr>
      </w:pPr>
      <w:r w:rsidRPr="00263158">
        <w:rPr>
          <w:noProof/>
        </w:rPr>
        <w:lastRenderedPageBreak/>
        <w:t>Part 4—Order of application</w:t>
      </w:r>
      <w:r w:rsidRPr="00263158">
        <w:rPr>
          <w:b w:val="0"/>
          <w:noProof/>
          <w:sz w:val="18"/>
        </w:rPr>
        <w:tab/>
      </w:r>
      <w:r w:rsidRPr="00263158">
        <w:rPr>
          <w:b w:val="0"/>
          <w:noProof/>
          <w:sz w:val="18"/>
        </w:rPr>
        <w:fldChar w:fldCharType="begin"/>
      </w:r>
      <w:r w:rsidRPr="00263158">
        <w:rPr>
          <w:b w:val="0"/>
          <w:noProof/>
          <w:sz w:val="18"/>
        </w:rPr>
        <w:instrText xml:space="preserve"> PAGEREF _Toc169168257 \h </w:instrText>
      </w:r>
      <w:r w:rsidRPr="00263158">
        <w:rPr>
          <w:b w:val="0"/>
          <w:noProof/>
          <w:sz w:val="18"/>
        </w:rPr>
      </w:r>
      <w:r w:rsidRPr="00263158">
        <w:rPr>
          <w:b w:val="0"/>
          <w:noProof/>
          <w:sz w:val="18"/>
        </w:rPr>
        <w:fldChar w:fldCharType="separate"/>
      </w:r>
      <w:r w:rsidR="006A02DC">
        <w:rPr>
          <w:b w:val="0"/>
          <w:noProof/>
          <w:sz w:val="18"/>
        </w:rPr>
        <w:t>16</w:t>
      </w:r>
      <w:r w:rsidRPr="00263158">
        <w:rPr>
          <w:b w:val="0"/>
          <w:noProof/>
          <w:sz w:val="18"/>
        </w:rPr>
        <w:fldChar w:fldCharType="end"/>
      </w:r>
    </w:p>
    <w:p w14:paraId="165E4263" w14:textId="588EBBDB" w:rsidR="007F0D40" w:rsidRPr="00263158" w:rsidRDefault="007F0D40">
      <w:pPr>
        <w:pStyle w:val="TOC5"/>
        <w:rPr>
          <w:rFonts w:asciiTheme="minorHAnsi" w:eastAsiaTheme="minorEastAsia" w:hAnsiTheme="minorHAnsi" w:cstheme="minorBidi"/>
          <w:noProof/>
          <w:kern w:val="0"/>
          <w:sz w:val="22"/>
          <w:szCs w:val="22"/>
        </w:rPr>
      </w:pPr>
      <w:r w:rsidRPr="00263158">
        <w:rPr>
          <w:noProof/>
        </w:rPr>
        <w:t>39</w:t>
      </w:r>
      <w:r w:rsidRPr="00263158">
        <w:rPr>
          <w:noProof/>
        </w:rPr>
        <w:tab/>
        <w:t>Order of application</w:t>
      </w:r>
      <w:r w:rsidRPr="00263158">
        <w:rPr>
          <w:noProof/>
        </w:rPr>
        <w:tab/>
      </w:r>
      <w:r w:rsidRPr="00263158">
        <w:rPr>
          <w:noProof/>
        </w:rPr>
        <w:fldChar w:fldCharType="begin"/>
      </w:r>
      <w:r w:rsidRPr="00263158">
        <w:rPr>
          <w:noProof/>
        </w:rPr>
        <w:instrText xml:space="preserve"> PAGEREF _Toc169168258 \h </w:instrText>
      </w:r>
      <w:r w:rsidRPr="00263158">
        <w:rPr>
          <w:noProof/>
        </w:rPr>
      </w:r>
      <w:r w:rsidRPr="00263158">
        <w:rPr>
          <w:noProof/>
        </w:rPr>
        <w:fldChar w:fldCharType="separate"/>
      </w:r>
      <w:r w:rsidR="006A02DC">
        <w:rPr>
          <w:noProof/>
        </w:rPr>
        <w:t>16</w:t>
      </w:r>
      <w:r w:rsidRPr="00263158">
        <w:rPr>
          <w:noProof/>
        </w:rPr>
        <w:fldChar w:fldCharType="end"/>
      </w:r>
    </w:p>
    <w:p w14:paraId="39259BCB" w14:textId="2F1E0DC3" w:rsidR="007F0D40" w:rsidRPr="00263158" w:rsidRDefault="007F0D40">
      <w:pPr>
        <w:pStyle w:val="TOC6"/>
        <w:rPr>
          <w:rFonts w:asciiTheme="minorHAnsi" w:eastAsiaTheme="minorEastAsia" w:hAnsiTheme="minorHAnsi" w:cstheme="minorBidi"/>
          <w:b w:val="0"/>
          <w:noProof/>
          <w:kern w:val="0"/>
          <w:sz w:val="22"/>
          <w:szCs w:val="22"/>
        </w:rPr>
      </w:pPr>
      <w:r w:rsidRPr="00263158">
        <w:rPr>
          <w:noProof/>
        </w:rPr>
        <w:t>Schedule 1—Repeals</w:t>
      </w:r>
      <w:r w:rsidRPr="00263158">
        <w:rPr>
          <w:b w:val="0"/>
          <w:noProof/>
          <w:sz w:val="18"/>
        </w:rPr>
        <w:tab/>
      </w:r>
      <w:r w:rsidRPr="00263158">
        <w:rPr>
          <w:b w:val="0"/>
          <w:noProof/>
          <w:sz w:val="18"/>
        </w:rPr>
        <w:fldChar w:fldCharType="begin"/>
      </w:r>
      <w:r w:rsidRPr="00263158">
        <w:rPr>
          <w:b w:val="0"/>
          <w:noProof/>
          <w:sz w:val="18"/>
        </w:rPr>
        <w:instrText xml:space="preserve"> PAGEREF _Toc169168259 \h </w:instrText>
      </w:r>
      <w:r w:rsidRPr="00263158">
        <w:rPr>
          <w:b w:val="0"/>
          <w:noProof/>
          <w:sz w:val="18"/>
        </w:rPr>
      </w:r>
      <w:r w:rsidRPr="00263158">
        <w:rPr>
          <w:b w:val="0"/>
          <w:noProof/>
          <w:sz w:val="18"/>
        </w:rPr>
        <w:fldChar w:fldCharType="separate"/>
      </w:r>
      <w:r w:rsidR="006A02DC">
        <w:rPr>
          <w:b w:val="0"/>
          <w:noProof/>
          <w:sz w:val="18"/>
        </w:rPr>
        <w:t>17</w:t>
      </w:r>
      <w:r w:rsidRPr="00263158">
        <w:rPr>
          <w:b w:val="0"/>
          <w:noProof/>
          <w:sz w:val="18"/>
        </w:rPr>
        <w:fldChar w:fldCharType="end"/>
      </w:r>
    </w:p>
    <w:p w14:paraId="72D68DB0" w14:textId="18722DB7" w:rsidR="007F0D40" w:rsidRPr="00263158" w:rsidRDefault="007F0D40">
      <w:pPr>
        <w:pStyle w:val="TOC9"/>
        <w:rPr>
          <w:rFonts w:asciiTheme="minorHAnsi" w:eastAsiaTheme="minorEastAsia" w:hAnsiTheme="minorHAnsi" w:cstheme="minorBidi"/>
          <w:i w:val="0"/>
          <w:noProof/>
          <w:kern w:val="0"/>
          <w:sz w:val="22"/>
          <w:szCs w:val="22"/>
        </w:rPr>
      </w:pPr>
      <w:r w:rsidRPr="00263158">
        <w:rPr>
          <w:noProof/>
        </w:rPr>
        <w:t>Consumer Product Safety Standard: Children’s Household Cots (Consumer Protection Notice No. 6 of 2005) (Federal Register of Legislation No. F2005L03885)</w:t>
      </w:r>
      <w:r w:rsidRPr="00263158">
        <w:rPr>
          <w:i w:val="0"/>
          <w:noProof/>
          <w:sz w:val="18"/>
        </w:rPr>
        <w:tab/>
      </w:r>
      <w:r w:rsidRPr="00263158">
        <w:rPr>
          <w:i w:val="0"/>
          <w:noProof/>
          <w:sz w:val="18"/>
        </w:rPr>
        <w:fldChar w:fldCharType="begin"/>
      </w:r>
      <w:r w:rsidRPr="00263158">
        <w:rPr>
          <w:i w:val="0"/>
          <w:noProof/>
          <w:sz w:val="18"/>
        </w:rPr>
        <w:instrText xml:space="preserve"> PAGEREF _Toc169168260 \h </w:instrText>
      </w:r>
      <w:r w:rsidRPr="00263158">
        <w:rPr>
          <w:i w:val="0"/>
          <w:noProof/>
          <w:sz w:val="18"/>
        </w:rPr>
      </w:r>
      <w:r w:rsidRPr="00263158">
        <w:rPr>
          <w:i w:val="0"/>
          <w:noProof/>
          <w:sz w:val="18"/>
        </w:rPr>
        <w:fldChar w:fldCharType="separate"/>
      </w:r>
      <w:r w:rsidR="006A02DC">
        <w:rPr>
          <w:i w:val="0"/>
          <w:noProof/>
          <w:sz w:val="18"/>
        </w:rPr>
        <w:t>17</w:t>
      </w:r>
      <w:r w:rsidRPr="00263158">
        <w:rPr>
          <w:i w:val="0"/>
          <w:noProof/>
          <w:sz w:val="18"/>
        </w:rPr>
        <w:fldChar w:fldCharType="end"/>
      </w:r>
    </w:p>
    <w:p w14:paraId="2C069C10" w14:textId="7E1D5696" w:rsidR="007F0D40" w:rsidRPr="00263158" w:rsidRDefault="007F0D40">
      <w:pPr>
        <w:pStyle w:val="TOC9"/>
        <w:rPr>
          <w:rFonts w:asciiTheme="minorHAnsi" w:eastAsiaTheme="minorEastAsia" w:hAnsiTheme="minorHAnsi" w:cstheme="minorBidi"/>
          <w:i w:val="0"/>
          <w:noProof/>
          <w:kern w:val="0"/>
          <w:sz w:val="22"/>
          <w:szCs w:val="22"/>
        </w:rPr>
      </w:pPr>
      <w:r w:rsidRPr="00263158">
        <w:rPr>
          <w:noProof/>
        </w:rPr>
        <w:t>Consumer Product Safety Standard for Children’s Portable Folding Cots (Consumer Protection Notice No. 4 of 2008) (Federal Register of Legislation No. F2008L00550)</w:t>
      </w:r>
      <w:r w:rsidRPr="00263158">
        <w:rPr>
          <w:i w:val="0"/>
          <w:noProof/>
          <w:sz w:val="18"/>
        </w:rPr>
        <w:tab/>
      </w:r>
      <w:r w:rsidRPr="00263158">
        <w:rPr>
          <w:i w:val="0"/>
          <w:noProof/>
          <w:sz w:val="18"/>
        </w:rPr>
        <w:fldChar w:fldCharType="begin"/>
      </w:r>
      <w:r w:rsidRPr="00263158">
        <w:rPr>
          <w:i w:val="0"/>
          <w:noProof/>
          <w:sz w:val="18"/>
        </w:rPr>
        <w:instrText xml:space="preserve"> PAGEREF _Toc169168261 \h </w:instrText>
      </w:r>
      <w:r w:rsidRPr="00263158">
        <w:rPr>
          <w:i w:val="0"/>
          <w:noProof/>
          <w:sz w:val="18"/>
        </w:rPr>
      </w:r>
      <w:r w:rsidRPr="00263158">
        <w:rPr>
          <w:i w:val="0"/>
          <w:noProof/>
          <w:sz w:val="18"/>
        </w:rPr>
        <w:fldChar w:fldCharType="separate"/>
      </w:r>
      <w:r w:rsidR="006A02DC">
        <w:rPr>
          <w:i w:val="0"/>
          <w:noProof/>
          <w:sz w:val="18"/>
        </w:rPr>
        <w:t>17</w:t>
      </w:r>
      <w:r w:rsidRPr="00263158">
        <w:rPr>
          <w:i w:val="0"/>
          <w:noProof/>
          <w:sz w:val="18"/>
        </w:rPr>
        <w:fldChar w:fldCharType="end"/>
      </w:r>
    </w:p>
    <w:p w14:paraId="149DE6DC" w14:textId="77777777" w:rsidR="00670EA1" w:rsidRPr="00263158" w:rsidRDefault="007F0D40" w:rsidP="00715914">
      <w:r w:rsidRPr="00263158">
        <w:fldChar w:fldCharType="end"/>
      </w:r>
    </w:p>
    <w:p w14:paraId="08AE3F9F" w14:textId="77777777" w:rsidR="00670EA1" w:rsidRPr="00263158" w:rsidRDefault="00670EA1" w:rsidP="00715914">
      <w:pPr>
        <w:sectPr w:rsidR="00670EA1" w:rsidRPr="00263158" w:rsidSect="00BA6941">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FCB64FF" w14:textId="77777777" w:rsidR="00715914" w:rsidRPr="00263158" w:rsidRDefault="00F372D5" w:rsidP="00715914">
      <w:pPr>
        <w:pStyle w:val="ActHead2"/>
      </w:pPr>
      <w:bookmarkStart w:id="0" w:name="_Toc169168210"/>
      <w:r w:rsidRPr="00A06914">
        <w:rPr>
          <w:rStyle w:val="CharPartNo"/>
        </w:rPr>
        <w:lastRenderedPageBreak/>
        <w:t>Part 1</w:t>
      </w:r>
      <w:r w:rsidR="00715914" w:rsidRPr="00263158">
        <w:t>—</w:t>
      </w:r>
      <w:r w:rsidR="00715914" w:rsidRPr="00A06914">
        <w:rPr>
          <w:rStyle w:val="CharPartText"/>
        </w:rPr>
        <w:t>Preliminary</w:t>
      </w:r>
      <w:bookmarkEnd w:id="0"/>
    </w:p>
    <w:p w14:paraId="58EE40E2" w14:textId="77777777" w:rsidR="00715914" w:rsidRPr="00A06914" w:rsidRDefault="00715914" w:rsidP="00715914">
      <w:pPr>
        <w:pStyle w:val="Header"/>
      </w:pPr>
      <w:r w:rsidRPr="00A06914">
        <w:rPr>
          <w:rStyle w:val="CharDivNo"/>
        </w:rPr>
        <w:t xml:space="preserve"> </w:t>
      </w:r>
      <w:r w:rsidRPr="00A06914">
        <w:rPr>
          <w:rStyle w:val="CharDivText"/>
        </w:rPr>
        <w:t xml:space="preserve"> </w:t>
      </w:r>
    </w:p>
    <w:p w14:paraId="473C0B6C" w14:textId="77777777" w:rsidR="00715914" w:rsidRPr="00263158" w:rsidRDefault="006F3925" w:rsidP="00715914">
      <w:pPr>
        <w:pStyle w:val="ActHead5"/>
      </w:pPr>
      <w:bookmarkStart w:id="1" w:name="_Toc169168211"/>
      <w:r w:rsidRPr="00A06914">
        <w:rPr>
          <w:rStyle w:val="CharSectno"/>
        </w:rPr>
        <w:t>1</w:t>
      </w:r>
      <w:r w:rsidR="00715914" w:rsidRPr="00263158">
        <w:t xml:space="preserve">  </w:t>
      </w:r>
      <w:r w:rsidR="00CE493D" w:rsidRPr="00263158">
        <w:t>Name</w:t>
      </w:r>
      <w:bookmarkEnd w:id="1"/>
    </w:p>
    <w:p w14:paraId="658F0899" w14:textId="77777777" w:rsidR="00715914" w:rsidRPr="00263158" w:rsidRDefault="00715914" w:rsidP="00715914">
      <w:pPr>
        <w:pStyle w:val="subsection"/>
      </w:pPr>
      <w:r w:rsidRPr="00263158">
        <w:tab/>
      </w:r>
      <w:r w:rsidRPr="00263158">
        <w:tab/>
      </w:r>
      <w:r w:rsidR="0028390E" w:rsidRPr="00263158">
        <w:t>This instrument is</w:t>
      </w:r>
      <w:r w:rsidR="00CE493D" w:rsidRPr="00263158">
        <w:t xml:space="preserve"> the </w:t>
      </w:r>
      <w:bookmarkStart w:id="2" w:name="_Hlk133503522"/>
      <w:r w:rsidR="007B00E0" w:rsidRPr="00263158">
        <w:rPr>
          <w:i/>
          <w:noProof/>
        </w:rPr>
        <w:t>Consumer Goods (Infant Sleep Products) Safety Standard 2024</w:t>
      </w:r>
      <w:r w:rsidR="00D83788" w:rsidRPr="00263158">
        <w:t>.</w:t>
      </w:r>
    </w:p>
    <w:p w14:paraId="3B49B1AB" w14:textId="77777777" w:rsidR="00715914" w:rsidRPr="00263158" w:rsidRDefault="006F3925" w:rsidP="00715914">
      <w:pPr>
        <w:pStyle w:val="ActHead5"/>
      </w:pPr>
      <w:bookmarkStart w:id="3" w:name="_Toc169168212"/>
      <w:bookmarkEnd w:id="2"/>
      <w:r w:rsidRPr="00A06914">
        <w:rPr>
          <w:rStyle w:val="CharSectno"/>
        </w:rPr>
        <w:t>2</w:t>
      </w:r>
      <w:r w:rsidR="00715914" w:rsidRPr="00263158">
        <w:t xml:space="preserve">  Commencement</w:t>
      </w:r>
      <w:bookmarkEnd w:id="3"/>
    </w:p>
    <w:p w14:paraId="1531D008" w14:textId="77777777" w:rsidR="00AE3652" w:rsidRPr="00263158" w:rsidRDefault="00807626" w:rsidP="00AE3652">
      <w:pPr>
        <w:pStyle w:val="subsection"/>
      </w:pPr>
      <w:r w:rsidRPr="00263158">
        <w:tab/>
      </w:r>
      <w:r w:rsidR="00AE3652" w:rsidRPr="00263158">
        <w:t>(1)</w:t>
      </w:r>
      <w:r w:rsidR="00AE3652" w:rsidRPr="00263158">
        <w:tab/>
        <w:t xml:space="preserve">Each provision of </w:t>
      </w:r>
      <w:r w:rsidR="0028390E" w:rsidRPr="00263158">
        <w:t>this instrument</w:t>
      </w:r>
      <w:r w:rsidR="00AE3652" w:rsidRPr="00263158">
        <w:t xml:space="preserve"> specified in column 1 of the table commences, or is taken to have commenced, in accordance with column 2 of the table. Any other statement in column 2 has effect according to its terms.</w:t>
      </w:r>
    </w:p>
    <w:p w14:paraId="33066D64" w14:textId="77777777" w:rsidR="00AE3652" w:rsidRPr="00263158"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263158" w14:paraId="376A36F1" w14:textId="77777777" w:rsidTr="00AE6F64">
        <w:trPr>
          <w:tblHeader/>
        </w:trPr>
        <w:tc>
          <w:tcPr>
            <w:tcW w:w="8364" w:type="dxa"/>
            <w:gridSpan w:val="3"/>
            <w:tcBorders>
              <w:top w:val="single" w:sz="12" w:space="0" w:color="auto"/>
              <w:bottom w:val="single" w:sz="6" w:space="0" w:color="auto"/>
            </w:tcBorders>
            <w:shd w:val="clear" w:color="auto" w:fill="auto"/>
            <w:hideMark/>
          </w:tcPr>
          <w:p w14:paraId="189F6ECC" w14:textId="77777777" w:rsidR="00AE3652" w:rsidRPr="00263158" w:rsidRDefault="00AE3652" w:rsidP="00970413">
            <w:pPr>
              <w:pStyle w:val="TableHeading"/>
            </w:pPr>
            <w:r w:rsidRPr="00263158">
              <w:t>Commencement information</w:t>
            </w:r>
          </w:p>
        </w:tc>
      </w:tr>
      <w:tr w:rsidR="00AE3652" w:rsidRPr="00263158" w14:paraId="4ED430D2" w14:textId="77777777" w:rsidTr="00AE6F64">
        <w:trPr>
          <w:tblHeader/>
        </w:trPr>
        <w:tc>
          <w:tcPr>
            <w:tcW w:w="2127" w:type="dxa"/>
            <w:tcBorders>
              <w:top w:val="single" w:sz="6" w:space="0" w:color="auto"/>
              <w:bottom w:val="single" w:sz="6" w:space="0" w:color="auto"/>
            </w:tcBorders>
            <w:shd w:val="clear" w:color="auto" w:fill="auto"/>
            <w:hideMark/>
          </w:tcPr>
          <w:p w14:paraId="00CA8330" w14:textId="77777777" w:rsidR="00AE3652" w:rsidRPr="00263158" w:rsidRDefault="00AE3652" w:rsidP="00970413">
            <w:pPr>
              <w:pStyle w:val="TableHeading"/>
            </w:pPr>
            <w:r w:rsidRPr="00263158">
              <w:t>Column 1</w:t>
            </w:r>
          </w:p>
        </w:tc>
        <w:tc>
          <w:tcPr>
            <w:tcW w:w="4394" w:type="dxa"/>
            <w:tcBorders>
              <w:top w:val="single" w:sz="6" w:space="0" w:color="auto"/>
              <w:bottom w:val="single" w:sz="6" w:space="0" w:color="auto"/>
            </w:tcBorders>
            <w:shd w:val="clear" w:color="auto" w:fill="auto"/>
            <w:hideMark/>
          </w:tcPr>
          <w:p w14:paraId="74176E6C" w14:textId="77777777" w:rsidR="00AE3652" w:rsidRPr="00263158" w:rsidRDefault="00AE3652" w:rsidP="00970413">
            <w:pPr>
              <w:pStyle w:val="TableHeading"/>
            </w:pPr>
            <w:r w:rsidRPr="00263158">
              <w:t>Column 2</w:t>
            </w:r>
          </w:p>
        </w:tc>
        <w:tc>
          <w:tcPr>
            <w:tcW w:w="1843" w:type="dxa"/>
            <w:tcBorders>
              <w:top w:val="single" w:sz="6" w:space="0" w:color="auto"/>
              <w:bottom w:val="single" w:sz="6" w:space="0" w:color="auto"/>
            </w:tcBorders>
            <w:shd w:val="clear" w:color="auto" w:fill="auto"/>
            <w:hideMark/>
          </w:tcPr>
          <w:p w14:paraId="41F428F6" w14:textId="77777777" w:rsidR="00AE3652" w:rsidRPr="00263158" w:rsidRDefault="00AE3652" w:rsidP="00970413">
            <w:pPr>
              <w:pStyle w:val="TableHeading"/>
            </w:pPr>
            <w:r w:rsidRPr="00263158">
              <w:t>Column 3</w:t>
            </w:r>
          </w:p>
        </w:tc>
      </w:tr>
      <w:tr w:rsidR="00AE3652" w:rsidRPr="00263158" w14:paraId="6188B51E" w14:textId="77777777" w:rsidTr="00AE6F64">
        <w:trPr>
          <w:tblHeader/>
        </w:trPr>
        <w:tc>
          <w:tcPr>
            <w:tcW w:w="2127" w:type="dxa"/>
            <w:tcBorders>
              <w:top w:val="single" w:sz="6" w:space="0" w:color="auto"/>
              <w:bottom w:val="single" w:sz="12" w:space="0" w:color="auto"/>
            </w:tcBorders>
            <w:shd w:val="clear" w:color="auto" w:fill="auto"/>
            <w:hideMark/>
          </w:tcPr>
          <w:p w14:paraId="3D61BEC2" w14:textId="77777777" w:rsidR="00AE3652" w:rsidRPr="00263158" w:rsidRDefault="00AE3652" w:rsidP="00970413">
            <w:pPr>
              <w:pStyle w:val="TableHeading"/>
            </w:pPr>
            <w:r w:rsidRPr="00263158">
              <w:t>Provisions</w:t>
            </w:r>
          </w:p>
        </w:tc>
        <w:tc>
          <w:tcPr>
            <w:tcW w:w="4394" w:type="dxa"/>
            <w:tcBorders>
              <w:top w:val="single" w:sz="6" w:space="0" w:color="auto"/>
              <w:bottom w:val="single" w:sz="12" w:space="0" w:color="auto"/>
            </w:tcBorders>
            <w:shd w:val="clear" w:color="auto" w:fill="auto"/>
            <w:hideMark/>
          </w:tcPr>
          <w:p w14:paraId="69DFE37A" w14:textId="77777777" w:rsidR="00AE3652" w:rsidRPr="00263158" w:rsidRDefault="00AE3652" w:rsidP="00970413">
            <w:pPr>
              <w:pStyle w:val="TableHeading"/>
            </w:pPr>
            <w:r w:rsidRPr="00263158">
              <w:t>Commencement</w:t>
            </w:r>
          </w:p>
        </w:tc>
        <w:tc>
          <w:tcPr>
            <w:tcW w:w="1843" w:type="dxa"/>
            <w:tcBorders>
              <w:top w:val="single" w:sz="6" w:space="0" w:color="auto"/>
              <w:bottom w:val="single" w:sz="12" w:space="0" w:color="auto"/>
            </w:tcBorders>
            <w:shd w:val="clear" w:color="auto" w:fill="auto"/>
            <w:hideMark/>
          </w:tcPr>
          <w:p w14:paraId="4D26B8B4" w14:textId="77777777" w:rsidR="00AE3652" w:rsidRPr="00263158" w:rsidRDefault="00AE3652" w:rsidP="00970413">
            <w:pPr>
              <w:pStyle w:val="TableHeading"/>
            </w:pPr>
            <w:r w:rsidRPr="00263158">
              <w:t>Date/Details</w:t>
            </w:r>
          </w:p>
        </w:tc>
      </w:tr>
      <w:tr w:rsidR="002117DA" w:rsidRPr="00263158" w14:paraId="359BE393" w14:textId="77777777" w:rsidTr="00AE6F64">
        <w:tc>
          <w:tcPr>
            <w:tcW w:w="2127" w:type="dxa"/>
            <w:tcBorders>
              <w:top w:val="single" w:sz="12" w:space="0" w:color="auto"/>
              <w:bottom w:val="single" w:sz="12" w:space="0" w:color="auto"/>
            </w:tcBorders>
            <w:shd w:val="clear" w:color="auto" w:fill="auto"/>
          </w:tcPr>
          <w:p w14:paraId="54993709" w14:textId="77777777" w:rsidR="002117DA" w:rsidRPr="00263158" w:rsidRDefault="002117DA" w:rsidP="00970413">
            <w:pPr>
              <w:pStyle w:val="Tabletext"/>
            </w:pPr>
            <w:r w:rsidRPr="00263158">
              <w:t xml:space="preserve">1.  </w:t>
            </w:r>
            <w:r w:rsidR="00AE6F64" w:rsidRPr="00263158">
              <w:t>The whole of this instrument</w:t>
            </w:r>
          </w:p>
        </w:tc>
        <w:tc>
          <w:tcPr>
            <w:tcW w:w="4394" w:type="dxa"/>
            <w:tcBorders>
              <w:top w:val="single" w:sz="12" w:space="0" w:color="auto"/>
              <w:bottom w:val="single" w:sz="12" w:space="0" w:color="auto"/>
            </w:tcBorders>
            <w:shd w:val="clear" w:color="auto" w:fill="auto"/>
          </w:tcPr>
          <w:p w14:paraId="14E126C5" w14:textId="77777777" w:rsidR="002117DA" w:rsidRPr="00263158" w:rsidRDefault="002117DA" w:rsidP="00970413">
            <w:pPr>
              <w:pStyle w:val="Tabletext"/>
            </w:pPr>
            <w:r w:rsidRPr="00263158">
              <w:t>The day after this instrument is registered.</w:t>
            </w:r>
          </w:p>
        </w:tc>
        <w:tc>
          <w:tcPr>
            <w:tcW w:w="1843" w:type="dxa"/>
            <w:tcBorders>
              <w:top w:val="single" w:sz="12" w:space="0" w:color="auto"/>
              <w:bottom w:val="single" w:sz="12" w:space="0" w:color="auto"/>
            </w:tcBorders>
            <w:shd w:val="clear" w:color="auto" w:fill="auto"/>
          </w:tcPr>
          <w:p w14:paraId="1C990685" w14:textId="0116233E" w:rsidR="002117DA" w:rsidRPr="00263158" w:rsidRDefault="000019FA" w:rsidP="00970413">
            <w:pPr>
              <w:pStyle w:val="Tabletext"/>
            </w:pPr>
            <w:r>
              <w:t>19 July 2024</w:t>
            </w:r>
            <w:bookmarkStart w:id="4" w:name="_GoBack"/>
            <w:bookmarkEnd w:id="4"/>
          </w:p>
        </w:tc>
      </w:tr>
    </w:tbl>
    <w:p w14:paraId="38764E47" w14:textId="77777777" w:rsidR="00AE3652" w:rsidRPr="00263158" w:rsidRDefault="00AE3652" w:rsidP="00AE3652">
      <w:pPr>
        <w:pStyle w:val="notetext"/>
      </w:pPr>
      <w:r w:rsidRPr="00263158">
        <w:rPr>
          <w:snapToGrid w:val="0"/>
          <w:lang w:eastAsia="en-US"/>
        </w:rPr>
        <w:t>Note:</w:t>
      </w:r>
      <w:r w:rsidRPr="00263158">
        <w:rPr>
          <w:snapToGrid w:val="0"/>
          <w:lang w:eastAsia="en-US"/>
        </w:rPr>
        <w:tab/>
        <w:t xml:space="preserve">This table relates only to the provisions of </w:t>
      </w:r>
      <w:r w:rsidR="0028390E" w:rsidRPr="00263158">
        <w:rPr>
          <w:snapToGrid w:val="0"/>
          <w:lang w:eastAsia="en-US"/>
        </w:rPr>
        <w:t>this instrument</w:t>
      </w:r>
      <w:r w:rsidRPr="00263158">
        <w:t xml:space="preserve"> </w:t>
      </w:r>
      <w:r w:rsidRPr="00263158">
        <w:rPr>
          <w:snapToGrid w:val="0"/>
          <w:lang w:eastAsia="en-US"/>
        </w:rPr>
        <w:t xml:space="preserve">as originally made. It will not be amended to deal with any later amendments of </w:t>
      </w:r>
      <w:r w:rsidR="0028390E" w:rsidRPr="00263158">
        <w:rPr>
          <w:snapToGrid w:val="0"/>
          <w:lang w:eastAsia="en-US"/>
        </w:rPr>
        <w:t>this instrument</w:t>
      </w:r>
      <w:r w:rsidRPr="00263158">
        <w:rPr>
          <w:snapToGrid w:val="0"/>
          <w:lang w:eastAsia="en-US"/>
        </w:rPr>
        <w:t>.</w:t>
      </w:r>
    </w:p>
    <w:p w14:paraId="2DA5C566" w14:textId="77777777" w:rsidR="00807626" w:rsidRPr="00263158" w:rsidRDefault="00AE3652" w:rsidP="00AE3652">
      <w:pPr>
        <w:pStyle w:val="subsection"/>
      </w:pPr>
      <w:r w:rsidRPr="00263158">
        <w:tab/>
        <w:t>(2)</w:t>
      </w:r>
      <w:r w:rsidRPr="00263158">
        <w:tab/>
        <w:t xml:space="preserve">Any information in column 3 of the table is not part of </w:t>
      </w:r>
      <w:r w:rsidR="0028390E" w:rsidRPr="00263158">
        <w:t>this instrument</w:t>
      </w:r>
      <w:r w:rsidRPr="00263158">
        <w:t xml:space="preserve">. Information may be inserted in this column, or information in it may be edited, in any published version of </w:t>
      </w:r>
      <w:r w:rsidR="0028390E" w:rsidRPr="00263158">
        <w:t>this instrument</w:t>
      </w:r>
      <w:r w:rsidRPr="00263158">
        <w:t>.</w:t>
      </w:r>
    </w:p>
    <w:p w14:paraId="4B929818" w14:textId="77777777" w:rsidR="007500C8" w:rsidRPr="00263158" w:rsidRDefault="006F3925" w:rsidP="007500C8">
      <w:pPr>
        <w:pStyle w:val="ActHead5"/>
      </w:pPr>
      <w:bookmarkStart w:id="5" w:name="_Toc169168213"/>
      <w:r w:rsidRPr="00A06914">
        <w:rPr>
          <w:rStyle w:val="CharSectno"/>
        </w:rPr>
        <w:t>3</w:t>
      </w:r>
      <w:r w:rsidR="007500C8" w:rsidRPr="00263158">
        <w:t xml:space="preserve">  Authority</w:t>
      </w:r>
      <w:bookmarkEnd w:id="5"/>
    </w:p>
    <w:p w14:paraId="51E1B9D8" w14:textId="77777777" w:rsidR="0047157B" w:rsidRPr="00263158" w:rsidRDefault="007500C8" w:rsidP="0047157B">
      <w:pPr>
        <w:pStyle w:val="subsection"/>
      </w:pPr>
      <w:r w:rsidRPr="00263158">
        <w:tab/>
      </w:r>
      <w:r w:rsidRPr="00263158">
        <w:tab/>
      </w:r>
      <w:r w:rsidR="0028390E" w:rsidRPr="00263158">
        <w:t>This instrument is</w:t>
      </w:r>
      <w:r w:rsidRPr="00263158">
        <w:t xml:space="preserve"> made </w:t>
      </w:r>
      <w:r w:rsidR="00947307" w:rsidRPr="00263158">
        <w:t xml:space="preserve">under </w:t>
      </w:r>
      <w:r w:rsidR="00100A47" w:rsidRPr="00263158">
        <w:t>sub</w:t>
      </w:r>
      <w:r w:rsidR="007B00E0" w:rsidRPr="00263158">
        <w:t>section 1</w:t>
      </w:r>
      <w:r w:rsidR="0047157B" w:rsidRPr="00263158">
        <w:t>04(1) of the Australian Consumer Law.</w:t>
      </w:r>
    </w:p>
    <w:p w14:paraId="5BA3673D" w14:textId="77777777" w:rsidR="00157B8B" w:rsidRPr="00263158" w:rsidRDefault="0047157B" w:rsidP="0047157B">
      <w:pPr>
        <w:pStyle w:val="notetext"/>
      </w:pPr>
      <w:r w:rsidRPr="00263158">
        <w:t>Note:</w:t>
      </w:r>
      <w:r w:rsidRPr="00263158">
        <w:tab/>
        <w:t xml:space="preserve">The reference to the Australian Consumer Law is a reference to </w:t>
      </w:r>
      <w:r w:rsidR="00320785" w:rsidRPr="00263158">
        <w:t>Schedule 2</w:t>
      </w:r>
      <w:r w:rsidRPr="00263158">
        <w:t xml:space="preserve"> to the </w:t>
      </w:r>
      <w:r w:rsidRPr="00263158">
        <w:rPr>
          <w:i/>
        </w:rPr>
        <w:t>Competition and Consumer Act 2010</w:t>
      </w:r>
      <w:r w:rsidRPr="00263158">
        <w:t xml:space="preserve"> as it applies as a law of the Commonwealth, States and Territories: see </w:t>
      </w:r>
      <w:r w:rsidR="007B00E0" w:rsidRPr="00263158">
        <w:t>section 1</w:t>
      </w:r>
      <w:r w:rsidRPr="00263158">
        <w:t>40K of that Act and corresponding provisions of Acts of States and Territories applying that Schedule.</w:t>
      </w:r>
    </w:p>
    <w:p w14:paraId="26BC6BD9" w14:textId="77777777" w:rsidR="00B212E5" w:rsidRPr="00263158" w:rsidRDefault="006F3925" w:rsidP="00B212E5">
      <w:pPr>
        <w:pStyle w:val="ActHead5"/>
      </w:pPr>
      <w:bookmarkStart w:id="6" w:name="_Toc169168214"/>
      <w:r w:rsidRPr="00A06914">
        <w:rPr>
          <w:rStyle w:val="CharSectno"/>
        </w:rPr>
        <w:t>4</w:t>
      </w:r>
      <w:r w:rsidR="00B212E5" w:rsidRPr="00263158">
        <w:t xml:space="preserve">  Schedules</w:t>
      </w:r>
      <w:bookmarkEnd w:id="6"/>
    </w:p>
    <w:p w14:paraId="258231C2" w14:textId="77777777" w:rsidR="00B212E5" w:rsidRPr="00263158" w:rsidRDefault="00B212E5" w:rsidP="00A374C1">
      <w:pPr>
        <w:pStyle w:val="subsection"/>
      </w:pPr>
      <w:r w:rsidRPr="00263158">
        <w:tab/>
      </w:r>
      <w:r w:rsidRPr="00263158">
        <w:tab/>
        <w:t>Each instrument that is specified in a Schedule to this instrument is amended or repealed as set out in the applicable items in the Schedule concerned, and any other item in a Schedule to this instrument has effect according to its terms.</w:t>
      </w:r>
    </w:p>
    <w:p w14:paraId="0EBBB5B9" w14:textId="77777777" w:rsidR="00E201EE" w:rsidRPr="00263158" w:rsidRDefault="006F3925" w:rsidP="00E201EE">
      <w:pPr>
        <w:pStyle w:val="ActHead5"/>
      </w:pPr>
      <w:bookmarkStart w:id="7" w:name="_Toc169168215"/>
      <w:r w:rsidRPr="00A06914">
        <w:rPr>
          <w:rStyle w:val="CharSectno"/>
        </w:rPr>
        <w:t>5</w:t>
      </w:r>
      <w:r w:rsidR="00E201EE" w:rsidRPr="00263158">
        <w:t xml:space="preserve">  Application</w:t>
      </w:r>
      <w:bookmarkEnd w:id="7"/>
    </w:p>
    <w:p w14:paraId="5237304E" w14:textId="77777777" w:rsidR="00A869BA" w:rsidRPr="00263158" w:rsidRDefault="00A869BA" w:rsidP="00A869BA">
      <w:pPr>
        <w:pStyle w:val="SubsectionHead"/>
      </w:pPr>
      <w:r w:rsidRPr="00263158">
        <w:t>General rule</w:t>
      </w:r>
    </w:p>
    <w:p w14:paraId="2A44FFB9" w14:textId="77777777" w:rsidR="00E201EE" w:rsidRPr="00263158" w:rsidRDefault="00E201EE" w:rsidP="00E201EE">
      <w:pPr>
        <w:pStyle w:val="subsection"/>
      </w:pPr>
      <w:r w:rsidRPr="00263158">
        <w:tab/>
        <w:t>(1)</w:t>
      </w:r>
      <w:r w:rsidRPr="00263158">
        <w:tab/>
        <w:t>This instrument applies to infant sleep products.</w:t>
      </w:r>
    </w:p>
    <w:p w14:paraId="34131873" w14:textId="77777777" w:rsidR="00A869BA" w:rsidRPr="00263158" w:rsidRDefault="00A869BA" w:rsidP="00A869BA">
      <w:pPr>
        <w:pStyle w:val="SubsectionHead"/>
      </w:pPr>
      <w:r w:rsidRPr="00263158">
        <w:t>Exceptions</w:t>
      </w:r>
    </w:p>
    <w:p w14:paraId="5B9DCF1D" w14:textId="77777777" w:rsidR="00E201EE" w:rsidRPr="00263158" w:rsidRDefault="00E201EE" w:rsidP="00E201EE">
      <w:pPr>
        <w:pStyle w:val="subsection"/>
      </w:pPr>
      <w:r w:rsidRPr="00263158">
        <w:tab/>
        <w:t>(2)</w:t>
      </w:r>
      <w:r w:rsidRPr="00263158">
        <w:tab/>
      </w:r>
      <w:r w:rsidR="002D5C86" w:rsidRPr="00263158">
        <w:t xml:space="preserve">Despite </w:t>
      </w:r>
      <w:r w:rsidR="002B4500" w:rsidRPr="00263158">
        <w:t>subsection (</w:t>
      </w:r>
      <w:r w:rsidR="002D5C86" w:rsidRPr="00263158">
        <w:t>1), t</w:t>
      </w:r>
      <w:r w:rsidRPr="00263158">
        <w:t>his instrument does not apply</w:t>
      </w:r>
      <w:r w:rsidR="00F979B9" w:rsidRPr="00263158">
        <w:t xml:space="preserve"> to</w:t>
      </w:r>
      <w:r w:rsidR="001B4676" w:rsidRPr="00263158">
        <w:t xml:space="preserve"> the following</w:t>
      </w:r>
      <w:r w:rsidRPr="00263158">
        <w:t>:</w:t>
      </w:r>
    </w:p>
    <w:p w14:paraId="501F757C" w14:textId="77777777" w:rsidR="00E201EE" w:rsidRPr="00263158" w:rsidRDefault="00F979B9" w:rsidP="00490996">
      <w:pPr>
        <w:pStyle w:val="paragraph"/>
      </w:pPr>
      <w:r w:rsidRPr="00263158">
        <w:lastRenderedPageBreak/>
        <w:tab/>
        <w:t>(</w:t>
      </w:r>
      <w:r w:rsidR="00490996" w:rsidRPr="00263158">
        <w:t>a</w:t>
      </w:r>
      <w:r w:rsidRPr="00263158">
        <w:t>)</w:t>
      </w:r>
      <w:r w:rsidRPr="00263158">
        <w:tab/>
      </w:r>
      <w:r w:rsidR="00E201EE" w:rsidRPr="00263158">
        <w:t>an accessory that attaches to, or is used with, an infant sleep product;</w:t>
      </w:r>
    </w:p>
    <w:p w14:paraId="61EAE9BD" w14:textId="77777777" w:rsidR="00E201EE" w:rsidRPr="00263158" w:rsidRDefault="00E201EE" w:rsidP="00E201EE">
      <w:pPr>
        <w:pStyle w:val="paragraph"/>
      </w:pPr>
      <w:r w:rsidRPr="00263158">
        <w:tab/>
        <w:t>(</w:t>
      </w:r>
      <w:r w:rsidR="00490996" w:rsidRPr="00263158">
        <w:t>b</w:t>
      </w:r>
      <w:r w:rsidRPr="00263158">
        <w:t>)</w:t>
      </w:r>
      <w:r w:rsidRPr="00263158">
        <w:tab/>
      </w:r>
      <w:bookmarkStart w:id="8" w:name="_Hlk139450238"/>
      <w:r w:rsidRPr="00263158">
        <w:t xml:space="preserve">a product that </w:t>
      </w:r>
      <w:r w:rsidR="00C002BF" w:rsidRPr="00263158">
        <w:t>is regulated by</w:t>
      </w:r>
      <w:r w:rsidR="00D53EDB" w:rsidRPr="00263158">
        <w:t xml:space="preserve"> any</w:t>
      </w:r>
      <w:r w:rsidR="00660BD5" w:rsidRPr="00263158">
        <w:t xml:space="preserve"> </w:t>
      </w:r>
      <w:r w:rsidRPr="00263158">
        <w:t xml:space="preserve">other </w:t>
      </w:r>
      <w:bookmarkEnd w:id="8"/>
      <w:r w:rsidRPr="00263158">
        <w:t>safety standard</w:t>
      </w:r>
      <w:r w:rsidR="00660BD5" w:rsidRPr="00263158">
        <w:t xml:space="preserve"> </w:t>
      </w:r>
      <w:bookmarkStart w:id="9" w:name="_Hlk139450255"/>
      <w:r w:rsidR="00D53EDB" w:rsidRPr="00263158">
        <w:t>that is in force for products of that kind</w:t>
      </w:r>
      <w:r w:rsidRPr="00263158">
        <w:t>;</w:t>
      </w:r>
    </w:p>
    <w:bookmarkEnd w:id="9"/>
    <w:p w14:paraId="0C15F3BF" w14:textId="77777777" w:rsidR="00FB02D2" w:rsidRPr="00263158" w:rsidRDefault="00FB02D2" w:rsidP="00FB02D2">
      <w:pPr>
        <w:pStyle w:val="paragraph"/>
      </w:pPr>
      <w:r w:rsidRPr="00263158">
        <w:tab/>
        <w:t>(c)</w:t>
      </w:r>
      <w:r w:rsidRPr="00263158">
        <w:tab/>
        <w:t xml:space="preserve">a product that is regulated by an </w:t>
      </w:r>
      <w:bookmarkStart w:id="10" w:name="_Hlk139450245"/>
      <w:r w:rsidRPr="00263158">
        <w:t>information standard</w:t>
      </w:r>
      <w:bookmarkEnd w:id="10"/>
      <w:r w:rsidRPr="00263158">
        <w:t xml:space="preserve"> (other than the </w:t>
      </w:r>
      <w:r w:rsidRPr="00263158">
        <w:rPr>
          <w:i/>
        </w:rPr>
        <w:t>Consumer Goods (Infant Products) Information Standard 202</w:t>
      </w:r>
      <w:r w:rsidR="00D83788" w:rsidRPr="00263158">
        <w:rPr>
          <w:i/>
        </w:rPr>
        <w:t>4</w:t>
      </w:r>
      <w:r w:rsidRPr="00263158">
        <w:t>) that is in force for products of that kind;</w:t>
      </w:r>
    </w:p>
    <w:p w14:paraId="41349212" w14:textId="77777777" w:rsidR="00E201EE" w:rsidRPr="00263158" w:rsidRDefault="00E201EE" w:rsidP="00187458">
      <w:pPr>
        <w:pStyle w:val="paragraph"/>
      </w:pPr>
      <w:r w:rsidRPr="00263158">
        <w:tab/>
        <w:t>(</w:t>
      </w:r>
      <w:r w:rsidR="00FB02D2" w:rsidRPr="00263158">
        <w:t>d</w:t>
      </w:r>
      <w:r w:rsidRPr="00263158">
        <w:t>)</w:t>
      </w:r>
      <w:r w:rsidRPr="00263158">
        <w:tab/>
        <w:t>a product</w:t>
      </w:r>
      <w:r w:rsidR="00187458" w:rsidRPr="00263158">
        <w:t xml:space="preserve"> </w:t>
      </w:r>
      <w:r w:rsidR="00C002BF" w:rsidRPr="00263158">
        <w:t>that is not supplied, or offered for supply, as an infant sleep product and does not purport that it is suitable for infant sleep, even if an infant may fall asleep when using the product</w:t>
      </w:r>
      <w:r w:rsidR="00C71FF3" w:rsidRPr="00263158">
        <w:t xml:space="preserve"> (other than</w:t>
      </w:r>
      <w:r w:rsidR="00FB78FF" w:rsidRPr="00263158">
        <w:t xml:space="preserve"> a product that is</w:t>
      </w:r>
      <w:r w:rsidR="00C71FF3" w:rsidRPr="00263158">
        <w:t xml:space="preserve"> an antique or collectable cot)</w:t>
      </w:r>
      <w:r w:rsidR="00187458" w:rsidRPr="00263158">
        <w:t>;</w:t>
      </w:r>
    </w:p>
    <w:p w14:paraId="18D49269" w14:textId="77777777" w:rsidR="00E201EE" w:rsidRPr="00263158" w:rsidRDefault="00E201EE" w:rsidP="00E201EE">
      <w:pPr>
        <w:pStyle w:val="paragraph"/>
      </w:pPr>
      <w:r w:rsidRPr="00263158">
        <w:tab/>
        <w:t>(</w:t>
      </w:r>
      <w:r w:rsidR="00FB02D2" w:rsidRPr="00263158">
        <w:t>e</w:t>
      </w:r>
      <w:r w:rsidRPr="00263158">
        <w:t>)</w:t>
      </w:r>
      <w:r w:rsidRPr="00263158">
        <w:tab/>
      </w:r>
      <w:bookmarkStart w:id="11" w:name="_Hlk141090150"/>
      <w:r w:rsidRPr="00263158">
        <w:t xml:space="preserve">a medical device </w:t>
      </w:r>
      <w:r w:rsidR="001B3E07" w:rsidRPr="00263158">
        <w:t>(</w:t>
      </w:r>
      <w:r w:rsidR="00622BD8" w:rsidRPr="00263158">
        <w:t>within the meaning of the</w:t>
      </w:r>
      <w:r w:rsidR="00645731" w:rsidRPr="00263158">
        <w:t xml:space="preserve"> </w:t>
      </w:r>
      <w:r w:rsidR="00645731" w:rsidRPr="00263158">
        <w:rPr>
          <w:i/>
        </w:rPr>
        <w:t>Therapeutic Goods Act 1989</w:t>
      </w:r>
      <w:bookmarkEnd w:id="11"/>
      <w:r w:rsidR="001B3E07" w:rsidRPr="00263158">
        <w:t>)</w:t>
      </w:r>
      <w:r w:rsidRPr="00263158">
        <w:t>;</w:t>
      </w:r>
    </w:p>
    <w:p w14:paraId="2E017FC4" w14:textId="77777777" w:rsidR="00E201EE" w:rsidRPr="00263158" w:rsidRDefault="00E201EE" w:rsidP="00B069EE">
      <w:pPr>
        <w:pStyle w:val="paragraph"/>
      </w:pPr>
      <w:r w:rsidRPr="00263158">
        <w:tab/>
        <w:t>(</w:t>
      </w:r>
      <w:r w:rsidR="00FB02D2" w:rsidRPr="00263158">
        <w:t>f</w:t>
      </w:r>
      <w:r w:rsidRPr="00263158">
        <w:t>)</w:t>
      </w:r>
      <w:r w:rsidRPr="00263158">
        <w:tab/>
        <w:t>a product designed to carry an infant on the body of another person</w:t>
      </w:r>
      <w:bookmarkStart w:id="12" w:name="_Hlk138864099"/>
      <w:r w:rsidR="00534DE3" w:rsidRPr="00263158">
        <w:t>.</w:t>
      </w:r>
    </w:p>
    <w:p w14:paraId="0A8F4FD5" w14:textId="77777777" w:rsidR="00534DE3" w:rsidRPr="00263158" w:rsidRDefault="00534DE3" w:rsidP="00534DE3">
      <w:pPr>
        <w:pStyle w:val="SubsectionHead"/>
      </w:pPr>
      <w:r w:rsidRPr="00263158">
        <w:t>Second</w:t>
      </w:r>
      <w:r w:rsidR="00263158">
        <w:noBreakHyphen/>
      </w:r>
      <w:r w:rsidRPr="00263158">
        <w:t>hand goods</w:t>
      </w:r>
    </w:p>
    <w:p w14:paraId="36F658C0" w14:textId="77777777" w:rsidR="00676DEB" w:rsidRPr="00263158" w:rsidRDefault="00692F87" w:rsidP="00692F87">
      <w:pPr>
        <w:pStyle w:val="subsection"/>
      </w:pPr>
      <w:r w:rsidRPr="00263158">
        <w:tab/>
        <w:t>(3)</w:t>
      </w:r>
      <w:r w:rsidRPr="00263158">
        <w:tab/>
      </w:r>
      <w:r w:rsidR="00907BF4" w:rsidRPr="00263158">
        <w:t xml:space="preserve">Despite </w:t>
      </w:r>
      <w:r w:rsidR="002B4500" w:rsidRPr="00263158">
        <w:t>subsection (</w:t>
      </w:r>
      <w:r w:rsidR="00907BF4" w:rsidRPr="00263158">
        <w:t>1)</w:t>
      </w:r>
      <w:r w:rsidR="00271C9B" w:rsidRPr="00263158">
        <w:t xml:space="preserve"> and</w:t>
      </w:r>
      <w:r w:rsidR="00907BF4" w:rsidRPr="00263158">
        <w:t xml:space="preserve"> s</w:t>
      </w:r>
      <w:r w:rsidR="00DC58CF" w:rsidRPr="00263158">
        <w:t>ubject to subsections (4) and (5)</w:t>
      </w:r>
      <w:r w:rsidR="00271C9B" w:rsidRPr="00263158">
        <w:t>,</w:t>
      </w:r>
      <w:r w:rsidR="00DC58CF" w:rsidRPr="00263158">
        <w:t xml:space="preserve"> t</w:t>
      </w:r>
      <w:r w:rsidRPr="00263158">
        <w:t>his instrument does not apply to second</w:t>
      </w:r>
      <w:r w:rsidR="00263158">
        <w:noBreakHyphen/>
      </w:r>
      <w:r w:rsidR="00534DE3" w:rsidRPr="00263158">
        <w:t>hand goods</w:t>
      </w:r>
      <w:r w:rsidR="00DC58CF" w:rsidRPr="00263158">
        <w:t>.</w:t>
      </w:r>
    </w:p>
    <w:p w14:paraId="23B78456" w14:textId="77777777" w:rsidR="00534DE3" w:rsidRPr="00263158" w:rsidRDefault="00534DE3" w:rsidP="00534DE3">
      <w:pPr>
        <w:pStyle w:val="subsection"/>
        <w:rPr>
          <w:color w:val="000000"/>
          <w:szCs w:val="22"/>
        </w:rPr>
      </w:pPr>
      <w:r w:rsidRPr="00263158">
        <w:tab/>
        <w:t>(</w:t>
      </w:r>
      <w:r w:rsidR="00994849" w:rsidRPr="00263158">
        <w:t>4</w:t>
      </w:r>
      <w:r w:rsidRPr="00263158">
        <w:t>)</w:t>
      </w:r>
      <w:r w:rsidRPr="00263158">
        <w:tab/>
      </w:r>
      <w:r w:rsidR="00994849" w:rsidRPr="00263158">
        <w:rPr>
          <w:color w:val="000000"/>
          <w:szCs w:val="22"/>
        </w:rPr>
        <w:t>This instrument applies in relation to a second</w:t>
      </w:r>
      <w:r w:rsidR="00263158">
        <w:rPr>
          <w:color w:val="000000"/>
          <w:szCs w:val="22"/>
        </w:rPr>
        <w:noBreakHyphen/>
      </w:r>
      <w:r w:rsidR="00994849" w:rsidRPr="00263158">
        <w:rPr>
          <w:color w:val="000000"/>
          <w:szCs w:val="22"/>
        </w:rPr>
        <w:t>hand</w:t>
      </w:r>
      <w:r w:rsidR="00AB585A" w:rsidRPr="00263158">
        <w:rPr>
          <w:color w:val="000000"/>
          <w:szCs w:val="22"/>
        </w:rPr>
        <w:t xml:space="preserve"> </w:t>
      </w:r>
      <w:r w:rsidR="004A1C1F" w:rsidRPr="00263158">
        <w:rPr>
          <w:color w:val="000000"/>
          <w:szCs w:val="22"/>
        </w:rPr>
        <w:t xml:space="preserve">good </w:t>
      </w:r>
      <w:r w:rsidR="00AB585A" w:rsidRPr="00263158">
        <w:rPr>
          <w:color w:val="000000"/>
          <w:szCs w:val="22"/>
        </w:rPr>
        <w:t xml:space="preserve">that is an </w:t>
      </w:r>
      <w:r w:rsidR="00AB585A" w:rsidRPr="00263158">
        <w:t>infant sleep product</w:t>
      </w:r>
      <w:r w:rsidR="00994849" w:rsidRPr="00263158">
        <w:rPr>
          <w:color w:val="000000"/>
          <w:szCs w:val="22"/>
        </w:rPr>
        <w:t xml:space="preserve"> if:</w:t>
      </w:r>
    </w:p>
    <w:p w14:paraId="525C8EC3" w14:textId="77777777" w:rsidR="00994849" w:rsidRPr="00263158" w:rsidRDefault="00994849" w:rsidP="00994849">
      <w:pPr>
        <w:pStyle w:val="paragraph"/>
        <w:rPr>
          <w:color w:val="000000"/>
          <w:szCs w:val="22"/>
        </w:rPr>
      </w:pPr>
      <w:r w:rsidRPr="00263158">
        <w:tab/>
        <w:t>(a)</w:t>
      </w:r>
      <w:r w:rsidRPr="00263158">
        <w:tab/>
        <w:t>i</w:t>
      </w:r>
      <w:r w:rsidRPr="00263158">
        <w:rPr>
          <w:color w:val="000000"/>
          <w:szCs w:val="22"/>
        </w:rPr>
        <w:t>t has been imported into Australia; and</w:t>
      </w:r>
    </w:p>
    <w:p w14:paraId="43DDBF88" w14:textId="77777777" w:rsidR="00994849" w:rsidRPr="00263158" w:rsidRDefault="00994849" w:rsidP="00994849">
      <w:pPr>
        <w:pStyle w:val="paragraph"/>
        <w:rPr>
          <w:color w:val="000000"/>
          <w:szCs w:val="22"/>
        </w:rPr>
      </w:pPr>
      <w:r w:rsidRPr="00263158">
        <w:rPr>
          <w:color w:val="000000"/>
          <w:szCs w:val="22"/>
        </w:rPr>
        <w:tab/>
        <w:t>(b)</w:t>
      </w:r>
      <w:r w:rsidRPr="00263158">
        <w:rPr>
          <w:color w:val="000000"/>
          <w:szCs w:val="22"/>
        </w:rPr>
        <w:tab/>
        <w:t>when it was imported, it was second</w:t>
      </w:r>
      <w:r w:rsidR="00263158">
        <w:rPr>
          <w:color w:val="000000"/>
          <w:szCs w:val="22"/>
        </w:rPr>
        <w:noBreakHyphen/>
      </w:r>
      <w:r w:rsidRPr="00263158">
        <w:rPr>
          <w:color w:val="000000"/>
          <w:szCs w:val="22"/>
        </w:rPr>
        <w:t>hand.</w:t>
      </w:r>
    </w:p>
    <w:p w14:paraId="2D09A571" w14:textId="77777777" w:rsidR="00A84630" w:rsidRPr="00263158" w:rsidRDefault="00A84630" w:rsidP="00A84630">
      <w:pPr>
        <w:pStyle w:val="subsection"/>
      </w:pPr>
      <w:r w:rsidRPr="00263158">
        <w:tab/>
        <w:t>(5)</w:t>
      </w:r>
      <w:r w:rsidRPr="00263158">
        <w:tab/>
      </w:r>
      <w:r w:rsidRPr="00263158">
        <w:rPr>
          <w:color w:val="000000"/>
          <w:szCs w:val="22"/>
        </w:rPr>
        <w:t>This instrument applies in relation to a</w:t>
      </w:r>
      <w:r w:rsidR="007F652B" w:rsidRPr="00263158">
        <w:rPr>
          <w:color w:val="000000"/>
          <w:szCs w:val="22"/>
        </w:rPr>
        <w:t xml:space="preserve"> </w:t>
      </w:r>
      <w:r w:rsidRPr="00263158">
        <w:rPr>
          <w:color w:val="000000"/>
          <w:szCs w:val="22"/>
        </w:rPr>
        <w:t>second</w:t>
      </w:r>
      <w:r w:rsidR="00263158">
        <w:rPr>
          <w:color w:val="000000"/>
          <w:szCs w:val="22"/>
        </w:rPr>
        <w:noBreakHyphen/>
      </w:r>
      <w:r w:rsidRPr="00263158">
        <w:rPr>
          <w:color w:val="000000"/>
          <w:szCs w:val="22"/>
        </w:rPr>
        <w:t>hand good that is</w:t>
      </w:r>
      <w:r w:rsidR="00FC54C7" w:rsidRPr="00263158">
        <w:rPr>
          <w:color w:val="000000"/>
          <w:szCs w:val="22"/>
        </w:rPr>
        <w:t xml:space="preserve"> an infant slee</w:t>
      </w:r>
      <w:r w:rsidR="007232D3" w:rsidRPr="00263158">
        <w:rPr>
          <w:color w:val="000000"/>
          <w:szCs w:val="22"/>
        </w:rPr>
        <w:t>p</w:t>
      </w:r>
      <w:r w:rsidR="00FC54C7" w:rsidRPr="00263158">
        <w:rPr>
          <w:color w:val="000000"/>
          <w:szCs w:val="22"/>
        </w:rPr>
        <w:t xml:space="preserve"> product </w:t>
      </w:r>
      <w:r w:rsidR="001C5C3C" w:rsidRPr="00263158">
        <w:rPr>
          <w:color w:val="000000"/>
          <w:szCs w:val="22"/>
        </w:rPr>
        <w:t xml:space="preserve">if it </w:t>
      </w:r>
      <w:r w:rsidR="00907BF4" w:rsidRPr="00263158">
        <w:rPr>
          <w:color w:val="000000"/>
          <w:szCs w:val="22"/>
        </w:rPr>
        <w:t>is</w:t>
      </w:r>
      <w:r w:rsidRPr="00263158">
        <w:rPr>
          <w:color w:val="000000"/>
          <w:szCs w:val="22"/>
        </w:rPr>
        <w:t xml:space="preserve"> an </w:t>
      </w:r>
      <w:r w:rsidRPr="00263158">
        <w:t>antique or collectable cot.</w:t>
      </w:r>
    </w:p>
    <w:p w14:paraId="661C9C24" w14:textId="77777777" w:rsidR="00970413" w:rsidRPr="00263158" w:rsidRDefault="006F3925" w:rsidP="00970413">
      <w:pPr>
        <w:pStyle w:val="ActHead5"/>
      </w:pPr>
      <w:bookmarkStart w:id="13" w:name="_Toc169168216"/>
      <w:bookmarkEnd w:id="12"/>
      <w:r w:rsidRPr="00A06914">
        <w:rPr>
          <w:rStyle w:val="CharSectno"/>
        </w:rPr>
        <w:t>6</w:t>
      </w:r>
      <w:r w:rsidR="00970413" w:rsidRPr="00263158">
        <w:t xml:space="preserve">  Definitions</w:t>
      </w:r>
      <w:bookmarkEnd w:id="13"/>
    </w:p>
    <w:p w14:paraId="729F04D7" w14:textId="77777777" w:rsidR="00042466" w:rsidRPr="00263158" w:rsidRDefault="00042466" w:rsidP="00042466">
      <w:pPr>
        <w:pStyle w:val="notetext"/>
      </w:pPr>
      <w:bookmarkStart w:id="14" w:name="_Hlk138862944"/>
      <w:r w:rsidRPr="00263158">
        <w:t>Note:</w:t>
      </w:r>
      <w:r w:rsidRPr="00263158">
        <w:tab/>
        <w:t xml:space="preserve">A number of expressions used in this instrument are defined in the Australian Consumer Law, including </w:t>
      </w:r>
      <w:bookmarkStart w:id="15" w:name="_Hlk139450101"/>
      <w:r w:rsidR="00FB02D2" w:rsidRPr="00263158">
        <w:rPr>
          <w:b/>
          <w:i/>
        </w:rPr>
        <w:t>information standard</w:t>
      </w:r>
      <w:r w:rsidR="00FB02D2" w:rsidRPr="00263158">
        <w:t xml:space="preserve"> </w:t>
      </w:r>
      <w:bookmarkEnd w:id="15"/>
      <w:r w:rsidR="00FB02D2" w:rsidRPr="00263158">
        <w:t xml:space="preserve">and </w:t>
      </w:r>
      <w:r w:rsidRPr="00263158">
        <w:rPr>
          <w:b/>
          <w:i/>
        </w:rPr>
        <w:t>safety standard</w:t>
      </w:r>
      <w:r w:rsidRPr="00263158">
        <w:t>.</w:t>
      </w:r>
    </w:p>
    <w:p w14:paraId="59899E4C" w14:textId="77777777" w:rsidR="00970413" w:rsidRPr="00263158" w:rsidRDefault="00042466" w:rsidP="00042466">
      <w:pPr>
        <w:pStyle w:val="subsection"/>
      </w:pPr>
      <w:r w:rsidRPr="00263158">
        <w:tab/>
      </w:r>
      <w:r w:rsidRPr="00263158">
        <w:tab/>
      </w:r>
      <w:r w:rsidR="00970413" w:rsidRPr="00263158">
        <w:t>In this instrument:</w:t>
      </w:r>
    </w:p>
    <w:bookmarkEnd w:id="14"/>
    <w:p w14:paraId="0F8A9C8F" w14:textId="77777777" w:rsidR="00051151" w:rsidRPr="00263158" w:rsidRDefault="00051151" w:rsidP="00053CF1">
      <w:pPr>
        <w:pStyle w:val="Definition"/>
      </w:pPr>
      <w:r w:rsidRPr="00263158">
        <w:rPr>
          <w:b/>
          <w:i/>
        </w:rPr>
        <w:t>Australian/New Zealand Standard for folding cots</w:t>
      </w:r>
      <w:r w:rsidRPr="00263158">
        <w:rPr>
          <w:i/>
        </w:rPr>
        <w:t xml:space="preserve"> </w:t>
      </w:r>
      <w:r w:rsidRPr="00263158">
        <w:t>means Australian/New Zealand</w:t>
      </w:r>
      <w:r w:rsidR="00C2572E" w:rsidRPr="00263158">
        <w:t xml:space="preserve"> Standard</w:t>
      </w:r>
      <w:r w:rsidRPr="00263158">
        <w:t xml:space="preserve"> AS/NZS 2195:2010</w:t>
      </w:r>
      <w:r w:rsidR="00EE2B79" w:rsidRPr="00263158">
        <w:t>,</w:t>
      </w:r>
      <w:r w:rsidRPr="00263158">
        <w:t xml:space="preserve"> </w:t>
      </w:r>
      <w:r w:rsidRPr="00263158">
        <w:rPr>
          <w:i/>
        </w:rPr>
        <w:t>Folding cots</w:t>
      </w:r>
      <w:r w:rsidR="000F334B" w:rsidRPr="00263158">
        <w:rPr>
          <w:i/>
        </w:rPr>
        <w:t>—</w:t>
      </w:r>
      <w:r w:rsidRPr="00263158">
        <w:rPr>
          <w:i/>
        </w:rPr>
        <w:t>Safety requirements</w:t>
      </w:r>
      <w:r w:rsidRPr="00263158">
        <w:t xml:space="preserve"> published jointly by, or on behalf of, Standards Australia and Standards New Zealand, as in force or existing at the time when this </w:t>
      </w:r>
      <w:r w:rsidR="0048450A" w:rsidRPr="00263158">
        <w:t>instrument</w:t>
      </w:r>
      <w:r w:rsidR="005F0EAB" w:rsidRPr="00263158">
        <w:t xml:space="preserve"> </w:t>
      </w:r>
      <w:r w:rsidRPr="00263158">
        <w:t>commences.</w:t>
      </w:r>
    </w:p>
    <w:p w14:paraId="53A4D059" w14:textId="77777777" w:rsidR="003705CF" w:rsidRPr="00263158" w:rsidRDefault="003705CF" w:rsidP="003705CF">
      <w:pPr>
        <w:pStyle w:val="notetext"/>
      </w:pPr>
      <w:r w:rsidRPr="00263158">
        <w:t>Note:</w:t>
      </w:r>
      <w:r w:rsidRPr="00263158">
        <w:tab/>
        <w:t>The Australian/New Zealand Standard for folding cots could in 202</w:t>
      </w:r>
      <w:r w:rsidR="00D83788" w:rsidRPr="00263158">
        <w:t>4</w:t>
      </w:r>
      <w:r w:rsidRPr="00263158">
        <w:t xml:space="preserve"> be purchased from </w:t>
      </w:r>
      <w:r w:rsidR="005878BB" w:rsidRPr="00263158">
        <w:t xml:space="preserve">Intertek </w:t>
      </w:r>
      <w:proofErr w:type="spellStart"/>
      <w:r w:rsidR="005878BB" w:rsidRPr="00263158">
        <w:t>Inform’s</w:t>
      </w:r>
      <w:proofErr w:type="spellEnd"/>
      <w:r w:rsidRPr="00263158">
        <w:t xml:space="preserve"> website (</w:t>
      </w:r>
      <w:r w:rsidR="00B40723" w:rsidRPr="00263158">
        <w:t>https://www.intertekinform.com</w:t>
      </w:r>
      <w:r w:rsidRPr="00263158">
        <w:t>). The Australian Competition and Consumer Commission can make a copy of the standard available for viewing at one of its offices, subject to licensing conditions.</w:t>
      </w:r>
    </w:p>
    <w:p w14:paraId="74D9BB39" w14:textId="77777777" w:rsidR="00051151" w:rsidRPr="00263158" w:rsidRDefault="00051151" w:rsidP="00053CF1">
      <w:pPr>
        <w:pStyle w:val="Definition"/>
      </w:pPr>
      <w:r w:rsidRPr="00263158">
        <w:rPr>
          <w:b/>
          <w:i/>
        </w:rPr>
        <w:t>Australian/New Zealand Standard for household cots</w:t>
      </w:r>
      <w:r w:rsidRPr="00263158">
        <w:rPr>
          <w:i/>
        </w:rPr>
        <w:t xml:space="preserve"> </w:t>
      </w:r>
      <w:r w:rsidRPr="00263158">
        <w:t>means Australian/New Zealand</w:t>
      </w:r>
      <w:r w:rsidR="00C2572E" w:rsidRPr="00263158">
        <w:t xml:space="preserve"> Standard</w:t>
      </w:r>
      <w:r w:rsidRPr="00263158">
        <w:t xml:space="preserve"> AS/NZS 2172:2013</w:t>
      </w:r>
      <w:r w:rsidR="00EE2B79" w:rsidRPr="00263158">
        <w:t>,</w:t>
      </w:r>
      <w:r w:rsidRPr="00263158">
        <w:t xml:space="preserve"> </w:t>
      </w:r>
      <w:r w:rsidRPr="00263158">
        <w:rPr>
          <w:i/>
        </w:rPr>
        <w:t>Cots for household use</w:t>
      </w:r>
      <w:r w:rsidR="000F334B" w:rsidRPr="00263158">
        <w:rPr>
          <w:i/>
        </w:rPr>
        <w:t>—</w:t>
      </w:r>
      <w:r w:rsidRPr="00263158">
        <w:rPr>
          <w:i/>
        </w:rPr>
        <w:t>Safety Requirements</w:t>
      </w:r>
      <w:r w:rsidRPr="00263158">
        <w:t xml:space="preserve"> published jointly by, or on behalf of, Standards Australia and Standards New Zealand, as in force or existing at the time when this </w:t>
      </w:r>
      <w:r w:rsidR="0048450A" w:rsidRPr="00263158">
        <w:t>instrument</w:t>
      </w:r>
      <w:r w:rsidRPr="00263158">
        <w:t xml:space="preserve"> commences.</w:t>
      </w:r>
    </w:p>
    <w:p w14:paraId="5FF07231" w14:textId="77777777" w:rsidR="003705CF" w:rsidRPr="00263158" w:rsidRDefault="003705CF" w:rsidP="003705CF">
      <w:pPr>
        <w:pStyle w:val="notetext"/>
      </w:pPr>
      <w:r w:rsidRPr="00263158">
        <w:t>Note:</w:t>
      </w:r>
      <w:r w:rsidRPr="00263158">
        <w:tab/>
        <w:t>The Australian/New Zealand Standard for household cots could in 202</w:t>
      </w:r>
      <w:r w:rsidR="00D83788" w:rsidRPr="00263158">
        <w:t>4</w:t>
      </w:r>
      <w:r w:rsidRPr="00263158">
        <w:t xml:space="preserve"> be purchased from </w:t>
      </w:r>
      <w:r w:rsidR="005878BB" w:rsidRPr="00263158">
        <w:t xml:space="preserve">Intertek </w:t>
      </w:r>
      <w:proofErr w:type="spellStart"/>
      <w:r w:rsidR="005878BB" w:rsidRPr="00263158">
        <w:t>Inform’s</w:t>
      </w:r>
      <w:proofErr w:type="spellEnd"/>
      <w:r w:rsidRPr="00263158">
        <w:t xml:space="preserve"> website (</w:t>
      </w:r>
      <w:r w:rsidR="00B40723" w:rsidRPr="00263158">
        <w:t>https://www.intertekinform.com</w:t>
      </w:r>
      <w:r w:rsidRPr="00263158">
        <w:t>). The Australian Competition and Consumer Commission can make a copy of the standard available for viewing at one of its offices, subject to licensing conditions.</w:t>
      </w:r>
    </w:p>
    <w:p w14:paraId="26599EA4" w14:textId="77777777" w:rsidR="00051151" w:rsidRPr="00263158" w:rsidRDefault="00051151" w:rsidP="00053CF1">
      <w:pPr>
        <w:pStyle w:val="Definition"/>
      </w:pPr>
      <w:r w:rsidRPr="00263158">
        <w:rPr>
          <w:b/>
          <w:i/>
        </w:rPr>
        <w:lastRenderedPageBreak/>
        <w:t>Australian/New Zealand Standard for infants</w:t>
      </w:r>
      <w:r w:rsidR="003705CF" w:rsidRPr="00263158">
        <w:rPr>
          <w:b/>
          <w:i/>
        </w:rPr>
        <w:t>’</w:t>
      </w:r>
      <w:r w:rsidRPr="00263158">
        <w:rPr>
          <w:b/>
          <w:i/>
        </w:rPr>
        <w:t xml:space="preserve"> rocking cradles</w:t>
      </w:r>
      <w:r w:rsidRPr="00263158">
        <w:t xml:space="preserve"> means Australian/New Zealand</w:t>
      </w:r>
      <w:r w:rsidR="00C2572E" w:rsidRPr="00263158">
        <w:t xml:space="preserve"> Standard</w:t>
      </w:r>
      <w:r w:rsidRPr="00263158">
        <w:t xml:space="preserve"> AS/NZS 4385:1996</w:t>
      </w:r>
      <w:r w:rsidR="00EE2B79" w:rsidRPr="00263158">
        <w:t>,</w:t>
      </w:r>
      <w:r w:rsidRPr="00263158">
        <w:t xml:space="preserve"> </w:t>
      </w:r>
      <w:r w:rsidRPr="00263158">
        <w:rPr>
          <w:i/>
        </w:rPr>
        <w:t>Infants’ rocking cradles</w:t>
      </w:r>
      <w:r w:rsidR="000F334B" w:rsidRPr="00263158">
        <w:rPr>
          <w:i/>
        </w:rPr>
        <w:t>—</w:t>
      </w:r>
      <w:r w:rsidRPr="00263158">
        <w:rPr>
          <w:i/>
        </w:rPr>
        <w:t xml:space="preserve">Safety requirements </w:t>
      </w:r>
      <w:r w:rsidRPr="00263158">
        <w:t xml:space="preserve">published jointly by, or on behalf of, Standards Australia and Standards New Zealand, as in force or existing at the time when this </w:t>
      </w:r>
      <w:r w:rsidR="0048450A" w:rsidRPr="00263158">
        <w:t>instrument</w:t>
      </w:r>
      <w:r w:rsidR="005F0EAB" w:rsidRPr="00263158">
        <w:t xml:space="preserve"> </w:t>
      </w:r>
      <w:r w:rsidRPr="00263158">
        <w:t>commences.</w:t>
      </w:r>
    </w:p>
    <w:p w14:paraId="5727AF13" w14:textId="77777777" w:rsidR="003705CF" w:rsidRPr="00263158" w:rsidRDefault="003705CF" w:rsidP="003705CF">
      <w:pPr>
        <w:pStyle w:val="notetext"/>
      </w:pPr>
      <w:r w:rsidRPr="00263158">
        <w:t>Note:</w:t>
      </w:r>
      <w:r w:rsidRPr="00263158">
        <w:tab/>
        <w:t>The Australian/New Zealand Standard for infants’ rocking cradles could in 202</w:t>
      </w:r>
      <w:r w:rsidR="00D83788" w:rsidRPr="00263158">
        <w:t>4</w:t>
      </w:r>
      <w:r w:rsidRPr="00263158">
        <w:t xml:space="preserve"> be purchased from </w:t>
      </w:r>
      <w:r w:rsidR="005878BB" w:rsidRPr="00263158">
        <w:t xml:space="preserve">Intertek </w:t>
      </w:r>
      <w:proofErr w:type="spellStart"/>
      <w:r w:rsidR="005878BB" w:rsidRPr="00263158">
        <w:t>Inform’s</w:t>
      </w:r>
      <w:proofErr w:type="spellEnd"/>
      <w:r w:rsidRPr="00263158">
        <w:t xml:space="preserve"> website (</w:t>
      </w:r>
      <w:r w:rsidR="00B40723" w:rsidRPr="00263158">
        <w:t>https://www.intertekinform.com</w:t>
      </w:r>
      <w:r w:rsidRPr="00263158">
        <w:t>). The Australian Competition and Consumer Commission can make a copy of the standard available for viewing at one of its offices, subject to licensing conditions.</w:t>
      </w:r>
    </w:p>
    <w:p w14:paraId="28746045" w14:textId="77777777" w:rsidR="00C2572E" w:rsidRPr="00263158" w:rsidRDefault="00C2572E" w:rsidP="00053CF1">
      <w:pPr>
        <w:pStyle w:val="Definition"/>
      </w:pPr>
      <w:r w:rsidRPr="00263158">
        <w:rPr>
          <w:b/>
          <w:i/>
        </w:rPr>
        <w:t xml:space="preserve">Australian/New Zealand Standard for </w:t>
      </w:r>
      <w:r w:rsidRPr="00263158">
        <w:rPr>
          <w:b/>
          <w:i/>
          <w:iCs/>
        </w:rPr>
        <w:t>Methods of testing infant products—Method 1: Sleep Surfaces—Test for firmness</w:t>
      </w:r>
      <w:r w:rsidRPr="00263158">
        <w:rPr>
          <w:i/>
          <w:iCs/>
        </w:rPr>
        <w:t xml:space="preserve"> </w:t>
      </w:r>
      <w:r w:rsidRPr="00263158">
        <w:rPr>
          <w:iCs/>
        </w:rPr>
        <w:t>means A</w:t>
      </w:r>
      <w:r w:rsidRPr="00263158">
        <w:t xml:space="preserve">ustralian/New Zealand Standard </w:t>
      </w:r>
      <w:r w:rsidRPr="00263158">
        <w:rPr>
          <w:iCs/>
        </w:rPr>
        <w:t>AS/NZS 8811.1:2013</w:t>
      </w:r>
      <w:r w:rsidR="00EE2B79" w:rsidRPr="00263158">
        <w:rPr>
          <w:iCs/>
        </w:rPr>
        <w:t>,</w:t>
      </w:r>
      <w:r w:rsidRPr="00263158">
        <w:rPr>
          <w:iCs/>
        </w:rPr>
        <w:t xml:space="preserve"> </w:t>
      </w:r>
      <w:r w:rsidRPr="00263158">
        <w:rPr>
          <w:i/>
          <w:iCs/>
        </w:rPr>
        <w:t>Methods of testing infant products—Method</w:t>
      </w:r>
      <w:r w:rsidR="00A27D67" w:rsidRPr="00263158">
        <w:t> </w:t>
      </w:r>
      <w:r w:rsidRPr="00263158">
        <w:rPr>
          <w:i/>
          <w:iCs/>
        </w:rPr>
        <w:t xml:space="preserve">1: Sleep Surfaces—Test for firmness </w:t>
      </w:r>
      <w:r w:rsidRPr="00263158">
        <w:t xml:space="preserve">published jointly by, or on behalf of, Standards Australia and Standards New Zealand, as in force or existing at the time when this </w:t>
      </w:r>
      <w:r w:rsidR="0048450A" w:rsidRPr="00263158">
        <w:t>instrument</w:t>
      </w:r>
      <w:r w:rsidRPr="00263158">
        <w:t xml:space="preserve"> commences.</w:t>
      </w:r>
    </w:p>
    <w:p w14:paraId="139DEDEB" w14:textId="77777777" w:rsidR="003705CF" w:rsidRPr="00263158" w:rsidRDefault="003705CF" w:rsidP="003705CF">
      <w:pPr>
        <w:pStyle w:val="notetext"/>
      </w:pPr>
      <w:r w:rsidRPr="00263158">
        <w:t>Note:</w:t>
      </w:r>
      <w:r w:rsidRPr="00263158">
        <w:tab/>
        <w:t>The Australian/New Zealand Standard for Methods of testing infant products—Method 1: Sleep Surfaces—Test for firmness could in 202</w:t>
      </w:r>
      <w:r w:rsidR="00D83788" w:rsidRPr="00263158">
        <w:t>4</w:t>
      </w:r>
      <w:r w:rsidRPr="00263158">
        <w:t xml:space="preserve"> be purchased from </w:t>
      </w:r>
      <w:r w:rsidR="005878BB" w:rsidRPr="00263158">
        <w:t xml:space="preserve">Intertek </w:t>
      </w:r>
      <w:proofErr w:type="spellStart"/>
      <w:r w:rsidR="005878BB" w:rsidRPr="00263158">
        <w:t>Inform’s</w:t>
      </w:r>
      <w:proofErr w:type="spellEnd"/>
      <w:r w:rsidRPr="00263158">
        <w:t xml:space="preserve"> website (</w:t>
      </w:r>
      <w:r w:rsidR="00B40723" w:rsidRPr="00263158">
        <w:t>https://www.intertekinform.com</w:t>
      </w:r>
      <w:r w:rsidRPr="00263158">
        <w:t>). The Australian Competition and Consumer Commission can make a copy of the standard available for viewing at one of its offices, subject to licensing conditions.</w:t>
      </w:r>
    </w:p>
    <w:p w14:paraId="2CBD025A" w14:textId="77777777" w:rsidR="00530F65" w:rsidRPr="00263158" w:rsidRDefault="00530F65" w:rsidP="00530F65">
      <w:pPr>
        <w:pStyle w:val="Definition"/>
      </w:pPr>
      <w:r w:rsidRPr="00263158">
        <w:rPr>
          <w:b/>
          <w:i/>
        </w:rPr>
        <w:t>bassinet</w:t>
      </w:r>
      <w:r w:rsidRPr="00263158">
        <w:t xml:space="preserve"> means an infant sleep product</w:t>
      </w:r>
      <w:r w:rsidR="00F60790" w:rsidRPr="00263158">
        <w:t xml:space="preserve"> with free standing legs</w:t>
      </w:r>
      <w:r w:rsidRPr="00263158">
        <w:t xml:space="preserve"> that is designed to provide </w:t>
      </w:r>
      <w:r w:rsidR="006452B5" w:rsidRPr="00263158">
        <w:t xml:space="preserve">an </w:t>
      </w:r>
      <w:r w:rsidRPr="00263158">
        <w:t>enclosed sleep</w:t>
      </w:r>
      <w:r w:rsidR="006452B5" w:rsidRPr="00263158">
        <w:t>ing</w:t>
      </w:r>
      <w:r w:rsidRPr="00263158">
        <w:t xml:space="preserve"> </w:t>
      </w:r>
      <w:r w:rsidR="006452B5" w:rsidRPr="00263158">
        <w:t>facility</w:t>
      </w:r>
      <w:r w:rsidRPr="00263158">
        <w:t xml:space="preserve"> for an infant who cannot yet push up on hands or knees or sit up unaided.</w:t>
      </w:r>
    </w:p>
    <w:p w14:paraId="6A0FF017" w14:textId="77777777" w:rsidR="00572238" w:rsidRPr="00263158" w:rsidRDefault="00572238" w:rsidP="00572238">
      <w:pPr>
        <w:pStyle w:val="Definition"/>
      </w:pPr>
      <w:r w:rsidRPr="00263158">
        <w:rPr>
          <w:b/>
          <w:i/>
        </w:rPr>
        <w:t>British Standard for Furniture</w:t>
      </w:r>
      <w:r w:rsidR="0045143A" w:rsidRPr="00263158">
        <w:rPr>
          <w:b/>
          <w:i/>
        </w:rPr>
        <w:t>—</w:t>
      </w:r>
      <w:r w:rsidRPr="00263158">
        <w:rPr>
          <w:b/>
          <w:i/>
        </w:rPr>
        <w:t>Children’s cots and folding cots for domestic use</w:t>
      </w:r>
      <w:r w:rsidRPr="00263158">
        <w:t xml:space="preserve"> means British Standard BS </w:t>
      </w:r>
      <w:proofErr w:type="spellStart"/>
      <w:r w:rsidRPr="00263158">
        <w:t>EN</w:t>
      </w:r>
      <w:proofErr w:type="spellEnd"/>
      <w:r w:rsidRPr="00263158">
        <w:t xml:space="preserve"> 716</w:t>
      </w:r>
      <w:r w:rsidR="00263158">
        <w:noBreakHyphen/>
      </w:r>
      <w:r w:rsidRPr="00263158">
        <w:t xml:space="preserve">1:2017 </w:t>
      </w:r>
      <w:r w:rsidR="00BE48B0" w:rsidRPr="00263158">
        <w:t>I</w:t>
      </w:r>
      <w:r w:rsidRPr="00263158">
        <w:t>ncorporating corrigendum March 2019,</w:t>
      </w:r>
      <w:r w:rsidRPr="00263158">
        <w:rPr>
          <w:i/>
        </w:rPr>
        <w:t xml:space="preserve"> Furniture</w:t>
      </w:r>
      <w:r w:rsidR="0045143A" w:rsidRPr="00263158">
        <w:rPr>
          <w:i/>
        </w:rPr>
        <w:t>—</w:t>
      </w:r>
      <w:r w:rsidRPr="00263158">
        <w:rPr>
          <w:i/>
        </w:rPr>
        <w:t xml:space="preserve">Children’s cots and folding cots for domestic use </w:t>
      </w:r>
      <w:r w:rsidR="00263158">
        <w:rPr>
          <w:i/>
        </w:rPr>
        <w:noBreakHyphen/>
      </w:r>
      <w:r w:rsidRPr="00263158">
        <w:rPr>
          <w:i/>
        </w:rPr>
        <w:t xml:space="preserve"> Part 1: Safety requirements</w:t>
      </w:r>
      <w:r w:rsidR="000D5FCD" w:rsidRPr="00263158">
        <w:t xml:space="preserve"> published by the British Standards Institution</w:t>
      </w:r>
      <w:r w:rsidR="00C641B2" w:rsidRPr="00263158">
        <w:rPr>
          <w:i/>
        </w:rPr>
        <w:t>,</w:t>
      </w:r>
      <w:r w:rsidRPr="00263158">
        <w:t xml:space="preserve"> as in force </w:t>
      </w:r>
      <w:r w:rsidRPr="00263158">
        <w:rPr>
          <w:color w:val="000000"/>
          <w:szCs w:val="22"/>
          <w:shd w:val="clear" w:color="auto" w:fill="FFFFFF"/>
        </w:rPr>
        <w:t xml:space="preserve">or existing at the time when this </w:t>
      </w:r>
      <w:r w:rsidRPr="00263158">
        <w:t>instrument</w:t>
      </w:r>
      <w:r w:rsidRPr="00263158">
        <w:rPr>
          <w:color w:val="000000"/>
          <w:szCs w:val="22"/>
          <w:shd w:val="clear" w:color="auto" w:fill="FFFFFF"/>
        </w:rPr>
        <w:t xml:space="preserve"> commences.</w:t>
      </w:r>
    </w:p>
    <w:p w14:paraId="007A8172" w14:textId="77777777" w:rsidR="00572238" w:rsidRPr="00263158" w:rsidRDefault="00572238" w:rsidP="00572238">
      <w:pPr>
        <w:pStyle w:val="notetext"/>
      </w:pPr>
      <w:r w:rsidRPr="00263158">
        <w:t>Note:</w:t>
      </w:r>
      <w:r w:rsidRPr="00263158">
        <w:tab/>
        <w:t>The British Standard for Furniture</w:t>
      </w:r>
      <w:r w:rsidR="0045143A" w:rsidRPr="00263158">
        <w:t>—</w:t>
      </w:r>
      <w:r w:rsidRPr="00263158">
        <w:t xml:space="preserve">Children’s cots and folding cots for domestic use could in 2024 be purchased from Intertek </w:t>
      </w:r>
      <w:proofErr w:type="spellStart"/>
      <w:r w:rsidRPr="00263158">
        <w:t>Inform’s</w:t>
      </w:r>
      <w:proofErr w:type="spellEnd"/>
      <w:r w:rsidRPr="00263158">
        <w:t xml:space="preserve"> website (https://www.intertekinform.com). The Australian Competition and Consumer Commission can make a copy of the standard available for viewing at one of its offices, subject to licensing conditions.</w:t>
      </w:r>
    </w:p>
    <w:p w14:paraId="76C492C8" w14:textId="77777777" w:rsidR="006111F0" w:rsidRPr="00263158" w:rsidRDefault="00E26786" w:rsidP="00530F65">
      <w:pPr>
        <w:pStyle w:val="Definition"/>
      </w:pPr>
      <w:r w:rsidRPr="00263158">
        <w:rPr>
          <w:b/>
          <w:i/>
        </w:rPr>
        <w:t>European Standard for Children’s furniture—Mattresses for cots and cribs—Safety requirements and test method</w:t>
      </w:r>
      <w:r w:rsidR="000C1A89" w:rsidRPr="00263158">
        <w:rPr>
          <w:b/>
          <w:i/>
        </w:rPr>
        <w:t>s</w:t>
      </w:r>
      <w:r w:rsidRPr="00263158">
        <w:rPr>
          <w:b/>
          <w:i/>
        </w:rPr>
        <w:t xml:space="preserve"> </w:t>
      </w:r>
      <w:r w:rsidRPr="00263158">
        <w:t xml:space="preserve">means European Standard </w:t>
      </w:r>
      <w:proofErr w:type="spellStart"/>
      <w:r w:rsidRPr="00263158">
        <w:t>EN</w:t>
      </w:r>
      <w:proofErr w:type="spellEnd"/>
      <w:r w:rsidRPr="00263158">
        <w:t xml:space="preserve"> 16890:2017+A1:2021, </w:t>
      </w:r>
      <w:r w:rsidRPr="00263158">
        <w:rPr>
          <w:i/>
        </w:rPr>
        <w:t>Children’s furniture—Mattresses for cots and cribs—Safety requirements and test method</w:t>
      </w:r>
      <w:r w:rsidR="000C1A89" w:rsidRPr="00263158">
        <w:rPr>
          <w:i/>
        </w:rPr>
        <w:t>s</w:t>
      </w:r>
      <w:r w:rsidR="00D10606" w:rsidRPr="00263158">
        <w:t xml:space="preserve"> published by the European Committee for Standardization</w:t>
      </w:r>
      <w:r w:rsidR="001F33ED" w:rsidRPr="00263158">
        <w:t>,</w:t>
      </w:r>
      <w:r w:rsidR="001F33ED" w:rsidRPr="00263158">
        <w:rPr>
          <w:i/>
        </w:rPr>
        <w:t xml:space="preserve"> </w:t>
      </w:r>
      <w:r w:rsidR="001F33ED" w:rsidRPr="00263158">
        <w:rPr>
          <w:color w:val="000000"/>
          <w:szCs w:val="22"/>
          <w:shd w:val="clear" w:color="auto" w:fill="FFFFFF"/>
        </w:rPr>
        <w:t xml:space="preserve">as in force or existing at the time when this </w:t>
      </w:r>
      <w:r w:rsidR="0048450A" w:rsidRPr="00263158">
        <w:t>instrument</w:t>
      </w:r>
      <w:r w:rsidR="001F33ED" w:rsidRPr="00263158">
        <w:rPr>
          <w:color w:val="000000"/>
          <w:szCs w:val="22"/>
          <w:shd w:val="clear" w:color="auto" w:fill="FFFFFF"/>
        </w:rPr>
        <w:t xml:space="preserve"> commences.</w:t>
      </w:r>
    </w:p>
    <w:p w14:paraId="6E3FEE7A" w14:textId="77777777" w:rsidR="00E26786" w:rsidRPr="00263158" w:rsidRDefault="00E26786" w:rsidP="00E26786">
      <w:pPr>
        <w:pStyle w:val="notetext"/>
      </w:pPr>
      <w:r w:rsidRPr="00263158">
        <w:t>Note:</w:t>
      </w:r>
      <w:r w:rsidRPr="00263158">
        <w:tab/>
        <w:t>The European Standard for Children’s furniture—Mattresses for cots and cribs—Safety requirements and test method</w:t>
      </w:r>
      <w:r w:rsidR="00A70587" w:rsidRPr="00263158">
        <w:t>s</w:t>
      </w:r>
      <w:r w:rsidRPr="00263158">
        <w:t xml:space="preserve"> could in 202</w:t>
      </w:r>
      <w:r w:rsidR="00D83788" w:rsidRPr="00263158">
        <w:t>4</w:t>
      </w:r>
      <w:r w:rsidRPr="00263158">
        <w:t xml:space="preserve"> be purchased from </w:t>
      </w:r>
      <w:r w:rsidR="005878BB" w:rsidRPr="00263158">
        <w:t xml:space="preserve">Intertek </w:t>
      </w:r>
      <w:proofErr w:type="spellStart"/>
      <w:r w:rsidR="005878BB" w:rsidRPr="00263158">
        <w:t>Inform’s</w:t>
      </w:r>
      <w:proofErr w:type="spellEnd"/>
      <w:r w:rsidR="00C26D33" w:rsidRPr="00263158">
        <w:t xml:space="preserve"> website (</w:t>
      </w:r>
      <w:r w:rsidR="00B7366E" w:rsidRPr="00263158">
        <w:t>https://www.intertekinform.com</w:t>
      </w:r>
      <w:r w:rsidR="00C26D33" w:rsidRPr="00263158">
        <w:t>)</w:t>
      </w:r>
      <w:r w:rsidRPr="00263158">
        <w:t>. The Australian Competition and Consumer Commission can make a copy of the standard available for viewing at one of its offices, subject to licensing conditions.</w:t>
      </w:r>
    </w:p>
    <w:p w14:paraId="25ACB263" w14:textId="77777777" w:rsidR="005C75F8" w:rsidRPr="00263158" w:rsidRDefault="00B21EDF" w:rsidP="005C75F8">
      <w:pPr>
        <w:pStyle w:val="Definition"/>
      </w:pPr>
      <w:r w:rsidRPr="00263158">
        <w:rPr>
          <w:b/>
          <w:i/>
        </w:rPr>
        <w:t>f</w:t>
      </w:r>
      <w:r w:rsidR="005C75F8" w:rsidRPr="00263158">
        <w:rPr>
          <w:b/>
          <w:i/>
        </w:rPr>
        <w:t>olding cot</w:t>
      </w:r>
      <w:r w:rsidR="005C75F8" w:rsidRPr="00263158">
        <w:t xml:space="preserve"> means an infant sleep product that is designed to provide</w:t>
      </w:r>
      <w:r w:rsidR="006452B5" w:rsidRPr="00263158">
        <w:t xml:space="preserve"> an</w:t>
      </w:r>
      <w:r w:rsidR="005C75F8" w:rsidRPr="00263158">
        <w:t xml:space="preserve"> enclosed sleep</w:t>
      </w:r>
      <w:r w:rsidR="006452B5" w:rsidRPr="00263158">
        <w:t>ing</w:t>
      </w:r>
      <w:r w:rsidR="005C75F8" w:rsidRPr="00263158">
        <w:t xml:space="preserve"> </w:t>
      </w:r>
      <w:r w:rsidR="006452B5" w:rsidRPr="00263158">
        <w:t>facility</w:t>
      </w:r>
      <w:r w:rsidR="00ED02B5" w:rsidRPr="00263158">
        <w:t xml:space="preserve"> </w:t>
      </w:r>
      <w:r w:rsidR="00C641B2" w:rsidRPr="00263158">
        <w:t>that</w:t>
      </w:r>
      <w:r w:rsidR="005C75F8" w:rsidRPr="00263158">
        <w:t xml:space="preserve"> can be folded </w:t>
      </w:r>
      <w:r w:rsidR="00EF437A" w:rsidRPr="00263158">
        <w:t>or collapsed, without disassembly, when not in use.</w:t>
      </w:r>
    </w:p>
    <w:p w14:paraId="6D444160" w14:textId="77777777" w:rsidR="004F5DC2" w:rsidRPr="00263158" w:rsidRDefault="004F5DC2" w:rsidP="00B44551">
      <w:pPr>
        <w:pStyle w:val="notetext"/>
      </w:pPr>
      <w:r w:rsidRPr="00263158">
        <w:t>Note</w:t>
      </w:r>
      <w:r w:rsidR="005F0EAB" w:rsidRPr="00263158">
        <w:t>:</w:t>
      </w:r>
      <w:r w:rsidRPr="00263158">
        <w:tab/>
        <w:t>A playpen may be a folding cot.</w:t>
      </w:r>
    </w:p>
    <w:p w14:paraId="6E8CEFAA" w14:textId="77777777" w:rsidR="00EF437A" w:rsidRPr="00263158" w:rsidRDefault="00B21EDF" w:rsidP="00BE400C">
      <w:pPr>
        <w:pStyle w:val="Definition"/>
      </w:pPr>
      <w:r w:rsidRPr="00263158">
        <w:rPr>
          <w:b/>
          <w:i/>
        </w:rPr>
        <w:lastRenderedPageBreak/>
        <w:t>h</w:t>
      </w:r>
      <w:r w:rsidR="00EF437A" w:rsidRPr="00263158">
        <w:rPr>
          <w:b/>
          <w:i/>
        </w:rPr>
        <w:t>ousehold cot</w:t>
      </w:r>
      <w:r w:rsidR="00BE400C" w:rsidRPr="00263158">
        <w:t xml:space="preserve"> means </w:t>
      </w:r>
      <w:r w:rsidR="00EF437A" w:rsidRPr="00263158">
        <w:t xml:space="preserve">an infant sleep product </w:t>
      </w:r>
      <w:r w:rsidR="00435535" w:rsidRPr="00263158">
        <w:t xml:space="preserve">with raised sides and ends </w:t>
      </w:r>
      <w:r w:rsidR="00EF437A" w:rsidRPr="00263158">
        <w:t>that is designed to provide</w:t>
      </w:r>
      <w:r w:rsidR="006452B5" w:rsidRPr="00263158">
        <w:t xml:space="preserve"> an enclosed sleeping facility</w:t>
      </w:r>
      <w:r w:rsidR="00BE400C" w:rsidRPr="00263158">
        <w:t>, other than a bas</w:t>
      </w:r>
      <w:r w:rsidR="004344B4" w:rsidRPr="00263158">
        <w:t>s</w:t>
      </w:r>
      <w:r w:rsidR="00BE400C" w:rsidRPr="00263158">
        <w:t>inet or a folding cot.</w:t>
      </w:r>
    </w:p>
    <w:p w14:paraId="2FD34D43" w14:textId="77777777" w:rsidR="00451119" w:rsidRPr="00263158" w:rsidRDefault="00AC4D4A" w:rsidP="003705CF">
      <w:pPr>
        <w:pStyle w:val="Definition"/>
      </w:pPr>
      <w:bookmarkStart w:id="16" w:name="_Hlk137649972"/>
      <w:bookmarkStart w:id="17" w:name="_Hlk134110884"/>
      <w:r w:rsidRPr="00263158">
        <w:rPr>
          <w:b/>
          <w:i/>
        </w:rPr>
        <w:t>i</w:t>
      </w:r>
      <w:r w:rsidR="00451119" w:rsidRPr="00263158">
        <w:rPr>
          <w:b/>
          <w:i/>
        </w:rPr>
        <w:t>nfant</w:t>
      </w:r>
      <w:r w:rsidRPr="00263158">
        <w:rPr>
          <w:i/>
        </w:rPr>
        <w:t>,</w:t>
      </w:r>
      <w:r w:rsidRPr="00263158">
        <w:t xml:space="preserve"> in relation to an infant</w:t>
      </w:r>
      <w:r w:rsidR="00187458" w:rsidRPr="00263158">
        <w:t xml:space="preserve"> sleep</w:t>
      </w:r>
      <w:r w:rsidRPr="00263158">
        <w:t xml:space="preserve"> product,</w:t>
      </w:r>
      <w:r w:rsidR="00451119" w:rsidRPr="00263158">
        <w:t xml:space="preserve"> </w:t>
      </w:r>
      <w:r w:rsidRPr="00263158">
        <w:t>means</w:t>
      </w:r>
      <w:r w:rsidR="00451119" w:rsidRPr="00263158">
        <w:t>:</w:t>
      </w:r>
    </w:p>
    <w:p w14:paraId="5847CA98" w14:textId="77777777" w:rsidR="00451119" w:rsidRPr="00263158" w:rsidRDefault="00451119" w:rsidP="00451119">
      <w:pPr>
        <w:pStyle w:val="paragraph"/>
      </w:pPr>
      <w:r w:rsidRPr="00263158">
        <w:tab/>
        <w:t>(a)</w:t>
      </w:r>
      <w:r w:rsidRPr="00263158">
        <w:tab/>
        <w:t xml:space="preserve">a person under the age of 12 months; </w:t>
      </w:r>
      <w:r w:rsidR="003B7CD8" w:rsidRPr="00263158">
        <w:t>or</w:t>
      </w:r>
    </w:p>
    <w:p w14:paraId="55341F74" w14:textId="77777777" w:rsidR="00451119" w:rsidRPr="00263158" w:rsidRDefault="00451119" w:rsidP="00451119">
      <w:pPr>
        <w:pStyle w:val="paragraph"/>
      </w:pPr>
      <w:r w:rsidRPr="00263158">
        <w:tab/>
        <w:t>(b)</w:t>
      </w:r>
      <w:r w:rsidRPr="00263158">
        <w:tab/>
        <w:t xml:space="preserve">a person over the age of 12 months that might reasonably use </w:t>
      </w:r>
      <w:r w:rsidR="00433AE7" w:rsidRPr="00263158">
        <w:t>the product</w:t>
      </w:r>
      <w:r w:rsidR="00C46CED" w:rsidRPr="00263158">
        <w:t xml:space="preserve"> as a sleeping facility</w:t>
      </w:r>
      <w:r w:rsidRPr="00263158">
        <w:t>.</w:t>
      </w:r>
    </w:p>
    <w:bookmarkEnd w:id="16"/>
    <w:p w14:paraId="4BA7971B" w14:textId="77777777" w:rsidR="00042466" w:rsidRPr="00263158" w:rsidRDefault="003705CF" w:rsidP="00187458">
      <w:pPr>
        <w:pStyle w:val="Definition"/>
      </w:pPr>
      <w:r w:rsidRPr="00263158">
        <w:rPr>
          <w:b/>
          <w:i/>
        </w:rPr>
        <w:t>infant sleep product</w:t>
      </w:r>
      <w:r w:rsidR="00042466" w:rsidRPr="00263158">
        <w:t>:</w:t>
      </w:r>
    </w:p>
    <w:p w14:paraId="775CCB36" w14:textId="77777777" w:rsidR="00ED02B5" w:rsidRPr="00263158" w:rsidRDefault="00042466" w:rsidP="00042466">
      <w:pPr>
        <w:pStyle w:val="paragraph"/>
      </w:pPr>
      <w:r w:rsidRPr="00263158">
        <w:tab/>
      </w:r>
      <w:bookmarkStart w:id="18" w:name="_Hlk138862971"/>
      <w:r w:rsidRPr="00263158">
        <w:t>(a)</w:t>
      </w:r>
      <w:r w:rsidRPr="00263158">
        <w:tab/>
      </w:r>
      <w:r w:rsidR="003705CF" w:rsidRPr="00263158">
        <w:t>means a product that:</w:t>
      </w:r>
    </w:p>
    <w:p w14:paraId="3DECBFBE" w14:textId="77777777" w:rsidR="00C46CED" w:rsidRPr="00263158" w:rsidRDefault="00ED02B5" w:rsidP="00042466">
      <w:pPr>
        <w:pStyle w:val="paragraphsub"/>
      </w:pPr>
      <w:r w:rsidRPr="00263158">
        <w:tab/>
        <w:t>(</w:t>
      </w:r>
      <w:proofErr w:type="spellStart"/>
      <w:r w:rsidR="00042466" w:rsidRPr="00263158">
        <w:t>i</w:t>
      </w:r>
      <w:proofErr w:type="spellEnd"/>
      <w:r w:rsidRPr="00263158">
        <w:t>)</w:t>
      </w:r>
      <w:r w:rsidRPr="00263158">
        <w:tab/>
        <w:t>is designed, intended, marketed, supplied, or offered for supply, for use as a sleeping facility for an infant</w:t>
      </w:r>
      <w:r w:rsidR="00042466" w:rsidRPr="00263158">
        <w:t xml:space="preserve"> or </w:t>
      </w:r>
      <w:r w:rsidR="006F3925" w:rsidRPr="00263158">
        <w:t xml:space="preserve">for use as </w:t>
      </w:r>
      <w:r w:rsidR="00042466" w:rsidRPr="00263158">
        <w:t>a facility to soothe or settle an infant</w:t>
      </w:r>
      <w:r w:rsidRPr="00263158">
        <w:t xml:space="preserve">; </w:t>
      </w:r>
      <w:r w:rsidR="00C46CED" w:rsidRPr="00263158">
        <w:t>and</w:t>
      </w:r>
    </w:p>
    <w:p w14:paraId="3E84AFDE" w14:textId="77777777" w:rsidR="003705CF" w:rsidRPr="00263158" w:rsidRDefault="003705CF" w:rsidP="00042466">
      <w:pPr>
        <w:pStyle w:val="paragraphsub"/>
      </w:pPr>
      <w:r w:rsidRPr="00263158">
        <w:tab/>
        <w:t>(</w:t>
      </w:r>
      <w:r w:rsidR="00042466" w:rsidRPr="00263158">
        <w:t>ii</w:t>
      </w:r>
      <w:r w:rsidRPr="00263158">
        <w:t>)</w:t>
      </w:r>
      <w:r w:rsidRPr="00263158">
        <w:tab/>
        <w:t>has a surface on which an infant may lay</w:t>
      </w:r>
      <w:r w:rsidR="00042466" w:rsidRPr="00263158">
        <w:t>; and</w:t>
      </w:r>
    </w:p>
    <w:p w14:paraId="035BBB4F" w14:textId="77777777" w:rsidR="00042466" w:rsidRPr="00263158" w:rsidRDefault="00042466" w:rsidP="006F3925">
      <w:pPr>
        <w:pStyle w:val="paragraph"/>
      </w:pPr>
      <w:r w:rsidRPr="00263158">
        <w:tab/>
        <w:t>(b)</w:t>
      </w:r>
      <w:r w:rsidRPr="00263158">
        <w:tab/>
        <w:t xml:space="preserve">includes a product that </w:t>
      </w:r>
      <w:r w:rsidR="006F3925" w:rsidRPr="00263158">
        <w:t>is designed to convert to an infant sleep product.</w:t>
      </w:r>
    </w:p>
    <w:bookmarkEnd w:id="18"/>
    <w:p w14:paraId="712D6923" w14:textId="77777777" w:rsidR="00DD77F1" w:rsidRPr="00263158" w:rsidRDefault="00053CF1" w:rsidP="00B21EDF">
      <w:pPr>
        <w:pStyle w:val="Definition"/>
      </w:pPr>
      <w:r w:rsidRPr="00263158">
        <w:rPr>
          <w:b/>
          <w:i/>
        </w:rPr>
        <w:t>t</w:t>
      </w:r>
      <w:r w:rsidR="00DD77F1" w:rsidRPr="00263158">
        <w:rPr>
          <w:b/>
          <w:i/>
        </w:rPr>
        <w:t xml:space="preserve">ransitional period </w:t>
      </w:r>
      <w:r w:rsidR="00DD77F1" w:rsidRPr="00263158">
        <w:t xml:space="preserve">means the </w:t>
      </w:r>
      <w:r w:rsidRPr="00263158">
        <w:t xml:space="preserve">period of 18 months beginning on the day this </w:t>
      </w:r>
      <w:r w:rsidR="0048450A" w:rsidRPr="00263158">
        <w:t>instrument</w:t>
      </w:r>
      <w:r w:rsidRPr="00263158">
        <w:t xml:space="preserve"> commences.</w:t>
      </w:r>
    </w:p>
    <w:p w14:paraId="762760B1" w14:textId="77777777" w:rsidR="00E235CF" w:rsidRPr="00263158" w:rsidRDefault="00E235CF" w:rsidP="00E235CF">
      <w:pPr>
        <w:pStyle w:val="Definition"/>
      </w:pPr>
      <w:r w:rsidRPr="00263158">
        <w:rPr>
          <w:b/>
          <w:i/>
        </w:rPr>
        <w:t>United States Standard Consumer Safety Specification for Crib Mattresses</w:t>
      </w:r>
      <w:r w:rsidRPr="00263158">
        <w:t xml:space="preserve"> means the </w:t>
      </w:r>
      <w:r w:rsidRPr="00263158">
        <w:rPr>
          <w:color w:val="000000"/>
          <w:szCs w:val="22"/>
          <w:shd w:val="clear" w:color="auto" w:fill="FFFFFF"/>
        </w:rPr>
        <w:t>American Society for Testing and Materials Standard ASTM</w:t>
      </w:r>
      <w:r w:rsidRPr="00263158">
        <w:t xml:space="preserve"> F2933</w:t>
      </w:r>
      <w:r w:rsidR="00263158">
        <w:noBreakHyphen/>
      </w:r>
      <w:r w:rsidRPr="00263158">
        <w:t xml:space="preserve">21a </w:t>
      </w:r>
      <w:r w:rsidRPr="00263158">
        <w:rPr>
          <w:i/>
        </w:rPr>
        <w:t>Standard Consumer Safety Specification for Crib Mattresses</w:t>
      </w:r>
      <w:r w:rsidR="00D10606" w:rsidRPr="00263158">
        <w:t xml:space="preserve"> published by the American Society for Testing and Materials International</w:t>
      </w:r>
      <w:r w:rsidRPr="00263158">
        <w:t>,</w:t>
      </w:r>
      <w:r w:rsidRPr="00263158">
        <w:rPr>
          <w:i/>
        </w:rPr>
        <w:t xml:space="preserve"> </w:t>
      </w:r>
      <w:r w:rsidRPr="00263158">
        <w:rPr>
          <w:color w:val="000000"/>
          <w:szCs w:val="22"/>
          <w:shd w:val="clear" w:color="auto" w:fill="FFFFFF"/>
        </w:rPr>
        <w:t xml:space="preserve">as in force or existing at the time when this </w:t>
      </w:r>
      <w:r w:rsidR="0048450A" w:rsidRPr="00263158">
        <w:t>instrument</w:t>
      </w:r>
      <w:r w:rsidRPr="00263158">
        <w:rPr>
          <w:color w:val="000000"/>
          <w:szCs w:val="22"/>
          <w:shd w:val="clear" w:color="auto" w:fill="FFFFFF"/>
        </w:rPr>
        <w:t xml:space="preserve"> commences.</w:t>
      </w:r>
    </w:p>
    <w:p w14:paraId="5FB5659A" w14:textId="77777777" w:rsidR="00E235CF" w:rsidRPr="00263158" w:rsidRDefault="00E235CF" w:rsidP="00E235CF">
      <w:pPr>
        <w:pStyle w:val="notetext"/>
      </w:pPr>
      <w:r w:rsidRPr="00263158">
        <w:t>Note:</w:t>
      </w:r>
      <w:r w:rsidRPr="00263158">
        <w:tab/>
        <w:t>The United States Standard Consumer Safety Specification for Crib Mattresses could in 202</w:t>
      </w:r>
      <w:r w:rsidR="00D83788" w:rsidRPr="00263158">
        <w:t>4</w:t>
      </w:r>
      <w:r w:rsidRPr="00263158">
        <w:t xml:space="preserve"> be purchased from ASTM International’s website (https://www.astm.org). The Australian Competition and Consumer Commission can make a copy of the standard available for viewing at one of its offices, subject to licensing conditions.</w:t>
      </w:r>
    </w:p>
    <w:p w14:paraId="4D07B629" w14:textId="77777777" w:rsidR="00E235CF" w:rsidRPr="00263158" w:rsidRDefault="00E235CF" w:rsidP="00E235CF">
      <w:pPr>
        <w:pStyle w:val="Definition"/>
      </w:pPr>
      <w:r w:rsidRPr="00263158">
        <w:rPr>
          <w:b/>
          <w:i/>
        </w:rPr>
        <w:t>United States Standard Consumer Safety Specification for Full</w:t>
      </w:r>
      <w:r w:rsidR="00263158">
        <w:rPr>
          <w:b/>
          <w:i/>
        </w:rPr>
        <w:noBreakHyphen/>
      </w:r>
      <w:r w:rsidRPr="00263158">
        <w:rPr>
          <w:b/>
          <w:i/>
        </w:rPr>
        <w:t xml:space="preserve">Size Baby Cribs </w:t>
      </w:r>
      <w:r w:rsidRPr="00263158">
        <w:t xml:space="preserve">means the </w:t>
      </w:r>
      <w:r w:rsidRPr="00263158">
        <w:rPr>
          <w:color w:val="000000"/>
          <w:szCs w:val="22"/>
          <w:shd w:val="clear" w:color="auto" w:fill="FFFFFF"/>
        </w:rPr>
        <w:t>American Society for Testing and Materials Standard ASTM</w:t>
      </w:r>
      <w:r w:rsidRPr="00263158">
        <w:t xml:space="preserve"> F1169</w:t>
      </w:r>
      <w:r w:rsidR="00263158">
        <w:noBreakHyphen/>
      </w:r>
      <w:r w:rsidRPr="00263158">
        <w:t xml:space="preserve">19, </w:t>
      </w:r>
      <w:r w:rsidRPr="00263158">
        <w:rPr>
          <w:i/>
        </w:rPr>
        <w:t>Standard Consumer Safety Specification for Full</w:t>
      </w:r>
      <w:r w:rsidR="00263158">
        <w:rPr>
          <w:i/>
        </w:rPr>
        <w:noBreakHyphen/>
      </w:r>
      <w:r w:rsidRPr="00263158">
        <w:rPr>
          <w:i/>
        </w:rPr>
        <w:t>Size Baby Cribs</w:t>
      </w:r>
      <w:r w:rsidR="000E542E" w:rsidRPr="00263158">
        <w:t xml:space="preserve"> published by the American Society for Testing and Materials International</w:t>
      </w:r>
      <w:r w:rsidRPr="00263158">
        <w:t>,</w:t>
      </w:r>
      <w:r w:rsidRPr="00263158">
        <w:rPr>
          <w:i/>
        </w:rPr>
        <w:t xml:space="preserve"> </w:t>
      </w:r>
      <w:r w:rsidRPr="00263158">
        <w:rPr>
          <w:color w:val="000000"/>
          <w:szCs w:val="22"/>
          <w:shd w:val="clear" w:color="auto" w:fill="FFFFFF"/>
        </w:rPr>
        <w:t xml:space="preserve">as in force or existing at the time when this </w:t>
      </w:r>
      <w:r w:rsidR="0048450A" w:rsidRPr="00263158">
        <w:t>instrument</w:t>
      </w:r>
      <w:r w:rsidRPr="00263158">
        <w:rPr>
          <w:color w:val="000000"/>
          <w:szCs w:val="22"/>
          <w:shd w:val="clear" w:color="auto" w:fill="FFFFFF"/>
        </w:rPr>
        <w:t xml:space="preserve"> commences.</w:t>
      </w:r>
    </w:p>
    <w:p w14:paraId="3BE42E58" w14:textId="77777777" w:rsidR="00E235CF" w:rsidRPr="00263158" w:rsidRDefault="00E235CF" w:rsidP="00E235CF">
      <w:pPr>
        <w:pStyle w:val="notetext"/>
      </w:pPr>
      <w:r w:rsidRPr="00263158">
        <w:t>Note:</w:t>
      </w:r>
      <w:r w:rsidRPr="00263158">
        <w:tab/>
        <w:t>The United States Standard Consumer Safety Specification for Full</w:t>
      </w:r>
      <w:r w:rsidR="00263158">
        <w:noBreakHyphen/>
      </w:r>
      <w:r w:rsidRPr="00263158">
        <w:t>Size Baby Cribs could in 202</w:t>
      </w:r>
      <w:r w:rsidR="00D83788" w:rsidRPr="00263158">
        <w:t>4</w:t>
      </w:r>
      <w:r w:rsidRPr="00263158">
        <w:t xml:space="preserve"> be purchased from ASTM International’s website (https://www.astm.org). The Australian Competition and Consumer Commission can make a copy of the standard available for viewing at one of its offices, subject to licensing conditions.</w:t>
      </w:r>
    </w:p>
    <w:p w14:paraId="3BD2AB94" w14:textId="77777777" w:rsidR="006054AC" w:rsidRPr="00263158" w:rsidRDefault="006054AC" w:rsidP="00B21EDF">
      <w:pPr>
        <w:pStyle w:val="Definition"/>
      </w:pPr>
      <w:r w:rsidRPr="00263158">
        <w:rPr>
          <w:b/>
          <w:i/>
        </w:rPr>
        <w:t>United States Standard Consumer Safety Specification for Non</w:t>
      </w:r>
      <w:r w:rsidR="00263158">
        <w:rPr>
          <w:b/>
          <w:i/>
        </w:rPr>
        <w:noBreakHyphen/>
      </w:r>
      <w:r w:rsidRPr="00263158">
        <w:rPr>
          <w:b/>
          <w:i/>
        </w:rPr>
        <w:t>Full</w:t>
      </w:r>
      <w:r w:rsidR="00263158">
        <w:rPr>
          <w:b/>
          <w:i/>
        </w:rPr>
        <w:noBreakHyphen/>
      </w:r>
      <w:r w:rsidRPr="00263158">
        <w:rPr>
          <w:b/>
          <w:i/>
        </w:rPr>
        <w:t>Size Baby Cribs/Play</w:t>
      </w:r>
      <w:r w:rsidR="00C57AEF" w:rsidRPr="00263158">
        <w:rPr>
          <w:b/>
          <w:i/>
        </w:rPr>
        <w:t xml:space="preserve"> Yards</w:t>
      </w:r>
      <w:r w:rsidRPr="00263158">
        <w:rPr>
          <w:i/>
        </w:rPr>
        <w:t xml:space="preserve"> </w:t>
      </w:r>
      <w:r w:rsidRPr="00263158">
        <w:t>means</w:t>
      </w:r>
      <w:r w:rsidR="001F33ED" w:rsidRPr="00263158">
        <w:t xml:space="preserve"> the </w:t>
      </w:r>
      <w:r w:rsidR="001F33ED" w:rsidRPr="00263158">
        <w:rPr>
          <w:color w:val="000000"/>
          <w:szCs w:val="22"/>
          <w:shd w:val="clear" w:color="auto" w:fill="FFFFFF"/>
        </w:rPr>
        <w:t>American Society for Testing and Materials Standard ASTM</w:t>
      </w:r>
      <w:r w:rsidRPr="00263158">
        <w:t xml:space="preserve"> F406</w:t>
      </w:r>
      <w:r w:rsidR="00263158">
        <w:noBreakHyphen/>
      </w:r>
      <w:r w:rsidR="0026157D" w:rsidRPr="00263158">
        <w:t>22</w:t>
      </w:r>
      <w:r w:rsidRPr="00263158">
        <w:t xml:space="preserve">, </w:t>
      </w:r>
      <w:r w:rsidRPr="00263158">
        <w:rPr>
          <w:i/>
        </w:rPr>
        <w:t>Standard Consumer Safety Specification for Non</w:t>
      </w:r>
      <w:r w:rsidR="00263158">
        <w:rPr>
          <w:i/>
        </w:rPr>
        <w:noBreakHyphen/>
      </w:r>
      <w:r w:rsidRPr="00263158">
        <w:rPr>
          <w:i/>
        </w:rPr>
        <w:t>Full</w:t>
      </w:r>
      <w:r w:rsidR="00263158">
        <w:rPr>
          <w:i/>
        </w:rPr>
        <w:noBreakHyphen/>
      </w:r>
      <w:r w:rsidRPr="00263158">
        <w:rPr>
          <w:i/>
        </w:rPr>
        <w:t>Size Baby Cribs/Play</w:t>
      </w:r>
      <w:r w:rsidR="00FC148B" w:rsidRPr="00263158">
        <w:rPr>
          <w:i/>
        </w:rPr>
        <w:t xml:space="preserve"> Yards</w:t>
      </w:r>
      <w:r w:rsidR="000E542E" w:rsidRPr="00263158">
        <w:t xml:space="preserve"> published by the American Society for Testing and Materials International</w:t>
      </w:r>
      <w:r w:rsidR="001F33ED" w:rsidRPr="00263158">
        <w:t>,</w:t>
      </w:r>
      <w:r w:rsidR="001F33ED" w:rsidRPr="00263158">
        <w:rPr>
          <w:i/>
        </w:rPr>
        <w:t xml:space="preserve"> </w:t>
      </w:r>
      <w:r w:rsidR="001F33ED" w:rsidRPr="00263158">
        <w:rPr>
          <w:color w:val="000000"/>
          <w:szCs w:val="22"/>
          <w:shd w:val="clear" w:color="auto" w:fill="FFFFFF"/>
        </w:rPr>
        <w:t xml:space="preserve">as in force or existing at the time when this </w:t>
      </w:r>
      <w:r w:rsidR="0048450A" w:rsidRPr="00263158">
        <w:t>instrument</w:t>
      </w:r>
      <w:r w:rsidR="001F33ED" w:rsidRPr="00263158">
        <w:rPr>
          <w:color w:val="000000"/>
          <w:szCs w:val="22"/>
          <w:shd w:val="clear" w:color="auto" w:fill="FFFFFF"/>
        </w:rPr>
        <w:t xml:space="preserve"> commences.</w:t>
      </w:r>
    </w:p>
    <w:p w14:paraId="1C0D1CCB" w14:textId="77777777" w:rsidR="0054730C" w:rsidRPr="00263158" w:rsidRDefault="006054AC" w:rsidP="0054730C">
      <w:pPr>
        <w:pStyle w:val="notetext"/>
      </w:pPr>
      <w:r w:rsidRPr="00263158">
        <w:t>Note:</w:t>
      </w:r>
      <w:r w:rsidRPr="00263158">
        <w:tab/>
        <w:t>The United States Standard Consumer Safety Specification for Non</w:t>
      </w:r>
      <w:r w:rsidR="00263158">
        <w:noBreakHyphen/>
      </w:r>
      <w:r w:rsidRPr="00263158">
        <w:t>Full</w:t>
      </w:r>
      <w:r w:rsidR="00263158">
        <w:noBreakHyphen/>
      </w:r>
      <w:r w:rsidRPr="00263158">
        <w:t>Size Baby Cribs/Play</w:t>
      </w:r>
      <w:r w:rsidR="007C5A29" w:rsidRPr="00263158">
        <w:t xml:space="preserve"> Yards</w:t>
      </w:r>
      <w:r w:rsidRPr="00263158">
        <w:t xml:space="preserve"> could in 202</w:t>
      </w:r>
      <w:r w:rsidR="00D83788" w:rsidRPr="00263158">
        <w:t>4</w:t>
      </w:r>
      <w:r w:rsidRPr="00263158">
        <w:t xml:space="preserve"> be purchased from ASTM International’s website (https://www.astm.org). The Australian Competition and Consumer Commission can make a copy of the standard available for viewing at one of its offices, subject to licensing conditions.</w:t>
      </w:r>
    </w:p>
    <w:p w14:paraId="3E164AEC" w14:textId="77777777" w:rsidR="00970413" w:rsidRPr="00263158" w:rsidRDefault="00320785" w:rsidP="00970413">
      <w:pPr>
        <w:pStyle w:val="ActHead2"/>
        <w:pageBreakBefore/>
      </w:pPr>
      <w:bookmarkStart w:id="19" w:name="_Toc169168217"/>
      <w:bookmarkEnd w:id="17"/>
      <w:r w:rsidRPr="00A06914">
        <w:rPr>
          <w:rStyle w:val="CharPartNo"/>
        </w:rPr>
        <w:t>Part 2</w:t>
      </w:r>
      <w:r w:rsidR="00970413" w:rsidRPr="00263158">
        <w:t>—</w:t>
      </w:r>
      <w:r w:rsidR="006651FB" w:rsidRPr="00A06914">
        <w:rPr>
          <w:rStyle w:val="CharPartText"/>
        </w:rPr>
        <w:t>Requirements during t</w:t>
      </w:r>
      <w:r w:rsidR="00604A23" w:rsidRPr="00A06914">
        <w:rPr>
          <w:rStyle w:val="CharPartText"/>
        </w:rPr>
        <w:t>he transitional period</w:t>
      </w:r>
      <w:bookmarkEnd w:id="19"/>
    </w:p>
    <w:p w14:paraId="78451BE5" w14:textId="77777777" w:rsidR="0013026F" w:rsidRPr="00A06914" w:rsidRDefault="0013026F" w:rsidP="0013026F">
      <w:pPr>
        <w:pStyle w:val="Header"/>
      </w:pPr>
      <w:r w:rsidRPr="00A06914">
        <w:rPr>
          <w:rStyle w:val="CharDivNo"/>
        </w:rPr>
        <w:t xml:space="preserve"> </w:t>
      </w:r>
      <w:r w:rsidRPr="00A06914">
        <w:rPr>
          <w:rStyle w:val="CharDivText"/>
        </w:rPr>
        <w:t xml:space="preserve"> </w:t>
      </w:r>
    </w:p>
    <w:p w14:paraId="0E4C0A12" w14:textId="77777777" w:rsidR="008364CA" w:rsidRPr="00263158" w:rsidRDefault="006F3925" w:rsidP="00B4341D">
      <w:pPr>
        <w:pStyle w:val="ActHead5"/>
      </w:pPr>
      <w:bookmarkStart w:id="20" w:name="_Toc169168218"/>
      <w:r w:rsidRPr="00A06914">
        <w:rPr>
          <w:rStyle w:val="CharSectno"/>
        </w:rPr>
        <w:t>7</w:t>
      </w:r>
      <w:r w:rsidR="000545A9" w:rsidRPr="00263158">
        <w:t xml:space="preserve">  </w:t>
      </w:r>
      <w:r w:rsidR="006651FB" w:rsidRPr="00263158">
        <w:t>During t</w:t>
      </w:r>
      <w:r w:rsidR="000545A9" w:rsidRPr="00263158">
        <w:t>he transitional period</w:t>
      </w:r>
      <w:r w:rsidR="00605BF5" w:rsidRPr="00263158">
        <w:t>—folding cots</w:t>
      </w:r>
      <w:bookmarkEnd w:id="20"/>
    </w:p>
    <w:p w14:paraId="162AFAFB" w14:textId="77777777" w:rsidR="00B4341D" w:rsidRPr="00263158" w:rsidRDefault="00B4341D" w:rsidP="00B4341D">
      <w:pPr>
        <w:pStyle w:val="subsection"/>
      </w:pPr>
      <w:r w:rsidRPr="00263158">
        <w:tab/>
      </w:r>
      <w:r w:rsidRPr="00263158">
        <w:tab/>
        <w:t>During the transitional period, an infant sleep product that is a folding cot must comply with</w:t>
      </w:r>
      <w:r w:rsidR="0013026F" w:rsidRPr="00263158">
        <w:t xml:space="preserve"> either</w:t>
      </w:r>
      <w:r w:rsidRPr="00263158">
        <w:t>:</w:t>
      </w:r>
    </w:p>
    <w:p w14:paraId="09EB29A2" w14:textId="77777777" w:rsidR="00C71B56" w:rsidRPr="00263158" w:rsidRDefault="00B4341D" w:rsidP="00B4341D">
      <w:pPr>
        <w:pStyle w:val="paragraph"/>
        <w:rPr>
          <w:color w:val="000000"/>
          <w:shd w:val="clear" w:color="auto" w:fill="FFFFFF"/>
        </w:rPr>
      </w:pPr>
      <w:r w:rsidRPr="00263158">
        <w:tab/>
        <w:t>(a)</w:t>
      </w:r>
      <w:r w:rsidRPr="00263158">
        <w:tab/>
      </w:r>
      <w:r w:rsidR="000545A9" w:rsidRPr="00263158">
        <w:t xml:space="preserve">the Consumer Product Safety Standard </w:t>
      </w:r>
      <w:r w:rsidR="00C71B56" w:rsidRPr="00263158">
        <w:t>f</w:t>
      </w:r>
      <w:r w:rsidR="000545A9" w:rsidRPr="00263158">
        <w:t>or Children’s Portable Folding Cots</w:t>
      </w:r>
      <w:r w:rsidR="00C71B56" w:rsidRPr="00263158">
        <w:t xml:space="preserve"> (</w:t>
      </w:r>
      <w:r w:rsidR="00C71B56" w:rsidRPr="00263158">
        <w:rPr>
          <w:color w:val="000000"/>
          <w:shd w:val="clear" w:color="auto" w:fill="FFFFFF"/>
        </w:rPr>
        <w:t>Consumer Protection Notice No. 4 of 2008)</w:t>
      </w:r>
      <w:r w:rsidR="000F333D" w:rsidRPr="00263158">
        <w:rPr>
          <w:color w:val="000000"/>
          <w:shd w:val="clear" w:color="auto" w:fill="FFFFFF"/>
        </w:rPr>
        <w:t xml:space="preserve"> </w:t>
      </w:r>
      <w:r w:rsidR="000F333D" w:rsidRPr="00263158">
        <w:t xml:space="preserve">as in force immediately before the commencement of this </w:t>
      </w:r>
      <w:r w:rsidR="007C5A29" w:rsidRPr="00263158">
        <w:t>instrument</w:t>
      </w:r>
      <w:r w:rsidR="00C71B56" w:rsidRPr="00263158">
        <w:rPr>
          <w:color w:val="000000"/>
          <w:shd w:val="clear" w:color="auto" w:fill="FFFFFF"/>
        </w:rPr>
        <w:t>; or</w:t>
      </w:r>
    </w:p>
    <w:p w14:paraId="1DA8D30B" w14:textId="77777777" w:rsidR="00CE56E9" w:rsidRPr="00263158" w:rsidRDefault="00C71B56" w:rsidP="00605BF5">
      <w:pPr>
        <w:pStyle w:val="paragraph"/>
        <w:rPr>
          <w:color w:val="000000"/>
          <w:shd w:val="clear" w:color="auto" w:fill="FFFFFF"/>
        </w:rPr>
      </w:pPr>
      <w:r w:rsidRPr="00263158">
        <w:rPr>
          <w:color w:val="000000"/>
          <w:shd w:val="clear" w:color="auto" w:fill="FFFFFF"/>
        </w:rPr>
        <w:tab/>
        <w:t>(</w:t>
      </w:r>
      <w:r w:rsidR="00B4341D" w:rsidRPr="00263158">
        <w:rPr>
          <w:color w:val="000000"/>
          <w:shd w:val="clear" w:color="auto" w:fill="FFFFFF"/>
        </w:rPr>
        <w:t>b</w:t>
      </w:r>
      <w:r w:rsidRPr="00263158">
        <w:rPr>
          <w:color w:val="000000"/>
          <w:shd w:val="clear" w:color="auto" w:fill="FFFFFF"/>
        </w:rPr>
        <w:t>)</w:t>
      </w:r>
      <w:r w:rsidRPr="00263158">
        <w:rPr>
          <w:color w:val="000000"/>
          <w:shd w:val="clear" w:color="auto" w:fill="FFFFFF"/>
        </w:rPr>
        <w:tab/>
      </w:r>
      <w:r w:rsidR="00CE56E9" w:rsidRPr="00263158">
        <w:rPr>
          <w:color w:val="000000"/>
          <w:shd w:val="clear" w:color="auto" w:fill="FFFFFF"/>
        </w:rPr>
        <w:t>both:</w:t>
      </w:r>
    </w:p>
    <w:p w14:paraId="70B50065" w14:textId="77777777" w:rsidR="00CE56E9" w:rsidRPr="00263158" w:rsidRDefault="00CE56E9" w:rsidP="00CE56E9">
      <w:pPr>
        <w:pStyle w:val="paragraphsub"/>
      </w:pPr>
      <w:r w:rsidRPr="00263158">
        <w:tab/>
        <w:t>(</w:t>
      </w:r>
      <w:proofErr w:type="spellStart"/>
      <w:r w:rsidRPr="00263158">
        <w:t>i</w:t>
      </w:r>
      <w:proofErr w:type="spellEnd"/>
      <w:r w:rsidRPr="00263158">
        <w:t>)</w:t>
      </w:r>
      <w:r w:rsidRPr="00263158">
        <w:tab/>
        <w:t xml:space="preserve">the requirements in </w:t>
      </w:r>
      <w:r w:rsidR="00D559EA" w:rsidRPr="00263158">
        <w:t>Division 2</w:t>
      </w:r>
      <w:r w:rsidR="00C21132" w:rsidRPr="00263158">
        <w:t xml:space="preserve"> of </w:t>
      </w:r>
      <w:r w:rsidR="00284249" w:rsidRPr="00263158">
        <w:t>Part 3</w:t>
      </w:r>
      <w:r w:rsidR="00B64EE1" w:rsidRPr="00263158">
        <w:t xml:space="preserve"> </w:t>
      </w:r>
      <w:r w:rsidR="00605BF5" w:rsidRPr="00263158">
        <w:t>(general requirements)</w:t>
      </w:r>
      <w:r w:rsidR="00D6167E" w:rsidRPr="00263158">
        <w:t xml:space="preserve"> of this instrument</w:t>
      </w:r>
      <w:r w:rsidRPr="00263158">
        <w:t>;</w:t>
      </w:r>
      <w:r w:rsidR="00605BF5" w:rsidRPr="00263158">
        <w:t xml:space="preserve"> and</w:t>
      </w:r>
    </w:p>
    <w:p w14:paraId="6ADD13C2" w14:textId="77777777" w:rsidR="00B4341D" w:rsidRPr="00263158" w:rsidRDefault="00CE56E9" w:rsidP="00CE56E9">
      <w:pPr>
        <w:pStyle w:val="paragraphsub"/>
      </w:pPr>
      <w:r w:rsidRPr="00263158">
        <w:tab/>
        <w:t>(ii)</w:t>
      </w:r>
      <w:r w:rsidRPr="00263158">
        <w:tab/>
      </w:r>
      <w:r w:rsidR="00605BF5" w:rsidRPr="00263158">
        <w:t xml:space="preserve">if the folding cot is a folding cot to which </w:t>
      </w:r>
      <w:r w:rsidR="00C21132" w:rsidRPr="00263158">
        <w:t xml:space="preserve">Subdivision B of </w:t>
      </w:r>
      <w:r w:rsidR="00EB67FE" w:rsidRPr="00263158">
        <w:t>Division 3</w:t>
      </w:r>
      <w:r w:rsidR="00C21132" w:rsidRPr="00263158">
        <w:t xml:space="preserve"> of </w:t>
      </w:r>
      <w:r w:rsidR="00284249" w:rsidRPr="00263158">
        <w:t>Part 3</w:t>
      </w:r>
      <w:r w:rsidR="00C21132" w:rsidRPr="00263158">
        <w:t xml:space="preserve"> </w:t>
      </w:r>
      <w:r w:rsidR="0028578F" w:rsidRPr="00263158">
        <w:t xml:space="preserve">(specific requirements) </w:t>
      </w:r>
      <w:r w:rsidR="0097109D" w:rsidRPr="00263158">
        <w:t xml:space="preserve">of this instrument </w:t>
      </w:r>
      <w:r w:rsidR="00605BF5" w:rsidRPr="00263158">
        <w:t>applies</w:t>
      </w:r>
      <w:r w:rsidR="00A119FB" w:rsidRPr="00263158">
        <w:t>—</w:t>
      </w:r>
      <w:r w:rsidR="00605BF5" w:rsidRPr="00263158">
        <w:t xml:space="preserve">the requirements in </w:t>
      </w:r>
      <w:r w:rsidR="004076D8" w:rsidRPr="00263158">
        <w:t>that Subdivision</w:t>
      </w:r>
      <w:r w:rsidR="00605BF5" w:rsidRPr="00263158">
        <w:t>.</w:t>
      </w:r>
    </w:p>
    <w:p w14:paraId="3E4BD710" w14:textId="77777777" w:rsidR="00B11826" w:rsidRPr="00263158" w:rsidRDefault="00B11826" w:rsidP="00B11826">
      <w:pPr>
        <w:pStyle w:val="notetext"/>
      </w:pPr>
      <w:r w:rsidRPr="00263158">
        <w:t>Note</w:t>
      </w:r>
      <w:r w:rsidR="00AE6F64" w:rsidRPr="00263158">
        <w:t xml:space="preserve"> 1</w:t>
      </w:r>
      <w:r w:rsidRPr="00263158">
        <w:t>:</w:t>
      </w:r>
      <w:r w:rsidR="00EB67FE" w:rsidRPr="00263158">
        <w:tab/>
      </w:r>
      <w:r w:rsidR="00225B2B" w:rsidRPr="00263158">
        <w:t>A</w:t>
      </w:r>
      <w:r w:rsidR="00F45448" w:rsidRPr="00263158">
        <w:t xml:space="preserve">n infant sleep product that is not </w:t>
      </w:r>
      <w:r w:rsidR="004C372E" w:rsidRPr="00263158">
        <w:t xml:space="preserve">a </w:t>
      </w:r>
      <w:r w:rsidR="00F45448" w:rsidRPr="00263158">
        <w:t>folding cot or a household cot does not need to comply with any requirements during the transitional period.</w:t>
      </w:r>
    </w:p>
    <w:p w14:paraId="7E8655B4" w14:textId="77777777" w:rsidR="00AE6F64" w:rsidRPr="00263158" w:rsidRDefault="00AE6F64" w:rsidP="00B11826">
      <w:pPr>
        <w:pStyle w:val="notetext"/>
      </w:pPr>
      <w:r w:rsidRPr="00263158">
        <w:t>Note 2:</w:t>
      </w:r>
      <w:r w:rsidRPr="00263158">
        <w:tab/>
        <w:t>The Consumer Product Safety Standard for Children’s Portable Folding Cots (</w:t>
      </w:r>
      <w:r w:rsidRPr="00263158">
        <w:rPr>
          <w:color w:val="000000"/>
          <w:shd w:val="clear" w:color="auto" w:fill="FFFFFF"/>
        </w:rPr>
        <w:t>Consumer Protection Notice No. 4 of 2008)</w:t>
      </w:r>
      <w:r w:rsidRPr="00263158">
        <w:t xml:space="preserve"> could in 202</w:t>
      </w:r>
      <w:r w:rsidR="00D83788" w:rsidRPr="00263158">
        <w:t>4</w:t>
      </w:r>
      <w:r w:rsidRPr="00263158">
        <w:t xml:space="preserve"> be viewed on the Federal Register of Legislation website (https://www.legislation.gov.au).</w:t>
      </w:r>
    </w:p>
    <w:p w14:paraId="0292D2E1" w14:textId="77777777" w:rsidR="00731D3E" w:rsidRPr="00263158" w:rsidRDefault="006F3925" w:rsidP="00731D3E">
      <w:pPr>
        <w:pStyle w:val="ActHead5"/>
      </w:pPr>
      <w:bookmarkStart w:id="21" w:name="_Toc169168219"/>
      <w:r w:rsidRPr="00A06914">
        <w:rPr>
          <w:rStyle w:val="CharSectno"/>
        </w:rPr>
        <w:t>8</w:t>
      </w:r>
      <w:r w:rsidR="00731D3E" w:rsidRPr="00263158">
        <w:t xml:space="preserve">  </w:t>
      </w:r>
      <w:r w:rsidR="006651FB" w:rsidRPr="00263158">
        <w:t>During t</w:t>
      </w:r>
      <w:r w:rsidR="00731D3E" w:rsidRPr="00263158">
        <w:t>he transitional period—household cots</w:t>
      </w:r>
      <w:bookmarkEnd w:id="21"/>
    </w:p>
    <w:p w14:paraId="55B0B836" w14:textId="77777777" w:rsidR="00731D3E" w:rsidRPr="00263158" w:rsidRDefault="00731D3E" w:rsidP="00731D3E">
      <w:pPr>
        <w:pStyle w:val="subsection"/>
      </w:pPr>
      <w:r w:rsidRPr="00263158">
        <w:tab/>
      </w:r>
      <w:r w:rsidRPr="00263158">
        <w:tab/>
        <w:t>During the transitional period, an infant sleep product that is a household cot must comply with either:</w:t>
      </w:r>
    </w:p>
    <w:p w14:paraId="7797CB7B" w14:textId="77777777" w:rsidR="00731D3E" w:rsidRPr="00263158" w:rsidRDefault="00731D3E" w:rsidP="00731D3E">
      <w:pPr>
        <w:pStyle w:val="paragraph"/>
      </w:pPr>
      <w:r w:rsidRPr="00263158">
        <w:tab/>
        <w:t>(a)</w:t>
      </w:r>
      <w:r w:rsidRPr="00263158">
        <w:tab/>
        <w:t xml:space="preserve">the Consumer Product Safety Standard: Children’s Household Cots (Consumer Protection Notice No. 6 of 2005), as in force immediately before the commencement of this </w:t>
      </w:r>
      <w:r w:rsidR="007C5A29" w:rsidRPr="00263158">
        <w:t>instrument</w:t>
      </w:r>
      <w:r w:rsidRPr="00263158">
        <w:t>; or</w:t>
      </w:r>
    </w:p>
    <w:p w14:paraId="156612B1" w14:textId="77777777" w:rsidR="00731D3E" w:rsidRPr="00263158" w:rsidRDefault="00731D3E" w:rsidP="00731D3E">
      <w:pPr>
        <w:pStyle w:val="paragraph"/>
      </w:pPr>
      <w:r w:rsidRPr="00263158">
        <w:tab/>
        <w:t>(b)</w:t>
      </w:r>
      <w:r w:rsidRPr="00263158">
        <w:tab/>
        <w:t>both</w:t>
      </w:r>
      <w:r w:rsidR="00284249" w:rsidRPr="00263158">
        <w:t>:</w:t>
      </w:r>
    </w:p>
    <w:p w14:paraId="07E7BE16" w14:textId="77777777" w:rsidR="00731D3E" w:rsidRPr="00263158" w:rsidRDefault="00731D3E" w:rsidP="00731D3E">
      <w:pPr>
        <w:pStyle w:val="paragraphsub"/>
      </w:pPr>
      <w:r w:rsidRPr="00263158">
        <w:tab/>
        <w:t>(</w:t>
      </w:r>
      <w:proofErr w:type="spellStart"/>
      <w:r w:rsidRPr="00263158">
        <w:t>i</w:t>
      </w:r>
      <w:proofErr w:type="spellEnd"/>
      <w:r w:rsidRPr="00263158">
        <w:t>)</w:t>
      </w:r>
      <w:r w:rsidRPr="00263158">
        <w:tab/>
        <w:t xml:space="preserve">the requirements in </w:t>
      </w:r>
      <w:r w:rsidR="00D559EA" w:rsidRPr="00263158">
        <w:t>Division 2</w:t>
      </w:r>
      <w:r w:rsidR="00FC0C8F" w:rsidRPr="00263158">
        <w:t xml:space="preserve"> of </w:t>
      </w:r>
      <w:r w:rsidR="00284249" w:rsidRPr="00263158">
        <w:t>Part 3</w:t>
      </w:r>
      <w:r w:rsidRPr="00263158">
        <w:t xml:space="preserve"> (general requirements)</w:t>
      </w:r>
      <w:r w:rsidR="0097109D" w:rsidRPr="00263158">
        <w:t xml:space="preserve"> of this instrument</w:t>
      </w:r>
      <w:r w:rsidRPr="00263158">
        <w:t>; and</w:t>
      </w:r>
    </w:p>
    <w:p w14:paraId="607404CB" w14:textId="77777777" w:rsidR="00731D3E" w:rsidRPr="00263158" w:rsidRDefault="00731D3E" w:rsidP="00731D3E">
      <w:pPr>
        <w:pStyle w:val="paragraphsub"/>
      </w:pPr>
      <w:r w:rsidRPr="00263158">
        <w:tab/>
        <w:t>(ii)</w:t>
      </w:r>
      <w:r w:rsidRPr="00263158">
        <w:tab/>
        <w:t xml:space="preserve">if the household cot is a household cot to which </w:t>
      </w:r>
      <w:r w:rsidR="00FC0C8F" w:rsidRPr="00263158">
        <w:t xml:space="preserve">Subdivision C of </w:t>
      </w:r>
      <w:r w:rsidR="00EB67FE" w:rsidRPr="00263158">
        <w:t>Division 3</w:t>
      </w:r>
      <w:r w:rsidR="00FC0C8F" w:rsidRPr="00263158">
        <w:t xml:space="preserve"> of </w:t>
      </w:r>
      <w:r w:rsidR="00284249" w:rsidRPr="00263158">
        <w:t>Part 3</w:t>
      </w:r>
      <w:r w:rsidR="008A240C" w:rsidRPr="00263158">
        <w:t xml:space="preserve"> (specific requirements)</w:t>
      </w:r>
      <w:r w:rsidR="00FC0C8F" w:rsidRPr="00263158">
        <w:t xml:space="preserve"> </w:t>
      </w:r>
      <w:r w:rsidR="0097109D" w:rsidRPr="00263158">
        <w:t xml:space="preserve">of this instrument </w:t>
      </w:r>
      <w:r w:rsidRPr="00263158">
        <w:t xml:space="preserve">applies—the requirements in </w:t>
      </w:r>
      <w:r w:rsidR="004076D8" w:rsidRPr="00263158">
        <w:t>that Subdivision</w:t>
      </w:r>
      <w:r w:rsidRPr="00263158">
        <w:t>.</w:t>
      </w:r>
    </w:p>
    <w:p w14:paraId="5DE8BF6E" w14:textId="77777777" w:rsidR="00F45448" w:rsidRPr="00263158" w:rsidRDefault="00F45448" w:rsidP="00F45448">
      <w:pPr>
        <w:pStyle w:val="notetext"/>
      </w:pPr>
      <w:r w:rsidRPr="00263158">
        <w:t>Note</w:t>
      </w:r>
      <w:r w:rsidR="00AE6F64" w:rsidRPr="00263158">
        <w:t xml:space="preserve"> 1</w:t>
      </w:r>
      <w:r w:rsidRPr="00263158">
        <w:t>:</w:t>
      </w:r>
      <w:r w:rsidR="00EB67FE" w:rsidRPr="00263158">
        <w:tab/>
      </w:r>
      <w:r w:rsidR="00225B2B" w:rsidRPr="00263158">
        <w:t>A</w:t>
      </w:r>
      <w:r w:rsidRPr="00263158">
        <w:t xml:space="preserve">n infant sleep product that is not </w:t>
      </w:r>
      <w:r w:rsidR="004C372E" w:rsidRPr="00263158">
        <w:t xml:space="preserve">a </w:t>
      </w:r>
      <w:r w:rsidRPr="00263158">
        <w:t>folding cot or a household cot does not need to comply with any requirements during the transitional period.</w:t>
      </w:r>
    </w:p>
    <w:p w14:paraId="4504B714" w14:textId="77777777" w:rsidR="00AE6F64" w:rsidRPr="00263158" w:rsidRDefault="00AE6F64" w:rsidP="00F45448">
      <w:pPr>
        <w:pStyle w:val="notetext"/>
      </w:pPr>
      <w:r w:rsidRPr="00263158">
        <w:t>Note 2:</w:t>
      </w:r>
      <w:r w:rsidRPr="00263158">
        <w:tab/>
        <w:t>The Consumer Product Safety Standard: Children’s Household Cots (Consumer Protection Notice No. 6 of 2005) could in 202</w:t>
      </w:r>
      <w:r w:rsidR="00D83788" w:rsidRPr="00263158">
        <w:t>4</w:t>
      </w:r>
      <w:r w:rsidRPr="00263158">
        <w:t xml:space="preserve"> be viewed on the Federal Register of Legislation website (https://www.legislation.gov.au).</w:t>
      </w:r>
    </w:p>
    <w:p w14:paraId="60F0451E" w14:textId="77777777" w:rsidR="006651FB" w:rsidRPr="00263158" w:rsidRDefault="006F3925" w:rsidP="006651FB">
      <w:pPr>
        <w:pStyle w:val="ActHead5"/>
      </w:pPr>
      <w:bookmarkStart w:id="22" w:name="_Toc169168220"/>
      <w:r w:rsidRPr="00A06914">
        <w:rPr>
          <w:rStyle w:val="CharSectno"/>
        </w:rPr>
        <w:t>9</w:t>
      </w:r>
      <w:r w:rsidR="006651FB" w:rsidRPr="00263158">
        <w:t xml:space="preserve">  Repeal </w:t>
      </w:r>
      <w:r w:rsidR="00557C4D" w:rsidRPr="00263158">
        <w:t>of this Part</w:t>
      </w:r>
      <w:bookmarkEnd w:id="22"/>
    </w:p>
    <w:p w14:paraId="7C987B58" w14:textId="77777777" w:rsidR="006651FB" w:rsidRPr="00263158" w:rsidRDefault="006651FB" w:rsidP="006651FB">
      <w:pPr>
        <w:pStyle w:val="subsection"/>
      </w:pPr>
      <w:r w:rsidRPr="00263158">
        <w:tab/>
      </w:r>
      <w:r w:rsidRPr="00263158">
        <w:tab/>
        <w:t xml:space="preserve">This </w:t>
      </w:r>
      <w:r w:rsidR="007B00E0" w:rsidRPr="00263158">
        <w:t>Part i</w:t>
      </w:r>
      <w:r w:rsidRPr="00263158">
        <w:t>s repealed at the end of the last day of the transitional period.</w:t>
      </w:r>
    </w:p>
    <w:p w14:paraId="00C0CAF2" w14:textId="77777777" w:rsidR="00731D3E" w:rsidRPr="00263158" w:rsidRDefault="00284249" w:rsidP="00731D3E">
      <w:pPr>
        <w:pStyle w:val="ActHead2"/>
        <w:pageBreakBefore/>
      </w:pPr>
      <w:bookmarkStart w:id="23" w:name="_Toc169168221"/>
      <w:r w:rsidRPr="00A06914">
        <w:rPr>
          <w:rStyle w:val="CharPartNo"/>
        </w:rPr>
        <w:t>Part 3</w:t>
      </w:r>
      <w:r w:rsidR="00731D3E" w:rsidRPr="00263158">
        <w:t>—</w:t>
      </w:r>
      <w:r w:rsidR="006651FB" w:rsidRPr="00A06914">
        <w:rPr>
          <w:rStyle w:val="CharPartText"/>
        </w:rPr>
        <w:t>Requirements after the transitional period</w:t>
      </w:r>
      <w:bookmarkEnd w:id="23"/>
    </w:p>
    <w:p w14:paraId="7F364FA5" w14:textId="77777777" w:rsidR="00C47AE2" w:rsidRPr="00263158" w:rsidRDefault="00284249" w:rsidP="00C47AE2">
      <w:pPr>
        <w:pStyle w:val="ActHead3"/>
      </w:pPr>
      <w:bookmarkStart w:id="24" w:name="_Toc169168222"/>
      <w:r w:rsidRPr="00A06914">
        <w:rPr>
          <w:rStyle w:val="CharDivNo"/>
        </w:rPr>
        <w:t>Division 1</w:t>
      </w:r>
      <w:r w:rsidR="00C47AE2" w:rsidRPr="00263158">
        <w:t>—</w:t>
      </w:r>
      <w:r w:rsidR="00C47AE2" w:rsidRPr="00A06914">
        <w:rPr>
          <w:rStyle w:val="CharDivText"/>
        </w:rPr>
        <w:t>Requirements after the transitional period</w:t>
      </w:r>
      <w:bookmarkEnd w:id="24"/>
    </w:p>
    <w:p w14:paraId="619A73D0" w14:textId="77777777" w:rsidR="00731D3E" w:rsidRPr="00263158" w:rsidRDefault="006F3925" w:rsidP="006651FB">
      <w:pPr>
        <w:pStyle w:val="ActHead5"/>
      </w:pPr>
      <w:bookmarkStart w:id="25" w:name="_Toc169168223"/>
      <w:r w:rsidRPr="00A06914">
        <w:rPr>
          <w:rStyle w:val="CharSectno"/>
        </w:rPr>
        <w:t>10</w:t>
      </w:r>
      <w:r w:rsidR="006651FB" w:rsidRPr="00263158">
        <w:t xml:space="preserve">  After the transitional period—folding cots</w:t>
      </w:r>
      <w:bookmarkEnd w:id="25"/>
    </w:p>
    <w:p w14:paraId="7D59D624" w14:textId="77777777" w:rsidR="00B64EE1" w:rsidRPr="00263158" w:rsidRDefault="00B64EE1" w:rsidP="00B64EE1">
      <w:pPr>
        <w:pStyle w:val="subsection"/>
      </w:pPr>
      <w:r w:rsidRPr="00263158">
        <w:tab/>
      </w:r>
      <w:r w:rsidRPr="00263158">
        <w:tab/>
        <w:t>After the transitional period, an infant sleep product that is a folding cot must comply with</w:t>
      </w:r>
      <w:r w:rsidR="0013026F" w:rsidRPr="00263158">
        <w:t xml:space="preserve"> both</w:t>
      </w:r>
      <w:r w:rsidRPr="00263158">
        <w:t>:</w:t>
      </w:r>
    </w:p>
    <w:p w14:paraId="7A790C46" w14:textId="77777777" w:rsidR="00B64EE1" w:rsidRPr="00263158" w:rsidRDefault="00B64EE1" w:rsidP="00B64EE1">
      <w:pPr>
        <w:pStyle w:val="paragraph"/>
      </w:pPr>
      <w:r w:rsidRPr="00263158">
        <w:tab/>
        <w:t>(a)</w:t>
      </w:r>
      <w:r w:rsidRPr="00263158">
        <w:tab/>
        <w:t xml:space="preserve">the requirements in </w:t>
      </w:r>
      <w:r w:rsidR="00D559EA" w:rsidRPr="00263158">
        <w:t>Division 2</w:t>
      </w:r>
      <w:r w:rsidRPr="00263158">
        <w:t xml:space="preserve"> (general requirements); and</w:t>
      </w:r>
    </w:p>
    <w:p w14:paraId="10D8DA89" w14:textId="77777777" w:rsidR="00B64EE1" w:rsidRPr="00263158" w:rsidRDefault="00B64EE1" w:rsidP="00B64EE1">
      <w:pPr>
        <w:pStyle w:val="paragraph"/>
      </w:pPr>
      <w:r w:rsidRPr="00263158">
        <w:tab/>
        <w:t>(b)</w:t>
      </w:r>
      <w:r w:rsidRPr="00263158">
        <w:tab/>
        <w:t xml:space="preserve">if the folding cot is a </w:t>
      </w:r>
      <w:r w:rsidR="00A9302C" w:rsidRPr="00263158">
        <w:t>folding</w:t>
      </w:r>
      <w:r w:rsidRPr="00263158">
        <w:t xml:space="preserve"> cot to which </w:t>
      </w:r>
      <w:r w:rsidR="00C21132" w:rsidRPr="00263158">
        <w:t xml:space="preserve">Subdivision B of </w:t>
      </w:r>
      <w:r w:rsidR="00EB67FE" w:rsidRPr="00263158">
        <w:t>Division 3</w:t>
      </w:r>
      <w:r w:rsidRPr="00263158">
        <w:t xml:space="preserve"> applies—the requirements in </w:t>
      </w:r>
      <w:r w:rsidR="00225B2B" w:rsidRPr="00263158">
        <w:t>that Subdivision</w:t>
      </w:r>
      <w:r w:rsidRPr="00263158">
        <w:t xml:space="preserve"> (specific requirements).</w:t>
      </w:r>
    </w:p>
    <w:p w14:paraId="6A446C0B" w14:textId="77777777" w:rsidR="00605BF5" w:rsidRPr="00263158" w:rsidRDefault="006F3925" w:rsidP="006651FB">
      <w:pPr>
        <w:pStyle w:val="ActHead5"/>
      </w:pPr>
      <w:bookmarkStart w:id="26" w:name="_Toc169168224"/>
      <w:r w:rsidRPr="00A06914">
        <w:rPr>
          <w:rStyle w:val="CharSectno"/>
        </w:rPr>
        <w:t>11</w:t>
      </w:r>
      <w:r w:rsidR="006651FB" w:rsidRPr="00263158">
        <w:t xml:space="preserve">  After the transitional period—household cots</w:t>
      </w:r>
      <w:bookmarkEnd w:id="26"/>
    </w:p>
    <w:p w14:paraId="5DF1DDA0" w14:textId="77777777" w:rsidR="008B2E77" w:rsidRPr="00263158" w:rsidRDefault="005809DC" w:rsidP="005809DC">
      <w:pPr>
        <w:pStyle w:val="SubsectionHead"/>
      </w:pPr>
      <w:r w:rsidRPr="00263158">
        <w:t>General rule</w:t>
      </w:r>
    </w:p>
    <w:p w14:paraId="22D03817" w14:textId="77777777" w:rsidR="00605BF5" w:rsidRPr="00263158" w:rsidRDefault="008A1B83" w:rsidP="00605BF5">
      <w:pPr>
        <w:pStyle w:val="subsection"/>
      </w:pPr>
      <w:r w:rsidRPr="00263158">
        <w:tab/>
      </w:r>
      <w:r w:rsidR="00893A01" w:rsidRPr="00263158">
        <w:t>(1)</w:t>
      </w:r>
      <w:r w:rsidRPr="00263158">
        <w:tab/>
      </w:r>
      <w:r w:rsidR="00605BF5" w:rsidRPr="00263158">
        <w:t>After the transitional period, an infant sleep product that is a household cot must comply with</w:t>
      </w:r>
      <w:r w:rsidR="0013026F" w:rsidRPr="00263158">
        <w:t xml:space="preserve"> both</w:t>
      </w:r>
      <w:r w:rsidR="00605BF5" w:rsidRPr="00263158">
        <w:t>:</w:t>
      </w:r>
    </w:p>
    <w:p w14:paraId="29049297" w14:textId="77777777" w:rsidR="00605BF5" w:rsidRPr="00263158" w:rsidRDefault="00605BF5" w:rsidP="00605BF5">
      <w:pPr>
        <w:pStyle w:val="paragraph"/>
      </w:pPr>
      <w:r w:rsidRPr="00263158">
        <w:tab/>
        <w:t>(a)</w:t>
      </w:r>
      <w:r w:rsidRPr="00263158">
        <w:tab/>
        <w:t xml:space="preserve">the requirements in </w:t>
      </w:r>
      <w:r w:rsidR="00D559EA" w:rsidRPr="00263158">
        <w:t>Division 2</w:t>
      </w:r>
      <w:r w:rsidRPr="00263158">
        <w:t xml:space="preserve"> (general requirements); and</w:t>
      </w:r>
    </w:p>
    <w:p w14:paraId="2F78623B" w14:textId="77777777" w:rsidR="006651FB" w:rsidRPr="00263158" w:rsidRDefault="00605BF5" w:rsidP="00605BF5">
      <w:pPr>
        <w:pStyle w:val="paragraph"/>
      </w:pPr>
      <w:r w:rsidRPr="00263158">
        <w:tab/>
        <w:t>(b)</w:t>
      </w:r>
      <w:r w:rsidRPr="00263158">
        <w:tab/>
        <w:t xml:space="preserve">if the household cot is a household cot to which </w:t>
      </w:r>
      <w:r w:rsidR="00C21132" w:rsidRPr="00263158">
        <w:t>Subd</w:t>
      </w:r>
      <w:r w:rsidR="00100A47" w:rsidRPr="00263158">
        <w:t>ivision </w:t>
      </w:r>
      <w:r w:rsidR="00C21132" w:rsidRPr="00263158">
        <w:t>C</w:t>
      </w:r>
      <w:r w:rsidRPr="00263158">
        <w:t xml:space="preserve"> of </w:t>
      </w:r>
      <w:r w:rsidR="00EB67FE" w:rsidRPr="00263158">
        <w:t>Division 3</w:t>
      </w:r>
      <w:r w:rsidRPr="00263158">
        <w:t xml:space="preserve"> applies—the requirements in </w:t>
      </w:r>
      <w:r w:rsidR="00225B2B" w:rsidRPr="00263158">
        <w:t>that Subdivision</w:t>
      </w:r>
      <w:r w:rsidRPr="00263158">
        <w:t xml:space="preserve"> (specific requirements).</w:t>
      </w:r>
    </w:p>
    <w:p w14:paraId="385D2DD4" w14:textId="77777777" w:rsidR="00092DB0" w:rsidRPr="00263158" w:rsidRDefault="005809DC" w:rsidP="007B42D0">
      <w:pPr>
        <w:pStyle w:val="SubsectionHead"/>
      </w:pPr>
      <w:r w:rsidRPr="00263158">
        <w:t>Exception—</w:t>
      </w:r>
      <w:r w:rsidR="005B4CAD" w:rsidRPr="00263158">
        <w:t>a</w:t>
      </w:r>
      <w:r w:rsidR="00092DB0" w:rsidRPr="00263158">
        <w:t>ntique or collectable cots</w:t>
      </w:r>
    </w:p>
    <w:p w14:paraId="69B3E0ED" w14:textId="77777777" w:rsidR="00092DB0" w:rsidRPr="00263158" w:rsidRDefault="00092DB0" w:rsidP="00092DB0">
      <w:pPr>
        <w:pStyle w:val="subsection"/>
      </w:pPr>
      <w:r w:rsidRPr="00263158">
        <w:tab/>
      </w:r>
      <w:r w:rsidR="00A9302C" w:rsidRPr="00263158">
        <w:t>(2)</w:t>
      </w:r>
      <w:r w:rsidR="00A9302C" w:rsidRPr="00263158">
        <w:tab/>
        <w:t xml:space="preserve">However, </w:t>
      </w:r>
      <w:r w:rsidRPr="00263158">
        <w:t xml:space="preserve">a household cot that is an antique or collectable cot that complies with the requirements in </w:t>
      </w:r>
      <w:r w:rsidR="002B4500" w:rsidRPr="00263158">
        <w:t>subsection (</w:t>
      </w:r>
      <w:r w:rsidRPr="00263158">
        <w:t>3) does not need to comply with</w:t>
      </w:r>
      <w:r w:rsidR="007B42D0" w:rsidRPr="00263158">
        <w:t>:</w:t>
      </w:r>
    </w:p>
    <w:p w14:paraId="34C8C5CE" w14:textId="77777777" w:rsidR="007B42D0" w:rsidRPr="00263158" w:rsidRDefault="007B42D0" w:rsidP="007B42D0">
      <w:pPr>
        <w:pStyle w:val="paragraph"/>
      </w:pPr>
      <w:r w:rsidRPr="00263158">
        <w:tab/>
        <w:t>(a)</w:t>
      </w:r>
      <w:r w:rsidRPr="00263158">
        <w:tab/>
        <w:t>the requirements in Division 2 (general requirements); or</w:t>
      </w:r>
    </w:p>
    <w:p w14:paraId="15594448" w14:textId="77777777" w:rsidR="007B42D0" w:rsidRPr="00263158" w:rsidRDefault="007B42D0" w:rsidP="007B42D0">
      <w:pPr>
        <w:pStyle w:val="paragraph"/>
      </w:pPr>
      <w:r w:rsidRPr="00263158">
        <w:tab/>
        <w:t>(b)</w:t>
      </w:r>
      <w:r w:rsidRPr="00263158">
        <w:tab/>
        <w:t>the requirements in Subdivision C of Division 3 (specific requirements);</w:t>
      </w:r>
    </w:p>
    <w:p w14:paraId="1C9D4CD5" w14:textId="77777777" w:rsidR="007B42D0" w:rsidRPr="00263158" w:rsidRDefault="007B42D0" w:rsidP="007B42D0">
      <w:pPr>
        <w:pStyle w:val="subsection2"/>
      </w:pPr>
      <w:r w:rsidRPr="00263158">
        <w:t>after the transitional period.</w:t>
      </w:r>
    </w:p>
    <w:p w14:paraId="59995694" w14:textId="77777777" w:rsidR="00092DB0" w:rsidRPr="00263158" w:rsidRDefault="00092DB0" w:rsidP="00092DB0">
      <w:pPr>
        <w:pStyle w:val="subsection"/>
      </w:pPr>
      <w:r w:rsidRPr="00263158">
        <w:tab/>
        <w:t>(3)</w:t>
      </w:r>
      <w:r w:rsidRPr="00263158">
        <w:tab/>
        <w:t>An antique or collectable cot complies with the requirements of this subsection if the cot:</w:t>
      </w:r>
    </w:p>
    <w:p w14:paraId="6A9B4561" w14:textId="77777777" w:rsidR="00092DB0" w:rsidRPr="00703E0E" w:rsidRDefault="00092DB0" w:rsidP="00092DB0">
      <w:pPr>
        <w:pStyle w:val="paragraph"/>
      </w:pPr>
      <w:r w:rsidRPr="00263158">
        <w:tab/>
        <w:t>(a)</w:t>
      </w:r>
      <w:r w:rsidRPr="00263158">
        <w:tab/>
        <w:t>is supplied, or offered for supply, other than for use as a sleeping facility for a child; and</w:t>
      </w:r>
    </w:p>
    <w:p w14:paraId="61C17D5E" w14:textId="77777777" w:rsidR="00092DB0" w:rsidRPr="00263158" w:rsidRDefault="00092DB0" w:rsidP="00092DB0">
      <w:pPr>
        <w:pStyle w:val="paragraph"/>
      </w:pPr>
      <w:r w:rsidRPr="00263158">
        <w:tab/>
        <w:t>(b)</w:t>
      </w:r>
      <w:r w:rsidRPr="00263158">
        <w:tab/>
        <w:t xml:space="preserve">has a clearly legible and prominent warning statement described in </w:t>
      </w:r>
      <w:r w:rsidR="002B4500" w:rsidRPr="00263158">
        <w:t>subsection (</w:t>
      </w:r>
      <w:r w:rsidRPr="00263158">
        <w:t>4) permanently attached to the cot.</w:t>
      </w:r>
    </w:p>
    <w:p w14:paraId="56F364E6" w14:textId="77777777" w:rsidR="00092DB0" w:rsidRPr="00263158" w:rsidRDefault="00092DB0" w:rsidP="00092DB0">
      <w:pPr>
        <w:pStyle w:val="subsection"/>
      </w:pPr>
      <w:r w:rsidRPr="00263158">
        <w:tab/>
        <w:t>(4)</w:t>
      </w:r>
      <w:r w:rsidRPr="00263158">
        <w:tab/>
        <w:t>The warning must consist of the words “WARNING: this cot does not meet the mandatory safety standard. For display purposes only. It is dangerous to place a child in this cot”.</w:t>
      </w:r>
    </w:p>
    <w:p w14:paraId="5272BF05" w14:textId="77777777" w:rsidR="00F45448" w:rsidRPr="00263158" w:rsidRDefault="006F3925" w:rsidP="00F45448">
      <w:pPr>
        <w:pStyle w:val="ActHead5"/>
      </w:pPr>
      <w:bookmarkStart w:id="27" w:name="_Toc169168225"/>
      <w:r w:rsidRPr="00A06914">
        <w:rPr>
          <w:rStyle w:val="CharSectno"/>
        </w:rPr>
        <w:t>12</w:t>
      </w:r>
      <w:r w:rsidR="00F45448" w:rsidRPr="00263158">
        <w:t xml:space="preserve">  After the transitional period—bassinets</w:t>
      </w:r>
      <w:bookmarkEnd w:id="27"/>
    </w:p>
    <w:p w14:paraId="1716F923" w14:textId="77777777" w:rsidR="00F45448" w:rsidRPr="00263158" w:rsidRDefault="00F45448" w:rsidP="00F45448">
      <w:pPr>
        <w:pStyle w:val="subsection"/>
      </w:pPr>
      <w:r w:rsidRPr="00263158">
        <w:tab/>
      </w:r>
      <w:r w:rsidRPr="00263158">
        <w:tab/>
        <w:t xml:space="preserve">After the transitional period, an infant sleep product that is a </w:t>
      </w:r>
      <w:r w:rsidR="000705E7" w:rsidRPr="00263158">
        <w:t>bassinet</w:t>
      </w:r>
      <w:r w:rsidRPr="00263158">
        <w:t xml:space="preserve"> must comply with both:</w:t>
      </w:r>
    </w:p>
    <w:p w14:paraId="676070C8" w14:textId="77777777" w:rsidR="00F45448" w:rsidRPr="00263158" w:rsidRDefault="00F45448" w:rsidP="00F45448">
      <w:pPr>
        <w:pStyle w:val="paragraph"/>
      </w:pPr>
      <w:r w:rsidRPr="00263158">
        <w:tab/>
        <w:t>(a)</w:t>
      </w:r>
      <w:r w:rsidRPr="00263158">
        <w:tab/>
        <w:t xml:space="preserve">the requirements in </w:t>
      </w:r>
      <w:r w:rsidR="00D559EA" w:rsidRPr="00263158">
        <w:t>Division 2</w:t>
      </w:r>
      <w:r w:rsidRPr="00263158">
        <w:t xml:space="preserve"> (general requirements); and</w:t>
      </w:r>
    </w:p>
    <w:p w14:paraId="79D383EA" w14:textId="77777777" w:rsidR="00F45448" w:rsidRPr="00263158" w:rsidRDefault="00F45448" w:rsidP="00F45448">
      <w:pPr>
        <w:pStyle w:val="paragraph"/>
      </w:pPr>
      <w:r w:rsidRPr="00263158">
        <w:tab/>
        <w:t>(b)</w:t>
      </w:r>
      <w:r w:rsidRPr="00263158">
        <w:tab/>
        <w:t xml:space="preserve">if the bassinet is a bassinet to which Subdivision A of </w:t>
      </w:r>
      <w:r w:rsidR="00EB67FE" w:rsidRPr="00263158">
        <w:t>Division 3</w:t>
      </w:r>
      <w:r w:rsidRPr="00263158">
        <w:t xml:space="preserve"> applies—the requirements in </w:t>
      </w:r>
      <w:r w:rsidR="00225B2B" w:rsidRPr="00263158">
        <w:t>that Subdivision</w:t>
      </w:r>
      <w:r w:rsidRPr="00263158">
        <w:t xml:space="preserve"> (specific requirements).</w:t>
      </w:r>
    </w:p>
    <w:p w14:paraId="4278B15A" w14:textId="77777777" w:rsidR="00F45448" w:rsidRPr="00263158" w:rsidRDefault="006F3925" w:rsidP="00F45448">
      <w:pPr>
        <w:pStyle w:val="ActHead5"/>
      </w:pPr>
      <w:bookmarkStart w:id="28" w:name="_Toc169168226"/>
      <w:r w:rsidRPr="00A06914">
        <w:rPr>
          <w:rStyle w:val="CharSectno"/>
        </w:rPr>
        <w:t>13</w:t>
      </w:r>
      <w:r w:rsidR="00F45448" w:rsidRPr="00263158">
        <w:t xml:space="preserve">  After the transitional period—other infant sleep products</w:t>
      </w:r>
      <w:bookmarkEnd w:id="28"/>
    </w:p>
    <w:p w14:paraId="2B38A196" w14:textId="77777777" w:rsidR="00F45448" w:rsidRPr="00263158" w:rsidRDefault="00F45448" w:rsidP="00225B2B">
      <w:pPr>
        <w:pStyle w:val="subsection"/>
      </w:pPr>
      <w:r w:rsidRPr="00263158">
        <w:tab/>
      </w:r>
      <w:r w:rsidRPr="00263158">
        <w:tab/>
        <w:t xml:space="preserve">After the transitional period, an infant sleep product that is not </w:t>
      </w:r>
      <w:r w:rsidR="00E2529A" w:rsidRPr="00263158">
        <w:t>mentioned</w:t>
      </w:r>
      <w:r w:rsidRPr="00263158">
        <w:t xml:space="preserve"> in</w:t>
      </w:r>
      <w:r w:rsidR="00E2529A" w:rsidRPr="00263158">
        <w:t xml:space="preserve"> </w:t>
      </w:r>
      <w:r w:rsidR="007B00E0" w:rsidRPr="00263158">
        <w:t>section 1</w:t>
      </w:r>
      <w:r w:rsidR="006F3925" w:rsidRPr="00263158">
        <w:t>0</w:t>
      </w:r>
      <w:r w:rsidR="00E2529A" w:rsidRPr="00263158">
        <w:t xml:space="preserve">, </w:t>
      </w:r>
      <w:r w:rsidR="006F3925" w:rsidRPr="00263158">
        <w:t>11</w:t>
      </w:r>
      <w:r w:rsidR="0063636E" w:rsidRPr="00263158">
        <w:t xml:space="preserve"> or</w:t>
      </w:r>
      <w:r w:rsidR="00E2529A" w:rsidRPr="00263158">
        <w:t xml:space="preserve"> </w:t>
      </w:r>
      <w:r w:rsidR="006F3925" w:rsidRPr="00263158">
        <w:t>12</w:t>
      </w:r>
      <w:r w:rsidRPr="00263158">
        <w:t xml:space="preserve"> must comply with the requirements in </w:t>
      </w:r>
      <w:r w:rsidR="00D559EA" w:rsidRPr="00263158">
        <w:t>Division 2</w:t>
      </w:r>
      <w:r w:rsidRPr="00263158">
        <w:t xml:space="preserve"> (general requirements).</w:t>
      </w:r>
    </w:p>
    <w:p w14:paraId="369BD3CE" w14:textId="77777777" w:rsidR="00B64EE1" w:rsidRPr="00263158" w:rsidRDefault="00D559EA" w:rsidP="00C47AE2">
      <w:pPr>
        <w:pStyle w:val="ActHead3"/>
        <w:pageBreakBefore/>
      </w:pPr>
      <w:bookmarkStart w:id="29" w:name="_Toc169168227"/>
      <w:r w:rsidRPr="00A06914">
        <w:rPr>
          <w:rStyle w:val="CharDivNo"/>
        </w:rPr>
        <w:t>Division 2</w:t>
      </w:r>
      <w:r w:rsidR="00B64EE1" w:rsidRPr="00263158">
        <w:t>—</w:t>
      </w:r>
      <w:r w:rsidR="00B64EE1" w:rsidRPr="00A06914">
        <w:rPr>
          <w:rStyle w:val="CharDivText"/>
        </w:rPr>
        <w:t>Genera</w:t>
      </w:r>
      <w:r w:rsidR="00C37199" w:rsidRPr="00A06914">
        <w:rPr>
          <w:rStyle w:val="CharDivText"/>
        </w:rPr>
        <w:t>l requirements</w:t>
      </w:r>
      <w:bookmarkEnd w:id="29"/>
    </w:p>
    <w:p w14:paraId="13195749" w14:textId="77777777" w:rsidR="005C2194" w:rsidRPr="00A06914" w:rsidRDefault="00C37199" w:rsidP="005C2194">
      <w:pPr>
        <w:pStyle w:val="Header"/>
      </w:pPr>
      <w:r w:rsidRPr="00A06914">
        <w:rPr>
          <w:rStyle w:val="CharSubdNo"/>
        </w:rPr>
        <w:t xml:space="preserve"> </w:t>
      </w:r>
      <w:r w:rsidRPr="00A06914">
        <w:rPr>
          <w:rStyle w:val="CharSubdText"/>
        </w:rPr>
        <w:t xml:space="preserve"> </w:t>
      </w:r>
    </w:p>
    <w:p w14:paraId="4E365001" w14:textId="77777777" w:rsidR="00D54D80" w:rsidRPr="00263158" w:rsidRDefault="006F3925" w:rsidP="006C3478">
      <w:pPr>
        <w:pStyle w:val="ActHead5"/>
      </w:pPr>
      <w:bookmarkStart w:id="30" w:name="_Toc169168228"/>
      <w:r w:rsidRPr="00A06914">
        <w:rPr>
          <w:rStyle w:val="CharSectno"/>
        </w:rPr>
        <w:t>14</w:t>
      </w:r>
      <w:r w:rsidR="00D54D80" w:rsidRPr="00263158">
        <w:t xml:space="preserve">  Incline (horizontal)</w:t>
      </w:r>
      <w:bookmarkEnd w:id="30"/>
    </w:p>
    <w:p w14:paraId="14A810F4" w14:textId="77777777" w:rsidR="00D54D80" w:rsidRPr="00263158" w:rsidRDefault="00D54D80" w:rsidP="00D54D80">
      <w:pPr>
        <w:pStyle w:val="subsection"/>
      </w:pPr>
      <w:r w:rsidRPr="00263158">
        <w:tab/>
        <w:t>(1)</w:t>
      </w:r>
      <w:r w:rsidRPr="00263158">
        <w:tab/>
        <w:t>The surface of an infant sleep product</w:t>
      </w:r>
      <w:r w:rsidR="00EE7657" w:rsidRPr="00263158">
        <w:t xml:space="preserve"> on which the infant may lay</w:t>
      </w:r>
      <w:r w:rsidRPr="00263158">
        <w:t xml:space="preserve"> must not have an incline greater than 7 degrees from the horizontal</w:t>
      </w:r>
      <w:r w:rsidR="00E5787C" w:rsidRPr="00263158">
        <w:t xml:space="preserve"> when tested in accordance with </w:t>
      </w:r>
      <w:r w:rsidR="002B4500" w:rsidRPr="00263158">
        <w:t>subsection (</w:t>
      </w:r>
      <w:r w:rsidR="00311E13" w:rsidRPr="00263158">
        <w:t>2</w:t>
      </w:r>
      <w:r w:rsidR="00B63D48" w:rsidRPr="00263158">
        <w:t>)</w:t>
      </w:r>
      <w:r w:rsidRPr="00263158">
        <w:t>.</w:t>
      </w:r>
    </w:p>
    <w:p w14:paraId="0E9F2B46" w14:textId="77777777" w:rsidR="00D54D80" w:rsidRPr="00263158" w:rsidRDefault="00D54D80" w:rsidP="00D54D80">
      <w:pPr>
        <w:pStyle w:val="SubsectionHead"/>
      </w:pPr>
      <w:r w:rsidRPr="00263158">
        <w:t>Test method</w:t>
      </w:r>
    </w:p>
    <w:p w14:paraId="0B4BCC9D" w14:textId="77777777" w:rsidR="00D54D80" w:rsidRPr="00263158" w:rsidRDefault="00D54D80" w:rsidP="00D54D80">
      <w:pPr>
        <w:pStyle w:val="subsection"/>
      </w:pPr>
      <w:r w:rsidRPr="00263158">
        <w:tab/>
        <w:t>(2)</w:t>
      </w:r>
      <w:r w:rsidRPr="00263158">
        <w:tab/>
        <w:t xml:space="preserve">The incline of </w:t>
      </w:r>
      <w:r w:rsidR="00B63D48" w:rsidRPr="00263158">
        <w:t>an</w:t>
      </w:r>
      <w:r w:rsidRPr="00263158">
        <w:t xml:space="preserve"> infant sleep product </w:t>
      </w:r>
      <w:r w:rsidR="00B63D48" w:rsidRPr="00263158">
        <w:t>is to</w:t>
      </w:r>
      <w:r w:rsidRPr="00263158">
        <w:t xml:space="preserve"> be measured by a digital level</w:t>
      </w:r>
      <w:r w:rsidR="00BF6B9C" w:rsidRPr="00263158">
        <w:t xml:space="preserve"> </w:t>
      </w:r>
      <w:r w:rsidRPr="00263158">
        <w:t xml:space="preserve">placed </w:t>
      </w:r>
      <w:r w:rsidR="00FB02D2" w:rsidRPr="00263158">
        <w:t xml:space="preserve">on a thin rigid planar sheet </w:t>
      </w:r>
      <w:r w:rsidR="00BF6B9C" w:rsidRPr="00263158">
        <w:t xml:space="preserve">laid flat </w:t>
      </w:r>
      <w:r w:rsidRPr="00263158">
        <w:t>on the sleep surface with no downward pressure applied (other than that provided by the level itself).</w:t>
      </w:r>
    </w:p>
    <w:p w14:paraId="75F54EA4" w14:textId="77777777" w:rsidR="00D54D80" w:rsidRPr="00263158" w:rsidRDefault="006F3925" w:rsidP="00D54D80">
      <w:pPr>
        <w:pStyle w:val="ActHead5"/>
      </w:pPr>
      <w:bookmarkStart w:id="31" w:name="_Toc169168229"/>
      <w:r w:rsidRPr="00A06914">
        <w:rPr>
          <w:rStyle w:val="CharSectno"/>
        </w:rPr>
        <w:t>15</w:t>
      </w:r>
      <w:r w:rsidR="00D54D80" w:rsidRPr="00263158">
        <w:t xml:space="preserve">  Incline (vertical)</w:t>
      </w:r>
      <w:bookmarkEnd w:id="31"/>
    </w:p>
    <w:p w14:paraId="5ED6DED7" w14:textId="77777777" w:rsidR="00F139B0" w:rsidRPr="00263158" w:rsidRDefault="00D54D80" w:rsidP="00BD2CC6">
      <w:pPr>
        <w:pStyle w:val="subsection"/>
      </w:pPr>
      <w:r w:rsidRPr="00263158">
        <w:tab/>
        <w:t>(1)</w:t>
      </w:r>
      <w:r w:rsidRPr="00263158">
        <w:tab/>
        <w:t>An infant sleep product that rocks or swings</w:t>
      </w:r>
      <w:r w:rsidR="00F139B0" w:rsidRPr="00263158">
        <w:t>:</w:t>
      </w:r>
    </w:p>
    <w:p w14:paraId="742FC248" w14:textId="77777777" w:rsidR="00BD2CC6" w:rsidRPr="00263158" w:rsidRDefault="00F139B0" w:rsidP="00F139B0">
      <w:pPr>
        <w:pStyle w:val="paragraph"/>
      </w:pPr>
      <w:r w:rsidRPr="00263158">
        <w:tab/>
        <w:t>(a)</w:t>
      </w:r>
      <w:r w:rsidRPr="00263158">
        <w:tab/>
      </w:r>
      <w:r w:rsidR="00D54D80" w:rsidRPr="00263158">
        <w:t xml:space="preserve">must not have a vertical tilt or </w:t>
      </w:r>
      <w:r w:rsidRPr="00263158">
        <w:t xml:space="preserve">vertical </w:t>
      </w:r>
      <w:r w:rsidR="00D54D80" w:rsidRPr="00263158">
        <w:t>incline greater than 7 degrees from the horizontal</w:t>
      </w:r>
      <w:r w:rsidR="00E5787C" w:rsidRPr="00263158">
        <w:t xml:space="preserve"> when tested in accordance with </w:t>
      </w:r>
      <w:r w:rsidR="002B4500" w:rsidRPr="00263158">
        <w:t>subsection (</w:t>
      </w:r>
      <w:r w:rsidR="00311E13" w:rsidRPr="00263158">
        <w:t>2</w:t>
      </w:r>
      <w:r w:rsidRPr="00263158">
        <w:t>); and</w:t>
      </w:r>
    </w:p>
    <w:p w14:paraId="673D3EBD" w14:textId="77777777" w:rsidR="00F139B0" w:rsidRPr="00263158" w:rsidRDefault="00F139B0" w:rsidP="00F139B0">
      <w:pPr>
        <w:pStyle w:val="paragraph"/>
      </w:pPr>
      <w:r w:rsidRPr="00263158">
        <w:tab/>
        <w:t>(b)</w:t>
      </w:r>
      <w:r w:rsidRPr="00263158">
        <w:tab/>
        <w:t>must comply with clause 6.5</w:t>
      </w:r>
      <w:r w:rsidR="000D5B9D" w:rsidRPr="00263158">
        <w:t xml:space="preserve"> (rocking cradle locking device)</w:t>
      </w:r>
      <w:r w:rsidRPr="00263158">
        <w:t xml:space="preserve"> and </w:t>
      </w:r>
      <w:r w:rsidR="00AE5745" w:rsidRPr="00263158">
        <w:t>clause 8</w:t>
      </w:r>
      <w:r w:rsidRPr="00263158">
        <w:t xml:space="preserve">.5 </w:t>
      </w:r>
      <w:r w:rsidR="007813F0" w:rsidRPr="00263158">
        <w:t>(tilt test)</w:t>
      </w:r>
      <w:r w:rsidR="002427E7" w:rsidRPr="00263158">
        <w:t xml:space="preserve"> </w:t>
      </w:r>
      <w:r w:rsidRPr="00263158">
        <w:t>of the Australian/New Zealand Standard for infants</w:t>
      </w:r>
      <w:r w:rsidR="008E4889" w:rsidRPr="00263158">
        <w:t>’</w:t>
      </w:r>
      <w:r w:rsidRPr="00263158">
        <w:t xml:space="preserve"> rocking cradles</w:t>
      </w:r>
      <w:r w:rsidR="002427E7" w:rsidRPr="00263158">
        <w:t xml:space="preserve"> as varied by </w:t>
      </w:r>
      <w:r w:rsidR="002B4500" w:rsidRPr="00263158">
        <w:t>subsection (</w:t>
      </w:r>
      <w:r w:rsidR="002427E7" w:rsidRPr="00263158">
        <w:t>3).</w:t>
      </w:r>
    </w:p>
    <w:p w14:paraId="339CB8CB" w14:textId="77777777" w:rsidR="00D54D80" w:rsidRPr="00263158" w:rsidRDefault="00D54D80" w:rsidP="00D54D80">
      <w:pPr>
        <w:pStyle w:val="SubsectionHead"/>
      </w:pPr>
      <w:r w:rsidRPr="00263158">
        <w:t>Test method</w:t>
      </w:r>
    </w:p>
    <w:p w14:paraId="1E6A1F50" w14:textId="77777777" w:rsidR="00937C13" w:rsidRPr="00263158" w:rsidRDefault="00D54D80" w:rsidP="00D54D80">
      <w:pPr>
        <w:pStyle w:val="subsection"/>
      </w:pPr>
      <w:r w:rsidRPr="00263158">
        <w:tab/>
        <w:t>(2)</w:t>
      </w:r>
      <w:r w:rsidRPr="00263158">
        <w:tab/>
        <w:t xml:space="preserve">The vertical tilt or </w:t>
      </w:r>
      <w:r w:rsidR="003B242F" w:rsidRPr="00263158">
        <w:t xml:space="preserve">vertical </w:t>
      </w:r>
      <w:r w:rsidRPr="00263158">
        <w:t>incline</w:t>
      </w:r>
      <w:r w:rsidR="00937C13" w:rsidRPr="00263158">
        <w:t xml:space="preserve"> of </w:t>
      </w:r>
      <w:r w:rsidR="00F139B0" w:rsidRPr="00263158">
        <w:t>an</w:t>
      </w:r>
      <w:r w:rsidR="00937C13" w:rsidRPr="00263158">
        <w:t xml:space="preserve"> infant sleep product</w:t>
      </w:r>
      <w:r w:rsidRPr="00263158">
        <w:t xml:space="preserve"> </w:t>
      </w:r>
      <w:r w:rsidR="00F139B0" w:rsidRPr="00263158">
        <w:t>is to</w:t>
      </w:r>
      <w:r w:rsidRPr="00263158">
        <w:t xml:space="preserve"> be measured in accordance</w:t>
      </w:r>
      <w:r w:rsidR="00937C13" w:rsidRPr="00263158">
        <w:t xml:space="preserve"> with</w:t>
      </w:r>
      <w:r w:rsidRPr="00263158">
        <w:t xml:space="preserve"> Appendix D</w:t>
      </w:r>
      <w:r w:rsidR="00937C13" w:rsidRPr="00263158">
        <w:t xml:space="preserve"> of the </w:t>
      </w:r>
      <w:r w:rsidR="000B7384" w:rsidRPr="00263158">
        <w:t>Australian/New Zealand Standard for infants</w:t>
      </w:r>
      <w:r w:rsidR="008E4889" w:rsidRPr="00263158">
        <w:t>’</w:t>
      </w:r>
      <w:r w:rsidR="000B7384" w:rsidRPr="00263158">
        <w:t xml:space="preserve"> rocking cradles</w:t>
      </w:r>
      <w:r w:rsidR="00F139B0" w:rsidRPr="00263158">
        <w:t>.</w:t>
      </w:r>
    </w:p>
    <w:p w14:paraId="683FF230" w14:textId="77777777" w:rsidR="002427E7" w:rsidRPr="00263158" w:rsidRDefault="002427E7" w:rsidP="002427E7">
      <w:pPr>
        <w:pStyle w:val="SubsectionHead"/>
      </w:pPr>
      <w:r w:rsidRPr="00263158">
        <w:t>Variation of the Australian/New Zealand Standard for infants’ rocking cradles</w:t>
      </w:r>
    </w:p>
    <w:p w14:paraId="783B0921" w14:textId="77777777" w:rsidR="006A3B39" w:rsidRPr="00263158" w:rsidRDefault="002427E7" w:rsidP="002427E7">
      <w:pPr>
        <w:pStyle w:val="subsection"/>
      </w:pPr>
      <w:r w:rsidRPr="00263158">
        <w:tab/>
        <w:t>(3)</w:t>
      </w:r>
      <w:r w:rsidRPr="00263158">
        <w:tab/>
        <w:t xml:space="preserve">For the purposes of </w:t>
      </w:r>
      <w:r w:rsidR="00027812" w:rsidRPr="00263158">
        <w:t>paragraph (</w:t>
      </w:r>
      <w:r w:rsidR="006A3B39" w:rsidRPr="00263158">
        <w:t>1)(b)</w:t>
      </w:r>
      <w:r w:rsidR="00075B29" w:rsidRPr="00263158">
        <w:t xml:space="preserve"> and </w:t>
      </w:r>
      <w:r w:rsidR="002B4500" w:rsidRPr="00263158">
        <w:t>subsection (</w:t>
      </w:r>
      <w:r w:rsidR="00075B29" w:rsidRPr="00263158">
        <w:t>2)</w:t>
      </w:r>
      <w:r w:rsidRPr="00263158">
        <w:t>, the Australian/New Zealand Standard for infants’ rocking cradles is varied by</w:t>
      </w:r>
      <w:r w:rsidR="006A3B39" w:rsidRPr="00263158">
        <w:t>:</w:t>
      </w:r>
    </w:p>
    <w:p w14:paraId="0BDA3432" w14:textId="77777777" w:rsidR="002427E7" w:rsidRPr="00263158" w:rsidRDefault="006A3B39" w:rsidP="006A3B39">
      <w:pPr>
        <w:pStyle w:val="paragraph"/>
      </w:pPr>
      <w:r w:rsidRPr="00263158">
        <w:tab/>
        <w:t>(a)</w:t>
      </w:r>
      <w:r w:rsidRPr="00263158">
        <w:tab/>
        <w:t>omitting</w:t>
      </w:r>
      <w:r w:rsidR="002427E7" w:rsidRPr="00263158">
        <w:t xml:space="preserve"> “</w:t>
      </w:r>
      <w:r w:rsidRPr="00263158">
        <w:t xml:space="preserve">5°” and substituting “7°” in </w:t>
      </w:r>
      <w:r w:rsidR="00027812" w:rsidRPr="00263158">
        <w:t>paragraph 6</w:t>
      </w:r>
      <w:r w:rsidRPr="00263158">
        <w:t>.5(a); and</w:t>
      </w:r>
    </w:p>
    <w:p w14:paraId="4D1129B8" w14:textId="77777777" w:rsidR="002427E7" w:rsidRPr="00263158" w:rsidRDefault="002427E7" w:rsidP="002427E7">
      <w:pPr>
        <w:pStyle w:val="paragraph"/>
      </w:pPr>
      <w:r w:rsidRPr="00263158">
        <w:tab/>
        <w:t>(</w:t>
      </w:r>
      <w:r w:rsidR="006A3B39" w:rsidRPr="00263158">
        <w:t>b</w:t>
      </w:r>
      <w:r w:rsidRPr="00263158">
        <w:t>)</w:t>
      </w:r>
      <w:r w:rsidRPr="00263158">
        <w:tab/>
      </w:r>
      <w:r w:rsidR="006A3B39" w:rsidRPr="00263158">
        <w:t xml:space="preserve">omitting “10°” and substituting “7°” in </w:t>
      </w:r>
      <w:r w:rsidR="00027812" w:rsidRPr="00263158">
        <w:t>paragraph 6</w:t>
      </w:r>
      <w:r w:rsidR="006A3B39" w:rsidRPr="00263158">
        <w:t>.5(b); and</w:t>
      </w:r>
    </w:p>
    <w:p w14:paraId="267A6398" w14:textId="77777777" w:rsidR="006A3B39" w:rsidRPr="00263158" w:rsidRDefault="006A3B39" w:rsidP="006A3B39">
      <w:pPr>
        <w:pStyle w:val="paragraph"/>
      </w:pPr>
      <w:r w:rsidRPr="00263158">
        <w:tab/>
        <w:t>(c)</w:t>
      </w:r>
      <w:r w:rsidRPr="00263158">
        <w:tab/>
        <w:t xml:space="preserve">omitting “5°” and substituting “7°” in </w:t>
      </w:r>
      <w:r w:rsidR="00AE5745" w:rsidRPr="00263158">
        <w:t>clause 8</w:t>
      </w:r>
      <w:r w:rsidRPr="00263158">
        <w:t>.5; and</w:t>
      </w:r>
    </w:p>
    <w:p w14:paraId="404B7956" w14:textId="77777777" w:rsidR="006A3B39" w:rsidRPr="00263158" w:rsidRDefault="006A3B39" w:rsidP="006A3B39">
      <w:pPr>
        <w:pStyle w:val="paragraph"/>
      </w:pPr>
      <w:r w:rsidRPr="00263158">
        <w:tab/>
        <w:t>(d)</w:t>
      </w:r>
      <w:r w:rsidRPr="00263158">
        <w:tab/>
        <w:t xml:space="preserve">omitting “10°” and substituting “7°” in </w:t>
      </w:r>
      <w:r w:rsidR="00AE5745" w:rsidRPr="00263158">
        <w:t>clause 8</w:t>
      </w:r>
      <w:r w:rsidRPr="00263158">
        <w:t>.5.</w:t>
      </w:r>
    </w:p>
    <w:p w14:paraId="2A7ABE25" w14:textId="77777777" w:rsidR="003646DB" w:rsidRPr="00263158" w:rsidRDefault="006F3925" w:rsidP="003646DB">
      <w:pPr>
        <w:pStyle w:val="ActHead5"/>
      </w:pPr>
      <w:bookmarkStart w:id="32" w:name="_Toc169168230"/>
      <w:r w:rsidRPr="00A06914">
        <w:rPr>
          <w:rStyle w:val="CharSectno"/>
        </w:rPr>
        <w:t>16</w:t>
      </w:r>
      <w:r w:rsidR="00937C13" w:rsidRPr="00263158">
        <w:t xml:space="preserve">  </w:t>
      </w:r>
      <w:r w:rsidR="003646DB" w:rsidRPr="00263158">
        <w:t>Curvature</w:t>
      </w:r>
      <w:bookmarkEnd w:id="32"/>
    </w:p>
    <w:p w14:paraId="41DD6C7B" w14:textId="77777777" w:rsidR="0030383A" w:rsidRPr="00263158" w:rsidRDefault="003646DB" w:rsidP="003646DB">
      <w:pPr>
        <w:pStyle w:val="subsection"/>
      </w:pPr>
      <w:r w:rsidRPr="00263158">
        <w:tab/>
        <w:t>(1)</w:t>
      </w:r>
      <w:r w:rsidRPr="00263158">
        <w:tab/>
      </w:r>
      <w:r w:rsidR="001045B6" w:rsidRPr="00263158">
        <w:t>The surface of an infant sleep product on which the infant may lay</w:t>
      </w:r>
      <w:r w:rsidRPr="00263158">
        <w:t xml:space="preserve"> must</w:t>
      </w:r>
      <w:r w:rsidR="0030383A" w:rsidRPr="00263158">
        <w:t>:</w:t>
      </w:r>
    </w:p>
    <w:p w14:paraId="669778C2" w14:textId="77777777" w:rsidR="0030383A" w:rsidRPr="00263158" w:rsidRDefault="0030383A" w:rsidP="0030383A">
      <w:pPr>
        <w:pStyle w:val="paragraph"/>
      </w:pPr>
      <w:r w:rsidRPr="00263158">
        <w:tab/>
        <w:t>(a)</w:t>
      </w:r>
      <w:r w:rsidRPr="00263158">
        <w:tab/>
      </w:r>
      <w:r w:rsidR="00AC24A9" w:rsidRPr="00263158">
        <w:t>be flat</w:t>
      </w:r>
      <w:r w:rsidRPr="00263158">
        <w:t xml:space="preserve">; </w:t>
      </w:r>
      <w:r w:rsidR="00AC24A9" w:rsidRPr="00263158">
        <w:t>and</w:t>
      </w:r>
    </w:p>
    <w:p w14:paraId="5C008EA8" w14:textId="77777777" w:rsidR="003646DB" w:rsidRPr="00263158" w:rsidRDefault="0030383A" w:rsidP="0030383A">
      <w:pPr>
        <w:pStyle w:val="paragraph"/>
      </w:pPr>
      <w:r w:rsidRPr="00263158">
        <w:tab/>
        <w:t>(b)</w:t>
      </w:r>
      <w:r w:rsidRPr="00263158">
        <w:tab/>
      </w:r>
      <w:r w:rsidR="003646DB" w:rsidRPr="00263158">
        <w:t xml:space="preserve">not have curvature </w:t>
      </w:r>
      <w:r w:rsidR="00E5787C" w:rsidRPr="00263158">
        <w:t xml:space="preserve">when tested in accordance with </w:t>
      </w:r>
      <w:r w:rsidR="002B4500" w:rsidRPr="00263158">
        <w:t>subsection (</w:t>
      </w:r>
      <w:r w:rsidR="00311E13" w:rsidRPr="00263158">
        <w:t>2</w:t>
      </w:r>
      <w:r w:rsidR="00B63D48" w:rsidRPr="00263158">
        <w:t>)</w:t>
      </w:r>
      <w:r w:rsidR="003646DB" w:rsidRPr="00263158">
        <w:t>.</w:t>
      </w:r>
    </w:p>
    <w:p w14:paraId="1C6D9741" w14:textId="77777777" w:rsidR="003646DB" w:rsidRPr="00263158" w:rsidRDefault="003646DB" w:rsidP="003646DB">
      <w:pPr>
        <w:pStyle w:val="SubsectionHead"/>
      </w:pPr>
      <w:r w:rsidRPr="00263158">
        <w:t>Test method</w:t>
      </w:r>
    </w:p>
    <w:p w14:paraId="33505262" w14:textId="77777777" w:rsidR="00C71B56" w:rsidRPr="00263158" w:rsidRDefault="003646DB" w:rsidP="003646DB">
      <w:pPr>
        <w:pStyle w:val="subsection"/>
      </w:pPr>
      <w:r w:rsidRPr="00263158">
        <w:tab/>
        <w:t>(2)</w:t>
      </w:r>
      <w:r w:rsidRPr="00263158">
        <w:tab/>
        <w:t xml:space="preserve">The curvature of the infant sleep product </w:t>
      </w:r>
      <w:r w:rsidR="00B63D48" w:rsidRPr="00263158">
        <w:t>is to</w:t>
      </w:r>
      <w:r w:rsidRPr="00263158">
        <w:t xml:space="preserve"> be measured by a digital level placed on the surface</w:t>
      </w:r>
      <w:r w:rsidR="001045B6" w:rsidRPr="00263158">
        <w:t xml:space="preserve"> on which the infant may lay</w:t>
      </w:r>
      <w:r w:rsidRPr="00263158">
        <w:t xml:space="preserve"> at various points </w:t>
      </w:r>
      <w:r w:rsidR="00B63D48" w:rsidRPr="00263158">
        <w:t xml:space="preserve">(including points </w:t>
      </w:r>
      <w:r w:rsidRPr="00263158">
        <w:t>at both ends and the middle of the surface</w:t>
      </w:r>
      <w:r w:rsidR="00B63D48" w:rsidRPr="00263158">
        <w:t>)</w:t>
      </w:r>
      <w:r w:rsidRPr="00263158">
        <w:t>, with no downward pressure applied (other than that provided by the level itself).</w:t>
      </w:r>
    </w:p>
    <w:p w14:paraId="2B75552A" w14:textId="77777777" w:rsidR="00F967F7" w:rsidRPr="00263158" w:rsidRDefault="006F3925" w:rsidP="00F967F7">
      <w:pPr>
        <w:pStyle w:val="ActHead5"/>
      </w:pPr>
      <w:bookmarkStart w:id="33" w:name="_Toc169168231"/>
      <w:r w:rsidRPr="00A06914">
        <w:rPr>
          <w:rStyle w:val="CharSectno"/>
        </w:rPr>
        <w:t>17</w:t>
      </w:r>
      <w:r w:rsidR="00F967F7" w:rsidRPr="00263158">
        <w:t xml:space="preserve">  Surface rigidity</w:t>
      </w:r>
      <w:bookmarkEnd w:id="33"/>
    </w:p>
    <w:p w14:paraId="4F5104BF" w14:textId="77777777" w:rsidR="00F967F7" w:rsidRPr="00263158" w:rsidRDefault="00F967F7" w:rsidP="00F967F7">
      <w:pPr>
        <w:pStyle w:val="subsection"/>
      </w:pPr>
      <w:r w:rsidRPr="00263158">
        <w:tab/>
      </w:r>
      <w:r w:rsidRPr="00263158">
        <w:tab/>
      </w:r>
      <w:r w:rsidR="001045B6" w:rsidRPr="00263158">
        <w:t>The surface of an infant sleep product on which the infant may lay</w:t>
      </w:r>
      <w:r w:rsidR="009E4D71" w:rsidRPr="00263158">
        <w:t xml:space="preserve"> (</w:t>
      </w:r>
      <w:r w:rsidRPr="00263158">
        <w:t xml:space="preserve">including </w:t>
      </w:r>
      <w:r w:rsidR="009E4D71" w:rsidRPr="00263158">
        <w:t>a</w:t>
      </w:r>
      <w:r w:rsidR="002A7D7E" w:rsidRPr="00263158">
        <w:t>ny</w:t>
      </w:r>
      <w:r w:rsidRPr="00263158">
        <w:t xml:space="preserve"> mattress of an infant sleep product</w:t>
      </w:r>
      <w:r w:rsidR="009E4D71" w:rsidRPr="00263158">
        <w:t>)</w:t>
      </w:r>
      <w:r w:rsidRPr="00263158">
        <w:t xml:space="preserve"> must</w:t>
      </w:r>
      <w:r w:rsidR="002A7D7E" w:rsidRPr="00263158">
        <w:t xml:space="preserve"> </w:t>
      </w:r>
      <w:r w:rsidR="005F10D3" w:rsidRPr="00263158">
        <w:t>comply</w:t>
      </w:r>
      <w:r w:rsidR="002A7D7E" w:rsidRPr="00263158">
        <w:t xml:space="preserve"> with:</w:t>
      </w:r>
    </w:p>
    <w:p w14:paraId="72300114" w14:textId="77777777" w:rsidR="005F10D3" w:rsidRPr="00263158" w:rsidRDefault="005F10D3" w:rsidP="005F10D3">
      <w:pPr>
        <w:pStyle w:val="paragraph"/>
        <w:rPr>
          <w:i/>
          <w:iCs/>
        </w:rPr>
      </w:pPr>
      <w:r w:rsidRPr="00263158">
        <w:tab/>
        <w:t>(a)</w:t>
      </w:r>
      <w:r w:rsidRPr="00263158">
        <w:tab/>
        <w:t xml:space="preserve">the </w:t>
      </w:r>
      <w:r w:rsidR="00C2572E" w:rsidRPr="00263158">
        <w:t>Australian/New Zealand Standard for Methods of testing infant products—Method 1: Sleep Surfaces—Test for firmness</w:t>
      </w:r>
      <w:r w:rsidRPr="00263158">
        <w:rPr>
          <w:iCs/>
        </w:rPr>
        <w:t>; or</w:t>
      </w:r>
    </w:p>
    <w:p w14:paraId="36A65979" w14:textId="77777777" w:rsidR="005F10D3" w:rsidRPr="00263158" w:rsidRDefault="005F10D3" w:rsidP="005F10D3">
      <w:pPr>
        <w:pStyle w:val="paragraph"/>
      </w:pPr>
      <w:r w:rsidRPr="00263158">
        <w:tab/>
        <w:t>(b)</w:t>
      </w:r>
      <w:r w:rsidRPr="00263158">
        <w:tab/>
        <w:t>the mattress firmness requirements in</w:t>
      </w:r>
      <w:r w:rsidR="00CC0A11" w:rsidRPr="00263158">
        <w:t xml:space="preserve"> the</w:t>
      </w:r>
      <w:r w:rsidR="00A25E10" w:rsidRPr="00263158">
        <w:t xml:space="preserve"> </w:t>
      </w:r>
      <w:r w:rsidR="00CC0A11" w:rsidRPr="00263158">
        <w:t>European Standard for Children’s furniture—Mattresses for cots and cribs—Safety requirements and test method</w:t>
      </w:r>
      <w:r w:rsidR="00A70587" w:rsidRPr="00263158">
        <w:t>s</w:t>
      </w:r>
      <w:r w:rsidRPr="00263158">
        <w:t>; or</w:t>
      </w:r>
    </w:p>
    <w:p w14:paraId="26C33E84" w14:textId="77777777" w:rsidR="005F10D3" w:rsidRPr="00263158" w:rsidRDefault="005F10D3" w:rsidP="005F10D3">
      <w:pPr>
        <w:pStyle w:val="paragraph"/>
      </w:pPr>
      <w:r w:rsidRPr="00263158">
        <w:tab/>
        <w:t>(c)</w:t>
      </w:r>
      <w:r w:rsidRPr="00263158">
        <w:tab/>
        <w:t>the mattress firmness requirements in</w:t>
      </w:r>
      <w:r w:rsidR="00A25E10" w:rsidRPr="00263158">
        <w:t xml:space="preserve"> </w:t>
      </w:r>
      <w:r w:rsidR="00CC0A11" w:rsidRPr="00263158">
        <w:t>the United States Standard Consumer Safety Specification for Crib Mattresses</w:t>
      </w:r>
      <w:r w:rsidR="002A7D7E" w:rsidRPr="00263158">
        <w:t>.</w:t>
      </w:r>
    </w:p>
    <w:p w14:paraId="2B421357" w14:textId="77777777" w:rsidR="00680C80" w:rsidRPr="00263158" w:rsidRDefault="006F3925" w:rsidP="00680C80">
      <w:pPr>
        <w:pStyle w:val="ActHead5"/>
      </w:pPr>
      <w:bookmarkStart w:id="34" w:name="_Toc169168232"/>
      <w:r w:rsidRPr="00A06914">
        <w:rPr>
          <w:rStyle w:val="CharSectno"/>
        </w:rPr>
        <w:t>18</w:t>
      </w:r>
      <w:r w:rsidR="00680C80" w:rsidRPr="00263158">
        <w:t xml:space="preserve">  Mattress</w:t>
      </w:r>
      <w:bookmarkEnd w:id="34"/>
    </w:p>
    <w:p w14:paraId="20ECABBA" w14:textId="77777777" w:rsidR="00680C80" w:rsidRPr="00263158" w:rsidRDefault="00680C80" w:rsidP="00680C80">
      <w:pPr>
        <w:pStyle w:val="subsection"/>
      </w:pPr>
      <w:r w:rsidRPr="00263158">
        <w:tab/>
      </w:r>
      <w:r w:rsidRPr="00263158">
        <w:tab/>
      </w:r>
      <w:r w:rsidR="004950B7" w:rsidRPr="00263158">
        <w:t xml:space="preserve">An infant sleep product that is a </w:t>
      </w:r>
      <w:r w:rsidRPr="00263158">
        <w:t>mattress</w:t>
      </w:r>
      <w:r w:rsidR="004950B7" w:rsidRPr="00263158">
        <w:t>, or a mattress supplied with an infant sleep product, must comply with the following:</w:t>
      </w:r>
    </w:p>
    <w:p w14:paraId="3284BE1C" w14:textId="77777777" w:rsidR="00680C80" w:rsidRPr="00263158" w:rsidRDefault="00680C80" w:rsidP="00680C80">
      <w:pPr>
        <w:pStyle w:val="paragraph"/>
      </w:pPr>
      <w:r w:rsidRPr="00263158">
        <w:tab/>
        <w:t>(a)</w:t>
      </w:r>
      <w:r w:rsidRPr="00263158">
        <w:tab/>
        <w:t xml:space="preserve">the requirements in </w:t>
      </w:r>
      <w:r w:rsidR="007B00E0" w:rsidRPr="00263158">
        <w:t>section 1</w:t>
      </w:r>
      <w:r w:rsidR="006F3925" w:rsidRPr="00263158">
        <w:t>7</w:t>
      </w:r>
      <w:r w:rsidR="00C0656A" w:rsidRPr="00263158">
        <w:t xml:space="preserve"> (surface rigidity)</w:t>
      </w:r>
      <w:r w:rsidRPr="00263158">
        <w:t>;</w:t>
      </w:r>
    </w:p>
    <w:p w14:paraId="297E1336" w14:textId="77777777" w:rsidR="00680C80" w:rsidRPr="00263158" w:rsidRDefault="00680C80" w:rsidP="00680C80">
      <w:pPr>
        <w:pStyle w:val="paragraph"/>
      </w:pPr>
      <w:r w:rsidRPr="00263158">
        <w:tab/>
        <w:t>(b)</w:t>
      </w:r>
      <w:r w:rsidRPr="00263158">
        <w:tab/>
        <w:t>the mattress dimensions must be clearly indicated on the product;</w:t>
      </w:r>
    </w:p>
    <w:p w14:paraId="64B3CCB1" w14:textId="77777777" w:rsidR="00680C80" w:rsidRPr="00263158" w:rsidRDefault="00680C80" w:rsidP="00680C80">
      <w:pPr>
        <w:pStyle w:val="paragraph"/>
      </w:pPr>
      <w:r w:rsidRPr="00263158">
        <w:tab/>
        <w:t>(</w:t>
      </w:r>
      <w:r w:rsidR="004950B7" w:rsidRPr="00263158">
        <w:t>c</w:t>
      </w:r>
      <w:r w:rsidRPr="00263158">
        <w:t>)</w:t>
      </w:r>
      <w:r w:rsidRPr="00263158">
        <w:tab/>
        <w:t>if the mattress is segmented—</w:t>
      </w:r>
      <w:r w:rsidR="00B15998" w:rsidRPr="00263158">
        <w:t>the mattress</w:t>
      </w:r>
      <w:r w:rsidRPr="00263158">
        <w:t xml:space="preserve"> must not fold or separate when laid on;</w:t>
      </w:r>
    </w:p>
    <w:p w14:paraId="60C0867A" w14:textId="77777777" w:rsidR="004950B7" w:rsidRPr="00263158" w:rsidRDefault="00680C80" w:rsidP="004950B7">
      <w:pPr>
        <w:pStyle w:val="paragraph"/>
      </w:pPr>
      <w:r w:rsidRPr="00263158">
        <w:tab/>
        <w:t>(</w:t>
      </w:r>
      <w:r w:rsidR="004950B7" w:rsidRPr="00263158">
        <w:t>d</w:t>
      </w:r>
      <w:r w:rsidRPr="00263158">
        <w:t>)</w:t>
      </w:r>
      <w:r w:rsidRPr="00263158">
        <w:tab/>
        <w:t>if the mattress is supplied with an infant sleep product</w:t>
      </w:r>
      <w:r w:rsidR="004950B7" w:rsidRPr="00263158">
        <w:t>:</w:t>
      </w:r>
    </w:p>
    <w:p w14:paraId="54F3F0E7" w14:textId="77777777" w:rsidR="004950B7" w:rsidRPr="00263158" w:rsidRDefault="004950B7" w:rsidP="004950B7">
      <w:pPr>
        <w:pStyle w:val="paragraphsub"/>
      </w:pPr>
      <w:r w:rsidRPr="00263158">
        <w:tab/>
        <w:t>(</w:t>
      </w:r>
      <w:proofErr w:type="spellStart"/>
      <w:r w:rsidRPr="00263158">
        <w:t>i</w:t>
      </w:r>
      <w:proofErr w:type="spellEnd"/>
      <w:r w:rsidRPr="00263158">
        <w:t>)</w:t>
      </w:r>
      <w:r w:rsidRPr="00263158">
        <w:tab/>
      </w:r>
      <w:r w:rsidR="00232137" w:rsidRPr="00263158">
        <w:t>the mattress</w:t>
      </w:r>
      <w:r w:rsidR="00680C80" w:rsidRPr="00263158">
        <w:t xml:space="preserve"> must fit snugly with no gap between the mattress and sides of the produc</w:t>
      </w:r>
      <w:r w:rsidRPr="00263158">
        <w:t>t; and</w:t>
      </w:r>
    </w:p>
    <w:p w14:paraId="2D6DAE0D" w14:textId="77777777" w:rsidR="00680C80" w:rsidRPr="00263158" w:rsidRDefault="004950B7" w:rsidP="004950B7">
      <w:pPr>
        <w:pStyle w:val="paragraphsub"/>
      </w:pPr>
      <w:r w:rsidRPr="00263158">
        <w:tab/>
        <w:t>(ii)</w:t>
      </w:r>
      <w:r w:rsidRPr="00263158">
        <w:tab/>
      </w:r>
      <w:r w:rsidR="00232137" w:rsidRPr="00263158">
        <w:t>the mattress</w:t>
      </w:r>
      <w:r w:rsidRPr="00263158">
        <w:t xml:space="preserve"> must comply with </w:t>
      </w:r>
      <w:r w:rsidR="00027812" w:rsidRPr="00263158">
        <w:t>paragraph 6</w:t>
      </w:r>
      <w:r w:rsidR="00680C80" w:rsidRPr="00263158">
        <w:t>.1(d) of the Australian/New Zealand Standard for household cots.</w:t>
      </w:r>
    </w:p>
    <w:p w14:paraId="63BB0448" w14:textId="77777777" w:rsidR="00CB5254" w:rsidRPr="00263158" w:rsidRDefault="006F3925" w:rsidP="00CB5254">
      <w:pPr>
        <w:pStyle w:val="ActHead5"/>
      </w:pPr>
      <w:bookmarkStart w:id="35" w:name="_Toc169168233"/>
      <w:r w:rsidRPr="00A06914">
        <w:rPr>
          <w:rStyle w:val="CharSectno"/>
        </w:rPr>
        <w:t>19</w:t>
      </w:r>
      <w:r w:rsidR="00CB5254" w:rsidRPr="00263158">
        <w:t xml:space="preserve">  Material of sides</w:t>
      </w:r>
      <w:bookmarkEnd w:id="35"/>
    </w:p>
    <w:p w14:paraId="18A03D03" w14:textId="77777777" w:rsidR="00CB5254" w:rsidRPr="00263158" w:rsidRDefault="00CB5254" w:rsidP="00CB5254">
      <w:pPr>
        <w:pStyle w:val="subsection"/>
      </w:pPr>
      <w:r w:rsidRPr="00263158">
        <w:tab/>
      </w:r>
      <w:r w:rsidRPr="00263158">
        <w:tab/>
        <w:t xml:space="preserve">An infant sleep product </w:t>
      </w:r>
      <w:r w:rsidR="00C0656A" w:rsidRPr="00263158">
        <w:t xml:space="preserve">designed </w:t>
      </w:r>
      <w:r w:rsidRPr="00263158">
        <w:t>with fabric or mesh sides</w:t>
      </w:r>
      <w:r w:rsidR="004D2EC4" w:rsidRPr="00263158">
        <w:t xml:space="preserve"> into which an infant may roll</w:t>
      </w:r>
      <w:r w:rsidR="00E80EB8" w:rsidRPr="00263158">
        <w:t>:</w:t>
      </w:r>
    </w:p>
    <w:p w14:paraId="5651636C" w14:textId="77777777" w:rsidR="00C0656A" w:rsidRPr="00263158" w:rsidRDefault="00CB5254" w:rsidP="00CB5254">
      <w:pPr>
        <w:pStyle w:val="paragraph"/>
      </w:pPr>
      <w:r w:rsidRPr="00263158">
        <w:tab/>
        <w:t>(a)</w:t>
      </w:r>
      <w:r w:rsidRPr="00263158">
        <w:tab/>
      </w:r>
      <w:r w:rsidR="00C0656A" w:rsidRPr="00263158">
        <w:t>must either:</w:t>
      </w:r>
    </w:p>
    <w:p w14:paraId="0B5FFD14" w14:textId="77777777" w:rsidR="00CB5254" w:rsidRPr="00263158" w:rsidRDefault="00C0656A" w:rsidP="00C0656A">
      <w:pPr>
        <w:pStyle w:val="paragraphsub"/>
      </w:pPr>
      <w:r w:rsidRPr="00263158">
        <w:tab/>
        <w:t>(</w:t>
      </w:r>
      <w:proofErr w:type="spellStart"/>
      <w:r w:rsidRPr="00263158">
        <w:t>i</w:t>
      </w:r>
      <w:proofErr w:type="spellEnd"/>
      <w:r w:rsidRPr="00263158">
        <w:t>)</w:t>
      </w:r>
      <w:r w:rsidRPr="00263158">
        <w:tab/>
      </w:r>
      <w:r w:rsidR="00CB5254" w:rsidRPr="00263158">
        <w:t>have sides that are firm enough to not conform to the shape and contours of the infant’s nose or mouth; or</w:t>
      </w:r>
    </w:p>
    <w:p w14:paraId="7C7CAFBE" w14:textId="77777777" w:rsidR="00CB5254" w:rsidRPr="00263158" w:rsidRDefault="00C0656A" w:rsidP="00C0656A">
      <w:pPr>
        <w:pStyle w:val="paragraphsub"/>
      </w:pPr>
      <w:r w:rsidRPr="00263158">
        <w:tab/>
        <w:t>(ii)</w:t>
      </w:r>
      <w:r w:rsidRPr="00263158">
        <w:tab/>
      </w:r>
      <w:r w:rsidR="00CB5254" w:rsidRPr="00263158">
        <w:t xml:space="preserve">be made of </w:t>
      </w:r>
      <w:r w:rsidR="003671BD" w:rsidRPr="00263158">
        <w:t xml:space="preserve">a </w:t>
      </w:r>
      <w:r w:rsidR="00CB5254" w:rsidRPr="00263158">
        <w:t xml:space="preserve">material that </w:t>
      </w:r>
      <w:r w:rsidR="00043833" w:rsidRPr="00263158">
        <w:t>an</w:t>
      </w:r>
      <w:r w:rsidR="00CB5254" w:rsidRPr="00263158">
        <w:t xml:space="preserve"> infant can breathe through</w:t>
      </w:r>
      <w:r w:rsidRPr="00263158">
        <w:t>; and</w:t>
      </w:r>
    </w:p>
    <w:p w14:paraId="566F172A" w14:textId="77777777" w:rsidR="003671BD" w:rsidRPr="00263158" w:rsidRDefault="00C0656A" w:rsidP="00C0656A">
      <w:pPr>
        <w:pStyle w:val="paragraph"/>
      </w:pPr>
      <w:r w:rsidRPr="00263158">
        <w:tab/>
        <w:t>(b)</w:t>
      </w:r>
      <w:r w:rsidRPr="00263158">
        <w:tab/>
      </w:r>
      <w:r w:rsidR="003671BD" w:rsidRPr="00263158">
        <w:t>comply with either:</w:t>
      </w:r>
    </w:p>
    <w:p w14:paraId="7ED88BEF" w14:textId="77777777" w:rsidR="00A30E7B" w:rsidRPr="00263158" w:rsidRDefault="00AD7D5E" w:rsidP="00C0656A">
      <w:pPr>
        <w:pStyle w:val="paragraphsub"/>
      </w:pPr>
      <w:r w:rsidRPr="00263158">
        <w:tab/>
      </w:r>
      <w:r w:rsidR="00A30E7B" w:rsidRPr="00263158">
        <w:t>(</w:t>
      </w:r>
      <w:proofErr w:type="spellStart"/>
      <w:r w:rsidR="00A30E7B" w:rsidRPr="00263158">
        <w:t>i</w:t>
      </w:r>
      <w:proofErr w:type="spellEnd"/>
      <w:r w:rsidR="00A30E7B" w:rsidRPr="00263158">
        <w:t>)</w:t>
      </w:r>
      <w:r w:rsidR="00A30E7B" w:rsidRPr="00263158">
        <w:tab/>
      </w:r>
      <w:r w:rsidR="00AC21FF" w:rsidRPr="00263158">
        <w:t>sub</w:t>
      </w:r>
      <w:r w:rsidR="00A30E7B" w:rsidRPr="00263158">
        <w:t xml:space="preserve">clause 6.3.3 (breathability of textiles material and other materials) and </w:t>
      </w:r>
      <w:r w:rsidR="00AE5745" w:rsidRPr="00263158">
        <w:t>clause 8</w:t>
      </w:r>
      <w:r w:rsidR="00A30E7B" w:rsidRPr="00263158">
        <w:t>.2 (breathability) of the Australian/New Zealand Standard for folding cots; or</w:t>
      </w:r>
    </w:p>
    <w:p w14:paraId="547D3C52" w14:textId="77777777" w:rsidR="00AD7D5E" w:rsidRPr="00263158" w:rsidRDefault="00A30E7B" w:rsidP="00C0656A">
      <w:pPr>
        <w:pStyle w:val="paragraphsub"/>
      </w:pPr>
      <w:r w:rsidRPr="00263158">
        <w:tab/>
      </w:r>
      <w:r w:rsidR="00AD7D5E" w:rsidRPr="00263158">
        <w:t>(</w:t>
      </w:r>
      <w:r w:rsidR="00C0656A" w:rsidRPr="00263158">
        <w:t>i</w:t>
      </w:r>
      <w:r w:rsidRPr="00263158">
        <w:t>i</w:t>
      </w:r>
      <w:r w:rsidR="00AD7D5E" w:rsidRPr="00263158">
        <w:t>)</w:t>
      </w:r>
      <w:r w:rsidR="00AD7D5E" w:rsidRPr="00263158">
        <w:tab/>
      </w:r>
      <w:r w:rsidR="0033770D" w:rsidRPr="00263158">
        <w:t>paragraph</w:t>
      </w:r>
      <w:r w:rsidR="00AE5745" w:rsidRPr="00263158">
        <w:t> 8</w:t>
      </w:r>
      <w:r w:rsidR="00AD7D5E" w:rsidRPr="00263158">
        <w:t>.4(d)</w:t>
      </w:r>
      <w:r w:rsidR="00FC03F2" w:rsidRPr="00263158">
        <w:t xml:space="preserve"> (firmness)</w:t>
      </w:r>
      <w:r w:rsidR="00AD7D5E" w:rsidRPr="00263158">
        <w:t xml:space="preserve"> of</w:t>
      </w:r>
      <w:r w:rsidR="00051151" w:rsidRPr="00263158">
        <w:t xml:space="preserve"> the Australian/New Zealand Standard for folding cots</w:t>
      </w:r>
      <w:r w:rsidRPr="00263158">
        <w:t>.</w:t>
      </w:r>
    </w:p>
    <w:p w14:paraId="637FF03A" w14:textId="77777777" w:rsidR="00466F05" w:rsidRPr="00263158" w:rsidRDefault="006F3925" w:rsidP="00767622">
      <w:pPr>
        <w:pStyle w:val="ActHead5"/>
      </w:pPr>
      <w:bookmarkStart w:id="36" w:name="_Toc169168234"/>
      <w:r w:rsidRPr="00A06914">
        <w:rPr>
          <w:rStyle w:val="CharSectno"/>
        </w:rPr>
        <w:t>20</w:t>
      </w:r>
      <w:r w:rsidR="00767622" w:rsidRPr="00263158">
        <w:t xml:space="preserve">  </w:t>
      </w:r>
      <w:r w:rsidR="007E18AF" w:rsidRPr="00263158">
        <w:t xml:space="preserve">Restraint system </w:t>
      </w:r>
      <w:r w:rsidR="00684A94" w:rsidRPr="00263158">
        <w:t xml:space="preserve">etc. </w:t>
      </w:r>
      <w:r w:rsidR="007E18AF" w:rsidRPr="00263158">
        <w:t>prohibited</w:t>
      </w:r>
      <w:bookmarkEnd w:id="36"/>
    </w:p>
    <w:p w14:paraId="3E2FC420" w14:textId="77777777" w:rsidR="007E18AF" w:rsidRPr="00263158" w:rsidRDefault="007E18AF" w:rsidP="007E18AF">
      <w:pPr>
        <w:pStyle w:val="subsection"/>
      </w:pPr>
      <w:r w:rsidRPr="00263158">
        <w:tab/>
      </w:r>
      <w:r w:rsidRPr="00263158">
        <w:tab/>
        <w:t>An infant sleep product must not have a restraint system, harness or strap for restraining an infant.</w:t>
      </w:r>
    </w:p>
    <w:p w14:paraId="4983DE69" w14:textId="77777777" w:rsidR="007E18AF" w:rsidRPr="00263158" w:rsidRDefault="006F3925" w:rsidP="007E18AF">
      <w:pPr>
        <w:pStyle w:val="ActHead5"/>
      </w:pPr>
      <w:bookmarkStart w:id="37" w:name="_Toc169168235"/>
      <w:r w:rsidRPr="00A06914">
        <w:rPr>
          <w:rStyle w:val="CharSectno"/>
        </w:rPr>
        <w:t>21</w:t>
      </w:r>
      <w:r w:rsidR="007E18AF" w:rsidRPr="00263158">
        <w:t xml:space="preserve">  Castors or wheels</w:t>
      </w:r>
      <w:bookmarkEnd w:id="37"/>
    </w:p>
    <w:p w14:paraId="62F8335D" w14:textId="77777777" w:rsidR="007E18AF" w:rsidRPr="00263158" w:rsidRDefault="007E18AF" w:rsidP="007E18AF">
      <w:pPr>
        <w:pStyle w:val="subsection"/>
      </w:pPr>
      <w:r w:rsidRPr="00263158">
        <w:tab/>
      </w:r>
      <w:r w:rsidRPr="00263158">
        <w:tab/>
        <w:t xml:space="preserve">If an infant sleep product is fitted with castors or wheels, at least </w:t>
      </w:r>
      <w:r w:rsidR="00C2572E" w:rsidRPr="00263158">
        <w:t>2</w:t>
      </w:r>
      <w:r w:rsidRPr="00263158">
        <w:t xml:space="preserve"> of the castors or wheels must be fitted with a brake.</w:t>
      </w:r>
    </w:p>
    <w:p w14:paraId="66D77317" w14:textId="77777777" w:rsidR="007E18AF" w:rsidRPr="00263158" w:rsidRDefault="006F3925" w:rsidP="007E18AF">
      <w:pPr>
        <w:pStyle w:val="ActHead5"/>
      </w:pPr>
      <w:bookmarkStart w:id="38" w:name="_Toc169168236"/>
      <w:r w:rsidRPr="00A06914">
        <w:rPr>
          <w:rStyle w:val="CharSectno"/>
        </w:rPr>
        <w:t>22</w:t>
      </w:r>
      <w:r w:rsidR="007E18AF" w:rsidRPr="00263158">
        <w:t xml:space="preserve">  Entanglement hazard</w:t>
      </w:r>
      <w:bookmarkEnd w:id="38"/>
    </w:p>
    <w:p w14:paraId="7267204E" w14:textId="77777777" w:rsidR="007E18AF" w:rsidRPr="00263158" w:rsidRDefault="007E18AF" w:rsidP="007E18AF">
      <w:pPr>
        <w:pStyle w:val="subsection"/>
      </w:pPr>
      <w:r w:rsidRPr="00263158">
        <w:tab/>
      </w:r>
      <w:r w:rsidRPr="00263158">
        <w:tab/>
        <w:t xml:space="preserve">An infant sleep product must not have attached to it any ribbons, cords or other decorations that </w:t>
      </w:r>
      <w:r w:rsidR="006F3925" w:rsidRPr="00263158">
        <w:t xml:space="preserve">may be </w:t>
      </w:r>
      <w:r w:rsidRPr="00263158">
        <w:t>a choking or strangulation hazard</w:t>
      </w:r>
      <w:r w:rsidR="00765AAB" w:rsidRPr="00263158">
        <w:t xml:space="preserve"> to </w:t>
      </w:r>
      <w:r w:rsidR="00684A94" w:rsidRPr="00263158">
        <w:t>an</w:t>
      </w:r>
      <w:r w:rsidR="00765AAB" w:rsidRPr="00263158">
        <w:t xml:space="preserve"> infant.</w:t>
      </w:r>
    </w:p>
    <w:p w14:paraId="794F4033" w14:textId="77777777" w:rsidR="007E18AF" w:rsidRPr="00263158" w:rsidRDefault="006F3925" w:rsidP="007E18AF">
      <w:pPr>
        <w:pStyle w:val="ActHead5"/>
      </w:pPr>
      <w:bookmarkStart w:id="39" w:name="_Toc169168237"/>
      <w:r w:rsidRPr="00A06914">
        <w:rPr>
          <w:rStyle w:val="CharSectno"/>
        </w:rPr>
        <w:t>23</w:t>
      </w:r>
      <w:r w:rsidR="007E18AF" w:rsidRPr="00263158">
        <w:t xml:space="preserve">  Fit for purpose</w:t>
      </w:r>
      <w:bookmarkEnd w:id="39"/>
    </w:p>
    <w:p w14:paraId="705EEC12" w14:textId="77777777" w:rsidR="007E18AF" w:rsidRPr="00263158" w:rsidRDefault="007E18AF" w:rsidP="007E18AF">
      <w:pPr>
        <w:pStyle w:val="subsection"/>
      </w:pPr>
      <w:r w:rsidRPr="00263158">
        <w:tab/>
      </w:r>
      <w:r w:rsidRPr="00263158">
        <w:tab/>
        <w:t xml:space="preserve">An infant sleep product must be designed </w:t>
      </w:r>
      <w:r w:rsidR="00043833" w:rsidRPr="00263158">
        <w:t>to have</w:t>
      </w:r>
      <w:r w:rsidRPr="00263158">
        <w:t xml:space="preserve"> sufficient strength</w:t>
      </w:r>
      <w:r w:rsidR="000627A8" w:rsidRPr="00263158">
        <w:t>, stability</w:t>
      </w:r>
      <w:r w:rsidRPr="00263158">
        <w:t xml:space="preserve"> and integrity </w:t>
      </w:r>
      <w:r w:rsidR="00104DB5" w:rsidRPr="00263158">
        <w:t>to</w:t>
      </w:r>
      <w:r w:rsidRPr="00263158">
        <w:t xml:space="preserve"> safely support an infant under normal use conditions or foreseeable misuse.</w:t>
      </w:r>
    </w:p>
    <w:p w14:paraId="04935F03" w14:textId="77777777" w:rsidR="00620106" w:rsidRPr="00263158" w:rsidRDefault="006F3925" w:rsidP="00620106">
      <w:pPr>
        <w:pStyle w:val="ActHead5"/>
      </w:pPr>
      <w:bookmarkStart w:id="40" w:name="_Toc169168238"/>
      <w:r w:rsidRPr="00A06914">
        <w:rPr>
          <w:rStyle w:val="CharSectno"/>
        </w:rPr>
        <w:t>24</w:t>
      </w:r>
      <w:r w:rsidR="00620106" w:rsidRPr="00263158">
        <w:t xml:space="preserve">  Locking mechanism</w:t>
      </w:r>
      <w:bookmarkEnd w:id="40"/>
    </w:p>
    <w:p w14:paraId="24B09BEE" w14:textId="77777777" w:rsidR="00620106" w:rsidRPr="00263158" w:rsidRDefault="00620106" w:rsidP="00620106">
      <w:pPr>
        <w:pStyle w:val="subsection"/>
      </w:pPr>
      <w:r w:rsidRPr="00263158">
        <w:tab/>
      </w:r>
      <w:r w:rsidRPr="00263158">
        <w:tab/>
        <w:t xml:space="preserve">If an infant sleep product </w:t>
      </w:r>
      <w:r w:rsidR="00AB0682" w:rsidRPr="00263158">
        <w:t>has</w:t>
      </w:r>
      <w:r w:rsidRPr="00263158">
        <w:t xml:space="preserve"> a locking mechanism:</w:t>
      </w:r>
    </w:p>
    <w:p w14:paraId="265AC8E3" w14:textId="77777777" w:rsidR="00620106" w:rsidRPr="00263158" w:rsidRDefault="00620106" w:rsidP="00620106">
      <w:pPr>
        <w:pStyle w:val="paragraph"/>
      </w:pPr>
      <w:r w:rsidRPr="00263158">
        <w:tab/>
        <w:t>(a)</w:t>
      </w:r>
      <w:r w:rsidRPr="00263158">
        <w:tab/>
        <w:t xml:space="preserve">the locking </w:t>
      </w:r>
      <w:r w:rsidR="00AB0682" w:rsidRPr="00263158">
        <w:t>mechanism</w:t>
      </w:r>
      <w:r w:rsidRPr="00263158">
        <w:t xml:space="preserve"> must have a clearly distinct locked position; and</w:t>
      </w:r>
    </w:p>
    <w:p w14:paraId="03D974A0" w14:textId="77777777" w:rsidR="00620106" w:rsidRPr="00263158" w:rsidRDefault="00620106" w:rsidP="00620106">
      <w:pPr>
        <w:pStyle w:val="paragraph"/>
      </w:pPr>
      <w:r w:rsidRPr="00263158">
        <w:tab/>
        <w:t>(b)</w:t>
      </w:r>
      <w:r w:rsidRPr="00263158">
        <w:tab/>
      </w:r>
      <w:r w:rsidR="00B11CF9" w:rsidRPr="00263158">
        <w:t xml:space="preserve">when the locking mechanism is engaged, </w:t>
      </w:r>
      <w:r w:rsidRPr="00263158">
        <w:t>it must be readily apparent</w:t>
      </w:r>
      <w:r w:rsidR="00043833" w:rsidRPr="00263158">
        <w:t xml:space="preserve"> that it is engaged</w:t>
      </w:r>
      <w:r w:rsidRPr="00263158">
        <w:t>; and</w:t>
      </w:r>
    </w:p>
    <w:p w14:paraId="485BCE87" w14:textId="77777777" w:rsidR="00620106" w:rsidRPr="00263158" w:rsidRDefault="00620106" w:rsidP="00620106">
      <w:pPr>
        <w:pStyle w:val="paragraph"/>
      </w:pPr>
      <w:r w:rsidRPr="00263158">
        <w:tab/>
        <w:t>(c)</w:t>
      </w:r>
      <w:r w:rsidRPr="00263158">
        <w:tab/>
        <w:t xml:space="preserve">the </w:t>
      </w:r>
      <w:r w:rsidR="00043833" w:rsidRPr="00263158">
        <w:t xml:space="preserve">locking </w:t>
      </w:r>
      <w:r w:rsidRPr="00263158">
        <w:t>mechanism must remain secure when engaged and must not be able to be inadvertently disengaged; and</w:t>
      </w:r>
    </w:p>
    <w:p w14:paraId="050EF7EC" w14:textId="77777777" w:rsidR="007333E9" w:rsidRPr="00263158" w:rsidRDefault="00620106" w:rsidP="007333E9">
      <w:pPr>
        <w:pStyle w:val="paragraph"/>
      </w:pPr>
      <w:r w:rsidRPr="00263158">
        <w:tab/>
        <w:t>(d)</w:t>
      </w:r>
      <w:r w:rsidRPr="00263158">
        <w:tab/>
        <w:t xml:space="preserve">the </w:t>
      </w:r>
      <w:r w:rsidR="00043833" w:rsidRPr="00263158">
        <w:t xml:space="preserve">locking </w:t>
      </w:r>
      <w:r w:rsidRPr="00263158">
        <w:t>mechanism must not generate any finger entrapment or pinch points</w:t>
      </w:r>
      <w:r w:rsidR="007333E9" w:rsidRPr="00263158">
        <w:t>; and</w:t>
      </w:r>
    </w:p>
    <w:p w14:paraId="2A49DB46" w14:textId="77777777" w:rsidR="00956521" w:rsidRPr="00263158" w:rsidRDefault="007333E9" w:rsidP="00E80EB8">
      <w:pPr>
        <w:pStyle w:val="paragraph"/>
      </w:pPr>
      <w:r w:rsidRPr="00263158">
        <w:tab/>
        <w:t>(e)</w:t>
      </w:r>
      <w:r w:rsidRPr="00263158">
        <w:tab/>
        <w:t>t</w:t>
      </w:r>
      <w:r w:rsidR="00521A74" w:rsidRPr="00263158">
        <w:t xml:space="preserve">he </w:t>
      </w:r>
      <w:r w:rsidR="00956521" w:rsidRPr="00263158">
        <w:t xml:space="preserve">infant sleep product must comply with </w:t>
      </w:r>
      <w:r w:rsidR="001D5B3D" w:rsidRPr="00263158">
        <w:t>clause 1</w:t>
      </w:r>
      <w:r w:rsidR="00D26FA4" w:rsidRPr="00263158">
        <w:t>0.9</w:t>
      </w:r>
      <w:r w:rsidR="00C75773" w:rsidRPr="00263158">
        <w:t xml:space="preserve"> (locking mechanism test)</w:t>
      </w:r>
      <w:r w:rsidR="007813F0" w:rsidRPr="00263158">
        <w:t xml:space="preserve"> </w:t>
      </w:r>
      <w:r w:rsidR="00D26FA4" w:rsidRPr="00263158">
        <w:t xml:space="preserve">of </w:t>
      </w:r>
      <w:r w:rsidR="00956521" w:rsidRPr="00263158">
        <w:t>the Australian/New Zealand Standard for folding cots</w:t>
      </w:r>
      <w:r w:rsidR="00E235CF" w:rsidRPr="00263158">
        <w:t>.</w:t>
      </w:r>
    </w:p>
    <w:p w14:paraId="6E6DCB4B" w14:textId="77777777" w:rsidR="0043104C" w:rsidRPr="00263158" w:rsidRDefault="006F3925" w:rsidP="0043104C">
      <w:pPr>
        <w:pStyle w:val="ActHead5"/>
      </w:pPr>
      <w:bookmarkStart w:id="41" w:name="_Toc169168239"/>
      <w:r w:rsidRPr="00A06914">
        <w:rPr>
          <w:rStyle w:val="CharSectno"/>
        </w:rPr>
        <w:t>25</w:t>
      </w:r>
      <w:r w:rsidR="003B2F91" w:rsidRPr="00263158">
        <w:t xml:space="preserve">  </w:t>
      </w:r>
      <w:r w:rsidR="0043104C" w:rsidRPr="00263158">
        <w:t>Materials (component requirements)</w:t>
      </w:r>
      <w:bookmarkEnd w:id="41"/>
    </w:p>
    <w:p w14:paraId="051CE54D" w14:textId="77777777" w:rsidR="0043104C" w:rsidRPr="00263158" w:rsidRDefault="0043104C" w:rsidP="0043104C">
      <w:pPr>
        <w:pStyle w:val="subsection"/>
      </w:pPr>
      <w:r w:rsidRPr="00263158">
        <w:tab/>
      </w:r>
      <w:r w:rsidRPr="00263158">
        <w:tab/>
        <w:t>An infant sleep product must comply with the following:</w:t>
      </w:r>
    </w:p>
    <w:p w14:paraId="40956190" w14:textId="77777777" w:rsidR="0043104C" w:rsidRPr="00263158" w:rsidRDefault="0043104C" w:rsidP="0043104C">
      <w:pPr>
        <w:pStyle w:val="paragraph"/>
      </w:pPr>
      <w:r w:rsidRPr="00263158">
        <w:tab/>
        <w:t>(a)</w:t>
      </w:r>
      <w:r w:rsidRPr="00263158">
        <w:tab/>
      </w:r>
      <w:r w:rsidR="00852702" w:rsidRPr="00263158">
        <w:t xml:space="preserve">any </w:t>
      </w:r>
      <w:r w:rsidR="00DC5687" w:rsidRPr="00263158">
        <w:t>c</w:t>
      </w:r>
      <w:r w:rsidRPr="00263158">
        <w:t xml:space="preserve">omponents </w:t>
      </w:r>
      <w:r w:rsidR="00DC5687" w:rsidRPr="00263158">
        <w:t xml:space="preserve">of </w:t>
      </w:r>
      <w:r w:rsidRPr="00263158">
        <w:t>the infant sleep product</w:t>
      </w:r>
      <w:r w:rsidR="00DC5687" w:rsidRPr="00263158">
        <w:t xml:space="preserve"> that are made from wood</w:t>
      </w:r>
      <w:r w:rsidRPr="00263158">
        <w:t xml:space="preserve"> must be free from splinters;</w:t>
      </w:r>
    </w:p>
    <w:p w14:paraId="3DCC99B2" w14:textId="77777777" w:rsidR="0043104C" w:rsidRPr="00263158" w:rsidRDefault="0043104C" w:rsidP="0043104C">
      <w:pPr>
        <w:pStyle w:val="paragraph"/>
      </w:pPr>
      <w:r w:rsidRPr="00263158">
        <w:tab/>
        <w:t>(b)</w:t>
      </w:r>
      <w:r w:rsidRPr="00263158">
        <w:tab/>
      </w:r>
      <w:r w:rsidR="00852702" w:rsidRPr="00263158">
        <w:t xml:space="preserve">any </w:t>
      </w:r>
      <w:r w:rsidRPr="00263158">
        <w:t>components of the infant sleep product</w:t>
      </w:r>
      <w:r w:rsidR="00DC5687" w:rsidRPr="00263158">
        <w:t xml:space="preserve"> that are made from metal</w:t>
      </w:r>
      <w:r w:rsidRPr="00263158">
        <w:t xml:space="preserve"> such as springs, nut, bolts and washers must be made of </w:t>
      </w:r>
      <w:r w:rsidR="00DC5687" w:rsidRPr="00263158">
        <w:t>a corrosion</w:t>
      </w:r>
      <w:r w:rsidR="00263158">
        <w:noBreakHyphen/>
      </w:r>
      <w:r w:rsidR="00DC5687" w:rsidRPr="00263158">
        <w:t>resistant metal</w:t>
      </w:r>
      <w:r w:rsidRPr="00263158">
        <w:t xml:space="preserve"> or be corrosion resistant;</w:t>
      </w:r>
    </w:p>
    <w:p w14:paraId="6D3106F8" w14:textId="77777777" w:rsidR="0083660B" w:rsidRPr="00263158" w:rsidRDefault="0043104C" w:rsidP="0083660B">
      <w:pPr>
        <w:pStyle w:val="paragraph"/>
      </w:pPr>
      <w:r w:rsidRPr="00263158">
        <w:tab/>
        <w:t>(</w:t>
      </w:r>
      <w:r w:rsidR="00736A50" w:rsidRPr="00263158">
        <w:t>c</w:t>
      </w:r>
      <w:r w:rsidRPr="00263158">
        <w:t>)</w:t>
      </w:r>
      <w:r w:rsidRPr="00263158">
        <w:tab/>
      </w:r>
      <w:r w:rsidR="00852702" w:rsidRPr="00263158">
        <w:t xml:space="preserve">any </w:t>
      </w:r>
      <w:r w:rsidRPr="00263158">
        <w:t>decorative transfers or labels must not be accessible</w:t>
      </w:r>
      <w:r w:rsidR="00AC7212" w:rsidRPr="00263158">
        <w:t xml:space="preserve"> to </w:t>
      </w:r>
      <w:r w:rsidR="00FB0087" w:rsidRPr="00263158">
        <w:t>an</w:t>
      </w:r>
      <w:r w:rsidR="00AC7212" w:rsidRPr="00263158">
        <w:t xml:space="preserve"> infant</w:t>
      </w:r>
      <w:r w:rsidRPr="00263158">
        <w:t xml:space="preserve"> within the </w:t>
      </w:r>
      <w:r w:rsidR="00C559DA" w:rsidRPr="00263158">
        <w:t xml:space="preserve">infant sleep </w:t>
      </w:r>
      <w:r w:rsidRPr="00263158">
        <w:t>product</w:t>
      </w:r>
      <w:r w:rsidR="002B7E86" w:rsidRPr="00263158">
        <w:t>;</w:t>
      </w:r>
    </w:p>
    <w:p w14:paraId="0CE558F9" w14:textId="77777777" w:rsidR="0043104C" w:rsidRPr="00263158" w:rsidRDefault="0083660B" w:rsidP="0083660B">
      <w:pPr>
        <w:pStyle w:val="paragraph"/>
      </w:pPr>
      <w:r w:rsidRPr="00263158">
        <w:tab/>
        <w:t>(</w:t>
      </w:r>
      <w:r w:rsidR="00736A50" w:rsidRPr="00263158">
        <w:t>d</w:t>
      </w:r>
      <w:r w:rsidRPr="00263158">
        <w:t>)</w:t>
      </w:r>
      <w:r w:rsidRPr="00263158">
        <w:tab/>
      </w:r>
      <w:r w:rsidR="001A1A8C" w:rsidRPr="00263158">
        <w:t xml:space="preserve">the requirements in </w:t>
      </w:r>
      <w:r w:rsidR="00AF244E" w:rsidRPr="00263158">
        <w:t>either</w:t>
      </w:r>
      <w:r w:rsidR="0043104C" w:rsidRPr="00263158">
        <w:t>:</w:t>
      </w:r>
    </w:p>
    <w:p w14:paraId="55930C1E" w14:textId="77777777" w:rsidR="00A30E7B" w:rsidRPr="00263158" w:rsidRDefault="0083660B" w:rsidP="0083660B">
      <w:pPr>
        <w:pStyle w:val="paragraphsub"/>
      </w:pPr>
      <w:r w:rsidRPr="00263158">
        <w:tab/>
      </w:r>
      <w:r w:rsidR="00A30E7B" w:rsidRPr="00263158">
        <w:t>(</w:t>
      </w:r>
      <w:proofErr w:type="spellStart"/>
      <w:r w:rsidR="00A30E7B" w:rsidRPr="00263158">
        <w:t>i</w:t>
      </w:r>
      <w:proofErr w:type="spellEnd"/>
      <w:r w:rsidR="00A30E7B" w:rsidRPr="00263158">
        <w:t>)</w:t>
      </w:r>
      <w:r w:rsidR="00A30E7B" w:rsidRPr="00263158">
        <w:tab/>
        <w:t>clause 6.7 (snag points) of the Australian/New Zealand Standard for household cots; or</w:t>
      </w:r>
    </w:p>
    <w:p w14:paraId="0544B591" w14:textId="77777777" w:rsidR="00C9182B" w:rsidRPr="00263158" w:rsidRDefault="00A30E7B" w:rsidP="0083660B">
      <w:pPr>
        <w:pStyle w:val="paragraphsub"/>
      </w:pPr>
      <w:r w:rsidRPr="00263158">
        <w:tab/>
      </w:r>
      <w:r w:rsidR="0043104C" w:rsidRPr="00263158">
        <w:t>(</w:t>
      </w:r>
      <w:r w:rsidRPr="00263158">
        <w:t>i</w:t>
      </w:r>
      <w:r w:rsidR="0083660B" w:rsidRPr="00263158">
        <w:t>i</w:t>
      </w:r>
      <w:r w:rsidR="0043104C" w:rsidRPr="00263158">
        <w:t>)</w:t>
      </w:r>
      <w:r w:rsidR="0043104C" w:rsidRPr="00263158">
        <w:tab/>
      </w:r>
      <w:r w:rsidR="00AE5745" w:rsidRPr="00263158">
        <w:t>clause 8</w:t>
      </w:r>
      <w:r w:rsidR="0043104C" w:rsidRPr="00263158">
        <w:t>.7</w:t>
      </w:r>
      <w:r w:rsidR="00C75773" w:rsidRPr="00263158">
        <w:t xml:space="preserve"> (protrusions and gaps)</w:t>
      </w:r>
      <w:r w:rsidR="007813F0" w:rsidRPr="00263158">
        <w:t xml:space="preserve"> </w:t>
      </w:r>
      <w:r w:rsidR="0043104C" w:rsidRPr="00263158">
        <w:t>of</w:t>
      </w:r>
      <w:r w:rsidR="00051151" w:rsidRPr="00263158">
        <w:t xml:space="preserve"> the Australian/New Zealand Standard for folding cots</w:t>
      </w:r>
      <w:r w:rsidR="0043104C" w:rsidRPr="00263158">
        <w:t>;</w:t>
      </w:r>
    </w:p>
    <w:p w14:paraId="37F626E9" w14:textId="77777777" w:rsidR="002B7E86" w:rsidRPr="00263158" w:rsidRDefault="002B7E86" w:rsidP="002B7E86">
      <w:pPr>
        <w:pStyle w:val="paragraph"/>
      </w:pPr>
      <w:r w:rsidRPr="00263158">
        <w:tab/>
        <w:t>(</w:t>
      </w:r>
      <w:r w:rsidR="00736A50" w:rsidRPr="00263158">
        <w:t>e</w:t>
      </w:r>
      <w:r w:rsidRPr="00263158">
        <w:t>)</w:t>
      </w:r>
      <w:r w:rsidRPr="00263158">
        <w:tab/>
      </w:r>
      <w:r w:rsidR="001A1A8C" w:rsidRPr="00263158">
        <w:t xml:space="preserve">the requirements </w:t>
      </w:r>
      <w:r w:rsidR="0063050A" w:rsidRPr="00263158">
        <w:t xml:space="preserve">in </w:t>
      </w:r>
      <w:r w:rsidR="00AF244E" w:rsidRPr="00263158">
        <w:t>either:</w:t>
      </w:r>
    </w:p>
    <w:p w14:paraId="793F8B10" w14:textId="77777777" w:rsidR="00A30E7B" w:rsidRPr="00263158" w:rsidRDefault="00A30E7B" w:rsidP="00A30E7B">
      <w:pPr>
        <w:pStyle w:val="paragraphsub"/>
      </w:pPr>
      <w:r w:rsidRPr="00263158">
        <w:tab/>
        <w:t>(</w:t>
      </w:r>
      <w:proofErr w:type="spellStart"/>
      <w:r w:rsidRPr="00263158">
        <w:t>i</w:t>
      </w:r>
      <w:proofErr w:type="spellEnd"/>
      <w:r w:rsidRPr="00263158">
        <w:t>)</w:t>
      </w:r>
      <w:r w:rsidRPr="00263158">
        <w:tab/>
        <w:t>clause 6.8 (sharp edges and sharp points) of the Australian/New Zealand Standard for household cots; or</w:t>
      </w:r>
    </w:p>
    <w:p w14:paraId="15C6DD86" w14:textId="77777777" w:rsidR="00C9182B" w:rsidRPr="00263158" w:rsidRDefault="00C9182B" w:rsidP="002B7E86">
      <w:pPr>
        <w:pStyle w:val="paragraphsub"/>
      </w:pPr>
      <w:r w:rsidRPr="00263158">
        <w:tab/>
        <w:t>(</w:t>
      </w:r>
      <w:r w:rsidR="002B7E86" w:rsidRPr="00263158">
        <w:t>i</w:t>
      </w:r>
      <w:r w:rsidR="00A30E7B" w:rsidRPr="00263158">
        <w:t>i</w:t>
      </w:r>
      <w:r w:rsidRPr="00263158">
        <w:t>)</w:t>
      </w:r>
      <w:r w:rsidRPr="00263158">
        <w:tab/>
      </w:r>
      <w:r w:rsidR="00AE5745" w:rsidRPr="00263158">
        <w:t>clause 8</w:t>
      </w:r>
      <w:r w:rsidR="0043104C" w:rsidRPr="00263158">
        <w:t>.8</w:t>
      </w:r>
      <w:r w:rsidR="00C75773" w:rsidRPr="00263158">
        <w:t xml:space="preserve"> (sharp edges and sharp points)</w:t>
      </w:r>
      <w:r w:rsidR="0043104C" w:rsidRPr="00263158">
        <w:t xml:space="preserve"> of</w:t>
      </w:r>
      <w:r w:rsidR="00051151" w:rsidRPr="00263158">
        <w:t xml:space="preserve"> the Australian/New Zealand Standard for folding cots</w:t>
      </w:r>
      <w:r w:rsidR="00A30E7B" w:rsidRPr="00263158">
        <w:t>.</w:t>
      </w:r>
    </w:p>
    <w:p w14:paraId="092D2923" w14:textId="77777777" w:rsidR="0043104C" w:rsidRPr="00263158" w:rsidRDefault="006F3925" w:rsidP="00D952F1">
      <w:pPr>
        <w:pStyle w:val="ActHead5"/>
      </w:pPr>
      <w:bookmarkStart w:id="42" w:name="_Toc169168240"/>
      <w:r w:rsidRPr="00A06914">
        <w:rPr>
          <w:rStyle w:val="CharSectno"/>
        </w:rPr>
        <w:t>26</w:t>
      </w:r>
      <w:r w:rsidR="00396983" w:rsidRPr="00263158">
        <w:t xml:space="preserve">  Entrapment hazard</w:t>
      </w:r>
      <w:bookmarkEnd w:id="42"/>
    </w:p>
    <w:p w14:paraId="248FD3D2" w14:textId="77777777" w:rsidR="00396983" w:rsidRPr="00263158" w:rsidRDefault="00396983" w:rsidP="00396983">
      <w:pPr>
        <w:pStyle w:val="subsection"/>
      </w:pPr>
      <w:r w:rsidRPr="00263158">
        <w:tab/>
        <w:t>(1)</w:t>
      </w:r>
      <w:r w:rsidRPr="00263158">
        <w:tab/>
        <w:t>An infant sleep product must not have any gaps into which an infant’s finger, limb, head or neck may be inserted and become entrapped</w:t>
      </w:r>
      <w:r w:rsidR="00DC5687" w:rsidRPr="00263158">
        <w:t>.</w:t>
      </w:r>
    </w:p>
    <w:p w14:paraId="3CBDEA4B" w14:textId="77777777" w:rsidR="00396983" w:rsidRPr="00263158" w:rsidRDefault="00396983" w:rsidP="00396983">
      <w:pPr>
        <w:pStyle w:val="subsection"/>
      </w:pPr>
      <w:r w:rsidRPr="00263158">
        <w:tab/>
        <w:t>(2)</w:t>
      </w:r>
      <w:r w:rsidRPr="00263158">
        <w:tab/>
        <w:t>The infant sleep product must</w:t>
      </w:r>
      <w:r w:rsidR="00956521" w:rsidRPr="00263158">
        <w:t xml:space="preserve"> comply with</w:t>
      </w:r>
      <w:r w:rsidRPr="00263158">
        <w:t xml:space="preserve"> either:</w:t>
      </w:r>
    </w:p>
    <w:p w14:paraId="5CD21244" w14:textId="77777777" w:rsidR="00396983" w:rsidRPr="00263158" w:rsidRDefault="00396983" w:rsidP="00396983">
      <w:pPr>
        <w:pStyle w:val="paragraph"/>
        <w:rPr>
          <w:iCs/>
        </w:rPr>
      </w:pPr>
      <w:r w:rsidRPr="00263158">
        <w:tab/>
        <w:t>(a)</w:t>
      </w:r>
      <w:r w:rsidR="00956521" w:rsidRPr="00263158">
        <w:tab/>
      </w:r>
      <w:r w:rsidR="00320785" w:rsidRPr="00263158">
        <w:rPr>
          <w:iCs/>
        </w:rPr>
        <w:t>clause 9</w:t>
      </w:r>
      <w:r w:rsidRPr="00263158">
        <w:rPr>
          <w:iCs/>
        </w:rPr>
        <w:t>.2</w:t>
      </w:r>
      <w:r w:rsidR="00C75773" w:rsidRPr="00263158">
        <w:rPr>
          <w:iCs/>
        </w:rPr>
        <w:t xml:space="preserve"> </w:t>
      </w:r>
      <w:r w:rsidR="00C75773" w:rsidRPr="00263158">
        <w:t>(entrapment hazard test)</w:t>
      </w:r>
      <w:r w:rsidR="00956521" w:rsidRPr="00263158">
        <w:rPr>
          <w:iCs/>
        </w:rPr>
        <w:t xml:space="preserve"> of </w:t>
      </w:r>
      <w:r w:rsidR="00956521" w:rsidRPr="00263158">
        <w:t>the Australian/New Zealand Standard for household cots; or</w:t>
      </w:r>
    </w:p>
    <w:p w14:paraId="02139E70" w14:textId="77777777" w:rsidR="00396983" w:rsidRPr="00263158" w:rsidRDefault="00396983" w:rsidP="00396983">
      <w:pPr>
        <w:pStyle w:val="paragraph"/>
      </w:pPr>
      <w:r w:rsidRPr="00263158">
        <w:tab/>
        <w:t>(b)</w:t>
      </w:r>
      <w:r w:rsidRPr="00263158">
        <w:tab/>
      </w:r>
      <w:r w:rsidR="001D5B3D" w:rsidRPr="00263158">
        <w:t>clause 1</w:t>
      </w:r>
      <w:r w:rsidR="00AB18F8" w:rsidRPr="00263158">
        <w:t>0.2</w:t>
      </w:r>
      <w:r w:rsidR="00C75773" w:rsidRPr="00263158">
        <w:t xml:space="preserve"> (entrapment hazard test)</w:t>
      </w:r>
      <w:r w:rsidR="00AB18F8" w:rsidRPr="00263158">
        <w:t xml:space="preserve"> </w:t>
      </w:r>
      <w:r w:rsidR="004D3B5B" w:rsidRPr="00263158">
        <w:t xml:space="preserve">of the </w:t>
      </w:r>
      <w:r w:rsidR="00956521" w:rsidRPr="00263158">
        <w:t>Australian/New Zealand Standard for folding cots.</w:t>
      </w:r>
    </w:p>
    <w:p w14:paraId="45B1D919" w14:textId="77777777" w:rsidR="005963F9" w:rsidRPr="00263158" w:rsidRDefault="006F3925" w:rsidP="00DF0334">
      <w:pPr>
        <w:pStyle w:val="ActHead5"/>
      </w:pPr>
      <w:bookmarkStart w:id="43" w:name="_Toc169168241"/>
      <w:r w:rsidRPr="00A06914">
        <w:rPr>
          <w:rStyle w:val="CharSectno"/>
        </w:rPr>
        <w:t>27</w:t>
      </w:r>
      <w:r w:rsidR="005963F9" w:rsidRPr="00263158">
        <w:t xml:space="preserve">  </w:t>
      </w:r>
      <w:r w:rsidR="00DF0334" w:rsidRPr="00263158">
        <w:t>Small parts</w:t>
      </w:r>
      <w:bookmarkEnd w:id="43"/>
    </w:p>
    <w:p w14:paraId="52E26694" w14:textId="77777777" w:rsidR="00F805E0" w:rsidRPr="00263158" w:rsidRDefault="00DF0334" w:rsidP="006E3FE4">
      <w:pPr>
        <w:pStyle w:val="subsection"/>
      </w:pPr>
      <w:r w:rsidRPr="00263158">
        <w:tab/>
      </w:r>
      <w:r w:rsidRPr="00263158">
        <w:tab/>
      </w:r>
      <w:r w:rsidR="00AF244E" w:rsidRPr="00263158">
        <w:t>Any component or removable part of an infant sleep product (whether the component is intended to be removed with the use of a tool or not) must not be able to fit entirely within a</w:t>
      </w:r>
      <w:r w:rsidR="00C43D0D" w:rsidRPr="00263158">
        <w:t xml:space="preserve"> small parts</w:t>
      </w:r>
      <w:r w:rsidR="006E3FE4" w:rsidRPr="00263158">
        <w:t xml:space="preserve"> </w:t>
      </w:r>
      <w:r w:rsidR="00AF244E" w:rsidRPr="00263158">
        <w:t>cylinder</w:t>
      </w:r>
      <w:r w:rsidR="006E3FE4" w:rsidRPr="00263158">
        <w:t xml:space="preserve"> that </w:t>
      </w:r>
      <w:r w:rsidR="00F805E0" w:rsidRPr="00263158">
        <w:t>has a</w:t>
      </w:r>
      <w:r w:rsidR="006E3FE4" w:rsidRPr="00263158">
        <w:t xml:space="preserve"> </w:t>
      </w:r>
      <w:r w:rsidR="00F805E0" w:rsidRPr="00263158">
        <w:t>5.7</w:t>
      </w:r>
      <w:r w:rsidR="00A30E7B" w:rsidRPr="00263158">
        <w:t xml:space="preserve"> </w:t>
      </w:r>
      <w:r w:rsidR="00F805E0" w:rsidRPr="00263158">
        <w:t>cm long axis diameter, is 10.7</w:t>
      </w:r>
      <w:r w:rsidR="00A30E7B" w:rsidRPr="00263158">
        <w:t xml:space="preserve"> </w:t>
      </w:r>
      <w:r w:rsidR="00F805E0" w:rsidRPr="00263158">
        <w:t>cm in length and has a 4.5</w:t>
      </w:r>
      <w:r w:rsidR="00A30E7B" w:rsidRPr="00263158">
        <w:t xml:space="preserve"> </w:t>
      </w:r>
      <w:r w:rsidR="00F805E0" w:rsidRPr="00263158">
        <w:t>cm short axis diameter.</w:t>
      </w:r>
    </w:p>
    <w:p w14:paraId="52862C15" w14:textId="77777777" w:rsidR="00E340E4" w:rsidRPr="00263158" w:rsidRDefault="00EB67FE" w:rsidP="007A5B70">
      <w:pPr>
        <w:pStyle w:val="ActHead3"/>
        <w:pageBreakBefore/>
      </w:pPr>
      <w:bookmarkStart w:id="44" w:name="_Toc169168242"/>
      <w:r w:rsidRPr="00A06914">
        <w:rPr>
          <w:rStyle w:val="CharDivNo"/>
        </w:rPr>
        <w:t>Division 3</w:t>
      </w:r>
      <w:r w:rsidR="00970413" w:rsidRPr="00263158">
        <w:t>—</w:t>
      </w:r>
      <w:r w:rsidR="00970413" w:rsidRPr="00A06914">
        <w:rPr>
          <w:rStyle w:val="CharDivText"/>
        </w:rPr>
        <w:t>Specific requirements</w:t>
      </w:r>
      <w:bookmarkEnd w:id="44"/>
    </w:p>
    <w:p w14:paraId="00560630" w14:textId="77777777" w:rsidR="00C47AE2" w:rsidRPr="00263158" w:rsidRDefault="007467AA" w:rsidP="007A5B70">
      <w:pPr>
        <w:pStyle w:val="ActHead4"/>
      </w:pPr>
      <w:bookmarkStart w:id="45" w:name="_Toc169168243"/>
      <w:r w:rsidRPr="00A06914">
        <w:rPr>
          <w:rStyle w:val="CharSubdNo"/>
        </w:rPr>
        <w:t>Subdivision A</w:t>
      </w:r>
      <w:r w:rsidRPr="00263158">
        <w:t>—</w:t>
      </w:r>
      <w:r w:rsidR="00C47AE2" w:rsidRPr="00A06914">
        <w:rPr>
          <w:rStyle w:val="CharSubdText"/>
        </w:rPr>
        <w:t>Specific requirements for bassinets</w:t>
      </w:r>
      <w:bookmarkEnd w:id="45"/>
    </w:p>
    <w:p w14:paraId="7F3809C5" w14:textId="77777777" w:rsidR="007467AA" w:rsidRPr="00263158" w:rsidRDefault="006F3925" w:rsidP="007467AA">
      <w:pPr>
        <w:pStyle w:val="ActHead5"/>
      </w:pPr>
      <w:bookmarkStart w:id="46" w:name="_Toc169168244"/>
      <w:r w:rsidRPr="00A06914">
        <w:rPr>
          <w:rStyle w:val="CharSectno"/>
        </w:rPr>
        <w:t>28</w:t>
      </w:r>
      <w:r w:rsidR="00E25507" w:rsidRPr="00263158">
        <w:t xml:space="preserve">  </w:t>
      </w:r>
      <w:r w:rsidR="007467AA" w:rsidRPr="00263158">
        <w:t xml:space="preserve">Bassinets to which this </w:t>
      </w:r>
      <w:r w:rsidR="005B2D99" w:rsidRPr="00263158">
        <w:t>Subd</w:t>
      </w:r>
      <w:r w:rsidR="0013026F" w:rsidRPr="00263158">
        <w:t>ivision</w:t>
      </w:r>
      <w:r w:rsidR="007467AA" w:rsidRPr="00263158">
        <w:t xml:space="preserve"> applies</w:t>
      </w:r>
      <w:bookmarkEnd w:id="46"/>
    </w:p>
    <w:p w14:paraId="23DBBC76" w14:textId="77777777" w:rsidR="00E25507" w:rsidRPr="00263158" w:rsidRDefault="00E25507" w:rsidP="00E25507">
      <w:pPr>
        <w:pStyle w:val="subsection"/>
      </w:pPr>
      <w:r w:rsidRPr="00263158">
        <w:tab/>
      </w:r>
      <w:r w:rsidRPr="00263158">
        <w:tab/>
      </w:r>
      <w:r w:rsidR="00C36519" w:rsidRPr="00263158">
        <w:t xml:space="preserve">This </w:t>
      </w:r>
      <w:r w:rsidR="00C21132" w:rsidRPr="00263158">
        <w:t>Subd</w:t>
      </w:r>
      <w:r w:rsidR="00C36519" w:rsidRPr="00263158">
        <w:t>ivision applies to an infant sleep product that is a bassinet other than</w:t>
      </w:r>
      <w:r w:rsidR="00357716" w:rsidRPr="00263158">
        <w:t xml:space="preserve"> the following:</w:t>
      </w:r>
    </w:p>
    <w:p w14:paraId="3FD9C053" w14:textId="77777777" w:rsidR="00DE69AD" w:rsidRPr="00263158" w:rsidRDefault="00E25507" w:rsidP="00E25507">
      <w:pPr>
        <w:pStyle w:val="paragraph"/>
      </w:pPr>
      <w:r w:rsidRPr="00263158">
        <w:tab/>
        <w:t>(a)</w:t>
      </w:r>
      <w:r w:rsidRPr="00263158">
        <w:tab/>
      </w:r>
      <w:r w:rsidR="00C36519" w:rsidRPr="00263158">
        <w:t>an infant sleep product to which</w:t>
      </w:r>
      <w:r w:rsidR="005826EF" w:rsidRPr="00263158">
        <w:t xml:space="preserve"> </w:t>
      </w:r>
      <w:r w:rsidR="00FC0C8F" w:rsidRPr="00263158">
        <w:t>Subdivision B</w:t>
      </w:r>
      <w:r w:rsidR="005826EF" w:rsidRPr="00263158">
        <w:t xml:space="preserve"> </w:t>
      </w:r>
      <w:r w:rsidR="00C36519" w:rsidRPr="00263158">
        <w:t>applies</w:t>
      </w:r>
      <w:r w:rsidR="005826EF" w:rsidRPr="00263158">
        <w:t>;</w:t>
      </w:r>
    </w:p>
    <w:p w14:paraId="1FB4189B" w14:textId="77777777" w:rsidR="00E25507" w:rsidRPr="00263158" w:rsidRDefault="00DE69AD" w:rsidP="00DE69AD">
      <w:pPr>
        <w:pStyle w:val="paragraph"/>
      </w:pPr>
      <w:r w:rsidRPr="00263158">
        <w:tab/>
        <w:t>(b)</w:t>
      </w:r>
      <w:r w:rsidRPr="00263158">
        <w:tab/>
      </w:r>
      <w:r w:rsidR="00C36519" w:rsidRPr="00263158">
        <w:t xml:space="preserve">an infant sleep product to which </w:t>
      </w:r>
      <w:r w:rsidR="00FC0C8F" w:rsidRPr="00263158">
        <w:t>Subdivision C</w:t>
      </w:r>
      <w:r w:rsidRPr="00263158">
        <w:t xml:space="preserve"> </w:t>
      </w:r>
      <w:r w:rsidR="00C36519" w:rsidRPr="00263158">
        <w:t>applies</w:t>
      </w:r>
      <w:r w:rsidR="000C690A" w:rsidRPr="00263158">
        <w:t>.</w:t>
      </w:r>
    </w:p>
    <w:p w14:paraId="5B20ADBA" w14:textId="77777777" w:rsidR="00E25507" w:rsidRPr="00263158" w:rsidRDefault="006F3925" w:rsidP="006B1D80">
      <w:pPr>
        <w:pStyle w:val="ActHead5"/>
      </w:pPr>
      <w:bookmarkStart w:id="47" w:name="_Toc169168245"/>
      <w:r w:rsidRPr="00A06914">
        <w:rPr>
          <w:rStyle w:val="CharSectno"/>
        </w:rPr>
        <w:t>29</w:t>
      </w:r>
      <w:r w:rsidR="006B1D80" w:rsidRPr="00263158">
        <w:t xml:space="preserve">  </w:t>
      </w:r>
      <w:r w:rsidR="00446932" w:rsidRPr="00263158">
        <w:t>Side height</w:t>
      </w:r>
      <w:bookmarkEnd w:id="47"/>
    </w:p>
    <w:p w14:paraId="0FB593FC" w14:textId="77777777" w:rsidR="00446932" w:rsidRPr="00263158" w:rsidRDefault="00446932" w:rsidP="00446932">
      <w:pPr>
        <w:pStyle w:val="subsection"/>
      </w:pPr>
      <w:r w:rsidRPr="00263158">
        <w:tab/>
      </w:r>
      <w:r w:rsidRPr="00263158">
        <w:tab/>
        <w:t xml:space="preserve">The vertical distance between the top of the mattress or sleep surface and the top edge of the lowest side or end of </w:t>
      </w:r>
      <w:r w:rsidR="00357716" w:rsidRPr="00263158">
        <w:t>a</w:t>
      </w:r>
      <w:r w:rsidRPr="00263158">
        <w:t xml:space="preserve"> bassinet </w:t>
      </w:r>
      <w:r w:rsidR="00422406" w:rsidRPr="00263158">
        <w:t>must</w:t>
      </w:r>
      <w:r w:rsidRPr="00263158">
        <w:t xml:space="preserve"> not be less than 250</w:t>
      </w:r>
      <w:r w:rsidR="00092425" w:rsidRPr="00263158">
        <w:t xml:space="preserve"> </w:t>
      </w:r>
      <w:r w:rsidRPr="00263158">
        <w:t>mm.</w:t>
      </w:r>
    </w:p>
    <w:p w14:paraId="43FAF51A" w14:textId="77777777" w:rsidR="00446932" w:rsidRPr="00263158" w:rsidRDefault="006F3925" w:rsidP="00446932">
      <w:pPr>
        <w:pStyle w:val="ActHead5"/>
      </w:pPr>
      <w:bookmarkStart w:id="48" w:name="_Toc169168246"/>
      <w:r w:rsidRPr="00A06914">
        <w:rPr>
          <w:rStyle w:val="CharSectno"/>
        </w:rPr>
        <w:t>30</w:t>
      </w:r>
      <w:r w:rsidR="00446932" w:rsidRPr="00263158">
        <w:t xml:space="preserve">  Filler bars</w:t>
      </w:r>
      <w:bookmarkEnd w:id="48"/>
    </w:p>
    <w:p w14:paraId="0D99B606" w14:textId="77777777" w:rsidR="00530F65" w:rsidRPr="00263158" w:rsidRDefault="00530F65" w:rsidP="00530F65">
      <w:pPr>
        <w:pStyle w:val="subsection"/>
      </w:pPr>
      <w:r w:rsidRPr="00263158">
        <w:tab/>
      </w:r>
      <w:r w:rsidRPr="00263158">
        <w:tab/>
      </w:r>
      <w:r w:rsidR="00357716" w:rsidRPr="00263158">
        <w:t xml:space="preserve">If a bassinet is designed </w:t>
      </w:r>
      <w:r w:rsidR="00B26D88" w:rsidRPr="00263158">
        <w:t>with</w:t>
      </w:r>
      <w:r w:rsidR="00184886" w:rsidRPr="00263158">
        <w:t xml:space="preserve"> </w:t>
      </w:r>
      <w:r w:rsidR="00611BB1" w:rsidRPr="00263158">
        <w:t>filler bars</w:t>
      </w:r>
      <w:r w:rsidR="00B91016" w:rsidRPr="00263158">
        <w:t xml:space="preserve"> or slats</w:t>
      </w:r>
      <w:r w:rsidR="00184886" w:rsidRPr="00263158">
        <w:t>,</w:t>
      </w:r>
      <w:r w:rsidR="00611BB1" w:rsidRPr="00263158">
        <w:t xml:space="preserve"> the distance between the adjacent filler bars</w:t>
      </w:r>
      <w:r w:rsidR="00B91016" w:rsidRPr="00263158">
        <w:t xml:space="preserve"> or slats</w:t>
      </w:r>
      <w:r w:rsidR="00611BB1" w:rsidRPr="00263158">
        <w:t xml:space="preserve"> </w:t>
      </w:r>
      <w:r w:rsidR="00497228" w:rsidRPr="00263158">
        <w:t>must</w:t>
      </w:r>
      <w:r w:rsidR="00611BB1" w:rsidRPr="00263158">
        <w:t xml:space="preserve"> not be less than 50</w:t>
      </w:r>
      <w:r w:rsidR="00092425" w:rsidRPr="00263158">
        <w:t xml:space="preserve"> </w:t>
      </w:r>
      <w:r w:rsidR="00611BB1" w:rsidRPr="00263158">
        <w:t>mm and not greater than 65</w:t>
      </w:r>
      <w:r w:rsidR="00092425" w:rsidRPr="00263158">
        <w:t xml:space="preserve"> </w:t>
      </w:r>
      <w:r w:rsidR="00611BB1" w:rsidRPr="00263158">
        <w:t>mm.</w:t>
      </w:r>
    </w:p>
    <w:p w14:paraId="5CE8B3E8" w14:textId="77777777" w:rsidR="00184886" w:rsidRPr="00263158" w:rsidRDefault="006F3925" w:rsidP="00184886">
      <w:pPr>
        <w:pStyle w:val="ActHead5"/>
      </w:pPr>
      <w:bookmarkStart w:id="49" w:name="_Toc169168247"/>
      <w:r w:rsidRPr="00A06914">
        <w:rPr>
          <w:rStyle w:val="CharSectno"/>
        </w:rPr>
        <w:t>31</w:t>
      </w:r>
      <w:r w:rsidR="00184886" w:rsidRPr="00263158">
        <w:t xml:space="preserve">  Materials</w:t>
      </w:r>
      <w:bookmarkEnd w:id="49"/>
    </w:p>
    <w:p w14:paraId="664AC02B" w14:textId="77777777" w:rsidR="00611BB1" w:rsidRPr="00263158" w:rsidRDefault="00611BB1" w:rsidP="00611BB1">
      <w:pPr>
        <w:pStyle w:val="subsection"/>
      </w:pPr>
      <w:r w:rsidRPr="00263158">
        <w:tab/>
      </w:r>
      <w:r w:rsidRPr="00263158">
        <w:tab/>
      </w:r>
      <w:r w:rsidR="00B26D88" w:rsidRPr="00263158">
        <w:t xml:space="preserve">If a bassinet is designed with </w:t>
      </w:r>
      <w:r w:rsidR="009D7913" w:rsidRPr="00263158">
        <w:t xml:space="preserve">fabric or </w:t>
      </w:r>
      <w:r w:rsidRPr="00263158">
        <w:t>mesh</w:t>
      </w:r>
      <w:r w:rsidR="009D7913" w:rsidRPr="00263158">
        <w:t>,</w:t>
      </w:r>
      <w:r w:rsidR="00775D26" w:rsidRPr="00263158">
        <w:t xml:space="preserve"> </w:t>
      </w:r>
      <w:r w:rsidR="006F04B9" w:rsidRPr="00263158">
        <w:t>the</w:t>
      </w:r>
      <w:r w:rsidR="009D7913" w:rsidRPr="00263158">
        <w:t xml:space="preserve"> fabric or</w:t>
      </w:r>
      <w:r w:rsidR="006F04B9" w:rsidRPr="00263158">
        <w:t xml:space="preserve"> mesh</w:t>
      </w:r>
      <w:r w:rsidR="00184886" w:rsidRPr="00263158">
        <w:t xml:space="preserve"> must comply with the materials requirements in</w:t>
      </w:r>
      <w:r w:rsidR="00205325" w:rsidRPr="00263158">
        <w:t xml:space="preserve"> </w:t>
      </w:r>
      <w:r w:rsidR="00FB3BAA" w:rsidRPr="00263158">
        <w:t>section</w:t>
      </w:r>
      <w:r w:rsidR="00E81DFF" w:rsidRPr="00263158">
        <w:t> 6</w:t>
      </w:r>
      <w:r w:rsidR="00C75773" w:rsidRPr="00263158">
        <w:t xml:space="preserve"> (materials)</w:t>
      </w:r>
      <w:r w:rsidR="00205325" w:rsidRPr="00263158">
        <w:t xml:space="preserve"> of</w:t>
      </w:r>
      <w:r w:rsidR="00184886" w:rsidRPr="00263158">
        <w:t xml:space="preserve"> the </w:t>
      </w:r>
      <w:r w:rsidR="00051151" w:rsidRPr="00263158">
        <w:t>Australian/New Zealand Standard for folding cots</w:t>
      </w:r>
      <w:r w:rsidR="00184886" w:rsidRPr="00263158">
        <w:t>.</w:t>
      </w:r>
    </w:p>
    <w:p w14:paraId="5CBB193F" w14:textId="77777777" w:rsidR="00184886" w:rsidRPr="00263158" w:rsidRDefault="006F3925" w:rsidP="00184886">
      <w:pPr>
        <w:pStyle w:val="ActHead5"/>
      </w:pPr>
      <w:bookmarkStart w:id="50" w:name="_Toc169168248"/>
      <w:r w:rsidRPr="00A06914">
        <w:rPr>
          <w:rStyle w:val="CharSectno"/>
        </w:rPr>
        <w:t>32</w:t>
      </w:r>
      <w:r w:rsidR="00184886" w:rsidRPr="00263158">
        <w:t xml:space="preserve">  Base width</w:t>
      </w:r>
      <w:bookmarkEnd w:id="50"/>
    </w:p>
    <w:p w14:paraId="10C467BF" w14:textId="77777777" w:rsidR="007B01EF" w:rsidRPr="00263158" w:rsidRDefault="00184886" w:rsidP="00184886">
      <w:pPr>
        <w:pStyle w:val="subsection"/>
      </w:pPr>
      <w:r w:rsidRPr="00263158">
        <w:tab/>
      </w:r>
      <w:r w:rsidRPr="00263158">
        <w:tab/>
        <w:t xml:space="preserve">The width of the base of </w:t>
      </w:r>
      <w:r w:rsidR="00760676" w:rsidRPr="00263158">
        <w:t>a</w:t>
      </w:r>
      <w:r w:rsidRPr="00263158">
        <w:t xml:space="preserve"> bassinet must</w:t>
      </w:r>
      <w:r w:rsidR="007B01EF" w:rsidRPr="00263158">
        <w:t>:</w:t>
      </w:r>
    </w:p>
    <w:p w14:paraId="59CCC667" w14:textId="77777777" w:rsidR="007B01EF" w:rsidRPr="00263158" w:rsidRDefault="007B01EF" w:rsidP="007B01EF">
      <w:pPr>
        <w:pStyle w:val="paragraph"/>
      </w:pPr>
      <w:r w:rsidRPr="00263158">
        <w:tab/>
        <w:t>(a)</w:t>
      </w:r>
      <w:r w:rsidRPr="00263158">
        <w:tab/>
      </w:r>
      <w:r w:rsidR="00184886" w:rsidRPr="00263158">
        <w:t>be sufficient to ensure that</w:t>
      </w:r>
      <w:r w:rsidR="00B257AC" w:rsidRPr="00263158">
        <w:t xml:space="preserve"> </w:t>
      </w:r>
      <w:r w:rsidR="00760676" w:rsidRPr="00263158">
        <w:t>the bassinet</w:t>
      </w:r>
      <w:r w:rsidR="00184886" w:rsidRPr="00263158">
        <w:t xml:space="preserve"> is able to safely contain an infant</w:t>
      </w:r>
      <w:r w:rsidRPr="00263158">
        <w:t>;</w:t>
      </w:r>
      <w:r w:rsidR="00184886" w:rsidRPr="00263158">
        <w:t xml:space="preserve"> and</w:t>
      </w:r>
    </w:p>
    <w:p w14:paraId="1FE44A37" w14:textId="77777777" w:rsidR="00184886" w:rsidRPr="00263158" w:rsidRDefault="007B01EF" w:rsidP="007B01EF">
      <w:pPr>
        <w:pStyle w:val="paragraph"/>
      </w:pPr>
      <w:r w:rsidRPr="00263158">
        <w:tab/>
        <w:t>(b)</w:t>
      </w:r>
      <w:r w:rsidRPr="00263158">
        <w:tab/>
      </w:r>
      <w:r w:rsidR="00184886" w:rsidRPr="00263158">
        <w:t>be sufficiently stable when used in accordance with the manufacturer’s instructions.</w:t>
      </w:r>
    </w:p>
    <w:p w14:paraId="13FFEFEF" w14:textId="77777777" w:rsidR="00270F77" w:rsidRPr="00263158" w:rsidRDefault="006F3925" w:rsidP="00270F77">
      <w:pPr>
        <w:pStyle w:val="ActHead5"/>
      </w:pPr>
      <w:bookmarkStart w:id="51" w:name="_Toc169168249"/>
      <w:r w:rsidRPr="00A06914">
        <w:rPr>
          <w:rStyle w:val="CharSectno"/>
        </w:rPr>
        <w:t>33</w:t>
      </w:r>
      <w:r w:rsidR="00270F77" w:rsidRPr="00263158">
        <w:t xml:space="preserve">  Warnings</w:t>
      </w:r>
      <w:bookmarkEnd w:id="51"/>
    </w:p>
    <w:p w14:paraId="5CA45008" w14:textId="77777777" w:rsidR="00270F77" w:rsidRPr="00263158" w:rsidRDefault="00270F77" w:rsidP="00230773">
      <w:pPr>
        <w:pStyle w:val="subsection"/>
      </w:pPr>
      <w:r w:rsidRPr="00263158">
        <w:tab/>
      </w:r>
      <w:r w:rsidR="00B257AC" w:rsidRPr="00263158">
        <w:tab/>
      </w:r>
      <w:r w:rsidR="00613485" w:rsidRPr="00263158">
        <w:t>The</w:t>
      </w:r>
      <w:r w:rsidRPr="00263158">
        <w:t xml:space="preserve"> bassinet must have a clearly</w:t>
      </w:r>
      <w:r w:rsidR="00B54864" w:rsidRPr="00263158">
        <w:t xml:space="preserve"> visible, prominent, </w:t>
      </w:r>
      <w:r w:rsidRPr="00263158">
        <w:t>legible</w:t>
      </w:r>
      <w:r w:rsidR="00B54864" w:rsidRPr="00263158">
        <w:t xml:space="preserve"> and </w:t>
      </w:r>
      <w:r w:rsidRPr="00263158">
        <w:t xml:space="preserve">permanently attached warning </w:t>
      </w:r>
      <w:r w:rsidR="004C3BFF" w:rsidRPr="00263158">
        <w:t>that consists of the words</w:t>
      </w:r>
      <w:r w:rsidR="00230773" w:rsidRPr="00263158">
        <w:t xml:space="preserve"> </w:t>
      </w:r>
      <w:r w:rsidR="002C5957" w:rsidRPr="00263158">
        <w:t>“</w:t>
      </w:r>
      <w:r w:rsidR="009D4948" w:rsidRPr="00263158">
        <w:t>WARNING: d</w:t>
      </w:r>
      <w:r w:rsidRPr="00263158">
        <w:t>o not use this product when the infant begins to push up on hands and knees or</w:t>
      </w:r>
      <w:r w:rsidR="009D4948" w:rsidRPr="00263158">
        <w:t xml:space="preserve"> </w:t>
      </w:r>
      <w:r w:rsidRPr="00263158">
        <w:t>has reached [</w:t>
      </w:r>
      <w:r w:rsidRPr="00263158">
        <w:rPr>
          <w:i/>
        </w:rPr>
        <w:t>insert manufacture</w:t>
      </w:r>
      <w:r w:rsidR="00230773" w:rsidRPr="00263158">
        <w:rPr>
          <w:i/>
        </w:rPr>
        <w:t>r</w:t>
      </w:r>
      <w:r w:rsidRPr="00263158">
        <w:rPr>
          <w:i/>
        </w:rPr>
        <w:t>’s recommended maximum weight</w:t>
      </w:r>
      <w:r w:rsidRPr="00263158">
        <w:t>], whichever comes first</w:t>
      </w:r>
      <w:r w:rsidR="002C5957" w:rsidRPr="00263158">
        <w:t>”</w:t>
      </w:r>
      <w:r w:rsidRPr="00263158">
        <w:t>.</w:t>
      </w:r>
    </w:p>
    <w:p w14:paraId="269F2331" w14:textId="77777777" w:rsidR="007467AA" w:rsidRPr="00263158" w:rsidRDefault="007467AA" w:rsidP="00AD3C23">
      <w:pPr>
        <w:pStyle w:val="ActHead4"/>
      </w:pPr>
      <w:bookmarkStart w:id="52" w:name="_Toc169168250"/>
      <w:r w:rsidRPr="00A06914">
        <w:rPr>
          <w:rStyle w:val="CharSubdNo"/>
        </w:rPr>
        <w:t>Subdivision</w:t>
      </w:r>
      <w:r w:rsidR="007A5B70" w:rsidRPr="00A06914">
        <w:rPr>
          <w:rStyle w:val="CharSubdNo"/>
        </w:rPr>
        <w:t xml:space="preserve"> </w:t>
      </w:r>
      <w:r w:rsidR="00AD3C23" w:rsidRPr="00A06914">
        <w:rPr>
          <w:rStyle w:val="CharSubdNo"/>
        </w:rPr>
        <w:t>B</w:t>
      </w:r>
      <w:r w:rsidRPr="00263158">
        <w:t>—</w:t>
      </w:r>
      <w:r w:rsidR="00AD3C23" w:rsidRPr="00A06914">
        <w:rPr>
          <w:rStyle w:val="CharSubdText"/>
        </w:rPr>
        <w:t>Specific requirements for folding cots</w:t>
      </w:r>
      <w:bookmarkEnd w:id="52"/>
    </w:p>
    <w:p w14:paraId="4215D1F0" w14:textId="77777777" w:rsidR="00E340E4" w:rsidRPr="00263158" w:rsidRDefault="006F3925" w:rsidP="00E340E4">
      <w:pPr>
        <w:pStyle w:val="ActHead5"/>
      </w:pPr>
      <w:bookmarkStart w:id="53" w:name="_Toc169168251"/>
      <w:r w:rsidRPr="00A06914">
        <w:rPr>
          <w:rStyle w:val="CharSectno"/>
        </w:rPr>
        <w:t>34</w:t>
      </w:r>
      <w:r w:rsidR="00E340E4" w:rsidRPr="00263158">
        <w:t xml:space="preserve">  </w:t>
      </w:r>
      <w:r w:rsidR="007467AA" w:rsidRPr="00263158">
        <w:t xml:space="preserve">Folding cots to which this </w:t>
      </w:r>
      <w:r w:rsidR="005B2D99" w:rsidRPr="00263158">
        <w:t>Subd</w:t>
      </w:r>
      <w:r w:rsidR="00363302" w:rsidRPr="00263158">
        <w:t>ivision</w:t>
      </w:r>
      <w:r w:rsidR="007467AA" w:rsidRPr="00263158">
        <w:t xml:space="preserve"> applies</w:t>
      </w:r>
      <w:bookmarkEnd w:id="53"/>
    </w:p>
    <w:p w14:paraId="5A23B46F" w14:textId="77777777" w:rsidR="00783CA8" w:rsidRPr="00263158" w:rsidRDefault="00950513" w:rsidP="00D17C5D">
      <w:pPr>
        <w:pStyle w:val="subsection"/>
      </w:pPr>
      <w:r w:rsidRPr="00263158">
        <w:tab/>
      </w:r>
      <w:r w:rsidRPr="00263158">
        <w:tab/>
      </w:r>
      <w:r w:rsidR="00230773" w:rsidRPr="00263158">
        <w:t xml:space="preserve">This </w:t>
      </w:r>
      <w:r w:rsidR="00783CA8" w:rsidRPr="00263158">
        <w:t>Subd</w:t>
      </w:r>
      <w:r w:rsidR="00230773" w:rsidRPr="00263158">
        <w:t>ivision applies to</w:t>
      </w:r>
      <w:r w:rsidR="00D8687F" w:rsidRPr="00263158">
        <w:t xml:space="preserve"> </w:t>
      </w:r>
      <w:r w:rsidR="00783CA8" w:rsidRPr="00263158">
        <w:t>an infant sleep product that is</w:t>
      </w:r>
      <w:r w:rsidR="00230773" w:rsidRPr="00263158">
        <w:t xml:space="preserve"> a folding cot</w:t>
      </w:r>
      <w:r w:rsidR="006F3925" w:rsidRPr="00263158">
        <w:t xml:space="preserve"> other than the following:</w:t>
      </w:r>
    </w:p>
    <w:p w14:paraId="26CDF4C5" w14:textId="77777777" w:rsidR="00950513" w:rsidRPr="00263158" w:rsidRDefault="00950513" w:rsidP="00230773">
      <w:pPr>
        <w:pStyle w:val="paragraph"/>
      </w:pPr>
      <w:r w:rsidRPr="00263158">
        <w:tab/>
        <w:t>(a)</w:t>
      </w:r>
      <w:r w:rsidRPr="00263158">
        <w:tab/>
      </w:r>
      <w:r w:rsidR="00140F29" w:rsidRPr="00263158">
        <w:t xml:space="preserve">an infant sleep product to which </w:t>
      </w:r>
      <w:r w:rsidR="00FC0C8F" w:rsidRPr="00263158">
        <w:t>Subdivision A</w:t>
      </w:r>
      <w:r w:rsidR="00140F29" w:rsidRPr="00263158">
        <w:t xml:space="preserve"> applies</w:t>
      </w:r>
      <w:r w:rsidRPr="00263158">
        <w:t>;</w:t>
      </w:r>
    </w:p>
    <w:p w14:paraId="4633F95D" w14:textId="77777777" w:rsidR="00300CFB" w:rsidRPr="00263158" w:rsidRDefault="00950513" w:rsidP="00300CFB">
      <w:pPr>
        <w:pStyle w:val="paragraph"/>
      </w:pPr>
      <w:r w:rsidRPr="00263158">
        <w:tab/>
        <w:t>(b)</w:t>
      </w:r>
      <w:r w:rsidRPr="00263158">
        <w:tab/>
      </w:r>
      <w:r w:rsidR="00140F29" w:rsidRPr="00263158">
        <w:t xml:space="preserve">an infant sleep product to which </w:t>
      </w:r>
      <w:r w:rsidR="00FC0C8F" w:rsidRPr="00263158">
        <w:t>Subdivision C</w:t>
      </w:r>
      <w:r w:rsidRPr="00263158">
        <w:t xml:space="preserve"> </w:t>
      </w:r>
      <w:r w:rsidR="00140F29" w:rsidRPr="00263158">
        <w:t>applies</w:t>
      </w:r>
      <w:r w:rsidR="005C6531" w:rsidRPr="00263158">
        <w:t>.</w:t>
      </w:r>
    </w:p>
    <w:p w14:paraId="52F24FC8" w14:textId="77777777" w:rsidR="00950513" w:rsidRPr="00263158" w:rsidRDefault="006F3925" w:rsidP="00526B76">
      <w:pPr>
        <w:pStyle w:val="ActHead5"/>
      </w:pPr>
      <w:bookmarkStart w:id="54" w:name="_Toc169168252"/>
      <w:r w:rsidRPr="00A06914">
        <w:rPr>
          <w:rStyle w:val="CharSectno"/>
        </w:rPr>
        <w:t>35</w:t>
      </w:r>
      <w:r w:rsidR="00950513" w:rsidRPr="00263158">
        <w:t xml:space="preserve">  </w:t>
      </w:r>
      <w:r w:rsidR="00D35977" w:rsidRPr="00263158">
        <w:t>Specific requirements</w:t>
      </w:r>
      <w:bookmarkEnd w:id="54"/>
    </w:p>
    <w:p w14:paraId="34EB942F" w14:textId="77777777" w:rsidR="00D36959" w:rsidRPr="00263158" w:rsidRDefault="00D35977" w:rsidP="00D35977">
      <w:pPr>
        <w:pStyle w:val="subsection"/>
      </w:pPr>
      <w:r w:rsidRPr="00263158">
        <w:tab/>
      </w:r>
      <w:r w:rsidR="002F1C4B" w:rsidRPr="00263158">
        <w:t>(1)</w:t>
      </w:r>
      <w:r w:rsidRPr="00263158">
        <w:tab/>
        <w:t>A</w:t>
      </w:r>
      <w:r w:rsidR="000C690A" w:rsidRPr="00263158">
        <w:t xml:space="preserve"> </w:t>
      </w:r>
      <w:r w:rsidR="007239A2" w:rsidRPr="00263158">
        <w:t>folding cot</w:t>
      </w:r>
      <w:r w:rsidRPr="00263158">
        <w:t xml:space="preserve"> must comply with the</w:t>
      </w:r>
      <w:r w:rsidR="00D912F5" w:rsidRPr="00263158">
        <w:t xml:space="preserve"> requirements</w:t>
      </w:r>
      <w:r w:rsidR="00B613C8" w:rsidRPr="00263158">
        <w:t xml:space="preserve"> in</w:t>
      </w:r>
      <w:r w:rsidR="00D912F5" w:rsidRPr="00263158">
        <w:t xml:space="preserve"> </w:t>
      </w:r>
      <w:r w:rsidR="005C6531" w:rsidRPr="00263158">
        <w:t xml:space="preserve">one of </w:t>
      </w:r>
      <w:r w:rsidR="002B4500" w:rsidRPr="00263158">
        <w:t>subsection (</w:t>
      </w:r>
      <w:r w:rsidR="002F1C4B" w:rsidRPr="00263158">
        <w:t>2)</w:t>
      </w:r>
      <w:r w:rsidR="005F6196" w:rsidRPr="00263158">
        <w:t>,</w:t>
      </w:r>
      <w:r w:rsidR="002F1C4B" w:rsidRPr="00263158">
        <w:t xml:space="preserve"> (3)</w:t>
      </w:r>
      <w:r w:rsidR="00D36959" w:rsidRPr="00263158">
        <w:t xml:space="preserve"> or </w:t>
      </w:r>
      <w:r w:rsidR="002F1C4B" w:rsidRPr="00263158">
        <w:t>(4)</w:t>
      </w:r>
      <w:r w:rsidR="00D36959" w:rsidRPr="00263158">
        <w:t>.</w:t>
      </w:r>
    </w:p>
    <w:p w14:paraId="4CA09176" w14:textId="77777777" w:rsidR="00D36959" w:rsidRPr="00263158" w:rsidRDefault="00D36959" w:rsidP="00D36959">
      <w:pPr>
        <w:pStyle w:val="subsection"/>
      </w:pPr>
      <w:r w:rsidRPr="00263158">
        <w:tab/>
        <w:t>(</w:t>
      </w:r>
      <w:r w:rsidR="002F1C4B" w:rsidRPr="00263158">
        <w:t>2</w:t>
      </w:r>
      <w:r w:rsidRPr="00263158">
        <w:t>)</w:t>
      </w:r>
      <w:r w:rsidRPr="00263158">
        <w:tab/>
      </w:r>
      <w:r w:rsidR="007239A2" w:rsidRPr="00263158">
        <w:t>A folding cot</w:t>
      </w:r>
      <w:r w:rsidRPr="00263158">
        <w:t xml:space="preserve"> </w:t>
      </w:r>
      <w:r w:rsidR="00D912F5" w:rsidRPr="00263158">
        <w:t>complies with</w:t>
      </w:r>
      <w:r w:rsidRPr="00263158">
        <w:t xml:space="preserve"> the requirements of this </w:t>
      </w:r>
      <w:r w:rsidR="002F1C4B" w:rsidRPr="00263158">
        <w:t>sub</w:t>
      </w:r>
      <w:r w:rsidRPr="00263158">
        <w:t xml:space="preserve">section if the </w:t>
      </w:r>
      <w:r w:rsidR="007239A2" w:rsidRPr="00263158">
        <w:t>folding cot</w:t>
      </w:r>
      <w:r w:rsidR="000C690A" w:rsidRPr="00263158">
        <w:t xml:space="preserve"> </w:t>
      </w:r>
      <w:r w:rsidRPr="00263158">
        <w:t xml:space="preserve">complies with the following </w:t>
      </w:r>
      <w:r w:rsidR="00B613C8" w:rsidRPr="00263158">
        <w:t>provisions</w:t>
      </w:r>
      <w:r w:rsidRPr="00263158">
        <w:t xml:space="preserve"> of the </w:t>
      </w:r>
      <w:r w:rsidR="00051151" w:rsidRPr="00263158">
        <w:t>Australian/New Zealand Standard for folding cots</w:t>
      </w:r>
      <w:r w:rsidRPr="00263158">
        <w:t>:</w:t>
      </w:r>
    </w:p>
    <w:p w14:paraId="46F93329" w14:textId="77777777" w:rsidR="00D36959" w:rsidRPr="00263158" w:rsidRDefault="00D36959" w:rsidP="00D36959">
      <w:pPr>
        <w:pStyle w:val="paragraph"/>
      </w:pPr>
      <w:r w:rsidRPr="00263158">
        <w:tab/>
        <w:t>(a)</w:t>
      </w:r>
      <w:r w:rsidRPr="00263158">
        <w:tab/>
      </w:r>
      <w:r w:rsidR="00FB3BAA" w:rsidRPr="00263158">
        <w:t>section</w:t>
      </w:r>
      <w:r w:rsidR="00320785" w:rsidRPr="00263158">
        <w:t> 7</w:t>
      </w:r>
      <w:r w:rsidR="00B613C8" w:rsidRPr="00263158">
        <w:t xml:space="preserve"> (construction and assembly)</w:t>
      </w:r>
      <w:r w:rsidR="005E58F5" w:rsidRPr="00263158">
        <w:t>;</w:t>
      </w:r>
    </w:p>
    <w:p w14:paraId="612C76D2" w14:textId="77777777" w:rsidR="005E58F5" w:rsidRPr="00263158" w:rsidRDefault="005E58F5" w:rsidP="005E58F5">
      <w:pPr>
        <w:pStyle w:val="paragraph"/>
      </w:pPr>
      <w:r w:rsidRPr="00263158">
        <w:tab/>
        <w:t>(b)</w:t>
      </w:r>
      <w:r w:rsidRPr="00263158">
        <w:tab/>
      </w:r>
      <w:r w:rsidR="00FB3BAA" w:rsidRPr="00263158">
        <w:t>section</w:t>
      </w:r>
      <w:r w:rsidR="00AE5745" w:rsidRPr="00263158">
        <w:t> 8</w:t>
      </w:r>
      <w:r w:rsidR="00B613C8" w:rsidRPr="00263158">
        <w:t xml:space="preserve"> (design)</w:t>
      </w:r>
      <w:r w:rsidRPr="00263158">
        <w:t>;</w:t>
      </w:r>
    </w:p>
    <w:p w14:paraId="01D748B5" w14:textId="77777777" w:rsidR="005E58F5" w:rsidRPr="00263158" w:rsidRDefault="005E58F5" w:rsidP="005E58F5">
      <w:pPr>
        <w:pStyle w:val="paragraph"/>
      </w:pPr>
      <w:r w:rsidRPr="00263158">
        <w:tab/>
        <w:t>(</w:t>
      </w:r>
      <w:r w:rsidR="004B396F" w:rsidRPr="00263158">
        <w:t>c</w:t>
      </w:r>
      <w:r w:rsidRPr="00263158">
        <w:t>)</w:t>
      </w:r>
      <w:r w:rsidRPr="00263158">
        <w:tab/>
      </w:r>
      <w:r w:rsidR="001D5B3D" w:rsidRPr="00263158">
        <w:t>clause 1</w:t>
      </w:r>
      <w:r w:rsidR="00D912F5" w:rsidRPr="00263158">
        <w:t>0.3</w:t>
      </w:r>
      <w:r w:rsidR="00B613C8" w:rsidRPr="00263158">
        <w:t xml:space="preserve"> (stability test)</w:t>
      </w:r>
      <w:r w:rsidR="00D912F5" w:rsidRPr="00263158">
        <w:t>;</w:t>
      </w:r>
    </w:p>
    <w:p w14:paraId="3B0D093E" w14:textId="77777777" w:rsidR="005E58F5" w:rsidRPr="00263158" w:rsidRDefault="00D912F5" w:rsidP="00D912F5">
      <w:pPr>
        <w:pStyle w:val="paragraph"/>
      </w:pPr>
      <w:r w:rsidRPr="00263158">
        <w:tab/>
        <w:t>(</w:t>
      </w:r>
      <w:r w:rsidR="004B396F" w:rsidRPr="00263158">
        <w:t>d</w:t>
      </w:r>
      <w:r w:rsidRPr="00263158">
        <w:t>)</w:t>
      </w:r>
      <w:r w:rsidRPr="00263158">
        <w:tab/>
      </w:r>
      <w:r w:rsidR="001D5B3D" w:rsidRPr="00263158">
        <w:t>clause 1</w:t>
      </w:r>
      <w:r w:rsidRPr="00263158">
        <w:t>0.4</w:t>
      </w:r>
      <w:r w:rsidR="00B613C8" w:rsidRPr="00263158">
        <w:t xml:space="preserve"> (strength test)</w:t>
      </w:r>
      <w:r w:rsidRPr="00263158">
        <w:t>.</w:t>
      </w:r>
    </w:p>
    <w:p w14:paraId="7E285FEC" w14:textId="77777777" w:rsidR="00ED0427" w:rsidRPr="00263158" w:rsidRDefault="00D912F5" w:rsidP="00D912F5">
      <w:pPr>
        <w:pStyle w:val="subsection"/>
      </w:pPr>
      <w:r w:rsidRPr="00263158">
        <w:tab/>
        <w:t>(</w:t>
      </w:r>
      <w:r w:rsidR="002F1C4B" w:rsidRPr="00263158">
        <w:t>3</w:t>
      </w:r>
      <w:r w:rsidRPr="00263158">
        <w:t>)</w:t>
      </w:r>
      <w:r w:rsidRPr="00263158">
        <w:tab/>
      </w:r>
      <w:r w:rsidR="000C690A" w:rsidRPr="00263158">
        <w:t>A</w:t>
      </w:r>
      <w:r w:rsidR="007239A2" w:rsidRPr="00263158">
        <w:t xml:space="preserve"> folding cot</w:t>
      </w:r>
      <w:r w:rsidRPr="00263158">
        <w:t xml:space="preserve"> complies with the requirements of this </w:t>
      </w:r>
      <w:r w:rsidR="002F1C4B" w:rsidRPr="00263158">
        <w:t>sub</w:t>
      </w:r>
      <w:r w:rsidRPr="00263158">
        <w:t xml:space="preserve">section if the </w:t>
      </w:r>
      <w:r w:rsidR="007239A2" w:rsidRPr="00263158">
        <w:t>folding cot</w:t>
      </w:r>
      <w:r w:rsidR="000C690A" w:rsidRPr="00263158">
        <w:t xml:space="preserve"> </w:t>
      </w:r>
      <w:r w:rsidRPr="00263158">
        <w:t>complies</w:t>
      </w:r>
      <w:r w:rsidR="00152210" w:rsidRPr="00263158">
        <w:t xml:space="preserve"> with</w:t>
      </w:r>
      <w:r w:rsidR="00ED0427" w:rsidRPr="00263158">
        <w:t>:</w:t>
      </w:r>
    </w:p>
    <w:p w14:paraId="6DF4CDC1" w14:textId="77777777" w:rsidR="00D912F5" w:rsidRPr="00263158" w:rsidRDefault="00ED0427" w:rsidP="00ED0427">
      <w:pPr>
        <w:pStyle w:val="paragraph"/>
      </w:pPr>
      <w:r w:rsidRPr="00263158">
        <w:tab/>
        <w:t>(a)</w:t>
      </w:r>
      <w:r w:rsidRPr="00263158">
        <w:tab/>
      </w:r>
      <w:r w:rsidR="00320785" w:rsidRPr="00263158">
        <w:t>clause 5</w:t>
      </w:r>
      <w:r w:rsidR="00152210" w:rsidRPr="00263158">
        <w:t xml:space="preserve">.12 (stability) </w:t>
      </w:r>
      <w:r w:rsidR="00FE1338" w:rsidRPr="00263158">
        <w:t>of</w:t>
      </w:r>
      <w:r w:rsidR="00D912F5" w:rsidRPr="00263158">
        <w:t xml:space="preserve"> the</w:t>
      </w:r>
      <w:r w:rsidR="00EE2B79" w:rsidRPr="00263158">
        <w:t xml:space="preserve"> </w:t>
      </w:r>
      <w:r w:rsidR="00CC0A11" w:rsidRPr="00263158">
        <w:t>United States Standard Consumer Safety Specification for Non</w:t>
      </w:r>
      <w:r w:rsidR="00263158">
        <w:noBreakHyphen/>
      </w:r>
      <w:r w:rsidR="00CC0A11" w:rsidRPr="00263158">
        <w:t>Full</w:t>
      </w:r>
      <w:r w:rsidR="00263158">
        <w:noBreakHyphen/>
      </w:r>
      <w:r w:rsidR="00CC0A11" w:rsidRPr="00263158">
        <w:t>Size Baby Cribs/Play</w:t>
      </w:r>
      <w:r w:rsidR="001A3737" w:rsidRPr="00263158">
        <w:t xml:space="preserve"> Yards</w:t>
      </w:r>
      <w:r w:rsidRPr="00263158">
        <w:t>; and</w:t>
      </w:r>
    </w:p>
    <w:p w14:paraId="63864A0A" w14:textId="77777777" w:rsidR="002F6067" w:rsidRPr="00263158" w:rsidRDefault="00A334AE" w:rsidP="00152210">
      <w:pPr>
        <w:pStyle w:val="paragraph"/>
      </w:pPr>
      <w:r w:rsidRPr="00263158">
        <w:tab/>
        <w:t>(</w:t>
      </w:r>
      <w:r w:rsidR="00ED0427" w:rsidRPr="00263158">
        <w:t>b</w:t>
      </w:r>
      <w:r w:rsidRPr="00263158">
        <w:t>)</w:t>
      </w:r>
      <w:r w:rsidR="00152210" w:rsidRPr="00263158">
        <w:tab/>
        <w:t xml:space="preserve">if the folding cot has rigid sides—the following </w:t>
      </w:r>
      <w:r w:rsidR="00260CDB" w:rsidRPr="00263158">
        <w:t>clauses</w:t>
      </w:r>
      <w:r w:rsidR="00530AF2" w:rsidRPr="00263158">
        <w:t xml:space="preserve"> of that standard</w:t>
      </w:r>
      <w:r w:rsidR="00152210" w:rsidRPr="00263158">
        <w:t>:</w:t>
      </w:r>
    </w:p>
    <w:p w14:paraId="31D35540" w14:textId="77777777" w:rsidR="00832738" w:rsidRPr="00263158" w:rsidRDefault="00832738" w:rsidP="00530AF2">
      <w:pPr>
        <w:pStyle w:val="paragraphsub"/>
      </w:pPr>
      <w:r w:rsidRPr="00263158">
        <w:tab/>
        <w:t>(</w:t>
      </w:r>
      <w:proofErr w:type="spellStart"/>
      <w:r w:rsidR="00530AF2" w:rsidRPr="00263158">
        <w:t>i</w:t>
      </w:r>
      <w:proofErr w:type="spellEnd"/>
      <w:r w:rsidRPr="00263158">
        <w:t>)</w:t>
      </w:r>
      <w:r w:rsidRPr="00263158">
        <w:tab/>
      </w:r>
      <w:r w:rsidR="00E81DFF" w:rsidRPr="00263158">
        <w:t>clause 6</w:t>
      </w:r>
      <w:r w:rsidR="00B613C8" w:rsidRPr="00263158">
        <w:t>.2 (crib</w:t>
      </w:r>
      <w:r w:rsidR="00263158">
        <w:noBreakHyphen/>
      </w:r>
      <w:r w:rsidR="002F6067" w:rsidRPr="00263158">
        <w:t>side height);</w:t>
      </w:r>
    </w:p>
    <w:p w14:paraId="137A3625" w14:textId="77777777" w:rsidR="002F6067" w:rsidRPr="00263158" w:rsidRDefault="002F6067" w:rsidP="00530AF2">
      <w:pPr>
        <w:pStyle w:val="paragraphsub"/>
      </w:pPr>
      <w:r w:rsidRPr="00263158">
        <w:tab/>
        <w:t>(</w:t>
      </w:r>
      <w:r w:rsidR="00530AF2" w:rsidRPr="00263158">
        <w:t>ii</w:t>
      </w:r>
      <w:r w:rsidRPr="00263158">
        <w:t>)</w:t>
      </w:r>
      <w:r w:rsidRPr="00263158">
        <w:tab/>
      </w:r>
      <w:r w:rsidR="00E81DFF" w:rsidRPr="00263158">
        <w:t>clause 6</w:t>
      </w:r>
      <w:r w:rsidRPr="00263158">
        <w:t>.3 (spacing of unit components);</w:t>
      </w:r>
    </w:p>
    <w:p w14:paraId="527BDE44" w14:textId="77777777" w:rsidR="008B72C0" w:rsidRPr="00263158" w:rsidRDefault="008B72C0" w:rsidP="00530AF2">
      <w:pPr>
        <w:pStyle w:val="paragraphsub"/>
      </w:pPr>
      <w:r w:rsidRPr="00263158">
        <w:tab/>
        <w:t>(</w:t>
      </w:r>
      <w:r w:rsidR="00530AF2" w:rsidRPr="00263158">
        <w:t>iii</w:t>
      </w:r>
      <w:r w:rsidRPr="00263158">
        <w:t>)</w:t>
      </w:r>
      <w:r w:rsidRPr="00263158">
        <w:tab/>
      </w:r>
      <w:r w:rsidR="00E81DFF" w:rsidRPr="00263158">
        <w:t>clause 6</w:t>
      </w:r>
      <w:r w:rsidRPr="00263158">
        <w:t>.16 (spindle/slat strength testing);</w:t>
      </w:r>
      <w:r w:rsidR="00152210" w:rsidRPr="00263158">
        <w:t xml:space="preserve"> and</w:t>
      </w:r>
    </w:p>
    <w:p w14:paraId="750AB2B6" w14:textId="77777777" w:rsidR="002F6067" w:rsidRPr="00263158" w:rsidRDefault="00530AF2" w:rsidP="00530AF2">
      <w:pPr>
        <w:pStyle w:val="paragraph"/>
      </w:pPr>
      <w:r w:rsidRPr="00263158">
        <w:tab/>
      </w:r>
      <w:r w:rsidR="00152210" w:rsidRPr="00263158">
        <w:t>(</w:t>
      </w:r>
      <w:r w:rsidR="00ED0427" w:rsidRPr="00263158">
        <w:t>c</w:t>
      </w:r>
      <w:r w:rsidR="00152210" w:rsidRPr="00263158">
        <w:t>)</w:t>
      </w:r>
      <w:r w:rsidRPr="00263158">
        <w:tab/>
      </w:r>
      <w:r w:rsidR="002F6067" w:rsidRPr="00263158">
        <w:t>if the folding cot has mesh or fabric sides</w:t>
      </w:r>
      <w:r w:rsidRPr="00263158">
        <w:t>—the following clauses of that standard:</w:t>
      </w:r>
    </w:p>
    <w:p w14:paraId="3676F26B" w14:textId="77777777" w:rsidR="002F6067" w:rsidRPr="00263158" w:rsidRDefault="002F6067" w:rsidP="00260CDB">
      <w:pPr>
        <w:pStyle w:val="paragraphsub"/>
      </w:pPr>
      <w:r w:rsidRPr="00263158">
        <w:tab/>
        <w:t>(</w:t>
      </w:r>
      <w:proofErr w:type="spellStart"/>
      <w:r w:rsidR="00260CDB" w:rsidRPr="00263158">
        <w:t>i</w:t>
      </w:r>
      <w:proofErr w:type="spellEnd"/>
      <w:r w:rsidRPr="00263158">
        <w:t>)</w:t>
      </w:r>
      <w:r w:rsidRPr="00263158">
        <w:tab/>
      </w:r>
      <w:r w:rsidR="00320785" w:rsidRPr="00263158">
        <w:t>clause 7</w:t>
      </w:r>
      <w:r w:rsidRPr="00263158">
        <w:t>.2 (height of sides)</w:t>
      </w:r>
      <w:r w:rsidR="005235C1" w:rsidRPr="00263158">
        <w:t>;</w:t>
      </w:r>
    </w:p>
    <w:p w14:paraId="0C3EC7EB" w14:textId="77777777" w:rsidR="002F6067" w:rsidRPr="00263158" w:rsidRDefault="002F6067" w:rsidP="00260CDB">
      <w:pPr>
        <w:pStyle w:val="paragraphsub"/>
      </w:pPr>
      <w:r w:rsidRPr="00263158">
        <w:tab/>
        <w:t>(</w:t>
      </w:r>
      <w:r w:rsidR="00260CDB" w:rsidRPr="00263158">
        <w:t>ii</w:t>
      </w:r>
      <w:r w:rsidRPr="00263158">
        <w:t>)</w:t>
      </w:r>
      <w:r w:rsidRPr="00263158">
        <w:tab/>
      </w:r>
      <w:r w:rsidR="00320785" w:rsidRPr="00263158">
        <w:t>clause 7</w:t>
      </w:r>
      <w:r w:rsidR="005235C1" w:rsidRPr="00263158">
        <w:t>.3 (side deflection and strength);</w:t>
      </w:r>
    </w:p>
    <w:p w14:paraId="5F883C10" w14:textId="77777777" w:rsidR="005235C1" w:rsidRPr="00263158" w:rsidRDefault="005235C1" w:rsidP="00260CDB">
      <w:pPr>
        <w:pStyle w:val="paragraphsub"/>
      </w:pPr>
      <w:r w:rsidRPr="00263158">
        <w:tab/>
        <w:t>(</w:t>
      </w:r>
      <w:r w:rsidR="00260CDB" w:rsidRPr="00263158">
        <w:t>iii</w:t>
      </w:r>
      <w:r w:rsidRPr="00263158">
        <w:t>)</w:t>
      </w:r>
      <w:r w:rsidRPr="00263158">
        <w:tab/>
      </w:r>
      <w:r w:rsidR="00320785" w:rsidRPr="00263158">
        <w:t>clause 7</w:t>
      </w:r>
      <w:r w:rsidRPr="00263158">
        <w:t>.4 (floor strength);</w:t>
      </w:r>
    </w:p>
    <w:p w14:paraId="08752CC6" w14:textId="77777777" w:rsidR="005235C1" w:rsidRPr="00263158" w:rsidRDefault="005235C1" w:rsidP="00260CDB">
      <w:pPr>
        <w:pStyle w:val="paragraphsub"/>
      </w:pPr>
      <w:r w:rsidRPr="00263158">
        <w:tab/>
        <w:t>(</w:t>
      </w:r>
      <w:r w:rsidR="00260CDB" w:rsidRPr="00263158">
        <w:t>iv</w:t>
      </w:r>
      <w:r w:rsidRPr="00263158">
        <w:t>)</w:t>
      </w:r>
      <w:r w:rsidRPr="00263158">
        <w:tab/>
      </w:r>
      <w:r w:rsidR="005F752E" w:rsidRPr="00263158">
        <w:t>sub</w:t>
      </w:r>
      <w:r w:rsidR="00320785" w:rsidRPr="00263158">
        <w:t>clause 7</w:t>
      </w:r>
      <w:r w:rsidRPr="00263158">
        <w:t>.6.2 (mesh strength)</w:t>
      </w:r>
      <w:r w:rsidR="008A466D" w:rsidRPr="00263158">
        <w:t>;</w:t>
      </w:r>
    </w:p>
    <w:p w14:paraId="12435E2E" w14:textId="77777777" w:rsidR="008A466D" w:rsidRPr="00263158" w:rsidRDefault="008A466D" w:rsidP="00260CDB">
      <w:pPr>
        <w:pStyle w:val="paragraphsub"/>
      </w:pPr>
      <w:r w:rsidRPr="00263158">
        <w:tab/>
        <w:t>(</w:t>
      </w:r>
      <w:r w:rsidR="00260CDB" w:rsidRPr="00263158">
        <w:t>v</w:t>
      </w:r>
      <w:r w:rsidRPr="00263158">
        <w:t>)</w:t>
      </w:r>
      <w:r w:rsidRPr="00263158">
        <w:tab/>
      </w:r>
      <w:r w:rsidR="00320785" w:rsidRPr="00263158">
        <w:t>clause 7</w:t>
      </w:r>
      <w:r w:rsidRPr="00263158">
        <w:t>.7 (fabric material requirements);</w:t>
      </w:r>
    </w:p>
    <w:p w14:paraId="3D80D1AB" w14:textId="77777777" w:rsidR="008A466D" w:rsidRPr="00263158" w:rsidRDefault="008A466D" w:rsidP="00260CDB">
      <w:pPr>
        <w:pStyle w:val="paragraphsub"/>
      </w:pPr>
      <w:r w:rsidRPr="00263158">
        <w:tab/>
        <w:t>(</w:t>
      </w:r>
      <w:r w:rsidR="00260CDB" w:rsidRPr="00263158">
        <w:t>vi</w:t>
      </w:r>
      <w:r w:rsidRPr="00263158">
        <w:t>)</w:t>
      </w:r>
      <w:r w:rsidRPr="00263158">
        <w:tab/>
      </w:r>
      <w:r w:rsidR="00320785" w:rsidRPr="00263158">
        <w:t>clause 7</w:t>
      </w:r>
      <w:r w:rsidRPr="00263158">
        <w:t>.8 (mesh/fabric assembly requirements);</w:t>
      </w:r>
    </w:p>
    <w:p w14:paraId="11F8677D" w14:textId="77777777" w:rsidR="008A466D" w:rsidRPr="00263158" w:rsidRDefault="008A466D" w:rsidP="00260CDB">
      <w:pPr>
        <w:pStyle w:val="paragraphsub"/>
      </w:pPr>
      <w:r w:rsidRPr="00263158">
        <w:tab/>
        <w:t>(</w:t>
      </w:r>
      <w:r w:rsidR="00260CDB" w:rsidRPr="00263158">
        <w:t>vii</w:t>
      </w:r>
      <w:r w:rsidRPr="00263158">
        <w:t>)</w:t>
      </w:r>
      <w:r w:rsidRPr="00263158">
        <w:tab/>
      </w:r>
      <w:r w:rsidR="00320785" w:rsidRPr="00263158">
        <w:t>clause 7</w:t>
      </w:r>
      <w:r w:rsidRPr="00263158">
        <w:t>.10 (</w:t>
      </w:r>
      <w:r w:rsidR="008B72C0" w:rsidRPr="00263158">
        <w:t>top rail configuration).</w:t>
      </w:r>
    </w:p>
    <w:p w14:paraId="01A6DC23" w14:textId="77777777" w:rsidR="00950513" w:rsidRPr="00263158" w:rsidRDefault="00C452E3" w:rsidP="00C452E3">
      <w:pPr>
        <w:pStyle w:val="subsection"/>
      </w:pPr>
      <w:r w:rsidRPr="00263158">
        <w:tab/>
        <w:t>(</w:t>
      </w:r>
      <w:r w:rsidR="002F1C4B" w:rsidRPr="00263158">
        <w:t>4</w:t>
      </w:r>
      <w:r w:rsidRPr="00263158">
        <w:t>)</w:t>
      </w:r>
      <w:r w:rsidRPr="00263158">
        <w:tab/>
      </w:r>
      <w:r w:rsidR="000C690A" w:rsidRPr="00263158">
        <w:t>A</w:t>
      </w:r>
      <w:r w:rsidR="007239A2" w:rsidRPr="00263158">
        <w:t xml:space="preserve"> folding cot</w:t>
      </w:r>
      <w:r w:rsidRPr="00263158">
        <w:t xml:space="preserve"> complies with the requirements of this </w:t>
      </w:r>
      <w:r w:rsidR="002F1C4B" w:rsidRPr="00263158">
        <w:t>sub</w:t>
      </w:r>
      <w:r w:rsidRPr="00263158">
        <w:t xml:space="preserve">section if the </w:t>
      </w:r>
      <w:r w:rsidR="007239A2" w:rsidRPr="00263158">
        <w:t>folding cot</w:t>
      </w:r>
      <w:r w:rsidRPr="00263158">
        <w:t xml:space="preserve"> complies with the following provisions of the</w:t>
      </w:r>
      <w:r w:rsidR="00DE7478" w:rsidRPr="00263158">
        <w:t xml:space="preserve"> </w:t>
      </w:r>
      <w:r w:rsidR="0089424E" w:rsidRPr="00263158">
        <w:t>British Standard for Furniture</w:t>
      </w:r>
      <w:r w:rsidR="0045143A" w:rsidRPr="00263158">
        <w:t>—</w:t>
      </w:r>
      <w:r w:rsidR="0089424E" w:rsidRPr="00263158">
        <w:t>Children’s cots and folding cots for domestic use</w:t>
      </w:r>
      <w:r w:rsidR="006A68CC" w:rsidRPr="00263158">
        <w:t>:</w:t>
      </w:r>
    </w:p>
    <w:p w14:paraId="7957E741" w14:textId="77777777" w:rsidR="002C0653" w:rsidRPr="00263158" w:rsidRDefault="00C452E3" w:rsidP="002C0653">
      <w:pPr>
        <w:pStyle w:val="paragraph"/>
      </w:pPr>
      <w:r w:rsidRPr="00263158">
        <w:tab/>
      </w:r>
      <w:r w:rsidR="002C0653" w:rsidRPr="00263158">
        <w:t>(</w:t>
      </w:r>
      <w:r w:rsidR="00352BEF" w:rsidRPr="00263158">
        <w:t>a</w:t>
      </w:r>
      <w:r w:rsidR="002C0653" w:rsidRPr="00263158">
        <w:t>)</w:t>
      </w:r>
      <w:r w:rsidR="002C0653" w:rsidRPr="00263158">
        <w:tab/>
      </w:r>
      <w:r w:rsidR="00F372D5" w:rsidRPr="00263158">
        <w:t>clause 4</w:t>
      </w:r>
      <w:r w:rsidR="002C0653" w:rsidRPr="00263158">
        <w:t>.3 (initial stability);</w:t>
      </w:r>
    </w:p>
    <w:p w14:paraId="3C4F9FD3" w14:textId="77777777" w:rsidR="004203D3" w:rsidRPr="00263158" w:rsidRDefault="004203D3" w:rsidP="002C0653">
      <w:pPr>
        <w:pStyle w:val="paragraph"/>
      </w:pPr>
      <w:r w:rsidRPr="00263158">
        <w:tab/>
        <w:t>(</w:t>
      </w:r>
      <w:r w:rsidR="00352BEF" w:rsidRPr="00263158">
        <w:t>b</w:t>
      </w:r>
      <w:r w:rsidRPr="00263158">
        <w:t>)</w:t>
      </w:r>
      <w:r w:rsidRPr="00263158">
        <w:tab/>
      </w:r>
      <w:r w:rsidR="00F372D5" w:rsidRPr="00263158">
        <w:t>subclause 4</w:t>
      </w:r>
      <w:r w:rsidR="002C0653" w:rsidRPr="00263158">
        <w:t>.4.6 (locking systems);</w:t>
      </w:r>
    </w:p>
    <w:p w14:paraId="55B346BB" w14:textId="77777777" w:rsidR="002F0BB5" w:rsidRPr="00263158" w:rsidRDefault="002F0BB5" w:rsidP="002F0BB5">
      <w:pPr>
        <w:pStyle w:val="paragraph"/>
      </w:pPr>
      <w:r w:rsidRPr="00263158">
        <w:tab/>
        <w:t>(</w:t>
      </w:r>
      <w:r w:rsidR="00352BEF" w:rsidRPr="00263158">
        <w:t>c</w:t>
      </w:r>
      <w:r w:rsidRPr="00263158">
        <w:t>)</w:t>
      </w:r>
      <w:r w:rsidRPr="00263158">
        <w:tab/>
      </w:r>
      <w:r w:rsidR="002C0653" w:rsidRPr="00263158">
        <w:t>sub</w:t>
      </w:r>
      <w:r w:rsidR="00263158">
        <w:noBreakHyphen/>
      </w:r>
      <w:r w:rsidR="00F372D5" w:rsidRPr="00263158">
        <w:t>subclause 4</w:t>
      </w:r>
      <w:r w:rsidR="009B4758" w:rsidRPr="00263158">
        <w:t>.4.7.1 (folding mattress base and cot base)</w:t>
      </w:r>
      <w:r w:rsidRPr="00263158">
        <w:t>;</w:t>
      </w:r>
    </w:p>
    <w:p w14:paraId="59AD4F0C" w14:textId="77777777" w:rsidR="002F0BB5" w:rsidRPr="00263158" w:rsidRDefault="002F0BB5" w:rsidP="002F0BB5">
      <w:pPr>
        <w:pStyle w:val="paragraph"/>
      </w:pPr>
      <w:r w:rsidRPr="00263158">
        <w:tab/>
        <w:t>(</w:t>
      </w:r>
      <w:r w:rsidR="00352BEF" w:rsidRPr="00263158">
        <w:t>d</w:t>
      </w:r>
      <w:r w:rsidRPr="00263158">
        <w:t>)</w:t>
      </w:r>
      <w:r w:rsidRPr="00263158">
        <w:tab/>
      </w:r>
      <w:r w:rsidR="009B4758" w:rsidRPr="00263158">
        <w:t>sub</w:t>
      </w:r>
      <w:r w:rsidR="00263158">
        <w:noBreakHyphen/>
      </w:r>
      <w:r w:rsidR="00F372D5" w:rsidRPr="00263158">
        <w:t>subclause 4</w:t>
      </w:r>
      <w:r w:rsidR="009B4758" w:rsidRPr="00263158">
        <w:t>.4.7.3 (</w:t>
      </w:r>
      <w:r w:rsidR="00494BD4" w:rsidRPr="00263158">
        <w:t>strength of the cot base</w:t>
      </w:r>
      <w:r w:rsidRPr="00263158">
        <w:t>);</w:t>
      </w:r>
    </w:p>
    <w:p w14:paraId="68BE5467" w14:textId="77777777" w:rsidR="002F0BB5" w:rsidRPr="00263158" w:rsidRDefault="002F0BB5" w:rsidP="002F0BB5">
      <w:pPr>
        <w:pStyle w:val="paragraph"/>
      </w:pPr>
      <w:r w:rsidRPr="00263158">
        <w:tab/>
        <w:t>(</w:t>
      </w:r>
      <w:r w:rsidR="00352BEF" w:rsidRPr="00263158">
        <w:t>e</w:t>
      </w:r>
      <w:r w:rsidRPr="00263158">
        <w:t>)</w:t>
      </w:r>
      <w:r w:rsidRPr="00263158">
        <w:tab/>
      </w:r>
      <w:r w:rsidR="00494BD4" w:rsidRPr="00263158">
        <w:t>sub</w:t>
      </w:r>
      <w:r w:rsidR="00263158">
        <w:noBreakHyphen/>
      </w:r>
      <w:r w:rsidR="00F372D5" w:rsidRPr="00263158">
        <w:t>subclause 4</w:t>
      </w:r>
      <w:r w:rsidR="00494BD4" w:rsidRPr="00263158">
        <w:t>.4.8.2 (distance between footholds and top of cot sides and ends</w:t>
      </w:r>
      <w:r w:rsidRPr="00263158">
        <w:t>);</w:t>
      </w:r>
    </w:p>
    <w:p w14:paraId="68B8D379" w14:textId="77777777" w:rsidR="002F0BB5" w:rsidRPr="00263158" w:rsidRDefault="002F0BB5" w:rsidP="002F0BB5">
      <w:pPr>
        <w:pStyle w:val="paragraph"/>
      </w:pPr>
      <w:r w:rsidRPr="00263158">
        <w:tab/>
        <w:t>(</w:t>
      </w:r>
      <w:r w:rsidR="00352BEF" w:rsidRPr="00263158">
        <w:t>f</w:t>
      </w:r>
      <w:r w:rsidRPr="00263158">
        <w:t>)</w:t>
      </w:r>
      <w:r w:rsidRPr="00263158">
        <w:tab/>
      </w:r>
      <w:r w:rsidR="005B1D09" w:rsidRPr="00263158">
        <w:t>sub</w:t>
      </w:r>
      <w:r w:rsidR="00263158">
        <w:noBreakHyphen/>
      </w:r>
      <w:r w:rsidR="00F372D5" w:rsidRPr="00263158">
        <w:t>subclause 4</w:t>
      </w:r>
      <w:r w:rsidR="005B1D09" w:rsidRPr="00263158">
        <w:t>.4.8.3</w:t>
      </w:r>
      <w:r w:rsidRPr="00263158">
        <w:t>.</w:t>
      </w:r>
      <w:r w:rsidR="005B1D09" w:rsidRPr="00263158">
        <w:t>(strength of side and end components);</w:t>
      </w:r>
    </w:p>
    <w:p w14:paraId="1595C3EB" w14:textId="77777777" w:rsidR="005B1D09" w:rsidRPr="00263158" w:rsidRDefault="005B1D09" w:rsidP="005B1D09">
      <w:pPr>
        <w:pStyle w:val="paragraph"/>
      </w:pPr>
      <w:r w:rsidRPr="00263158">
        <w:tab/>
        <w:t>(</w:t>
      </w:r>
      <w:r w:rsidR="00352BEF" w:rsidRPr="00263158">
        <w:t>g</w:t>
      </w:r>
      <w:r w:rsidRPr="00263158">
        <w:t>)</w:t>
      </w:r>
      <w:r w:rsidRPr="00263158">
        <w:tab/>
      </w:r>
      <w:r w:rsidR="004004BD" w:rsidRPr="00263158">
        <w:t>sub</w:t>
      </w:r>
      <w:r w:rsidR="00263158">
        <w:noBreakHyphen/>
      </w:r>
      <w:r w:rsidR="00F372D5" w:rsidRPr="00263158">
        <w:t>subclause 4</w:t>
      </w:r>
      <w:r w:rsidR="004004BD" w:rsidRPr="00263158">
        <w:t>.4.8.4 (strength of frame and fastenings)</w:t>
      </w:r>
      <w:r w:rsidR="00352BEF" w:rsidRPr="00263158">
        <w:t>;</w:t>
      </w:r>
    </w:p>
    <w:p w14:paraId="2D89C49F" w14:textId="77777777" w:rsidR="00352BEF" w:rsidRPr="00263158" w:rsidRDefault="00352BEF" w:rsidP="005B1D09">
      <w:pPr>
        <w:pStyle w:val="paragraph"/>
      </w:pPr>
      <w:r w:rsidRPr="00263158">
        <w:tab/>
        <w:t>(h)</w:t>
      </w:r>
      <w:r w:rsidRPr="00263158">
        <w:tab/>
        <w:t>clause 4.5 (final stability).</w:t>
      </w:r>
    </w:p>
    <w:p w14:paraId="1948CEB9" w14:textId="77777777" w:rsidR="005C5204" w:rsidRPr="00263158" w:rsidRDefault="005C5204" w:rsidP="005C5204">
      <w:pPr>
        <w:pStyle w:val="notetext"/>
      </w:pPr>
      <w:r w:rsidRPr="00263158">
        <w:t>Note:</w:t>
      </w:r>
      <w:r w:rsidRPr="00263158">
        <w:tab/>
        <w:t xml:space="preserve">On request by the regulator, a supplier may be required to nominate the applicable requirements under this section: see </w:t>
      </w:r>
      <w:r w:rsidR="007B00E0" w:rsidRPr="00263158">
        <w:t>section 1</w:t>
      </w:r>
      <w:r w:rsidRPr="00263158">
        <w:t>08 of the Australian Consumer Law.</w:t>
      </w:r>
    </w:p>
    <w:p w14:paraId="192F4336" w14:textId="77777777" w:rsidR="00694E2C" w:rsidRPr="00263158" w:rsidRDefault="00320785" w:rsidP="00694E2C">
      <w:pPr>
        <w:pStyle w:val="ActHead4"/>
      </w:pPr>
      <w:bookmarkStart w:id="55" w:name="_Toc169168253"/>
      <w:r w:rsidRPr="00A06914">
        <w:rPr>
          <w:rStyle w:val="CharSubdNo"/>
        </w:rPr>
        <w:t>Subdivision</w:t>
      </w:r>
      <w:r w:rsidR="007A5B70" w:rsidRPr="00A06914">
        <w:rPr>
          <w:rStyle w:val="CharSubdNo"/>
        </w:rPr>
        <w:t xml:space="preserve"> </w:t>
      </w:r>
      <w:r w:rsidR="00AD3C23" w:rsidRPr="00A06914">
        <w:rPr>
          <w:rStyle w:val="CharSubdNo"/>
        </w:rPr>
        <w:t>C</w:t>
      </w:r>
      <w:r w:rsidR="00694E2C" w:rsidRPr="00263158">
        <w:t>—</w:t>
      </w:r>
      <w:r w:rsidR="00AD3C23" w:rsidRPr="00A06914">
        <w:rPr>
          <w:rStyle w:val="CharSubdText"/>
        </w:rPr>
        <w:t>Specific requirements for household cots</w:t>
      </w:r>
      <w:bookmarkEnd w:id="55"/>
    </w:p>
    <w:p w14:paraId="45322457" w14:textId="77777777" w:rsidR="00694E2C" w:rsidRPr="00263158" w:rsidRDefault="006F3925" w:rsidP="00694E2C">
      <w:pPr>
        <w:pStyle w:val="ActHead5"/>
      </w:pPr>
      <w:bookmarkStart w:id="56" w:name="_Toc169168254"/>
      <w:r w:rsidRPr="00A06914">
        <w:rPr>
          <w:rStyle w:val="CharSectno"/>
        </w:rPr>
        <w:t>36</w:t>
      </w:r>
      <w:r w:rsidR="00694E2C" w:rsidRPr="00263158">
        <w:t xml:space="preserve">  </w:t>
      </w:r>
      <w:r w:rsidR="008A1B83" w:rsidRPr="00263158">
        <w:t xml:space="preserve">Household cots to which this </w:t>
      </w:r>
      <w:r w:rsidR="005B2D99" w:rsidRPr="00263158">
        <w:t>Subd</w:t>
      </w:r>
      <w:r w:rsidR="00363302" w:rsidRPr="00263158">
        <w:t>ivision</w:t>
      </w:r>
      <w:r w:rsidR="008A1B83" w:rsidRPr="00263158">
        <w:t xml:space="preserve"> applies</w:t>
      </w:r>
      <w:bookmarkEnd w:id="56"/>
    </w:p>
    <w:p w14:paraId="2FA90083" w14:textId="77777777" w:rsidR="0009690F" w:rsidRPr="00263158" w:rsidRDefault="0009690F" w:rsidP="0009690F">
      <w:pPr>
        <w:pStyle w:val="subsection"/>
      </w:pPr>
      <w:r w:rsidRPr="00263158">
        <w:tab/>
      </w:r>
      <w:r w:rsidRPr="00263158">
        <w:tab/>
        <w:t xml:space="preserve">This </w:t>
      </w:r>
      <w:r w:rsidR="005B2D99" w:rsidRPr="00263158">
        <w:t>Subdivision</w:t>
      </w:r>
      <w:r w:rsidRPr="00263158">
        <w:t xml:space="preserve"> applies to</w:t>
      </w:r>
      <w:r w:rsidR="008A1B83" w:rsidRPr="00263158">
        <w:t xml:space="preserve"> an infant sleep product that is</w:t>
      </w:r>
      <w:r w:rsidRPr="00263158">
        <w:t xml:space="preserve"> </w:t>
      </w:r>
      <w:r w:rsidR="008A1B83" w:rsidRPr="00263158">
        <w:t>a household cot other than</w:t>
      </w:r>
      <w:r w:rsidR="00357716" w:rsidRPr="00263158">
        <w:t xml:space="preserve"> the following</w:t>
      </w:r>
      <w:r w:rsidR="008A1B83" w:rsidRPr="00263158">
        <w:t>:</w:t>
      </w:r>
    </w:p>
    <w:p w14:paraId="01857271" w14:textId="77777777" w:rsidR="008A1B83" w:rsidRPr="00263158" w:rsidRDefault="008A1B83" w:rsidP="008A1B83">
      <w:pPr>
        <w:pStyle w:val="paragraph"/>
      </w:pPr>
      <w:r w:rsidRPr="00263158">
        <w:tab/>
        <w:t>(a)</w:t>
      </w:r>
      <w:r w:rsidRPr="00263158">
        <w:tab/>
      </w:r>
      <w:r w:rsidR="00A86BE5" w:rsidRPr="00263158">
        <w:t xml:space="preserve">an infant sleep product </w:t>
      </w:r>
      <w:r w:rsidRPr="00263158">
        <w:t xml:space="preserve">to which </w:t>
      </w:r>
      <w:r w:rsidR="00FC0C8F" w:rsidRPr="00263158">
        <w:t>Subdivision A</w:t>
      </w:r>
      <w:r w:rsidRPr="00263158">
        <w:t xml:space="preserve"> applies;</w:t>
      </w:r>
    </w:p>
    <w:p w14:paraId="77840C26" w14:textId="77777777" w:rsidR="008A1B83" w:rsidRPr="00263158" w:rsidRDefault="008A1B83" w:rsidP="00D455A8">
      <w:pPr>
        <w:pStyle w:val="paragraph"/>
      </w:pPr>
      <w:r w:rsidRPr="00263158">
        <w:tab/>
        <w:t>(b)</w:t>
      </w:r>
      <w:r w:rsidRPr="00263158">
        <w:tab/>
      </w:r>
      <w:r w:rsidR="00A86BE5" w:rsidRPr="00263158">
        <w:t xml:space="preserve">an infant sleep product </w:t>
      </w:r>
      <w:r w:rsidRPr="00263158">
        <w:t xml:space="preserve">to which </w:t>
      </w:r>
      <w:r w:rsidR="00FC0C8F" w:rsidRPr="00263158">
        <w:t>Subdivision B</w:t>
      </w:r>
      <w:r w:rsidRPr="00263158">
        <w:t xml:space="preserve"> applies</w:t>
      </w:r>
      <w:r w:rsidR="00D455A8" w:rsidRPr="00263158">
        <w:t>.</w:t>
      </w:r>
    </w:p>
    <w:p w14:paraId="1FD3095D" w14:textId="77777777" w:rsidR="00BC49AD" w:rsidRPr="00263158" w:rsidRDefault="006F3925" w:rsidP="00092DB0">
      <w:pPr>
        <w:pStyle w:val="ActHead5"/>
      </w:pPr>
      <w:bookmarkStart w:id="57" w:name="_Toc169168255"/>
      <w:r w:rsidRPr="00A06914">
        <w:rPr>
          <w:rStyle w:val="CharSectno"/>
        </w:rPr>
        <w:t>37</w:t>
      </w:r>
      <w:r w:rsidR="00BC49AD" w:rsidRPr="00263158">
        <w:t xml:space="preserve">  Specific requirements</w:t>
      </w:r>
      <w:bookmarkEnd w:id="57"/>
    </w:p>
    <w:p w14:paraId="7E1B0807" w14:textId="77777777" w:rsidR="00BC49AD" w:rsidRPr="00263158" w:rsidRDefault="00BC49AD" w:rsidP="0025543F">
      <w:pPr>
        <w:pStyle w:val="subsection"/>
      </w:pPr>
      <w:r w:rsidRPr="00263158">
        <w:tab/>
        <w:t>(1)</w:t>
      </w:r>
      <w:r w:rsidRPr="00263158">
        <w:tab/>
        <w:t>A household cot must comply with the requirements in</w:t>
      </w:r>
      <w:r w:rsidR="005C6531" w:rsidRPr="00263158">
        <w:t xml:space="preserve"> one of</w:t>
      </w:r>
      <w:r w:rsidR="00F15F53" w:rsidRPr="00263158">
        <w:t xml:space="preserve"> </w:t>
      </w:r>
      <w:r w:rsidR="002B4500" w:rsidRPr="00263158">
        <w:t>subsection (</w:t>
      </w:r>
      <w:r w:rsidR="0025543F" w:rsidRPr="00263158">
        <w:t>2)</w:t>
      </w:r>
      <w:r w:rsidR="005F6196" w:rsidRPr="00263158">
        <w:t>,</w:t>
      </w:r>
      <w:r w:rsidR="0025543F" w:rsidRPr="00263158">
        <w:t xml:space="preserve"> (3) or (4)</w:t>
      </w:r>
      <w:r w:rsidRPr="00263158">
        <w:t>.</w:t>
      </w:r>
    </w:p>
    <w:p w14:paraId="6E0FED2D" w14:textId="77777777" w:rsidR="000B654F" w:rsidRPr="00263158" w:rsidRDefault="000B654F" w:rsidP="000B654F">
      <w:pPr>
        <w:pStyle w:val="subsection"/>
        <w:rPr>
          <w:iCs/>
        </w:rPr>
      </w:pPr>
      <w:r w:rsidRPr="00263158">
        <w:tab/>
        <w:t>(</w:t>
      </w:r>
      <w:r w:rsidR="0025543F" w:rsidRPr="00263158">
        <w:t>2</w:t>
      </w:r>
      <w:r w:rsidRPr="00263158">
        <w:t>)</w:t>
      </w:r>
      <w:r w:rsidRPr="00263158">
        <w:tab/>
        <w:t xml:space="preserve">A household cot complies with the requirements of this </w:t>
      </w:r>
      <w:r w:rsidR="0025543F" w:rsidRPr="00263158">
        <w:t>sub</w:t>
      </w:r>
      <w:r w:rsidRPr="00263158">
        <w:t xml:space="preserve">section if the household cot complies with the following provisions of the </w:t>
      </w:r>
      <w:r w:rsidR="000B7384" w:rsidRPr="00263158">
        <w:t>Australian/New Zealand Standard for household cots</w:t>
      </w:r>
      <w:r w:rsidRPr="00263158">
        <w:rPr>
          <w:iCs/>
        </w:rPr>
        <w:t>:</w:t>
      </w:r>
    </w:p>
    <w:p w14:paraId="740AC244" w14:textId="77777777" w:rsidR="000B654F" w:rsidRPr="00263158" w:rsidRDefault="000B654F" w:rsidP="000B654F">
      <w:pPr>
        <w:pStyle w:val="paragraph"/>
      </w:pPr>
      <w:r w:rsidRPr="00263158">
        <w:tab/>
        <w:t>(a)</w:t>
      </w:r>
      <w:r w:rsidRPr="00263158">
        <w:tab/>
      </w:r>
      <w:r w:rsidR="001C3C82" w:rsidRPr="00263158">
        <w:t>section</w:t>
      </w:r>
      <w:r w:rsidR="00320785" w:rsidRPr="00263158">
        <w:t> 5</w:t>
      </w:r>
      <w:r w:rsidRPr="00263158">
        <w:t xml:space="preserve"> (construction);</w:t>
      </w:r>
    </w:p>
    <w:p w14:paraId="5BCBB2B2" w14:textId="77777777" w:rsidR="000B654F" w:rsidRPr="00263158" w:rsidRDefault="000B654F" w:rsidP="000B654F">
      <w:pPr>
        <w:pStyle w:val="paragraph"/>
      </w:pPr>
      <w:r w:rsidRPr="00263158">
        <w:tab/>
        <w:t>(b)</w:t>
      </w:r>
      <w:r w:rsidRPr="00263158">
        <w:tab/>
      </w:r>
      <w:r w:rsidR="00E81DFF" w:rsidRPr="00263158">
        <w:t>clause 6</w:t>
      </w:r>
      <w:r w:rsidRPr="00263158">
        <w:t>.1 (dimensions);</w:t>
      </w:r>
    </w:p>
    <w:p w14:paraId="30934A94" w14:textId="77777777" w:rsidR="000B654F" w:rsidRPr="00263158" w:rsidRDefault="000B654F" w:rsidP="000B654F">
      <w:pPr>
        <w:pStyle w:val="paragraph"/>
      </w:pPr>
      <w:r w:rsidRPr="00263158">
        <w:tab/>
        <w:t>(c)</w:t>
      </w:r>
      <w:r w:rsidRPr="00263158">
        <w:tab/>
      </w:r>
      <w:r w:rsidR="00E81DFF" w:rsidRPr="00263158">
        <w:t>clause 6</w:t>
      </w:r>
      <w:r w:rsidRPr="00263158">
        <w:t>.2 (footholds);</w:t>
      </w:r>
    </w:p>
    <w:p w14:paraId="1DA0E988" w14:textId="77777777" w:rsidR="000B654F" w:rsidRPr="00263158" w:rsidRDefault="000B654F" w:rsidP="000B654F">
      <w:pPr>
        <w:pStyle w:val="paragraph"/>
      </w:pPr>
      <w:r w:rsidRPr="00263158">
        <w:tab/>
        <w:t>(d)</w:t>
      </w:r>
      <w:r w:rsidRPr="00263158">
        <w:tab/>
      </w:r>
      <w:r w:rsidR="00E81DFF" w:rsidRPr="00263158">
        <w:t>clause 6</w:t>
      </w:r>
      <w:r w:rsidRPr="00263158">
        <w:t>.5 (bottom rails);</w:t>
      </w:r>
    </w:p>
    <w:p w14:paraId="412BD11C" w14:textId="77777777" w:rsidR="000B654F" w:rsidRPr="00263158" w:rsidRDefault="000B654F" w:rsidP="000B654F">
      <w:pPr>
        <w:pStyle w:val="paragraph"/>
      </w:pPr>
      <w:r w:rsidRPr="00263158">
        <w:tab/>
        <w:t>(</w:t>
      </w:r>
      <w:r w:rsidR="00F71C04" w:rsidRPr="00263158">
        <w:t>e</w:t>
      </w:r>
      <w:r w:rsidRPr="00263158">
        <w:t>)</w:t>
      </w:r>
      <w:r w:rsidRPr="00263158">
        <w:tab/>
      </w:r>
      <w:r w:rsidR="00320785" w:rsidRPr="00263158">
        <w:t>clause 9</w:t>
      </w:r>
      <w:r w:rsidRPr="00263158">
        <w:t>.3 (impact test);</w:t>
      </w:r>
    </w:p>
    <w:p w14:paraId="4901FCAF" w14:textId="77777777" w:rsidR="000B654F" w:rsidRPr="00263158" w:rsidRDefault="000B654F" w:rsidP="000B654F">
      <w:pPr>
        <w:pStyle w:val="paragraph"/>
      </w:pPr>
      <w:r w:rsidRPr="00263158">
        <w:tab/>
        <w:t>(</w:t>
      </w:r>
      <w:r w:rsidR="00F71C04" w:rsidRPr="00263158">
        <w:t>f</w:t>
      </w:r>
      <w:r w:rsidRPr="00263158">
        <w:t>)</w:t>
      </w:r>
      <w:r w:rsidRPr="00263158">
        <w:tab/>
      </w:r>
      <w:r w:rsidR="00320785" w:rsidRPr="00263158">
        <w:t>clause 9</w:t>
      </w:r>
      <w:r w:rsidRPr="00263158">
        <w:t>.4 (filler bar, filler panel and corner post strength test)</w:t>
      </w:r>
      <w:r w:rsidR="003F59DB" w:rsidRPr="00263158">
        <w:t>;</w:t>
      </w:r>
    </w:p>
    <w:p w14:paraId="6C47936C" w14:textId="77777777" w:rsidR="003F59DB" w:rsidRPr="00263158" w:rsidRDefault="003F59DB" w:rsidP="000B654F">
      <w:pPr>
        <w:pStyle w:val="paragraph"/>
      </w:pPr>
      <w:r w:rsidRPr="00263158">
        <w:tab/>
        <w:t>(g)</w:t>
      </w:r>
      <w:r w:rsidRPr="00263158">
        <w:tab/>
        <w:t>clause 9.8 (stability test).</w:t>
      </w:r>
    </w:p>
    <w:p w14:paraId="10EF8BE0" w14:textId="77777777" w:rsidR="000B654F" w:rsidRPr="00263158" w:rsidRDefault="000B654F" w:rsidP="000B654F">
      <w:pPr>
        <w:pStyle w:val="subsection"/>
        <w:rPr>
          <w:iCs/>
        </w:rPr>
      </w:pPr>
      <w:r w:rsidRPr="00263158">
        <w:tab/>
        <w:t>(</w:t>
      </w:r>
      <w:r w:rsidR="0025543F" w:rsidRPr="00263158">
        <w:t>3</w:t>
      </w:r>
      <w:r w:rsidRPr="00263158">
        <w:t>)</w:t>
      </w:r>
      <w:r w:rsidRPr="00263158">
        <w:tab/>
        <w:t xml:space="preserve">A household cot complies with the requirements of this </w:t>
      </w:r>
      <w:r w:rsidR="0025543F" w:rsidRPr="00263158">
        <w:t>sub</w:t>
      </w:r>
      <w:r w:rsidRPr="00263158">
        <w:t>section if the household cot complies with the following provisions of the</w:t>
      </w:r>
      <w:r w:rsidR="00DE5933" w:rsidRPr="00263158">
        <w:t xml:space="preserve"> </w:t>
      </w:r>
      <w:r w:rsidR="00CC0A11" w:rsidRPr="00263158">
        <w:t>United States Standard Consumer Safety Specification for Full</w:t>
      </w:r>
      <w:r w:rsidR="00263158">
        <w:noBreakHyphen/>
      </w:r>
      <w:r w:rsidR="00CC0A11" w:rsidRPr="00263158">
        <w:t>Size Baby Cribs</w:t>
      </w:r>
      <w:r w:rsidRPr="00263158">
        <w:t>:</w:t>
      </w:r>
    </w:p>
    <w:p w14:paraId="50D5CABE" w14:textId="77777777" w:rsidR="000B654F" w:rsidRPr="00263158" w:rsidRDefault="000B654F" w:rsidP="000B654F">
      <w:pPr>
        <w:pStyle w:val="paragraph"/>
      </w:pPr>
      <w:r w:rsidRPr="00263158">
        <w:tab/>
        <w:t>(a)</w:t>
      </w:r>
      <w:r w:rsidRPr="00263158">
        <w:tab/>
      </w:r>
      <w:r w:rsidR="00320785" w:rsidRPr="00263158">
        <w:t>clause 5</w:t>
      </w:r>
      <w:r w:rsidR="00EE03E9" w:rsidRPr="00263158">
        <w:t>.6 (crib side configurations);</w:t>
      </w:r>
    </w:p>
    <w:p w14:paraId="34CFC7F8" w14:textId="77777777" w:rsidR="00EE03E9" w:rsidRPr="00263158" w:rsidRDefault="00EE03E9" w:rsidP="000B654F">
      <w:pPr>
        <w:pStyle w:val="paragraph"/>
      </w:pPr>
      <w:r w:rsidRPr="00263158">
        <w:tab/>
        <w:t>(b)</w:t>
      </w:r>
      <w:r w:rsidRPr="00263158">
        <w:tab/>
      </w:r>
      <w:r w:rsidR="00320785" w:rsidRPr="00263158">
        <w:t>clause 5</w:t>
      </w:r>
      <w:r w:rsidRPr="00263158">
        <w:t>.7 (full</w:t>
      </w:r>
      <w:r w:rsidR="00263158">
        <w:noBreakHyphen/>
      </w:r>
      <w:r w:rsidRPr="00263158">
        <w:t>size baby crib</w:t>
      </w:r>
      <w:r w:rsidR="005F6196" w:rsidRPr="00263158">
        <w:t>s—</w:t>
      </w:r>
      <w:r w:rsidRPr="00263158">
        <w:t>dimensions);</w:t>
      </w:r>
    </w:p>
    <w:p w14:paraId="223752FB" w14:textId="77777777" w:rsidR="00EE03E9" w:rsidRPr="00263158" w:rsidRDefault="00EE03E9" w:rsidP="000B654F">
      <w:pPr>
        <w:pStyle w:val="paragraph"/>
      </w:pPr>
      <w:r w:rsidRPr="00263158">
        <w:tab/>
        <w:t>(c)</w:t>
      </w:r>
      <w:r w:rsidRPr="00263158">
        <w:tab/>
      </w:r>
      <w:r w:rsidR="00320785" w:rsidRPr="00263158">
        <w:t>clause 5</w:t>
      </w:r>
      <w:r w:rsidRPr="00263158">
        <w:t>.8 (spacing o</w:t>
      </w:r>
      <w:r w:rsidR="006E6D9C" w:rsidRPr="00263158">
        <w:t>f</w:t>
      </w:r>
      <w:r w:rsidRPr="00263158">
        <w:t xml:space="preserve"> crib components);</w:t>
      </w:r>
    </w:p>
    <w:p w14:paraId="3F773183" w14:textId="77777777" w:rsidR="00EE03E9" w:rsidRPr="00263158" w:rsidRDefault="00EE03E9" w:rsidP="00EE03E9">
      <w:pPr>
        <w:pStyle w:val="paragraph"/>
      </w:pPr>
      <w:r w:rsidRPr="00263158">
        <w:tab/>
        <w:t>(d)</w:t>
      </w:r>
      <w:r w:rsidRPr="00263158">
        <w:tab/>
      </w:r>
      <w:r w:rsidR="00E81DFF" w:rsidRPr="00263158">
        <w:t>clause 6</w:t>
      </w:r>
      <w:r w:rsidRPr="00263158">
        <w:t>.7 (spindle/slat strength testing).</w:t>
      </w:r>
    </w:p>
    <w:p w14:paraId="5AB34F9F" w14:textId="77777777" w:rsidR="0018611E" w:rsidRPr="00263158" w:rsidRDefault="00EE03E9" w:rsidP="0018611E">
      <w:pPr>
        <w:pStyle w:val="subsection"/>
      </w:pPr>
      <w:r w:rsidRPr="00263158">
        <w:tab/>
        <w:t>(</w:t>
      </w:r>
      <w:r w:rsidR="0025543F" w:rsidRPr="00263158">
        <w:t>4</w:t>
      </w:r>
      <w:r w:rsidRPr="00263158">
        <w:t>)</w:t>
      </w:r>
      <w:r w:rsidRPr="00263158">
        <w:tab/>
        <w:t xml:space="preserve">A household cot complies with the requirements of this </w:t>
      </w:r>
      <w:r w:rsidR="00306186" w:rsidRPr="00263158">
        <w:t>sub</w:t>
      </w:r>
      <w:r w:rsidRPr="00263158">
        <w:t>section if the household cot complies with the following provisions of the</w:t>
      </w:r>
      <w:r w:rsidR="00DE5933" w:rsidRPr="00263158">
        <w:t xml:space="preserve"> </w:t>
      </w:r>
      <w:r w:rsidR="00CC0A11" w:rsidRPr="00263158">
        <w:t xml:space="preserve">British Standard for </w:t>
      </w:r>
      <w:r w:rsidR="0018611E" w:rsidRPr="00263158">
        <w:t>Furniture</w:t>
      </w:r>
      <w:r w:rsidR="0045143A" w:rsidRPr="00263158">
        <w:t>—</w:t>
      </w:r>
      <w:r w:rsidR="0018611E" w:rsidRPr="00263158">
        <w:t>Children’s cots and folding cots for domestic use:</w:t>
      </w:r>
    </w:p>
    <w:p w14:paraId="2C026938" w14:textId="77777777" w:rsidR="00EE03E9" w:rsidRPr="00263158" w:rsidRDefault="00EE03E9" w:rsidP="0018611E">
      <w:pPr>
        <w:pStyle w:val="paragraph"/>
      </w:pPr>
      <w:r w:rsidRPr="00263158">
        <w:tab/>
        <w:t>(</w:t>
      </w:r>
      <w:r w:rsidR="002F1F36" w:rsidRPr="00263158">
        <w:t>a</w:t>
      </w:r>
      <w:r w:rsidRPr="00263158">
        <w:t>)</w:t>
      </w:r>
      <w:r w:rsidRPr="00263158">
        <w:tab/>
      </w:r>
      <w:r w:rsidR="00F372D5" w:rsidRPr="00263158">
        <w:t>clause 4</w:t>
      </w:r>
      <w:r w:rsidR="00DF5D84" w:rsidRPr="00263158">
        <w:t>.3</w:t>
      </w:r>
      <w:r w:rsidRPr="00263158">
        <w:t xml:space="preserve"> (</w:t>
      </w:r>
      <w:r w:rsidR="00DF5D84" w:rsidRPr="00263158">
        <w:t xml:space="preserve">initial </w:t>
      </w:r>
      <w:r w:rsidRPr="00263158">
        <w:t>stability);</w:t>
      </w:r>
    </w:p>
    <w:p w14:paraId="738B56BE" w14:textId="77777777" w:rsidR="00EE03E9" w:rsidRPr="00263158" w:rsidRDefault="00EE03E9" w:rsidP="00EE03E9">
      <w:pPr>
        <w:pStyle w:val="paragraph"/>
      </w:pPr>
      <w:r w:rsidRPr="00263158">
        <w:tab/>
        <w:t>(</w:t>
      </w:r>
      <w:r w:rsidR="002F1F36" w:rsidRPr="00263158">
        <w:t>b</w:t>
      </w:r>
      <w:r w:rsidRPr="00263158">
        <w:t>)</w:t>
      </w:r>
      <w:r w:rsidRPr="00263158">
        <w:tab/>
      </w:r>
      <w:r w:rsidR="006F049C" w:rsidRPr="00263158">
        <w:t>sub</w:t>
      </w:r>
      <w:r w:rsidR="00263158">
        <w:noBreakHyphen/>
      </w:r>
      <w:r w:rsidR="00F372D5" w:rsidRPr="00263158">
        <w:t>subclause 4</w:t>
      </w:r>
      <w:r w:rsidR="006F049C" w:rsidRPr="00263158">
        <w:t>.4.8.2</w:t>
      </w:r>
      <w:r w:rsidRPr="00263158">
        <w:t xml:space="preserve"> (</w:t>
      </w:r>
      <w:r w:rsidR="006F049C" w:rsidRPr="00263158">
        <w:t>distance between footholds and top of cot sides and ends</w:t>
      </w:r>
      <w:r w:rsidRPr="00263158">
        <w:t>)</w:t>
      </w:r>
      <w:r w:rsidR="00C2572E" w:rsidRPr="00263158">
        <w:t>;</w:t>
      </w:r>
    </w:p>
    <w:p w14:paraId="438BA937" w14:textId="77777777" w:rsidR="00EE03E9" w:rsidRPr="00263158" w:rsidRDefault="00EE03E9" w:rsidP="00EE03E9">
      <w:pPr>
        <w:pStyle w:val="paragraph"/>
      </w:pPr>
      <w:r w:rsidRPr="00263158">
        <w:tab/>
        <w:t>(</w:t>
      </w:r>
      <w:r w:rsidR="002F1F36" w:rsidRPr="00263158">
        <w:t>c</w:t>
      </w:r>
      <w:r w:rsidRPr="00263158">
        <w:t>)</w:t>
      </w:r>
      <w:r w:rsidRPr="00263158">
        <w:tab/>
      </w:r>
      <w:r w:rsidR="001D0FDC" w:rsidRPr="00263158">
        <w:t>sub</w:t>
      </w:r>
      <w:r w:rsidR="00263158">
        <w:noBreakHyphen/>
      </w:r>
      <w:r w:rsidR="00F372D5" w:rsidRPr="00263158">
        <w:t>subclause 4</w:t>
      </w:r>
      <w:r w:rsidR="001D0FDC" w:rsidRPr="00263158">
        <w:t>.4.8.3</w:t>
      </w:r>
      <w:r w:rsidRPr="00263158">
        <w:t xml:space="preserve"> (strength of side</w:t>
      </w:r>
      <w:r w:rsidR="001D0FDC" w:rsidRPr="00263158">
        <w:t xml:space="preserve"> and end components</w:t>
      </w:r>
      <w:r w:rsidRPr="00263158">
        <w:t>);</w:t>
      </w:r>
    </w:p>
    <w:p w14:paraId="5FE775ED" w14:textId="77777777" w:rsidR="00EE03E9" w:rsidRPr="00263158" w:rsidRDefault="00EE03E9" w:rsidP="00EE03E9">
      <w:pPr>
        <w:pStyle w:val="paragraph"/>
      </w:pPr>
      <w:r w:rsidRPr="00263158">
        <w:tab/>
        <w:t>(</w:t>
      </w:r>
      <w:r w:rsidR="002F1F36" w:rsidRPr="00263158">
        <w:t>d</w:t>
      </w:r>
      <w:r w:rsidRPr="00263158">
        <w:t>)</w:t>
      </w:r>
      <w:r w:rsidRPr="00263158">
        <w:tab/>
      </w:r>
      <w:r w:rsidR="001D0FDC" w:rsidRPr="00263158">
        <w:t>sub</w:t>
      </w:r>
      <w:r w:rsidR="00263158">
        <w:noBreakHyphen/>
      </w:r>
      <w:r w:rsidR="00F372D5" w:rsidRPr="00263158">
        <w:t>subclause 4</w:t>
      </w:r>
      <w:r w:rsidR="001D0FDC" w:rsidRPr="00263158">
        <w:t>.4.8.4 (</w:t>
      </w:r>
      <w:r w:rsidR="003A76B6" w:rsidRPr="00263158">
        <w:t>strength of frame and fastenings)</w:t>
      </w:r>
      <w:r w:rsidR="002F1F36" w:rsidRPr="00263158">
        <w:t>;</w:t>
      </w:r>
    </w:p>
    <w:p w14:paraId="4DA3E1DC" w14:textId="77777777" w:rsidR="002F1F36" w:rsidRPr="00263158" w:rsidRDefault="002F1F36" w:rsidP="00EE03E9">
      <w:pPr>
        <w:pStyle w:val="paragraph"/>
      </w:pPr>
      <w:r w:rsidRPr="00263158">
        <w:tab/>
        <w:t>(e)</w:t>
      </w:r>
      <w:r w:rsidRPr="00263158">
        <w:tab/>
        <w:t>clause 4.5 (final stability).</w:t>
      </w:r>
    </w:p>
    <w:p w14:paraId="231C89D1" w14:textId="77777777" w:rsidR="004B396F" w:rsidRPr="00263158" w:rsidRDefault="004B396F" w:rsidP="004B396F">
      <w:pPr>
        <w:pStyle w:val="notetext"/>
      </w:pPr>
      <w:r w:rsidRPr="00263158">
        <w:t>Note:</w:t>
      </w:r>
      <w:r w:rsidRPr="00263158">
        <w:tab/>
        <w:t xml:space="preserve">On request by the regulator, a supplier may be required to nominate the applicable requirements under this section: see </w:t>
      </w:r>
      <w:r w:rsidR="007B00E0" w:rsidRPr="00263158">
        <w:t>section 1</w:t>
      </w:r>
      <w:r w:rsidRPr="00263158">
        <w:t>08 of the Australian Consumer Law.</w:t>
      </w:r>
    </w:p>
    <w:p w14:paraId="18DFE90D" w14:textId="77777777" w:rsidR="007B2BC3" w:rsidRPr="00263158" w:rsidRDefault="006F3925" w:rsidP="007B2BC3">
      <w:pPr>
        <w:pStyle w:val="ActHead5"/>
      </w:pPr>
      <w:bookmarkStart w:id="58" w:name="_Toc169168256"/>
      <w:r w:rsidRPr="00A06914">
        <w:rPr>
          <w:rStyle w:val="CharSectno"/>
        </w:rPr>
        <w:t>38</w:t>
      </w:r>
      <w:r w:rsidR="00EE03E9" w:rsidRPr="00263158">
        <w:t xml:space="preserve">  </w:t>
      </w:r>
      <w:proofErr w:type="spellStart"/>
      <w:r w:rsidR="0025543F" w:rsidRPr="00263158">
        <w:rPr>
          <w:iCs/>
        </w:rPr>
        <w:t>D</w:t>
      </w:r>
      <w:r w:rsidR="000B7384" w:rsidRPr="00263158">
        <w:rPr>
          <w:iCs/>
        </w:rPr>
        <w:t>ropside</w:t>
      </w:r>
      <w:proofErr w:type="spellEnd"/>
      <w:r w:rsidR="000B7384" w:rsidRPr="00263158">
        <w:rPr>
          <w:iCs/>
        </w:rPr>
        <w:t xml:space="preserve"> requirements</w:t>
      </w:r>
      <w:bookmarkEnd w:id="58"/>
    </w:p>
    <w:p w14:paraId="60FC4E32" w14:textId="77777777" w:rsidR="00EE03E9" w:rsidRPr="00263158" w:rsidRDefault="007B2BC3" w:rsidP="007B2BC3">
      <w:pPr>
        <w:pStyle w:val="subsection"/>
      </w:pPr>
      <w:r w:rsidRPr="00263158">
        <w:tab/>
      </w:r>
      <w:r w:rsidRPr="00263158">
        <w:tab/>
        <w:t xml:space="preserve">A household cot supplied with a </w:t>
      </w:r>
      <w:r w:rsidR="001D2B6E" w:rsidRPr="00263158">
        <w:t xml:space="preserve">side that is designed to be raised and lowered </w:t>
      </w:r>
      <w:r w:rsidR="0025543F" w:rsidRPr="00263158">
        <w:t>must comply</w:t>
      </w:r>
      <w:r w:rsidRPr="00263158">
        <w:t xml:space="preserve"> with the following provisions of the </w:t>
      </w:r>
      <w:r w:rsidR="000B7384" w:rsidRPr="00263158">
        <w:t>Australian/New Zealand Standard for household cots</w:t>
      </w:r>
      <w:r w:rsidRPr="00263158">
        <w:t>:</w:t>
      </w:r>
    </w:p>
    <w:p w14:paraId="4A50B007" w14:textId="77777777" w:rsidR="007B2BC3" w:rsidRPr="00263158" w:rsidRDefault="007B2BC3" w:rsidP="007B2BC3">
      <w:pPr>
        <w:pStyle w:val="paragraph"/>
      </w:pPr>
      <w:r w:rsidRPr="00263158">
        <w:tab/>
        <w:t>(</w:t>
      </w:r>
      <w:r w:rsidR="00560D8D" w:rsidRPr="00263158">
        <w:t>a</w:t>
      </w:r>
      <w:r w:rsidRPr="00263158">
        <w:t>)</w:t>
      </w:r>
      <w:r w:rsidRPr="00263158">
        <w:tab/>
      </w:r>
      <w:r w:rsidR="00E81DFF" w:rsidRPr="00263158">
        <w:t>clause 6</w:t>
      </w:r>
      <w:r w:rsidRPr="00263158">
        <w:t>.3 (</w:t>
      </w:r>
      <w:r w:rsidR="00560D8D" w:rsidRPr="00263158">
        <w:t>design of access fastening device);</w:t>
      </w:r>
    </w:p>
    <w:p w14:paraId="147DCA8C" w14:textId="77777777" w:rsidR="007B2BC3" w:rsidRPr="00263158" w:rsidRDefault="007B2BC3" w:rsidP="007B2BC3">
      <w:pPr>
        <w:pStyle w:val="paragraph"/>
      </w:pPr>
      <w:r w:rsidRPr="00263158">
        <w:tab/>
        <w:t>(</w:t>
      </w:r>
      <w:r w:rsidR="00560D8D" w:rsidRPr="00263158">
        <w:t>b</w:t>
      </w:r>
      <w:r w:rsidRPr="00263158">
        <w:t>)</w:t>
      </w:r>
      <w:r w:rsidRPr="00263158">
        <w:tab/>
      </w:r>
      <w:r w:rsidR="00E81DFF" w:rsidRPr="00263158">
        <w:t>clause 6</w:t>
      </w:r>
      <w:r w:rsidRPr="00263158">
        <w:t>.4 (</w:t>
      </w:r>
      <w:proofErr w:type="spellStart"/>
      <w:r w:rsidR="00560D8D" w:rsidRPr="00263158">
        <w:t>dropside</w:t>
      </w:r>
      <w:proofErr w:type="spellEnd"/>
      <w:r w:rsidR="00560D8D" w:rsidRPr="00263158">
        <w:t xml:space="preserve"> guides);</w:t>
      </w:r>
    </w:p>
    <w:p w14:paraId="38D013B5" w14:textId="77777777" w:rsidR="007B2BC3" w:rsidRPr="00263158" w:rsidRDefault="007B2BC3" w:rsidP="007B2BC3">
      <w:pPr>
        <w:pStyle w:val="paragraph"/>
      </w:pPr>
      <w:r w:rsidRPr="00263158">
        <w:tab/>
        <w:t>(</w:t>
      </w:r>
      <w:r w:rsidR="00560D8D" w:rsidRPr="00263158">
        <w:t>c</w:t>
      </w:r>
      <w:r w:rsidRPr="00263158">
        <w:t>)</w:t>
      </w:r>
      <w:r w:rsidRPr="00263158">
        <w:tab/>
      </w:r>
      <w:r w:rsidR="00320785" w:rsidRPr="00263158">
        <w:t>clause 9</w:t>
      </w:r>
      <w:r w:rsidRPr="00263158">
        <w:t xml:space="preserve">.5 (access fastening device and </w:t>
      </w:r>
      <w:proofErr w:type="spellStart"/>
      <w:r w:rsidRPr="00263158">
        <w:t>dropside</w:t>
      </w:r>
      <w:proofErr w:type="spellEnd"/>
      <w:r w:rsidRPr="00263158">
        <w:t xml:space="preserve"> mechanism strength test);</w:t>
      </w:r>
    </w:p>
    <w:p w14:paraId="2190DF19" w14:textId="77777777" w:rsidR="007B2BC3" w:rsidRPr="00263158" w:rsidRDefault="007B2BC3" w:rsidP="007B2BC3">
      <w:pPr>
        <w:pStyle w:val="paragraph"/>
      </w:pPr>
      <w:r w:rsidRPr="00263158">
        <w:tab/>
        <w:t>(</w:t>
      </w:r>
      <w:r w:rsidR="00560D8D" w:rsidRPr="00263158">
        <w:t>d</w:t>
      </w:r>
      <w:r w:rsidRPr="00263158">
        <w:t>)</w:t>
      </w:r>
      <w:r w:rsidRPr="00263158">
        <w:tab/>
      </w:r>
      <w:r w:rsidR="00320785" w:rsidRPr="00263158">
        <w:t>clause 9</w:t>
      </w:r>
      <w:r w:rsidRPr="00263158">
        <w:t>.6 (access fastening device durability test);</w:t>
      </w:r>
    </w:p>
    <w:p w14:paraId="4DCB7B7A" w14:textId="77777777" w:rsidR="007B2BC3" w:rsidRPr="00263158" w:rsidRDefault="007B2BC3" w:rsidP="007B2BC3">
      <w:pPr>
        <w:pStyle w:val="paragraph"/>
      </w:pPr>
      <w:r w:rsidRPr="00263158">
        <w:tab/>
        <w:t>(</w:t>
      </w:r>
      <w:r w:rsidR="00560D8D" w:rsidRPr="00263158">
        <w:t>e</w:t>
      </w:r>
      <w:r w:rsidRPr="00263158">
        <w:t>)</w:t>
      </w:r>
      <w:r w:rsidRPr="00263158">
        <w:tab/>
      </w:r>
      <w:r w:rsidR="00320785" w:rsidRPr="00263158">
        <w:t>clause 9</w:t>
      </w:r>
      <w:r w:rsidRPr="00263158">
        <w:t>.7 (</w:t>
      </w:r>
      <w:proofErr w:type="spellStart"/>
      <w:r w:rsidRPr="00263158">
        <w:t>dropside</w:t>
      </w:r>
      <w:proofErr w:type="spellEnd"/>
      <w:r w:rsidRPr="00263158">
        <w:t xml:space="preserve"> mechanism durability test);</w:t>
      </w:r>
    </w:p>
    <w:p w14:paraId="124CD668" w14:textId="77777777" w:rsidR="001D2B6E" w:rsidRPr="00263158" w:rsidRDefault="00560D8D" w:rsidP="00560D8D">
      <w:pPr>
        <w:pStyle w:val="paragraph"/>
      </w:pPr>
      <w:r w:rsidRPr="00263158">
        <w:tab/>
        <w:t>(</w:t>
      </w:r>
      <w:r w:rsidR="003F59DB" w:rsidRPr="00263158">
        <w:t>f</w:t>
      </w:r>
      <w:r w:rsidRPr="00263158">
        <w:t>)</w:t>
      </w:r>
      <w:r w:rsidRPr="00263158">
        <w:tab/>
      </w:r>
      <w:r w:rsidR="00320785" w:rsidRPr="00263158">
        <w:t>clause 9</w:t>
      </w:r>
      <w:r w:rsidRPr="00263158">
        <w:t>.11 (</w:t>
      </w:r>
      <w:proofErr w:type="spellStart"/>
      <w:r w:rsidRPr="00263158">
        <w:t>dropside</w:t>
      </w:r>
      <w:proofErr w:type="spellEnd"/>
      <w:r w:rsidRPr="00263158">
        <w:t xml:space="preserve"> strength test).</w:t>
      </w:r>
    </w:p>
    <w:p w14:paraId="28CA1A84" w14:textId="77777777" w:rsidR="00987E94" w:rsidRPr="00263158" w:rsidRDefault="00EB67FE" w:rsidP="00987E94">
      <w:pPr>
        <w:pStyle w:val="ActHead2"/>
        <w:pageBreakBefore/>
      </w:pPr>
      <w:bookmarkStart w:id="59" w:name="_Toc169168257"/>
      <w:r w:rsidRPr="00A06914">
        <w:rPr>
          <w:rStyle w:val="CharPartNo"/>
        </w:rPr>
        <w:t>Part 4</w:t>
      </w:r>
      <w:r w:rsidR="00987E94" w:rsidRPr="00263158">
        <w:t>—</w:t>
      </w:r>
      <w:r w:rsidR="00987E94" w:rsidRPr="00A06914">
        <w:rPr>
          <w:rStyle w:val="CharPartText"/>
        </w:rPr>
        <w:t>Order of application</w:t>
      </w:r>
      <w:bookmarkEnd w:id="59"/>
    </w:p>
    <w:p w14:paraId="6C67FF69" w14:textId="77777777" w:rsidR="00987E94" w:rsidRPr="00A06914" w:rsidRDefault="00987E94" w:rsidP="00987E94">
      <w:pPr>
        <w:pStyle w:val="Header"/>
      </w:pPr>
      <w:r w:rsidRPr="00A06914">
        <w:rPr>
          <w:rStyle w:val="CharDivNo"/>
        </w:rPr>
        <w:t xml:space="preserve"> </w:t>
      </w:r>
      <w:r w:rsidRPr="00A06914">
        <w:rPr>
          <w:rStyle w:val="CharDivText"/>
        </w:rPr>
        <w:t xml:space="preserve"> </w:t>
      </w:r>
    </w:p>
    <w:p w14:paraId="6CBE4798" w14:textId="77777777" w:rsidR="00987E94" w:rsidRPr="00263158" w:rsidRDefault="006F3925" w:rsidP="00987E94">
      <w:pPr>
        <w:pStyle w:val="ActHead5"/>
      </w:pPr>
      <w:bookmarkStart w:id="60" w:name="_Toc169168258"/>
      <w:r w:rsidRPr="00A06914">
        <w:rPr>
          <w:rStyle w:val="CharSectno"/>
        </w:rPr>
        <w:t>39</w:t>
      </w:r>
      <w:r w:rsidR="00987E94" w:rsidRPr="00263158">
        <w:t xml:space="preserve">  Order of application</w:t>
      </w:r>
      <w:bookmarkEnd w:id="60"/>
    </w:p>
    <w:p w14:paraId="5ACD7426" w14:textId="77777777" w:rsidR="00987E94" w:rsidRPr="00263158" w:rsidRDefault="00987E94" w:rsidP="00987E94">
      <w:pPr>
        <w:pStyle w:val="subsection"/>
      </w:pPr>
      <w:r w:rsidRPr="00263158">
        <w:tab/>
      </w:r>
      <w:r w:rsidRPr="00263158">
        <w:tab/>
        <w:t>For the purposes of assessing compliance with this instrument</w:t>
      </w:r>
      <w:r w:rsidR="005430EE" w:rsidRPr="00263158">
        <w:t xml:space="preserve">, assess compliance with </w:t>
      </w:r>
      <w:r w:rsidR="001D0EE7" w:rsidRPr="00263158">
        <w:t xml:space="preserve">each applicable </w:t>
      </w:r>
      <w:r w:rsidR="005430EE" w:rsidRPr="00263158">
        <w:t xml:space="preserve">section in the order </w:t>
      </w:r>
      <w:r w:rsidR="001D0EE7" w:rsidRPr="00263158">
        <w:t>the sections</w:t>
      </w:r>
      <w:r w:rsidR="005430EE" w:rsidRPr="00263158">
        <w:t xml:space="preserve"> appear in this instrument.</w:t>
      </w:r>
    </w:p>
    <w:p w14:paraId="16EDBF3B" w14:textId="77777777" w:rsidR="001D5B3D" w:rsidRPr="00263158" w:rsidRDefault="001D5B3D" w:rsidP="00EE7657">
      <w:pPr>
        <w:sectPr w:rsidR="001D5B3D" w:rsidRPr="00263158" w:rsidSect="00BA6941">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09" w:gutter="0"/>
          <w:pgNumType w:start="1"/>
          <w:cols w:space="708"/>
          <w:docGrid w:linePitch="360"/>
        </w:sectPr>
      </w:pPr>
    </w:p>
    <w:p w14:paraId="39CE03B7" w14:textId="77777777" w:rsidR="00970413" w:rsidRPr="00263158" w:rsidRDefault="00E81DFF" w:rsidP="00970413">
      <w:pPr>
        <w:pStyle w:val="ActHead6"/>
        <w:pageBreakBefore/>
      </w:pPr>
      <w:bookmarkStart w:id="61" w:name="_Toc169168259"/>
      <w:r w:rsidRPr="00A06914">
        <w:rPr>
          <w:rStyle w:val="CharAmSchNo"/>
        </w:rPr>
        <w:t>Schedule 1</w:t>
      </w:r>
      <w:r w:rsidR="00970413" w:rsidRPr="00263158">
        <w:t>—</w:t>
      </w:r>
      <w:r w:rsidR="00970413" w:rsidRPr="00A06914">
        <w:rPr>
          <w:rStyle w:val="CharAmSchText"/>
        </w:rPr>
        <w:t>Repeals</w:t>
      </w:r>
      <w:bookmarkEnd w:id="61"/>
    </w:p>
    <w:p w14:paraId="2F714FAF" w14:textId="77777777" w:rsidR="00311E13" w:rsidRPr="00A06914" w:rsidRDefault="00311E13" w:rsidP="00311E13">
      <w:pPr>
        <w:pStyle w:val="Header"/>
      </w:pPr>
      <w:r w:rsidRPr="00A06914">
        <w:rPr>
          <w:rStyle w:val="CharAmPartNo"/>
        </w:rPr>
        <w:t xml:space="preserve"> </w:t>
      </w:r>
      <w:r w:rsidRPr="00A06914">
        <w:rPr>
          <w:rStyle w:val="CharAmPartText"/>
        </w:rPr>
        <w:t xml:space="preserve"> </w:t>
      </w:r>
    </w:p>
    <w:p w14:paraId="290ABC00" w14:textId="77777777" w:rsidR="002117DA" w:rsidRPr="00263158" w:rsidRDefault="002117DA" w:rsidP="002117DA">
      <w:pPr>
        <w:pStyle w:val="ActHead9"/>
      </w:pPr>
      <w:bookmarkStart w:id="62" w:name="_Toc169168260"/>
      <w:r w:rsidRPr="00263158">
        <w:t>Consumer Product Safety Standard: Children’s Household Cots (Consumer Protection Notice No. 6 of 2005) (Federal Register of Legislation No. F2005L03885)</w:t>
      </w:r>
      <w:bookmarkEnd w:id="62"/>
    </w:p>
    <w:p w14:paraId="1BDB1429" w14:textId="77777777" w:rsidR="002117DA" w:rsidRPr="00263158" w:rsidRDefault="002117DA" w:rsidP="002117DA">
      <w:pPr>
        <w:pStyle w:val="ItemHead"/>
      </w:pPr>
      <w:r w:rsidRPr="00263158">
        <w:t>1  The whole of the instrument</w:t>
      </w:r>
    </w:p>
    <w:p w14:paraId="3EA1194C" w14:textId="77777777" w:rsidR="002117DA" w:rsidRPr="00263158" w:rsidRDefault="002117DA" w:rsidP="002117DA">
      <w:pPr>
        <w:pStyle w:val="Item"/>
      </w:pPr>
      <w:r w:rsidRPr="00263158">
        <w:t>Repeal the instrument.</w:t>
      </w:r>
    </w:p>
    <w:p w14:paraId="45545F7C" w14:textId="77777777" w:rsidR="002117DA" w:rsidRPr="00263158" w:rsidRDefault="002117DA" w:rsidP="002117DA">
      <w:pPr>
        <w:pStyle w:val="ActHead9"/>
      </w:pPr>
      <w:bookmarkStart w:id="63" w:name="_Toc169168261"/>
      <w:r w:rsidRPr="00263158">
        <w:t>Consumer Product Safety Standard for Children’s Portable Folding Cots (Consumer Protection Notice No. 4 of 2008) (Federal Register of Legislation No. F2008L00550)</w:t>
      </w:r>
      <w:bookmarkEnd w:id="63"/>
    </w:p>
    <w:p w14:paraId="50E000F2" w14:textId="77777777" w:rsidR="002117DA" w:rsidRPr="00263158" w:rsidRDefault="002117DA" w:rsidP="002117DA">
      <w:pPr>
        <w:pStyle w:val="ItemHead"/>
      </w:pPr>
      <w:r w:rsidRPr="00263158">
        <w:t>2  The whole of the instrument</w:t>
      </w:r>
    </w:p>
    <w:p w14:paraId="3C912925" w14:textId="77777777" w:rsidR="001E4F3D" w:rsidRPr="00263158" w:rsidRDefault="002117DA" w:rsidP="001B4B20">
      <w:pPr>
        <w:pStyle w:val="Item"/>
      </w:pPr>
      <w:r w:rsidRPr="00263158">
        <w:t>Repeal the instrument.</w:t>
      </w:r>
    </w:p>
    <w:p w14:paraId="27E43321" w14:textId="77777777" w:rsidR="00A04312" w:rsidRPr="00263158" w:rsidRDefault="00A04312" w:rsidP="002954CC">
      <w:pPr>
        <w:sectPr w:rsidR="00A04312" w:rsidRPr="00263158" w:rsidSect="00BA6941">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14:paraId="788A45C9" w14:textId="77777777" w:rsidR="00441487" w:rsidRPr="00263158" w:rsidRDefault="00441487" w:rsidP="00191478"/>
    <w:sectPr w:rsidR="00441487" w:rsidRPr="00263158" w:rsidSect="00BA6941">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1C278" w14:textId="77777777" w:rsidR="007B00E0" w:rsidRDefault="007B00E0" w:rsidP="00715914">
      <w:pPr>
        <w:spacing w:line="240" w:lineRule="auto"/>
      </w:pPr>
      <w:r>
        <w:separator/>
      </w:r>
    </w:p>
  </w:endnote>
  <w:endnote w:type="continuationSeparator" w:id="0">
    <w:p w14:paraId="31C0CAB1" w14:textId="77777777" w:rsidR="007B00E0" w:rsidRDefault="007B00E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983BC" w14:textId="77777777" w:rsidR="00A06914" w:rsidRPr="00BA6941" w:rsidRDefault="00BA6941" w:rsidP="00BA6941">
    <w:pPr>
      <w:pStyle w:val="Footer"/>
      <w:rPr>
        <w:i/>
        <w:sz w:val="18"/>
      </w:rPr>
    </w:pPr>
    <w:r w:rsidRPr="00BA6941">
      <w:rPr>
        <w:i/>
        <w:sz w:val="18"/>
      </w:rPr>
      <w:t>OPC66434 -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1918F" w14:textId="77777777" w:rsidR="007B00E0" w:rsidRPr="00A41F52" w:rsidRDefault="007B00E0" w:rsidP="00A04312">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7B00E0" w14:paraId="5E9E6212" w14:textId="77777777" w:rsidTr="002954CC">
      <w:tc>
        <w:tcPr>
          <w:tcW w:w="1384" w:type="dxa"/>
          <w:tcBorders>
            <w:top w:val="nil"/>
            <w:left w:val="nil"/>
            <w:bottom w:val="nil"/>
            <w:right w:val="nil"/>
          </w:tcBorders>
        </w:tcPr>
        <w:p w14:paraId="2249E282" w14:textId="77777777" w:rsidR="007B00E0" w:rsidRDefault="007B00E0" w:rsidP="002954CC">
          <w:pPr>
            <w:spacing w:line="0" w:lineRule="atLeast"/>
            <w:rPr>
              <w:sz w:val="18"/>
            </w:rPr>
          </w:pPr>
        </w:p>
      </w:tc>
      <w:tc>
        <w:tcPr>
          <w:tcW w:w="6379" w:type="dxa"/>
          <w:tcBorders>
            <w:top w:val="nil"/>
            <w:left w:val="nil"/>
            <w:bottom w:val="nil"/>
            <w:right w:val="nil"/>
          </w:tcBorders>
        </w:tcPr>
        <w:p w14:paraId="07835A9D" w14:textId="56C69045" w:rsidR="007B00E0" w:rsidRDefault="007B00E0" w:rsidP="002954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02DC">
            <w:rPr>
              <w:i/>
              <w:sz w:val="18"/>
            </w:rPr>
            <w:t>Consumer Goods (Infant Sleep Products) Safety Standard 2024</w:t>
          </w:r>
          <w:r w:rsidRPr="007A1328">
            <w:rPr>
              <w:i/>
              <w:sz w:val="18"/>
            </w:rPr>
            <w:fldChar w:fldCharType="end"/>
          </w:r>
        </w:p>
      </w:tc>
      <w:tc>
        <w:tcPr>
          <w:tcW w:w="709" w:type="dxa"/>
          <w:tcBorders>
            <w:top w:val="nil"/>
            <w:left w:val="nil"/>
            <w:bottom w:val="nil"/>
            <w:right w:val="nil"/>
          </w:tcBorders>
        </w:tcPr>
        <w:p w14:paraId="5537F427" w14:textId="77777777" w:rsidR="007B00E0" w:rsidRDefault="007B00E0" w:rsidP="002954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D252793" w14:textId="77777777" w:rsidR="007B00E0" w:rsidRPr="00BA6941" w:rsidRDefault="00BA6941" w:rsidP="00BA6941">
    <w:pPr>
      <w:rPr>
        <w:rFonts w:cs="Times New Roman"/>
        <w:i/>
        <w:sz w:val="18"/>
      </w:rPr>
    </w:pPr>
    <w:r w:rsidRPr="00BA6941">
      <w:rPr>
        <w:rFonts w:cs="Times New Roman"/>
        <w:i/>
        <w:sz w:val="18"/>
      </w:rPr>
      <w:t>OPC66434 -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3F4BA" w14:textId="77777777" w:rsidR="007B00E0" w:rsidRPr="00E33C1C" w:rsidRDefault="007B00E0" w:rsidP="00A0431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B00E0" w14:paraId="1ABC4B3E" w14:textId="77777777" w:rsidTr="002954CC">
      <w:tc>
        <w:tcPr>
          <w:tcW w:w="1384" w:type="dxa"/>
          <w:tcBorders>
            <w:top w:val="nil"/>
            <w:left w:val="nil"/>
            <w:bottom w:val="nil"/>
            <w:right w:val="nil"/>
          </w:tcBorders>
        </w:tcPr>
        <w:p w14:paraId="44E04775" w14:textId="77777777" w:rsidR="007B00E0" w:rsidRDefault="007B00E0" w:rsidP="00A04312">
          <w:pPr>
            <w:spacing w:line="0" w:lineRule="atLeast"/>
            <w:rPr>
              <w:sz w:val="18"/>
            </w:rPr>
          </w:pPr>
        </w:p>
      </w:tc>
      <w:tc>
        <w:tcPr>
          <w:tcW w:w="6379" w:type="dxa"/>
          <w:tcBorders>
            <w:top w:val="nil"/>
            <w:left w:val="nil"/>
            <w:bottom w:val="nil"/>
            <w:right w:val="nil"/>
          </w:tcBorders>
        </w:tcPr>
        <w:p w14:paraId="6B221CB5" w14:textId="0D241F45" w:rsidR="007B00E0" w:rsidRDefault="007B00E0" w:rsidP="00A043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02DC">
            <w:rPr>
              <w:i/>
              <w:sz w:val="18"/>
            </w:rPr>
            <w:t>Consumer Goods (Infant Sleep Products) Safety Standard 2024</w:t>
          </w:r>
          <w:r w:rsidRPr="007A1328">
            <w:rPr>
              <w:i/>
              <w:sz w:val="18"/>
            </w:rPr>
            <w:fldChar w:fldCharType="end"/>
          </w:r>
        </w:p>
      </w:tc>
      <w:tc>
        <w:tcPr>
          <w:tcW w:w="709" w:type="dxa"/>
          <w:tcBorders>
            <w:top w:val="nil"/>
            <w:left w:val="nil"/>
            <w:bottom w:val="nil"/>
            <w:right w:val="nil"/>
          </w:tcBorders>
        </w:tcPr>
        <w:p w14:paraId="16B4375B" w14:textId="77777777" w:rsidR="007B00E0" w:rsidRDefault="007B00E0" w:rsidP="00A043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449F514E" w14:textId="77777777" w:rsidR="007B00E0" w:rsidRPr="00ED79B6" w:rsidRDefault="007B00E0" w:rsidP="00A04312">
    <w:pPr>
      <w:rPr>
        <w:i/>
        <w:sz w:val="18"/>
      </w:rPr>
    </w:pPr>
  </w:p>
  <w:p w14:paraId="2EFEF7A0" w14:textId="77777777" w:rsidR="007B00E0" w:rsidRPr="00BA6941" w:rsidRDefault="00BA6941" w:rsidP="00BA6941">
    <w:pPr>
      <w:pStyle w:val="Footer"/>
      <w:rPr>
        <w:i/>
        <w:sz w:val="18"/>
      </w:rPr>
    </w:pPr>
    <w:r w:rsidRPr="00BA6941">
      <w:rPr>
        <w:i/>
        <w:sz w:val="18"/>
      </w:rPr>
      <w:t>OPC66434 -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97A0F" w14:textId="77777777" w:rsidR="007B00E0" w:rsidRPr="00E33C1C" w:rsidRDefault="007B00E0" w:rsidP="001D5B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B00E0" w14:paraId="48BA9D98" w14:textId="77777777" w:rsidTr="00A06914">
      <w:tc>
        <w:tcPr>
          <w:tcW w:w="709" w:type="dxa"/>
          <w:tcBorders>
            <w:top w:val="nil"/>
            <w:left w:val="nil"/>
            <w:bottom w:val="nil"/>
            <w:right w:val="nil"/>
          </w:tcBorders>
        </w:tcPr>
        <w:p w14:paraId="583C74BA" w14:textId="77777777" w:rsidR="007B00E0" w:rsidRDefault="007B00E0" w:rsidP="0097041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2256F743" w14:textId="03272C5A" w:rsidR="007B00E0" w:rsidRDefault="007B00E0" w:rsidP="009704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02DC">
            <w:rPr>
              <w:i/>
              <w:sz w:val="18"/>
            </w:rPr>
            <w:t>Consumer Goods (Infant Sleep Products) Safety Standard 2024</w:t>
          </w:r>
          <w:r w:rsidRPr="007A1328">
            <w:rPr>
              <w:i/>
              <w:sz w:val="18"/>
            </w:rPr>
            <w:fldChar w:fldCharType="end"/>
          </w:r>
        </w:p>
      </w:tc>
      <w:tc>
        <w:tcPr>
          <w:tcW w:w="1384" w:type="dxa"/>
          <w:tcBorders>
            <w:top w:val="nil"/>
            <w:left w:val="nil"/>
            <w:bottom w:val="nil"/>
            <w:right w:val="nil"/>
          </w:tcBorders>
        </w:tcPr>
        <w:p w14:paraId="7D588A32" w14:textId="77777777" w:rsidR="007B00E0" w:rsidRDefault="007B00E0" w:rsidP="00970413">
          <w:pPr>
            <w:spacing w:line="0" w:lineRule="atLeast"/>
            <w:jc w:val="right"/>
            <w:rPr>
              <w:sz w:val="18"/>
            </w:rPr>
          </w:pPr>
        </w:p>
      </w:tc>
    </w:tr>
  </w:tbl>
  <w:p w14:paraId="3A3CACC2" w14:textId="77777777" w:rsidR="007B00E0" w:rsidRPr="00BA6941" w:rsidRDefault="00BA6941" w:rsidP="00BA6941">
    <w:pPr>
      <w:rPr>
        <w:rFonts w:cs="Times New Roman"/>
        <w:i/>
        <w:sz w:val="18"/>
      </w:rPr>
    </w:pPr>
    <w:r w:rsidRPr="00BA6941">
      <w:rPr>
        <w:rFonts w:cs="Times New Roman"/>
        <w:i/>
        <w:sz w:val="18"/>
      </w:rPr>
      <w:t>OPC66434 -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09B8" w14:textId="77777777" w:rsidR="007B00E0" w:rsidRPr="00E33C1C" w:rsidRDefault="007B00E0" w:rsidP="001D5B3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B00E0" w14:paraId="42A1D945" w14:textId="77777777" w:rsidTr="00970413">
      <w:tc>
        <w:tcPr>
          <w:tcW w:w="1384" w:type="dxa"/>
          <w:tcBorders>
            <w:top w:val="nil"/>
            <w:left w:val="nil"/>
            <w:bottom w:val="nil"/>
            <w:right w:val="nil"/>
          </w:tcBorders>
        </w:tcPr>
        <w:p w14:paraId="33508D32" w14:textId="77777777" w:rsidR="007B00E0" w:rsidRDefault="007B00E0" w:rsidP="00970413">
          <w:pPr>
            <w:spacing w:line="0" w:lineRule="atLeast"/>
            <w:rPr>
              <w:sz w:val="18"/>
            </w:rPr>
          </w:pPr>
        </w:p>
      </w:tc>
      <w:tc>
        <w:tcPr>
          <w:tcW w:w="6379" w:type="dxa"/>
          <w:tcBorders>
            <w:top w:val="nil"/>
            <w:left w:val="nil"/>
            <w:bottom w:val="nil"/>
            <w:right w:val="nil"/>
          </w:tcBorders>
        </w:tcPr>
        <w:p w14:paraId="3445773B" w14:textId="12168D17" w:rsidR="007B00E0" w:rsidRDefault="007B00E0" w:rsidP="009704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02DC">
            <w:rPr>
              <w:i/>
              <w:sz w:val="18"/>
            </w:rPr>
            <w:t>Consumer Goods (Infant Sleep Products) Safety Standard 2024</w:t>
          </w:r>
          <w:r w:rsidRPr="007A1328">
            <w:rPr>
              <w:i/>
              <w:sz w:val="18"/>
            </w:rPr>
            <w:fldChar w:fldCharType="end"/>
          </w:r>
        </w:p>
      </w:tc>
      <w:tc>
        <w:tcPr>
          <w:tcW w:w="709" w:type="dxa"/>
          <w:tcBorders>
            <w:top w:val="nil"/>
            <w:left w:val="nil"/>
            <w:bottom w:val="nil"/>
            <w:right w:val="nil"/>
          </w:tcBorders>
        </w:tcPr>
        <w:p w14:paraId="67FBD185" w14:textId="77777777" w:rsidR="007B00E0" w:rsidRDefault="007B00E0" w:rsidP="0097041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61912DE" w14:textId="77777777" w:rsidR="007B00E0" w:rsidRPr="00BA6941" w:rsidRDefault="00BA6941" w:rsidP="00BA6941">
    <w:pPr>
      <w:rPr>
        <w:rFonts w:cs="Times New Roman"/>
        <w:i/>
        <w:sz w:val="18"/>
      </w:rPr>
    </w:pPr>
    <w:r w:rsidRPr="00BA6941">
      <w:rPr>
        <w:rFonts w:cs="Times New Roman"/>
        <w:i/>
        <w:sz w:val="18"/>
      </w:rPr>
      <w:t>OPC66434 -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403F0" w14:textId="77777777" w:rsidR="007B00E0" w:rsidRPr="00E33C1C" w:rsidRDefault="007B00E0" w:rsidP="001D5B3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B00E0" w14:paraId="4D32865B" w14:textId="77777777" w:rsidTr="00EE7657">
      <w:tc>
        <w:tcPr>
          <w:tcW w:w="1384" w:type="dxa"/>
          <w:tcBorders>
            <w:top w:val="nil"/>
            <w:left w:val="nil"/>
            <w:bottom w:val="nil"/>
            <w:right w:val="nil"/>
          </w:tcBorders>
        </w:tcPr>
        <w:p w14:paraId="4BA8039A" w14:textId="77777777" w:rsidR="007B00E0" w:rsidRDefault="007B00E0" w:rsidP="001D5B3D">
          <w:pPr>
            <w:spacing w:line="0" w:lineRule="atLeast"/>
            <w:rPr>
              <w:sz w:val="18"/>
            </w:rPr>
          </w:pPr>
        </w:p>
      </w:tc>
      <w:tc>
        <w:tcPr>
          <w:tcW w:w="6379" w:type="dxa"/>
          <w:tcBorders>
            <w:top w:val="nil"/>
            <w:left w:val="nil"/>
            <w:bottom w:val="nil"/>
            <w:right w:val="nil"/>
          </w:tcBorders>
        </w:tcPr>
        <w:p w14:paraId="079EF6A0" w14:textId="635B7748" w:rsidR="007B00E0" w:rsidRDefault="007B00E0" w:rsidP="001D5B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02DC">
            <w:rPr>
              <w:i/>
              <w:sz w:val="18"/>
            </w:rPr>
            <w:t>Consumer Goods (Infant Sleep Products) Safety Standard 2024</w:t>
          </w:r>
          <w:r w:rsidRPr="007A1328">
            <w:rPr>
              <w:i/>
              <w:sz w:val="18"/>
            </w:rPr>
            <w:fldChar w:fldCharType="end"/>
          </w:r>
        </w:p>
      </w:tc>
      <w:tc>
        <w:tcPr>
          <w:tcW w:w="709" w:type="dxa"/>
          <w:tcBorders>
            <w:top w:val="nil"/>
            <w:left w:val="nil"/>
            <w:bottom w:val="nil"/>
            <w:right w:val="nil"/>
          </w:tcBorders>
        </w:tcPr>
        <w:p w14:paraId="78681D21" w14:textId="77777777" w:rsidR="007B00E0" w:rsidRDefault="007B00E0" w:rsidP="001D5B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26592534" w14:textId="77777777" w:rsidR="007B00E0" w:rsidRPr="00ED79B6" w:rsidRDefault="007B00E0" w:rsidP="001D5B3D">
    <w:pPr>
      <w:rPr>
        <w:i/>
        <w:sz w:val="18"/>
      </w:rPr>
    </w:pPr>
  </w:p>
  <w:p w14:paraId="44F5150E" w14:textId="77777777" w:rsidR="007B00E0" w:rsidRPr="00BA6941" w:rsidRDefault="00BA6941" w:rsidP="00BA6941">
    <w:pPr>
      <w:pStyle w:val="Footer"/>
      <w:rPr>
        <w:i/>
        <w:sz w:val="18"/>
      </w:rPr>
    </w:pPr>
    <w:r w:rsidRPr="00BA6941">
      <w:rPr>
        <w:i/>
        <w:sz w:val="18"/>
      </w:rPr>
      <w:t>OPC66434 -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92AA" w14:textId="77777777" w:rsidR="007B00E0" w:rsidRDefault="007B00E0" w:rsidP="007500C8">
    <w:pPr>
      <w:pStyle w:val="Footer"/>
    </w:pPr>
  </w:p>
  <w:p w14:paraId="410446AB" w14:textId="77777777" w:rsidR="007B00E0" w:rsidRPr="00BA6941" w:rsidRDefault="00BA6941" w:rsidP="00BA6941">
    <w:pPr>
      <w:pStyle w:val="Footer"/>
      <w:rPr>
        <w:i/>
        <w:sz w:val="18"/>
      </w:rPr>
    </w:pPr>
    <w:r w:rsidRPr="00BA6941">
      <w:rPr>
        <w:i/>
        <w:sz w:val="18"/>
      </w:rPr>
      <w:t>OPC66434 -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D8B2" w14:textId="77777777" w:rsidR="007B00E0" w:rsidRPr="00BA6941" w:rsidRDefault="00BA6941" w:rsidP="00BA6941">
    <w:pPr>
      <w:pStyle w:val="Footer"/>
      <w:tabs>
        <w:tab w:val="clear" w:pos="4153"/>
        <w:tab w:val="clear" w:pos="8306"/>
        <w:tab w:val="center" w:pos="4150"/>
        <w:tab w:val="right" w:pos="8307"/>
      </w:tabs>
      <w:spacing w:before="120"/>
      <w:rPr>
        <w:i/>
        <w:sz w:val="18"/>
      </w:rPr>
    </w:pPr>
    <w:r w:rsidRPr="00BA6941">
      <w:rPr>
        <w:i/>
        <w:sz w:val="18"/>
      </w:rPr>
      <w:t>OPC66434 -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59A5" w14:textId="77777777" w:rsidR="007B00E0" w:rsidRPr="00E33C1C" w:rsidRDefault="007B00E0"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B00E0" w14:paraId="2C7A627E" w14:textId="77777777" w:rsidTr="00A06914">
      <w:tc>
        <w:tcPr>
          <w:tcW w:w="709" w:type="dxa"/>
          <w:tcBorders>
            <w:top w:val="nil"/>
            <w:left w:val="nil"/>
            <w:bottom w:val="nil"/>
            <w:right w:val="nil"/>
          </w:tcBorders>
        </w:tcPr>
        <w:p w14:paraId="025DD29B" w14:textId="77777777" w:rsidR="007B00E0" w:rsidRDefault="007B00E0" w:rsidP="0097041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465389B" w14:textId="6481F161" w:rsidR="007B00E0" w:rsidRDefault="007B00E0" w:rsidP="009704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02DC">
            <w:rPr>
              <w:i/>
              <w:sz w:val="18"/>
            </w:rPr>
            <w:t>Consumer Goods (Infant Sleep Products) Safety Standard 2024</w:t>
          </w:r>
          <w:r w:rsidRPr="007A1328">
            <w:rPr>
              <w:i/>
              <w:sz w:val="18"/>
            </w:rPr>
            <w:fldChar w:fldCharType="end"/>
          </w:r>
        </w:p>
      </w:tc>
      <w:tc>
        <w:tcPr>
          <w:tcW w:w="1384" w:type="dxa"/>
          <w:tcBorders>
            <w:top w:val="nil"/>
            <w:left w:val="nil"/>
            <w:bottom w:val="nil"/>
            <w:right w:val="nil"/>
          </w:tcBorders>
        </w:tcPr>
        <w:p w14:paraId="1A398A46" w14:textId="77777777" w:rsidR="007B00E0" w:rsidRDefault="007B00E0" w:rsidP="00970413">
          <w:pPr>
            <w:spacing w:line="0" w:lineRule="atLeast"/>
            <w:jc w:val="right"/>
            <w:rPr>
              <w:sz w:val="18"/>
            </w:rPr>
          </w:pPr>
        </w:p>
      </w:tc>
    </w:tr>
  </w:tbl>
  <w:p w14:paraId="6E21450D" w14:textId="77777777" w:rsidR="007B00E0" w:rsidRPr="00BA6941" w:rsidRDefault="00BA6941" w:rsidP="00BA6941">
    <w:pPr>
      <w:rPr>
        <w:rFonts w:cs="Times New Roman"/>
        <w:i/>
        <w:sz w:val="18"/>
      </w:rPr>
    </w:pPr>
    <w:r w:rsidRPr="00BA6941">
      <w:rPr>
        <w:rFonts w:cs="Times New Roman"/>
        <w:i/>
        <w:sz w:val="18"/>
      </w:rPr>
      <w:t>OPC66434 -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4462" w14:textId="77777777" w:rsidR="007B00E0" w:rsidRPr="00E33C1C" w:rsidRDefault="007B00E0"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B00E0" w14:paraId="5EEBE9CF" w14:textId="77777777" w:rsidTr="00B33709">
      <w:tc>
        <w:tcPr>
          <w:tcW w:w="1383" w:type="dxa"/>
          <w:tcBorders>
            <w:top w:val="nil"/>
            <w:left w:val="nil"/>
            <w:bottom w:val="nil"/>
            <w:right w:val="nil"/>
          </w:tcBorders>
        </w:tcPr>
        <w:p w14:paraId="1B3F32BA" w14:textId="77777777" w:rsidR="007B00E0" w:rsidRDefault="007B00E0" w:rsidP="00970413">
          <w:pPr>
            <w:spacing w:line="0" w:lineRule="atLeast"/>
            <w:rPr>
              <w:sz w:val="18"/>
            </w:rPr>
          </w:pPr>
        </w:p>
      </w:tc>
      <w:tc>
        <w:tcPr>
          <w:tcW w:w="6380" w:type="dxa"/>
          <w:tcBorders>
            <w:top w:val="nil"/>
            <w:left w:val="nil"/>
            <w:bottom w:val="nil"/>
            <w:right w:val="nil"/>
          </w:tcBorders>
        </w:tcPr>
        <w:p w14:paraId="6289DC37" w14:textId="2CD03F21" w:rsidR="007B00E0" w:rsidRDefault="007B00E0" w:rsidP="009704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02DC">
            <w:rPr>
              <w:i/>
              <w:sz w:val="18"/>
            </w:rPr>
            <w:t>Consumer Goods (Infant Sleep Products) Safety Standard 2024</w:t>
          </w:r>
          <w:r w:rsidRPr="007A1328">
            <w:rPr>
              <w:i/>
              <w:sz w:val="18"/>
            </w:rPr>
            <w:fldChar w:fldCharType="end"/>
          </w:r>
        </w:p>
      </w:tc>
      <w:tc>
        <w:tcPr>
          <w:tcW w:w="709" w:type="dxa"/>
          <w:tcBorders>
            <w:top w:val="nil"/>
            <w:left w:val="nil"/>
            <w:bottom w:val="nil"/>
            <w:right w:val="nil"/>
          </w:tcBorders>
        </w:tcPr>
        <w:p w14:paraId="5DD2113B" w14:textId="77777777" w:rsidR="007B00E0" w:rsidRDefault="007B00E0" w:rsidP="0097041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B75A130" w14:textId="77777777" w:rsidR="007B00E0" w:rsidRPr="00BA6941" w:rsidRDefault="00BA6941" w:rsidP="00BA6941">
    <w:pPr>
      <w:rPr>
        <w:rFonts w:cs="Times New Roman"/>
        <w:i/>
        <w:sz w:val="18"/>
      </w:rPr>
    </w:pPr>
    <w:r w:rsidRPr="00BA6941">
      <w:rPr>
        <w:rFonts w:cs="Times New Roman"/>
        <w:i/>
        <w:sz w:val="18"/>
      </w:rPr>
      <w:t>OPC66434 -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31E77" w14:textId="77777777" w:rsidR="007B00E0" w:rsidRPr="00E33C1C" w:rsidRDefault="007B00E0" w:rsidP="001D5B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B00E0" w14:paraId="54F4356E" w14:textId="77777777" w:rsidTr="00A06914">
      <w:tc>
        <w:tcPr>
          <w:tcW w:w="709" w:type="dxa"/>
          <w:tcBorders>
            <w:top w:val="nil"/>
            <w:left w:val="nil"/>
            <w:bottom w:val="nil"/>
            <w:right w:val="nil"/>
          </w:tcBorders>
        </w:tcPr>
        <w:p w14:paraId="71E47DB0" w14:textId="77777777" w:rsidR="007B00E0" w:rsidRDefault="007B00E0" w:rsidP="00EE765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5B6CD8F" w14:textId="421285EF" w:rsidR="007B00E0" w:rsidRDefault="007B00E0" w:rsidP="00EE765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02DC">
            <w:rPr>
              <w:i/>
              <w:sz w:val="18"/>
            </w:rPr>
            <w:t>Consumer Goods (Infant Sleep Products) Safety Standard 2024</w:t>
          </w:r>
          <w:r w:rsidRPr="007A1328">
            <w:rPr>
              <w:i/>
              <w:sz w:val="18"/>
            </w:rPr>
            <w:fldChar w:fldCharType="end"/>
          </w:r>
        </w:p>
      </w:tc>
      <w:tc>
        <w:tcPr>
          <w:tcW w:w="1384" w:type="dxa"/>
          <w:tcBorders>
            <w:top w:val="nil"/>
            <w:left w:val="nil"/>
            <w:bottom w:val="nil"/>
            <w:right w:val="nil"/>
          </w:tcBorders>
        </w:tcPr>
        <w:p w14:paraId="30F8D445" w14:textId="77777777" w:rsidR="007B00E0" w:rsidRDefault="007B00E0" w:rsidP="00EE7657">
          <w:pPr>
            <w:spacing w:line="0" w:lineRule="atLeast"/>
            <w:jc w:val="right"/>
            <w:rPr>
              <w:sz w:val="18"/>
            </w:rPr>
          </w:pPr>
        </w:p>
      </w:tc>
    </w:tr>
  </w:tbl>
  <w:p w14:paraId="37B2990C" w14:textId="77777777" w:rsidR="007B00E0" w:rsidRPr="00BA6941" w:rsidRDefault="00BA6941" w:rsidP="00BA6941">
    <w:pPr>
      <w:rPr>
        <w:rFonts w:cs="Times New Roman"/>
        <w:i/>
        <w:sz w:val="18"/>
      </w:rPr>
    </w:pPr>
    <w:r w:rsidRPr="00BA6941">
      <w:rPr>
        <w:rFonts w:cs="Times New Roman"/>
        <w:i/>
        <w:sz w:val="18"/>
      </w:rPr>
      <w:t>OPC66434 -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5B58D" w14:textId="77777777" w:rsidR="007B00E0" w:rsidRPr="00E33C1C" w:rsidRDefault="007B00E0" w:rsidP="001D5B3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B00E0" w14:paraId="57B9D6E6" w14:textId="77777777" w:rsidTr="00EE7657">
      <w:tc>
        <w:tcPr>
          <w:tcW w:w="1384" w:type="dxa"/>
          <w:tcBorders>
            <w:top w:val="nil"/>
            <w:left w:val="nil"/>
            <w:bottom w:val="nil"/>
            <w:right w:val="nil"/>
          </w:tcBorders>
        </w:tcPr>
        <w:p w14:paraId="3C62BBB0" w14:textId="77777777" w:rsidR="007B00E0" w:rsidRDefault="007B00E0" w:rsidP="00EE7657">
          <w:pPr>
            <w:spacing w:line="0" w:lineRule="atLeast"/>
            <w:rPr>
              <w:sz w:val="18"/>
            </w:rPr>
          </w:pPr>
        </w:p>
      </w:tc>
      <w:tc>
        <w:tcPr>
          <w:tcW w:w="6379" w:type="dxa"/>
          <w:tcBorders>
            <w:top w:val="nil"/>
            <w:left w:val="nil"/>
            <w:bottom w:val="nil"/>
            <w:right w:val="nil"/>
          </w:tcBorders>
        </w:tcPr>
        <w:p w14:paraId="32C72422" w14:textId="7BA9277D" w:rsidR="007B00E0" w:rsidRDefault="007B00E0" w:rsidP="00EE765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02DC">
            <w:rPr>
              <w:i/>
              <w:sz w:val="18"/>
            </w:rPr>
            <w:t>Consumer Goods (Infant Sleep Products) Safety Standard 2024</w:t>
          </w:r>
          <w:r w:rsidRPr="007A1328">
            <w:rPr>
              <w:i/>
              <w:sz w:val="18"/>
            </w:rPr>
            <w:fldChar w:fldCharType="end"/>
          </w:r>
        </w:p>
      </w:tc>
      <w:tc>
        <w:tcPr>
          <w:tcW w:w="709" w:type="dxa"/>
          <w:tcBorders>
            <w:top w:val="nil"/>
            <w:left w:val="nil"/>
            <w:bottom w:val="nil"/>
            <w:right w:val="nil"/>
          </w:tcBorders>
        </w:tcPr>
        <w:p w14:paraId="1CC1F3FC" w14:textId="77777777" w:rsidR="007B00E0" w:rsidRDefault="007B00E0" w:rsidP="00EE765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F7612EB" w14:textId="77777777" w:rsidR="007B00E0" w:rsidRPr="00BA6941" w:rsidRDefault="00BA6941" w:rsidP="00BA6941">
    <w:pPr>
      <w:rPr>
        <w:rFonts w:cs="Times New Roman"/>
        <w:i/>
        <w:sz w:val="18"/>
      </w:rPr>
    </w:pPr>
    <w:r w:rsidRPr="00BA6941">
      <w:rPr>
        <w:rFonts w:cs="Times New Roman"/>
        <w:i/>
        <w:sz w:val="18"/>
      </w:rPr>
      <w:t>OPC66434 -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0D80" w14:textId="77777777" w:rsidR="007B00E0" w:rsidRPr="00E33C1C" w:rsidRDefault="007B00E0" w:rsidP="001D5B3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B00E0" w14:paraId="5272DB71" w14:textId="77777777" w:rsidTr="00EE7657">
      <w:tc>
        <w:tcPr>
          <w:tcW w:w="1384" w:type="dxa"/>
          <w:tcBorders>
            <w:top w:val="nil"/>
            <w:left w:val="nil"/>
            <w:bottom w:val="nil"/>
            <w:right w:val="nil"/>
          </w:tcBorders>
        </w:tcPr>
        <w:p w14:paraId="4762AA1C" w14:textId="77777777" w:rsidR="007B00E0" w:rsidRDefault="007B00E0" w:rsidP="001D5B3D">
          <w:pPr>
            <w:spacing w:line="0" w:lineRule="atLeast"/>
            <w:rPr>
              <w:sz w:val="18"/>
            </w:rPr>
          </w:pPr>
        </w:p>
      </w:tc>
      <w:tc>
        <w:tcPr>
          <w:tcW w:w="6379" w:type="dxa"/>
          <w:tcBorders>
            <w:top w:val="nil"/>
            <w:left w:val="nil"/>
            <w:bottom w:val="nil"/>
            <w:right w:val="nil"/>
          </w:tcBorders>
        </w:tcPr>
        <w:p w14:paraId="2F24E05F" w14:textId="3D195171" w:rsidR="007B00E0" w:rsidRDefault="007B00E0" w:rsidP="001D5B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02DC">
            <w:rPr>
              <w:i/>
              <w:sz w:val="18"/>
            </w:rPr>
            <w:t>Consumer Goods (Infant Sleep Products) Safety Standard 2024</w:t>
          </w:r>
          <w:r w:rsidRPr="007A1328">
            <w:rPr>
              <w:i/>
              <w:sz w:val="18"/>
            </w:rPr>
            <w:fldChar w:fldCharType="end"/>
          </w:r>
        </w:p>
      </w:tc>
      <w:tc>
        <w:tcPr>
          <w:tcW w:w="709" w:type="dxa"/>
          <w:tcBorders>
            <w:top w:val="nil"/>
            <w:left w:val="nil"/>
            <w:bottom w:val="nil"/>
            <w:right w:val="nil"/>
          </w:tcBorders>
        </w:tcPr>
        <w:p w14:paraId="34C05B14" w14:textId="77777777" w:rsidR="007B00E0" w:rsidRDefault="007B00E0" w:rsidP="001D5B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1B595B57" w14:textId="77777777" w:rsidR="007B00E0" w:rsidRPr="00ED79B6" w:rsidRDefault="007B00E0" w:rsidP="001D5B3D">
    <w:pPr>
      <w:rPr>
        <w:i/>
        <w:sz w:val="18"/>
      </w:rPr>
    </w:pPr>
  </w:p>
  <w:p w14:paraId="4E11D18D" w14:textId="77777777" w:rsidR="007B00E0" w:rsidRPr="00BA6941" w:rsidRDefault="00BA6941" w:rsidP="00BA6941">
    <w:pPr>
      <w:pStyle w:val="Footer"/>
      <w:rPr>
        <w:i/>
        <w:sz w:val="18"/>
      </w:rPr>
    </w:pPr>
    <w:r w:rsidRPr="00BA6941">
      <w:rPr>
        <w:i/>
        <w:sz w:val="18"/>
      </w:rPr>
      <w:t>OPC66434 -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52745" w14:textId="77777777" w:rsidR="007B00E0" w:rsidRPr="00EF5531" w:rsidRDefault="007B00E0" w:rsidP="00A0431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B00E0" w14:paraId="520637AA" w14:textId="77777777" w:rsidTr="00A06914">
      <w:tc>
        <w:tcPr>
          <w:tcW w:w="709" w:type="dxa"/>
          <w:tcBorders>
            <w:top w:val="nil"/>
            <w:left w:val="nil"/>
            <w:bottom w:val="nil"/>
            <w:right w:val="nil"/>
          </w:tcBorders>
        </w:tcPr>
        <w:p w14:paraId="05A04475" w14:textId="77777777" w:rsidR="007B00E0" w:rsidRDefault="007B00E0" w:rsidP="002954C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06EED6E" w14:textId="725624BE" w:rsidR="007B00E0" w:rsidRDefault="007B00E0" w:rsidP="002954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02DC">
            <w:rPr>
              <w:i/>
              <w:sz w:val="18"/>
            </w:rPr>
            <w:t>Consumer Goods (Infant Sleep Products) Safety Standard 2024</w:t>
          </w:r>
          <w:r w:rsidRPr="007A1328">
            <w:rPr>
              <w:i/>
              <w:sz w:val="18"/>
            </w:rPr>
            <w:fldChar w:fldCharType="end"/>
          </w:r>
        </w:p>
      </w:tc>
      <w:tc>
        <w:tcPr>
          <w:tcW w:w="1384" w:type="dxa"/>
          <w:tcBorders>
            <w:top w:val="nil"/>
            <w:left w:val="nil"/>
            <w:bottom w:val="nil"/>
            <w:right w:val="nil"/>
          </w:tcBorders>
        </w:tcPr>
        <w:p w14:paraId="6A978640" w14:textId="77777777" w:rsidR="007B00E0" w:rsidRDefault="007B00E0" w:rsidP="002954CC">
          <w:pPr>
            <w:spacing w:line="0" w:lineRule="atLeast"/>
            <w:jc w:val="right"/>
            <w:rPr>
              <w:sz w:val="18"/>
            </w:rPr>
          </w:pPr>
        </w:p>
      </w:tc>
    </w:tr>
  </w:tbl>
  <w:p w14:paraId="53925C9C" w14:textId="77777777" w:rsidR="007B00E0" w:rsidRPr="00BA6941" w:rsidRDefault="00BA6941" w:rsidP="00BA6941">
    <w:pPr>
      <w:rPr>
        <w:rFonts w:cs="Times New Roman"/>
        <w:i/>
        <w:sz w:val="18"/>
      </w:rPr>
    </w:pPr>
    <w:r w:rsidRPr="00BA6941">
      <w:rPr>
        <w:rFonts w:cs="Times New Roman"/>
        <w:i/>
        <w:sz w:val="18"/>
      </w:rPr>
      <w:t>OPC66434 -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566C7" w14:textId="77777777" w:rsidR="007B00E0" w:rsidRDefault="007B00E0" w:rsidP="00715914">
      <w:pPr>
        <w:spacing w:line="240" w:lineRule="auto"/>
      </w:pPr>
      <w:r>
        <w:separator/>
      </w:r>
    </w:p>
  </w:footnote>
  <w:footnote w:type="continuationSeparator" w:id="0">
    <w:p w14:paraId="2E7897F6" w14:textId="77777777" w:rsidR="007B00E0" w:rsidRDefault="007B00E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08CD" w14:textId="77777777" w:rsidR="007B00E0" w:rsidRPr="005F1388" w:rsidRDefault="007B00E0"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87C61" w14:textId="76470F1D" w:rsidR="007B00E0" w:rsidRDefault="007B00E0">
    <w:pPr>
      <w:rPr>
        <w:sz w:val="20"/>
      </w:rPr>
    </w:pPr>
    <w:r>
      <w:rPr>
        <w:b/>
        <w:sz w:val="20"/>
      </w:rPr>
      <w:fldChar w:fldCharType="begin"/>
    </w:r>
    <w:r>
      <w:rPr>
        <w:b/>
        <w:sz w:val="20"/>
      </w:rPr>
      <w:instrText xml:space="preserve"> STYLEREF CharAmSchNo </w:instrText>
    </w:r>
    <w:r>
      <w:rPr>
        <w:b/>
        <w:sz w:val="20"/>
      </w:rPr>
      <w:fldChar w:fldCharType="separate"/>
    </w:r>
    <w:r w:rsidR="006A02DC">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6A02DC">
      <w:rPr>
        <w:noProof/>
        <w:sz w:val="20"/>
      </w:rPr>
      <w:t>Repeals</w:t>
    </w:r>
    <w:r>
      <w:rPr>
        <w:sz w:val="20"/>
      </w:rPr>
      <w:fldChar w:fldCharType="end"/>
    </w:r>
  </w:p>
  <w:p w14:paraId="66087ECF" w14:textId="2B30AFA9" w:rsidR="007B00E0" w:rsidRDefault="007B00E0">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6EF5C8C7" w14:textId="77777777" w:rsidR="007B00E0" w:rsidRPr="00A04312" w:rsidRDefault="007B00E0" w:rsidP="00A04312">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4D1A6" w14:textId="1D2067EB" w:rsidR="007B00E0" w:rsidRDefault="007B00E0">
    <w:pPr>
      <w:jc w:val="right"/>
      <w:rPr>
        <w:sz w:val="20"/>
      </w:rPr>
    </w:pPr>
    <w:r>
      <w:rPr>
        <w:sz w:val="20"/>
      </w:rPr>
      <w:fldChar w:fldCharType="begin"/>
    </w:r>
    <w:r>
      <w:rPr>
        <w:sz w:val="20"/>
      </w:rPr>
      <w:instrText xml:space="preserve"> STYLEREF CharAmSchText </w:instrText>
    </w:r>
    <w:r>
      <w:rPr>
        <w:sz w:val="20"/>
      </w:rPr>
      <w:fldChar w:fldCharType="separate"/>
    </w:r>
    <w:r w:rsidR="003B0684">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3B0684">
      <w:rPr>
        <w:b/>
        <w:noProof/>
        <w:sz w:val="20"/>
      </w:rPr>
      <w:t>Schedule 1</w:t>
    </w:r>
    <w:r>
      <w:rPr>
        <w:b/>
        <w:sz w:val="20"/>
      </w:rPr>
      <w:fldChar w:fldCharType="end"/>
    </w:r>
  </w:p>
  <w:p w14:paraId="0E5B9564" w14:textId="5B89022A" w:rsidR="007B00E0" w:rsidRDefault="007B00E0">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6A7EC6C3" w14:textId="77777777" w:rsidR="007B00E0" w:rsidRPr="00A04312" w:rsidRDefault="007B00E0" w:rsidP="00A04312">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AEA6F" w14:textId="77777777" w:rsidR="007B00E0" w:rsidRPr="00A04312" w:rsidRDefault="007B00E0">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A538C" w14:textId="610FDA98" w:rsidR="007B00E0" w:rsidRDefault="007B00E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C2418B2" w14:textId="20635B19" w:rsidR="007B00E0" w:rsidRDefault="007B00E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A02DC">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A02DC">
      <w:rPr>
        <w:noProof/>
        <w:sz w:val="20"/>
      </w:rPr>
      <w:t>Order of application</w:t>
    </w:r>
    <w:r>
      <w:rPr>
        <w:sz w:val="20"/>
      </w:rPr>
      <w:fldChar w:fldCharType="end"/>
    </w:r>
  </w:p>
  <w:p w14:paraId="6FD441A6" w14:textId="419AF430" w:rsidR="007B00E0" w:rsidRPr="007A1328" w:rsidRDefault="007B00E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CE7671B" w14:textId="77777777" w:rsidR="007B00E0" w:rsidRPr="007A1328" w:rsidRDefault="007B00E0" w:rsidP="00715914">
    <w:pPr>
      <w:rPr>
        <w:b/>
        <w:sz w:val="24"/>
      </w:rPr>
    </w:pPr>
  </w:p>
  <w:p w14:paraId="146B3C92" w14:textId="6D664E66" w:rsidR="007B00E0" w:rsidRPr="007A1328" w:rsidRDefault="007B00E0" w:rsidP="001D5B3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A02D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A02DC">
      <w:rPr>
        <w:noProof/>
        <w:sz w:val="24"/>
      </w:rPr>
      <w:t>39</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9284" w14:textId="6E75AFB6" w:rsidR="007B00E0" w:rsidRPr="007A1328" w:rsidRDefault="007B00E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0358893" w14:textId="68629AFC" w:rsidR="007B00E0" w:rsidRPr="007A1328" w:rsidRDefault="007B00E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A02DC">
      <w:rPr>
        <w:noProof/>
        <w:sz w:val="20"/>
      </w:rPr>
      <w:t>Order of application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A02DC">
      <w:rPr>
        <w:b/>
        <w:noProof/>
        <w:sz w:val="20"/>
      </w:rPr>
      <w:t>Part 4</w:t>
    </w:r>
    <w:r>
      <w:rPr>
        <w:b/>
        <w:sz w:val="20"/>
      </w:rPr>
      <w:fldChar w:fldCharType="end"/>
    </w:r>
  </w:p>
  <w:p w14:paraId="00C55935" w14:textId="5E1256E0" w:rsidR="007B00E0" w:rsidRPr="007A1328" w:rsidRDefault="007B00E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DFBE5A6" w14:textId="77777777" w:rsidR="007B00E0" w:rsidRPr="007A1328" w:rsidRDefault="007B00E0" w:rsidP="00715914">
    <w:pPr>
      <w:jc w:val="right"/>
      <w:rPr>
        <w:b/>
        <w:sz w:val="24"/>
      </w:rPr>
    </w:pPr>
  </w:p>
  <w:p w14:paraId="33A5EF44" w14:textId="36849089" w:rsidR="007B00E0" w:rsidRPr="007A1328" w:rsidRDefault="007B00E0" w:rsidP="001D5B3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A02D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A02DC">
      <w:rPr>
        <w:noProof/>
        <w:sz w:val="24"/>
      </w:rPr>
      <w:t>39</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4071D" w14:textId="77777777" w:rsidR="007B00E0" w:rsidRPr="007A1328" w:rsidRDefault="007B00E0"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2E097" w14:textId="77777777" w:rsidR="007B00E0" w:rsidRPr="005F1388" w:rsidRDefault="007B00E0"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86C76" w14:textId="77777777" w:rsidR="007B00E0" w:rsidRPr="005F1388" w:rsidRDefault="007B00E0"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BCCEB" w14:textId="77777777" w:rsidR="007B00E0" w:rsidRPr="00ED79B6" w:rsidRDefault="007B00E0"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0BA9" w14:textId="77777777" w:rsidR="007B00E0" w:rsidRPr="00ED79B6" w:rsidRDefault="007B00E0"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98231" w14:textId="77777777" w:rsidR="007B00E0" w:rsidRPr="00ED79B6" w:rsidRDefault="007B00E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C637A" w14:textId="4A6067BA" w:rsidR="007B00E0" w:rsidRDefault="007B00E0" w:rsidP="00EE765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25114D0" w14:textId="0113C3CB" w:rsidR="007B00E0" w:rsidRDefault="007B00E0" w:rsidP="00EE765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019FA">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019FA">
      <w:rPr>
        <w:noProof/>
        <w:sz w:val="20"/>
      </w:rPr>
      <w:t>Preliminary</w:t>
    </w:r>
    <w:r>
      <w:rPr>
        <w:sz w:val="20"/>
      </w:rPr>
      <w:fldChar w:fldCharType="end"/>
    </w:r>
  </w:p>
  <w:p w14:paraId="5B985311" w14:textId="0EDF142F" w:rsidR="007B00E0" w:rsidRPr="007A1328" w:rsidRDefault="007B00E0" w:rsidP="00EE765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DB79567" w14:textId="77777777" w:rsidR="007B00E0" w:rsidRPr="007A1328" w:rsidRDefault="007B00E0" w:rsidP="00EE7657">
    <w:pPr>
      <w:rPr>
        <w:b/>
        <w:sz w:val="24"/>
      </w:rPr>
    </w:pPr>
  </w:p>
  <w:p w14:paraId="06EB95A5" w14:textId="2A6CACE5" w:rsidR="007B00E0" w:rsidRPr="001D5B3D" w:rsidRDefault="007B00E0" w:rsidP="001D5B3D">
    <w:pPr>
      <w:pBdr>
        <w:bottom w:val="single" w:sz="6" w:space="1" w:color="auto"/>
      </w:pBdr>
      <w:spacing w:after="120"/>
      <w:rPr>
        <w:sz w:val="24"/>
      </w:rPr>
    </w:pPr>
    <w:r w:rsidRPr="001D5B3D">
      <w:rPr>
        <w:sz w:val="24"/>
      </w:rPr>
      <w:fldChar w:fldCharType="begin"/>
    </w:r>
    <w:r w:rsidRPr="001D5B3D">
      <w:rPr>
        <w:sz w:val="24"/>
      </w:rPr>
      <w:instrText xml:space="preserve"> DOCPROPERTY  Header </w:instrText>
    </w:r>
    <w:r w:rsidRPr="001D5B3D">
      <w:rPr>
        <w:sz w:val="24"/>
      </w:rPr>
      <w:fldChar w:fldCharType="separate"/>
    </w:r>
    <w:r w:rsidR="006A02DC">
      <w:rPr>
        <w:sz w:val="24"/>
      </w:rPr>
      <w:t>Section</w:t>
    </w:r>
    <w:r w:rsidRPr="001D5B3D">
      <w:rPr>
        <w:sz w:val="24"/>
      </w:rPr>
      <w:fldChar w:fldCharType="end"/>
    </w:r>
    <w:r w:rsidRPr="001D5B3D">
      <w:rPr>
        <w:sz w:val="24"/>
      </w:rPr>
      <w:t xml:space="preserve"> </w:t>
    </w:r>
    <w:r w:rsidRPr="001D5B3D">
      <w:rPr>
        <w:sz w:val="24"/>
      </w:rPr>
      <w:fldChar w:fldCharType="begin"/>
    </w:r>
    <w:r w:rsidRPr="001D5B3D">
      <w:rPr>
        <w:sz w:val="24"/>
      </w:rPr>
      <w:instrText xml:space="preserve"> STYLEREF CharSectno </w:instrText>
    </w:r>
    <w:r w:rsidRPr="001D5B3D">
      <w:rPr>
        <w:sz w:val="24"/>
      </w:rPr>
      <w:fldChar w:fldCharType="separate"/>
    </w:r>
    <w:r w:rsidR="000019FA">
      <w:rPr>
        <w:noProof/>
        <w:sz w:val="24"/>
      </w:rPr>
      <w:t>6</w:t>
    </w:r>
    <w:r w:rsidRPr="001D5B3D">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F322" w14:textId="3931193B" w:rsidR="007B00E0" w:rsidRPr="007A1328" w:rsidRDefault="007B00E0" w:rsidP="00EE765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2561812" w14:textId="3B546B60" w:rsidR="007B00E0" w:rsidRPr="007A1328" w:rsidRDefault="007B00E0" w:rsidP="00EE765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019F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019FA">
      <w:rPr>
        <w:b/>
        <w:noProof/>
        <w:sz w:val="20"/>
      </w:rPr>
      <w:t>Part 1</w:t>
    </w:r>
    <w:r>
      <w:rPr>
        <w:b/>
        <w:sz w:val="20"/>
      </w:rPr>
      <w:fldChar w:fldCharType="end"/>
    </w:r>
  </w:p>
  <w:p w14:paraId="1BE657A3" w14:textId="28CBC8AA" w:rsidR="007B00E0" w:rsidRPr="007A1328" w:rsidRDefault="007B00E0" w:rsidP="00EE765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EBCCDAC" w14:textId="77777777" w:rsidR="007B00E0" w:rsidRPr="007A1328" w:rsidRDefault="007B00E0" w:rsidP="00EE7657">
    <w:pPr>
      <w:jc w:val="right"/>
      <w:rPr>
        <w:b/>
        <w:sz w:val="24"/>
      </w:rPr>
    </w:pPr>
  </w:p>
  <w:p w14:paraId="5C2B27EF" w14:textId="58D3A7BB" w:rsidR="007B00E0" w:rsidRPr="001D5B3D" w:rsidRDefault="007B00E0" w:rsidP="001D5B3D">
    <w:pPr>
      <w:pBdr>
        <w:bottom w:val="single" w:sz="6" w:space="1" w:color="auto"/>
      </w:pBdr>
      <w:spacing w:after="120"/>
      <w:jc w:val="right"/>
      <w:rPr>
        <w:sz w:val="24"/>
      </w:rPr>
    </w:pPr>
    <w:r w:rsidRPr="001D5B3D">
      <w:rPr>
        <w:sz w:val="24"/>
      </w:rPr>
      <w:fldChar w:fldCharType="begin"/>
    </w:r>
    <w:r w:rsidRPr="001D5B3D">
      <w:rPr>
        <w:sz w:val="24"/>
      </w:rPr>
      <w:instrText xml:space="preserve"> DOCPROPERTY  Header </w:instrText>
    </w:r>
    <w:r w:rsidRPr="001D5B3D">
      <w:rPr>
        <w:sz w:val="24"/>
      </w:rPr>
      <w:fldChar w:fldCharType="separate"/>
    </w:r>
    <w:r w:rsidR="006A02DC">
      <w:rPr>
        <w:sz w:val="24"/>
      </w:rPr>
      <w:t>Section</w:t>
    </w:r>
    <w:r w:rsidRPr="001D5B3D">
      <w:rPr>
        <w:sz w:val="24"/>
      </w:rPr>
      <w:fldChar w:fldCharType="end"/>
    </w:r>
    <w:r w:rsidRPr="001D5B3D">
      <w:rPr>
        <w:sz w:val="24"/>
      </w:rPr>
      <w:t xml:space="preserve"> </w:t>
    </w:r>
    <w:r w:rsidRPr="001D5B3D">
      <w:rPr>
        <w:sz w:val="24"/>
      </w:rPr>
      <w:fldChar w:fldCharType="begin"/>
    </w:r>
    <w:r w:rsidRPr="001D5B3D">
      <w:rPr>
        <w:sz w:val="24"/>
      </w:rPr>
      <w:instrText xml:space="preserve"> STYLEREF CharSectno </w:instrText>
    </w:r>
    <w:r w:rsidRPr="001D5B3D">
      <w:rPr>
        <w:sz w:val="24"/>
      </w:rPr>
      <w:fldChar w:fldCharType="separate"/>
    </w:r>
    <w:r w:rsidR="000019FA">
      <w:rPr>
        <w:noProof/>
        <w:sz w:val="24"/>
      </w:rPr>
      <w:t>1</w:t>
    </w:r>
    <w:r w:rsidRPr="001D5B3D">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CA509" w14:textId="77777777" w:rsidR="007B00E0" w:rsidRPr="001D5B3D" w:rsidRDefault="007B00E0" w:rsidP="00EE7657">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FD165F0"/>
    <w:multiLevelType w:val="hybridMultilevel"/>
    <w:tmpl w:val="E43C7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7107C1F"/>
    <w:multiLevelType w:val="hybridMultilevel"/>
    <w:tmpl w:val="EBEEA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153214"/>
    <w:multiLevelType w:val="hybridMultilevel"/>
    <w:tmpl w:val="AD46C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6D0889"/>
    <w:multiLevelType w:val="hybridMultilevel"/>
    <w:tmpl w:val="37368EDC"/>
    <w:lvl w:ilvl="0" w:tplc="FFFFFFFF">
      <w:start w:val="1"/>
      <w:numFmt w:val="bullet"/>
      <w:lvlText w:val=""/>
      <w:lvlJc w:val="left"/>
      <w:pPr>
        <w:ind w:left="906" w:hanging="360"/>
      </w:pPr>
      <w:rPr>
        <w:rFonts w:ascii="Symbol" w:hAnsi="Symbol" w:hint="default"/>
      </w:rPr>
    </w:lvl>
    <w:lvl w:ilvl="1" w:tplc="0C090017">
      <w:start w:val="1"/>
      <w:numFmt w:val="lowerLetter"/>
      <w:lvlText w:val="%2)"/>
      <w:lvlJc w:val="left"/>
      <w:pPr>
        <w:ind w:left="1626" w:hanging="360"/>
      </w:pPr>
    </w:lvl>
    <w:lvl w:ilvl="2" w:tplc="FFFFFFFF" w:tentative="1">
      <w:start w:val="1"/>
      <w:numFmt w:val="bullet"/>
      <w:lvlText w:val=""/>
      <w:lvlJc w:val="left"/>
      <w:pPr>
        <w:ind w:left="2346" w:hanging="360"/>
      </w:pPr>
      <w:rPr>
        <w:rFonts w:ascii="Wingdings" w:hAnsi="Wingdings" w:hint="default"/>
      </w:rPr>
    </w:lvl>
    <w:lvl w:ilvl="3" w:tplc="FFFFFFFF" w:tentative="1">
      <w:start w:val="1"/>
      <w:numFmt w:val="bullet"/>
      <w:lvlText w:val=""/>
      <w:lvlJc w:val="left"/>
      <w:pPr>
        <w:ind w:left="3066" w:hanging="360"/>
      </w:pPr>
      <w:rPr>
        <w:rFonts w:ascii="Symbol" w:hAnsi="Symbol" w:hint="default"/>
      </w:rPr>
    </w:lvl>
    <w:lvl w:ilvl="4" w:tplc="FFFFFFFF" w:tentative="1">
      <w:start w:val="1"/>
      <w:numFmt w:val="bullet"/>
      <w:lvlText w:val="o"/>
      <w:lvlJc w:val="left"/>
      <w:pPr>
        <w:ind w:left="3786" w:hanging="360"/>
      </w:pPr>
      <w:rPr>
        <w:rFonts w:ascii="Courier New" w:hAnsi="Courier New" w:cs="Courier New" w:hint="default"/>
      </w:rPr>
    </w:lvl>
    <w:lvl w:ilvl="5" w:tplc="FFFFFFFF" w:tentative="1">
      <w:start w:val="1"/>
      <w:numFmt w:val="bullet"/>
      <w:lvlText w:val=""/>
      <w:lvlJc w:val="left"/>
      <w:pPr>
        <w:ind w:left="4506" w:hanging="360"/>
      </w:pPr>
      <w:rPr>
        <w:rFonts w:ascii="Wingdings" w:hAnsi="Wingdings" w:hint="default"/>
      </w:rPr>
    </w:lvl>
    <w:lvl w:ilvl="6" w:tplc="FFFFFFFF" w:tentative="1">
      <w:start w:val="1"/>
      <w:numFmt w:val="bullet"/>
      <w:lvlText w:val=""/>
      <w:lvlJc w:val="left"/>
      <w:pPr>
        <w:ind w:left="5226" w:hanging="360"/>
      </w:pPr>
      <w:rPr>
        <w:rFonts w:ascii="Symbol" w:hAnsi="Symbol" w:hint="default"/>
      </w:rPr>
    </w:lvl>
    <w:lvl w:ilvl="7" w:tplc="FFFFFFFF" w:tentative="1">
      <w:start w:val="1"/>
      <w:numFmt w:val="bullet"/>
      <w:lvlText w:val="o"/>
      <w:lvlJc w:val="left"/>
      <w:pPr>
        <w:ind w:left="5946" w:hanging="360"/>
      </w:pPr>
      <w:rPr>
        <w:rFonts w:ascii="Courier New" w:hAnsi="Courier New" w:cs="Courier New" w:hint="default"/>
      </w:rPr>
    </w:lvl>
    <w:lvl w:ilvl="8" w:tplc="FFFFFFFF" w:tentative="1">
      <w:start w:val="1"/>
      <w:numFmt w:val="bullet"/>
      <w:lvlText w:val=""/>
      <w:lvlJc w:val="left"/>
      <w:pPr>
        <w:ind w:left="666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6"/>
  </w:num>
  <w:num w:numId="19">
    <w:abstractNumId w:val="15"/>
  </w:num>
  <w:num w:numId="20">
    <w:abstractNumId w:val="21"/>
  </w:num>
  <w:num w:numId="21">
    <w:abstractNumId w:val="19"/>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0E"/>
    <w:rsid w:val="000019FA"/>
    <w:rsid w:val="000023C3"/>
    <w:rsid w:val="00003022"/>
    <w:rsid w:val="0000338C"/>
    <w:rsid w:val="00004470"/>
    <w:rsid w:val="0000529A"/>
    <w:rsid w:val="000136AF"/>
    <w:rsid w:val="00015B81"/>
    <w:rsid w:val="00020109"/>
    <w:rsid w:val="00021970"/>
    <w:rsid w:val="00026282"/>
    <w:rsid w:val="00027812"/>
    <w:rsid w:val="000334E2"/>
    <w:rsid w:val="00034603"/>
    <w:rsid w:val="0003625C"/>
    <w:rsid w:val="00036AC5"/>
    <w:rsid w:val="00040D62"/>
    <w:rsid w:val="00042466"/>
    <w:rsid w:val="00042AE8"/>
    <w:rsid w:val="000436F9"/>
    <w:rsid w:val="000437C1"/>
    <w:rsid w:val="00043833"/>
    <w:rsid w:val="00047D2B"/>
    <w:rsid w:val="00051151"/>
    <w:rsid w:val="00051575"/>
    <w:rsid w:val="0005365D"/>
    <w:rsid w:val="00053CF1"/>
    <w:rsid w:val="000545A9"/>
    <w:rsid w:val="000558BD"/>
    <w:rsid w:val="0005796F"/>
    <w:rsid w:val="000614BF"/>
    <w:rsid w:val="00061BD3"/>
    <w:rsid w:val="000627A8"/>
    <w:rsid w:val="00065778"/>
    <w:rsid w:val="00065CD4"/>
    <w:rsid w:val="000705E7"/>
    <w:rsid w:val="00075B29"/>
    <w:rsid w:val="00075E3C"/>
    <w:rsid w:val="0008263F"/>
    <w:rsid w:val="000831CA"/>
    <w:rsid w:val="00086D34"/>
    <w:rsid w:val="00092425"/>
    <w:rsid w:val="00092DB0"/>
    <w:rsid w:val="00095FA0"/>
    <w:rsid w:val="00096840"/>
    <w:rsid w:val="0009690F"/>
    <w:rsid w:val="000A2B3E"/>
    <w:rsid w:val="000B3EFA"/>
    <w:rsid w:val="000B58FA"/>
    <w:rsid w:val="000B654F"/>
    <w:rsid w:val="000B7384"/>
    <w:rsid w:val="000B7E30"/>
    <w:rsid w:val="000C1A89"/>
    <w:rsid w:val="000C2401"/>
    <w:rsid w:val="000C690A"/>
    <w:rsid w:val="000D05EF"/>
    <w:rsid w:val="000D1B83"/>
    <w:rsid w:val="000D5B9D"/>
    <w:rsid w:val="000D5FCD"/>
    <w:rsid w:val="000E2261"/>
    <w:rsid w:val="000E542E"/>
    <w:rsid w:val="000E59AD"/>
    <w:rsid w:val="000F21C1"/>
    <w:rsid w:val="000F330F"/>
    <w:rsid w:val="000F333D"/>
    <w:rsid w:val="000F334B"/>
    <w:rsid w:val="00100A47"/>
    <w:rsid w:val="00100DD4"/>
    <w:rsid w:val="00102322"/>
    <w:rsid w:val="001045B6"/>
    <w:rsid w:val="00104DB5"/>
    <w:rsid w:val="00106B1A"/>
    <w:rsid w:val="0010745C"/>
    <w:rsid w:val="00107881"/>
    <w:rsid w:val="00123251"/>
    <w:rsid w:val="00124C26"/>
    <w:rsid w:val="0013026F"/>
    <w:rsid w:val="00132CEB"/>
    <w:rsid w:val="00136784"/>
    <w:rsid w:val="00137122"/>
    <w:rsid w:val="00140F29"/>
    <w:rsid w:val="00142B62"/>
    <w:rsid w:val="00142FC6"/>
    <w:rsid w:val="00143AA4"/>
    <w:rsid w:val="0014539C"/>
    <w:rsid w:val="00152210"/>
    <w:rsid w:val="00153893"/>
    <w:rsid w:val="00154994"/>
    <w:rsid w:val="00157B8B"/>
    <w:rsid w:val="00166C2F"/>
    <w:rsid w:val="0017048D"/>
    <w:rsid w:val="001721AC"/>
    <w:rsid w:val="001769A7"/>
    <w:rsid w:val="00177EA0"/>
    <w:rsid w:val="001809D7"/>
    <w:rsid w:val="0018160A"/>
    <w:rsid w:val="00182760"/>
    <w:rsid w:val="0018293C"/>
    <w:rsid w:val="00184804"/>
    <w:rsid w:val="00184886"/>
    <w:rsid w:val="0018611E"/>
    <w:rsid w:val="00187458"/>
    <w:rsid w:val="00191478"/>
    <w:rsid w:val="00193635"/>
    <w:rsid w:val="001939E1"/>
    <w:rsid w:val="00194C3E"/>
    <w:rsid w:val="00195382"/>
    <w:rsid w:val="00195B69"/>
    <w:rsid w:val="001A1A8C"/>
    <w:rsid w:val="001A3737"/>
    <w:rsid w:val="001A6C46"/>
    <w:rsid w:val="001B24AA"/>
    <w:rsid w:val="001B3E07"/>
    <w:rsid w:val="001B4676"/>
    <w:rsid w:val="001B4B20"/>
    <w:rsid w:val="001B4E31"/>
    <w:rsid w:val="001B516C"/>
    <w:rsid w:val="001C3946"/>
    <w:rsid w:val="001C3C82"/>
    <w:rsid w:val="001C5C3C"/>
    <w:rsid w:val="001C61C5"/>
    <w:rsid w:val="001C69C4"/>
    <w:rsid w:val="001D0CAD"/>
    <w:rsid w:val="001D0EE7"/>
    <w:rsid w:val="001D0FDC"/>
    <w:rsid w:val="001D2B6E"/>
    <w:rsid w:val="001D37EF"/>
    <w:rsid w:val="001D5AA9"/>
    <w:rsid w:val="001D5B3D"/>
    <w:rsid w:val="001E0BB6"/>
    <w:rsid w:val="001E3590"/>
    <w:rsid w:val="001E4EB2"/>
    <w:rsid w:val="001E4F3D"/>
    <w:rsid w:val="001E56A5"/>
    <w:rsid w:val="001E7407"/>
    <w:rsid w:val="001F33ED"/>
    <w:rsid w:val="001F4BA3"/>
    <w:rsid w:val="001F59EE"/>
    <w:rsid w:val="001F5D5E"/>
    <w:rsid w:val="001F6219"/>
    <w:rsid w:val="001F66F7"/>
    <w:rsid w:val="001F6CD4"/>
    <w:rsid w:val="00205325"/>
    <w:rsid w:val="00206C4D"/>
    <w:rsid w:val="002100BB"/>
    <w:rsid w:val="0021053C"/>
    <w:rsid w:val="002117DA"/>
    <w:rsid w:val="0021412A"/>
    <w:rsid w:val="002150FD"/>
    <w:rsid w:val="00215AF1"/>
    <w:rsid w:val="0021765F"/>
    <w:rsid w:val="0022123E"/>
    <w:rsid w:val="00224189"/>
    <w:rsid w:val="00224D65"/>
    <w:rsid w:val="00225B2B"/>
    <w:rsid w:val="00226040"/>
    <w:rsid w:val="00226562"/>
    <w:rsid w:val="00230773"/>
    <w:rsid w:val="00232137"/>
    <w:rsid w:val="002321E8"/>
    <w:rsid w:val="00235F04"/>
    <w:rsid w:val="00236A5F"/>
    <w:rsid w:val="00236EEC"/>
    <w:rsid w:val="0024010F"/>
    <w:rsid w:val="00240749"/>
    <w:rsid w:val="002427E7"/>
    <w:rsid w:val="00243018"/>
    <w:rsid w:val="0024654B"/>
    <w:rsid w:val="0025543F"/>
    <w:rsid w:val="002564A4"/>
    <w:rsid w:val="00260CDB"/>
    <w:rsid w:val="0026157D"/>
    <w:rsid w:val="00263158"/>
    <w:rsid w:val="002635CE"/>
    <w:rsid w:val="0026736C"/>
    <w:rsid w:val="00270F77"/>
    <w:rsid w:val="0027153B"/>
    <w:rsid w:val="00271C9B"/>
    <w:rsid w:val="00277959"/>
    <w:rsid w:val="00277E29"/>
    <w:rsid w:val="00281308"/>
    <w:rsid w:val="002835A1"/>
    <w:rsid w:val="0028390E"/>
    <w:rsid w:val="00283C9E"/>
    <w:rsid w:val="00284249"/>
    <w:rsid w:val="0028466C"/>
    <w:rsid w:val="00284719"/>
    <w:rsid w:val="0028578F"/>
    <w:rsid w:val="00290EA6"/>
    <w:rsid w:val="002939EA"/>
    <w:rsid w:val="002954CC"/>
    <w:rsid w:val="00297ECB"/>
    <w:rsid w:val="002A12E5"/>
    <w:rsid w:val="002A4148"/>
    <w:rsid w:val="002A4705"/>
    <w:rsid w:val="002A5E24"/>
    <w:rsid w:val="002A5EC6"/>
    <w:rsid w:val="002A7BCF"/>
    <w:rsid w:val="002A7D7E"/>
    <w:rsid w:val="002B4500"/>
    <w:rsid w:val="002B5C11"/>
    <w:rsid w:val="002B7E86"/>
    <w:rsid w:val="002C0653"/>
    <w:rsid w:val="002C06B5"/>
    <w:rsid w:val="002C472D"/>
    <w:rsid w:val="002C4A40"/>
    <w:rsid w:val="002C5957"/>
    <w:rsid w:val="002D043A"/>
    <w:rsid w:val="002D5C86"/>
    <w:rsid w:val="002D6224"/>
    <w:rsid w:val="002E0625"/>
    <w:rsid w:val="002E200C"/>
    <w:rsid w:val="002E3F4B"/>
    <w:rsid w:val="002F0BB5"/>
    <w:rsid w:val="002F1C4B"/>
    <w:rsid w:val="002F1F36"/>
    <w:rsid w:val="002F5FC3"/>
    <w:rsid w:val="002F6067"/>
    <w:rsid w:val="002F746B"/>
    <w:rsid w:val="00300303"/>
    <w:rsid w:val="00300CFB"/>
    <w:rsid w:val="0030383A"/>
    <w:rsid w:val="00303BAA"/>
    <w:rsid w:val="00304F8B"/>
    <w:rsid w:val="00306186"/>
    <w:rsid w:val="003071A2"/>
    <w:rsid w:val="00311E13"/>
    <w:rsid w:val="00314B99"/>
    <w:rsid w:val="00316BD1"/>
    <w:rsid w:val="00316DA2"/>
    <w:rsid w:val="00317D3F"/>
    <w:rsid w:val="00320785"/>
    <w:rsid w:val="00320925"/>
    <w:rsid w:val="00326134"/>
    <w:rsid w:val="00327660"/>
    <w:rsid w:val="003354D2"/>
    <w:rsid w:val="0033582B"/>
    <w:rsid w:val="00335BC6"/>
    <w:rsid w:val="003371D6"/>
    <w:rsid w:val="0033770D"/>
    <w:rsid w:val="003415D3"/>
    <w:rsid w:val="00342679"/>
    <w:rsid w:val="00344659"/>
    <w:rsid w:val="00344701"/>
    <w:rsid w:val="00345D4A"/>
    <w:rsid w:val="00345E87"/>
    <w:rsid w:val="003468B0"/>
    <w:rsid w:val="00347278"/>
    <w:rsid w:val="00352556"/>
    <w:rsid w:val="00352B0F"/>
    <w:rsid w:val="00352BEF"/>
    <w:rsid w:val="00356690"/>
    <w:rsid w:val="00357716"/>
    <w:rsid w:val="00360459"/>
    <w:rsid w:val="00363302"/>
    <w:rsid w:val="003646DB"/>
    <w:rsid w:val="00364E80"/>
    <w:rsid w:val="003671BD"/>
    <w:rsid w:val="003705CF"/>
    <w:rsid w:val="00396983"/>
    <w:rsid w:val="00397D54"/>
    <w:rsid w:val="003A0259"/>
    <w:rsid w:val="003A2092"/>
    <w:rsid w:val="003A6B58"/>
    <w:rsid w:val="003A76B6"/>
    <w:rsid w:val="003B0684"/>
    <w:rsid w:val="003B242F"/>
    <w:rsid w:val="003B2477"/>
    <w:rsid w:val="003B2F91"/>
    <w:rsid w:val="003B3629"/>
    <w:rsid w:val="003B7476"/>
    <w:rsid w:val="003B77A7"/>
    <w:rsid w:val="003B7CD8"/>
    <w:rsid w:val="003C46EE"/>
    <w:rsid w:val="003C4D84"/>
    <w:rsid w:val="003C6231"/>
    <w:rsid w:val="003C6261"/>
    <w:rsid w:val="003C6FD5"/>
    <w:rsid w:val="003D0BFE"/>
    <w:rsid w:val="003D5700"/>
    <w:rsid w:val="003D797E"/>
    <w:rsid w:val="003E049A"/>
    <w:rsid w:val="003E1D59"/>
    <w:rsid w:val="003E341B"/>
    <w:rsid w:val="003E68D6"/>
    <w:rsid w:val="003F1515"/>
    <w:rsid w:val="003F30E9"/>
    <w:rsid w:val="003F59DB"/>
    <w:rsid w:val="004004B0"/>
    <w:rsid w:val="004004BD"/>
    <w:rsid w:val="0040428E"/>
    <w:rsid w:val="004076D8"/>
    <w:rsid w:val="004116CD"/>
    <w:rsid w:val="004126DF"/>
    <w:rsid w:val="004144EC"/>
    <w:rsid w:val="00417EB9"/>
    <w:rsid w:val="004203D3"/>
    <w:rsid w:val="00422406"/>
    <w:rsid w:val="00424CA9"/>
    <w:rsid w:val="00426E9C"/>
    <w:rsid w:val="0043047B"/>
    <w:rsid w:val="0043104C"/>
    <w:rsid w:val="00431E9B"/>
    <w:rsid w:val="00433AE7"/>
    <w:rsid w:val="004344B4"/>
    <w:rsid w:val="00435535"/>
    <w:rsid w:val="004355BA"/>
    <w:rsid w:val="004379E3"/>
    <w:rsid w:val="00437E5C"/>
    <w:rsid w:val="0044015E"/>
    <w:rsid w:val="00441487"/>
    <w:rsid w:val="0044291A"/>
    <w:rsid w:val="00444ABD"/>
    <w:rsid w:val="00446932"/>
    <w:rsid w:val="00451119"/>
    <w:rsid w:val="0045143A"/>
    <w:rsid w:val="0045172D"/>
    <w:rsid w:val="00461C81"/>
    <w:rsid w:val="00466F05"/>
    <w:rsid w:val="00467661"/>
    <w:rsid w:val="00470111"/>
    <w:rsid w:val="004705B7"/>
    <w:rsid w:val="0047157B"/>
    <w:rsid w:val="00472DBE"/>
    <w:rsid w:val="00474A19"/>
    <w:rsid w:val="00482126"/>
    <w:rsid w:val="00482B0D"/>
    <w:rsid w:val="0048450A"/>
    <w:rsid w:val="00484A6B"/>
    <w:rsid w:val="00490996"/>
    <w:rsid w:val="00494BD4"/>
    <w:rsid w:val="004950B7"/>
    <w:rsid w:val="00495A45"/>
    <w:rsid w:val="00496C83"/>
    <w:rsid w:val="00496F97"/>
    <w:rsid w:val="00497196"/>
    <w:rsid w:val="00497228"/>
    <w:rsid w:val="004A1C1F"/>
    <w:rsid w:val="004B396F"/>
    <w:rsid w:val="004B7D12"/>
    <w:rsid w:val="004C0805"/>
    <w:rsid w:val="004C166A"/>
    <w:rsid w:val="004C372E"/>
    <w:rsid w:val="004C3BFF"/>
    <w:rsid w:val="004C4DA2"/>
    <w:rsid w:val="004C6AE8"/>
    <w:rsid w:val="004D065C"/>
    <w:rsid w:val="004D2137"/>
    <w:rsid w:val="004D2EC4"/>
    <w:rsid w:val="004D3593"/>
    <w:rsid w:val="004D3B5B"/>
    <w:rsid w:val="004D73B8"/>
    <w:rsid w:val="004E063A"/>
    <w:rsid w:val="004E7BEC"/>
    <w:rsid w:val="004F53FA"/>
    <w:rsid w:val="004F5DC2"/>
    <w:rsid w:val="005037F2"/>
    <w:rsid w:val="0050400A"/>
    <w:rsid w:val="00505D3D"/>
    <w:rsid w:val="00506AF6"/>
    <w:rsid w:val="00507060"/>
    <w:rsid w:val="00510159"/>
    <w:rsid w:val="00516B8D"/>
    <w:rsid w:val="00521A74"/>
    <w:rsid w:val="005235C1"/>
    <w:rsid w:val="00526B76"/>
    <w:rsid w:val="00530AF2"/>
    <w:rsid w:val="00530F65"/>
    <w:rsid w:val="00534DE3"/>
    <w:rsid w:val="005350A5"/>
    <w:rsid w:val="00537FBC"/>
    <w:rsid w:val="005430EE"/>
    <w:rsid w:val="005457B1"/>
    <w:rsid w:val="0054730C"/>
    <w:rsid w:val="00552DBA"/>
    <w:rsid w:val="00554954"/>
    <w:rsid w:val="005574D1"/>
    <w:rsid w:val="005574DA"/>
    <w:rsid w:val="00557C4D"/>
    <w:rsid w:val="00560D8D"/>
    <w:rsid w:val="005623AC"/>
    <w:rsid w:val="0056241F"/>
    <w:rsid w:val="00565C3B"/>
    <w:rsid w:val="00572238"/>
    <w:rsid w:val="00576661"/>
    <w:rsid w:val="005809DC"/>
    <w:rsid w:val="005816B2"/>
    <w:rsid w:val="005826EF"/>
    <w:rsid w:val="00584811"/>
    <w:rsid w:val="00585784"/>
    <w:rsid w:val="005878BB"/>
    <w:rsid w:val="00592EDC"/>
    <w:rsid w:val="00593AA6"/>
    <w:rsid w:val="00594161"/>
    <w:rsid w:val="00594749"/>
    <w:rsid w:val="005963F9"/>
    <w:rsid w:val="005A2DA8"/>
    <w:rsid w:val="005B0323"/>
    <w:rsid w:val="005B09C3"/>
    <w:rsid w:val="005B1D09"/>
    <w:rsid w:val="005B2D99"/>
    <w:rsid w:val="005B4067"/>
    <w:rsid w:val="005B4CAD"/>
    <w:rsid w:val="005C1857"/>
    <w:rsid w:val="005C2194"/>
    <w:rsid w:val="005C3F41"/>
    <w:rsid w:val="005C5204"/>
    <w:rsid w:val="005C6531"/>
    <w:rsid w:val="005C6688"/>
    <w:rsid w:val="005C75F8"/>
    <w:rsid w:val="005D2D09"/>
    <w:rsid w:val="005D7FBC"/>
    <w:rsid w:val="005E58F5"/>
    <w:rsid w:val="005F0EAB"/>
    <w:rsid w:val="005F10D3"/>
    <w:rsid w:val="005F1578"/>
    <w:rsid w:val="005F2486"/>
    <w:rsid w:val="005F3134"/>
    <w:rsid w:val="005F6196"/>
    <w:rsid w:val="005F752E"/>
    <w:rsid w:val="005F7CCF"/>
    <w:rsid w:val="00600219"/>
    <w:rsid w:val="00603DC4"/>
    <w:rsid w:val="00604A23"/>
    <w:rsid w:val="006054AC"/>
    <w:rsid w:val="00605BF5"/>
    <w:rsid w:val="00606867"/>
    <w:rsid w:val="006111F0"/>
    <w:rsid w:val="00611BB1"/>
    <w:rsid w:val="00613485"/>
    <w:rsid w:val="00613FF5"/>
    <w:rsid w:val="00620076"/>
    <w:rsid w:val="00620106"/>
    <w:rsid w:val="0062180E"/>
    <w:rsid w:val="00622BD8"/>
    <w:rsid w:val="006235E9"/>
    <w:rsid w:val="00627FAB"/>
    <w:rsid w:val="0063050A"/>
    <w:rsid w:val="00633180"/>
    <w:rsid w:val="0063321F"/>
    <w:rsid w:val="0063636E"/>
    <w:rsid w:val="006452B5"/>
    <w:rsid w:val="00645731"/>
    <w:rsid w:val="006477B0"/>
    <w:rsid w:val="00650DFB"/>
    <w:rsid w:val="006516E6"/>
    <w:rsid w:val="00653FF7"/>
    <w:rsid w:val="0065560F"/>
    <w:rsid w:val="00657C77"/>
    <w:rsid w:val="00660607"/>
    <w:rsid w:val="00660BD5"/>
    <w:rsid w:val="006651FB"/>
    <w:rsid w:val="00670EA1"/>
    <w:rsid w:val="00675E60"/>
    <w:rsid w:val="00676DEB"/>
    <w:rsid w:val="00677CC2"/>
    <w:rsid w:val="00680578"/>
    <w:rsid w:val="00680C80"/>
    <w:rsid w:val="006837B2"/>
    <w:rsid w:val="00684A94"/>
    <w:rsid w:val="006905DE"/>
    <w:rsid w:val="00691E67"/>
    <w:rsid w:val="0069207B"/>
    <w:rsid w:val="00692F87"/>
    <w:rsid w:val="006939E9"/>
    <w:rsid w:val="006944A8"/>
    <w:rsid w:val="00694E2C"/>
    <w:rsid w:val="0069554E"/>
    <w:rsid w:val="006A02DC"/>
    <w:rsid w:val="006A3B39"/>
    <w:rsid w:val="006A42A4"/>
    <w:rsid w:val="006A434C"/>
    <w:rsid w:val="006A68CC"/>
    <w:rsid w:val="006A69ED"/>
    <w:rsid w:val="006B1D80"/>
    <w:rsid w:val="006B2CAE"/>
    <w:rsid w:val="006B4248"/>
    <w:rsid w:val="006B5789"/>
    <w:rsid w:val="006C30C5"/>
    <w:rsid w:val="006C3478"/>
    <w:rsid w:val="006C5078"/>
    <w:rsid w:val="006C6D91"/>
    <w:rsid w:val="006C763F"/>
    <w:rsid w:val="006C7F8C"/>
    <w:rsid w:val="006D43F4"/>
    <w:rsid w:val="006E3FE4"/>
    <w:rsid w:val="006E6246"/>
    <w:rsid w:val="006E6973"/>
    <w:rsid w:val="006E6D9C"/>
    <w:rsid w:val="006E7C55"/>
    <w:rsid w:val="006F049C"/>
    <w:rsid w:val="006F04B9"/>
    <w:rsid w:val="006F2A75"/>
    <w:rsid w:val="006F318F"/>
    <w:rsid w:val="006F3925"/>
    <w:rsid w:val="006F4226"/>
    <w:rsid w:val="006F51E9"/>
    <w:rsid w:val="006F53ED"/>
    <w:rsid w:val="0070017E"/>
    <w:rsid w:val="00700196"/>
    <w:rsid w:val="00700284"/>
    <w:rsid w:val="00700B2C"/>
    <w:rsid w:val="007012A7"/>
    <w:rsid w:val="00701E36"/>
    <w:rsid w:val="00703C33"/>
    <w:rsid w:val="00703E0E"/>
    <w:rsid w:val="007050A2"/>
    <w:rsid w:val="0070526D"/>
    <w:rsid w:val="00710534"/>
    <w:rsid w:val="00713084"/>
    <w:rsid w:val="00714641"/>
    <w:rsid w:val="00714C4F"/>
    <w:rsid w:val="00714F20"/>
    <w:rsid w:val="0071590F"/>
    <w:rsid w:val="00715914"/>
    <w:rsid w:val="007232D3"/>
    <w:rsid w:val="007239A2"/>
    <w:rsid w:val="00725423"/>
    <w:rsid w:val="00731D3E"/>
    <w:rsid w:val="00731E00"/>
    <w:rsid w:val="007333E9"/>
    <w:rsid w:val="00734E27"/>
    <w:rsid w:val="00736A50"/>
    <w:rsid w:val="00740556"/>
    <w:rsid w:val="007440B7"/>
    <w:rsid w:val="007467AA"/>
    <w:rsid w:val="007500C8"/>
    <w:rsid w:val="0075284D"/>
    <w:rsid w:val="00752FE3"/>
    <w:rsid w:val="00756272"/>
    <w:rsid w:val="00760676"/>
    <w:rsid w:val="00760B44"/>
    <w:rsid w:val="007627DB"/>
    <w:rsid w:val="00765196"/>
    <w:rsid w:val="00765AAB"/>
    <w:rsid w:val="0076681A"/>
    <w:rsid w:val="00767622"/>
    <w:rsid w:val="007715C9"/>
    <w:rsid w:val="00771613"/>
    <w:rsid w:val="00772BDC"/>
    <w:rsid w:val="00774EDD"/>
    <w:rsid w:val="007757EC"/>
    <w:rsid w:val="00775D26"/>
    <w:rsid w:val="007813F0"/>
    <w:rsid w:val="00783CA8"/>
    <w:rsid w:val="00783E89"/>
    <w:rsid w:val="00793915"/>
    <w:rsid w:val="0079713F"/>
    <w:rsid w:val="007A3A40"/>
    <w:rsid w:val="007A3FB7"/>
    <w:rsid w:val="007A4FCF"/>
    <w:rsid w:val="007A5B70"/>
    <w:rsid w:val="007B00E0"/>
    <w:rsid w:val="007B01EF"/>
    <w:rsid w:val="007B0B1C"/>
    <w:rsid w:val="007B2BC3"/>
    <w:rsid w:val="007B36BE"/>
    <w:rsid w:val="007B3E6D"/>
    <w:rsid w:val="007B42D0"/>
    <w:rsid w:val="007C2253"/>
    <w:rsid w:val="007C4E32"/>
    <w:rsid w:val="007C5A29"/>
    <w:rsid w:val="007D0F72"/>
    <w:rsid w:val="007D53D5"/>
    <w:rsid w:val="007D5A63"/>
    <w:rsid w:val="007D7B81"/>
    <w:rsid w:val="007E0EC1"/>
    <w:rsid w:val="007E163D"/>
    <w:rsid w:val="007E18AF"/>
    <w:rsid w:val="007E5F45"/>
    <w:rsid w:val="007E667A"/>
    <w:rsid w:val="007F0D40"/>
    <w:rsid w:val="007F28C9"/>
    <w:rsid w:val="007F4292"/>
    <w:rsid w:val="007F652B"/>
    <w:rsid w:val="00803587"/>
    <w:rsid w:val="008039B3"/>
    <w:rsid w:val="00805D15"/>
    <w:rsid w:val="00807626"/>
    <w:rsid w:val="008117E9"/>
    <w:rsid w:val="008234A3"/>
    <w:rsid w:val="00824498"/>
    <w:rsid w:val="008246AC"/>
    <w:rsid w:val="0083007F"/>
    <w:rsid w:val="00832738"/>
    <w:rsid w:val="008364CA"/>
    <w:rsid w:val="0083660B"/>
    <w:rsid w:val="00837532"/>
    <w:rsid w:val="00843308"/>
    <w:rsid w:val="0084757F"/>
    <w:rsid w:val="00852702"/>
    <w:rsid w:val="0085380C"/>
    <w:rsid w:val="00856A31"/>
    <w:rsid w:val="00861CF8"/>
    <w:rsid w:val="00864B24"/>
    <w:rsid w:val="00867B37"/>
    <w:rsid w:val="008700D5"/>
    <w:rsid w:val="0087381B"/>
    <w:rsid w:val="008754D0"/>
    <w:rsid w:val="008770C8"/>
    <w:rsid w:val="00884617"/>
    <w:rsid w:val="008855C9"/>
    <w:rsid w:val="00886456"/>
    <w:rsid w:val="00893A01"/>
    <w:rsid w:val="0089424E"/>
    <w:rsid w:val="00894C2D"/>
    <w:rsid w:val="0089716C"/>
    <w:rsid w:val="008A1B83"/>
    <w:rsid w:val="008A240C"/>
    <w:rsid w:val="008A466D"/>
    <w:rsid w:val="008A46E1"/>
    <w:rsid w:val="008A4F43"/>
    <w:rsid w:val="008B2706"/>
    <w:rsid w:val="008B2E52"/>
    <w:rsid w:val="008B2E77"/>
    <w:rsid w:val="008B5773"/>
    <w:rsid w:val="008B70E7"/>
    <w:rsid w:val="008B72C0"/>
    <w:rsid w:val="008D024D"/>
    <w:rsid w:val="008D0EE0"/>
    <w:rsid w:val="008D5091"/>
    <w:rsid w:val="008D547C"/>
    <w:rsid w:val="008D5B7E"/>
    <w:rsid w:val="008D71C9"/>
    <w:rsid w:val="008E1873"/>
    <w:rsid w:val="008E2B5B"/>
    <w:rsid w:val="008E4889"/>
    <w:rsid w:val="008E6067"/>
    <w:rsid w:val="008E68A5"/>
    <w:rsid w:val="008F269E"/>
    <w:rsid w:val="008F319D"/>
    <w:rsid w:val="008F54E7"/>
    <w:rsid w:val="008F7F9D"/>
    <w:rsid w:val="00903422"/>
    <w:rsid w:val="00903AFC"/>
    <w:rsid w:val="0090460B"/>
    <w:rsid w:val="00905402"/>
    <w:rsid w:val="0090746E"/>
    <w:rsid w:val="00907BF4"/>
    <w:rsid w:val="00907D65"/>
    <w:rsid w:val="00913DA1"/>
    <w:rsid w:val="0091570E"/>
    <w:rsid w:val="00915DF9"/>
    <w:rsid w:val="00924E7B"/>
    <w:rsid w:val="009254C3"/>
    <w:rsid w:val="00926757"/>
    <w:rsid w:val="00926917"/>
    <w:rsid w:val="009273E0"/>
    <w:rsid w:val="00932377"/>
    <w:rsid w:val="00934140"/>
    <w:rsid w:val="00937C13"/>
    <w:rsid w:val="00946402"/>
    <w:rsid w:val="009464DB"/>
    <w:rsid w:val="00947307"/>
    <w:rsid w:val="00947D5A"/>
    <w:rsid w:val="00950513"/>
    <w:rsid w:val="009532A5"/>
    <w:rsid w:val="00953A4C"/>
    <w:rsid w:val="00956521"/>
    <w:rsid w:val="009624C0"/>
    <w:rsid w:val="00966E87"/>
    <w:rsid w:val="00970413"/>
    <w:rsid w:val="0097109D"/>
    <w:rsid w:val="009719E6"/>
    <w:rsid w:val="009728E8"/>
    <w:rsid w:val="00973EC8"/>
    <w:rsid w:val="0097487D"/>
    <w:rsid w:val="00982242"/>
    <w:rsid w:val="009868E9"/>
    <w:rsid w:val="00986F3E"/>
    <w:rsid w:val="00987E94"/>
    <w:rsid w:val="00994849"/>
    <w:rsid w:val="009B4758"/>
    <w:rsid w:val="009B5AB3"/>
    <w:rsid w:val="009C63D6"/>
    <w:rsid w:val="009C640D"/>
    <w:rsid w:val="009D4948"/>
    <w:rsid w:val="009D7913"/>
    <w:rsid w:val="009E1604"/>
    <w:rsid w:val="009E4D71"/>
    <w:rsid w:val="009E5CFC"/>
    <w:rsid w:val="009F466A"/>
    <w:rsid w:val="009F7B86"/>
    <w:rsid w:val="00A04312"/>
    <w:rsid w:val="00A057A1"/>
    <w:rsid w:val="00A059A1"/>
    <w:rsid w:val="00A06914"/>
    <w:rsid w:val="00A079CB"/>
    <w:rsid w:val="00A113B2"/>
    <w:rsid w:val="00A119FB"/>
    <w:rsid w:val="00A12128"/>
    <w:rsid w:val="00A1298A"/>
    <w:rsid w:val="00A16776"/>
    <w:rsid w:val="00A20625"/>
    <w:rsid w:val="00A22C98"/>
    <w:rsid w:val="00A231E2"/>
    <w:rsid w:val="00A23219"/>
    <w:rsid w:val="00A25E10"/>
    <w:rsid w:val="00A27282"/>
    <w:rsid w:val="00A27D67"/>
    <w:rsid w:val="00A30E7B"/>
    <w:rsid w:val="00A334AE"/>
    <w:rsid w:val="00A35E24"/>
    <w:rsid w:val="00A374C1"/>
    <w:rsid w:val="00A42993"/>
    <w:rsid w:val="00A50E0E"/>
    <w:rsid w:val="00A51EFD"/>
    <w:rsid w:val="00A52DB6"/>
    <w:rsid w:val="00A56690"/>
    <w:rsid w:val="00A6049F"/>
    <w:rsid w:val="00A64912"/>
    <w:rsid w:val="00A65038"/>
    <w:rsid w:val="00A70587"/>
    <w:rsid w:val="00A70A74"/>
    <w:rsid w:val="00A84630"/>
    <w:rsid w:val="00A869BA"/>
    <w:rsid w:val="00A86BE5"/>
    <w:rsid w:val="00A9302C"/>
    <w:rsid w:val="00A97ED1"/>
    <w:rsid w:val="00AA1BF5"/>
    <w:rsid w:val="00AA500C"/>
    <w:rsid w:val="00AB0682"/>
    <w:rsid w:val="00AB18F8"/>
    <w:rsid w:val="00AB585A"/>
    <w:rsid w:val="00AB6600"/>
    <w:rsid w:val="00AB690D"/>
    <w:rsid w:val="00AB6A1C"/>
    <w:rsid w:val="00AB7278"/>
    <w:rsid w:val="00AC21FF"/>
    <w:rsid w:val="00AC24A9"/>
    <w:rsid w:val="00AC4D4A"/>
    <w:rsid w:val="00AC7212"/>
    <w:rsid w:val="00AD3C23"/>
    <w:rsid w:val="00AD5641"/>
    <w:rsid w:val="00AD7889"/>
    <w:rsid w:val="00AD7D5E"/>
    <w:rsid w:val="00AE200B"/>
    <w:rsid w:val="00AE3652"/>
    <w:rsid w:val="00AE5745"/>
    <w:rsid w:val="00AE5D92"/>
    <w:rsid w:val="00AE6F64"/>
    <w:rsid w:val="00AF021B"/>
    <w:rsid w:val="00AF06CF"/>
    <w:rsid w:val="00AF244E"/>
    <w:rsid w:val="00B05CF4"/>
    <w:rsid w:val="00B069EE"/>
    <w:rsid w:val="00B07CDB"/>
    <w:rsid w:val="00B11108"/>
    <w:rsid w:val="00B11826"/>
    <w:rsid w:val="00B11CF9"/>
    <w:rsid w:val="00B12AA6"/>
    <w:rsid w:val="00B15192"/>
    <w:rsid w:val="00B15998"/>
    <w:rsid w:val="00B16A31"/>
    <w:rsid w:val="00B17DFD"/>
    <w:rsid w:val="00B212E5"/>
    <w:rsid w:val="00B21EDF"/>
    <w:rsid w:val="00B257AC"/>
    <w:rsid w:val="00B26D88"/>
    <w:rsid w:val="00B308FE"/>
    <w:rsid w:val="00B31A2E"/>
    <w:rsid w:val="00B32032"/>
    <w:rsid w:val="00B33709"/>
    <w:rsid w:val="00B33B3C"/>
    <w:rsid w:val="00B40723"/>
    <w:rsid w:val="00B42A02"/>
    <w:rsid w:val="00B4341D"/>
    <w:rsid w:val="00B44551"/>
    <w:rsid w:val="00B50ADC"/>
    <w:rsid w:val="00B50E97"/>
    <w:rsid w:val="00B52E63"/>
    <w:rsid w:val="00B54864"/>
    <w:rsid w:val="00B566B1"/>
    <w:rsid w:val="00B613C8"/>
    <w:rsid w:val="00B63047"/>
    <w:rsid w:val="00B63834"/>
    <w:rsid w:val="00B63D48"/>
    <w:rsid w:val="00B64EE1"/>
    <w:rsid w:val="00B65F8A"/>
    <w:rsid w:val="00B6730F"/>
    <w:rsid w:val="00B72734"/>
    <w:rsid w:val="00B7366E"/>
    <w:rsid w:val="00B757F1"/>
    <w:rsid w:val="00B80199"/>
    <w:rsid w:val="00B80BF5"/>
    <w:rsid w:val="00B83204"/>
    <w:rsid w:val="00B84217"/>
    <w:rsid w:val="00B91016"/>
    <w:rsid w:val="00B92ABB"/>
    <w:rsid w:val="00B962BB"/>
    <w:rsid w:val="00B96FAB"/>
    <w:rsid w:val="00B9798C"/>
    <w:rsid w:val="00BA06D7"/>
    <w:rsid w:val="00BA0C87"/>
    <w:rsid w:val="00BA1634"/>
    <w:rsid w:val="00BA220B"/>
    <w:rsid w:val="00BA3A57"/>
    <w:rsid w:val="00BA691F"/>
    <w:rsid w:val="00BA6941"/>
    <w:rsid w:val="00BA7A37"/>
    <w:rsid w:val="00BB351A"/>
    <w:rsid w:val="00BB4E1A"/>
    <w:rsid w:val="00BC015E"/>
    <w:rsid w:val="00BC0D9B"/>
    <w:rsid w:val="00BC49AD"/>
    <w:rsid w:val="00BC76AC"/>
    <w:rsid w:val="00BD06F2"/>
    <w:rsid w:val="00BD0ECB"/>
    <w:rsid w:val="00BD26EA"/>
    <w:rsid w:val="00BD2CC6"/>
    <w:rsid w:val="00BD5779"/>
    <w:rsid w:val="00BD6299"/>
    <w:rsid w:val="00BD7390"/>
    <w:rsid w:val="00BE2155"/>
    <w:rsid w:val="00BE2213"/>
    <w:rsid w:val="00BE400C"/>
    <w:rsid w:val="00BE48B0"/>
    <w:rsid w:val="00BE63D5"/>
    <w:rsid w:val="00BE6DBF"/>
    <w:rsid w:val="00BE719A"/>
    <w:rsid w:val="00BE720A"/>
    <w:rsid w:val="00BF0C03"/>
    <w:rsid w:val="00BF0D73"/>
    <w:rsid w:val="00BF1804"/>
    <w:rsid w:val="00BF2017"/>
    <w:rsid w:val="00BF2465"/>
    <w:rsid w:val="00BF46A3"/>
    <w:rsid w:val="00BF48F6"/>
    <w:rsid w:val="00BF6B9C"/>
    <w:rsid w:val="00BF6D31"/>
    <w:rsid w:val="00C002BF"/>
    <w:rsid w:val="00C03926"/>
    <w:rsid w:val="00C045B8"/>
    <w:rsid w:val="00C0656A"/>
    <w:rsid w:val="00C11376"/>
    <w:rsid w:val="00C12CA7"/>
    <w:rsid w:val="00C161BC"/>
    <w:rsid w:val="00C21132"/>
    <w:rsid w:val="00C229CB"/>
    <w:rsid w:val="00C2572E"/>
    <w:rsid w:val="00C25E7F"/>
    <w:rsid w:val="00C26D33"/>
    <w:rsid w:val="00C2746F"/>
    <w:rsid w:val="00C277CE"/>
    <w:rsid w:val="00C324A0"/>
    <w:rsid w:val="00C3300F"/>
    <w:rsid w:val="00C337D7"/>
    <w:rsid w:val="00C36519"/>
    <w:rsid w:val="00C37199"/>
    <w:rsid w:val="00C42BF8"/>
    <w:rsid w:val="00C43D0D"/>
    <w:rsid w:val="00C450E4"/>
    <w:rsid w:val="00C4515A"/>
    <w:rsid w:val="00C452E3"/>
    <w:rsid w:val="00C46CED"/>
    <w:rsid w:val="00C47AE2"/>
    <w:rsid w:val="00C50043"/>
    <w:rsid w:val="00C53859"/>
    <w:rsid w:val="00C559DA"/>
    <w:rsid w:val="00C57AEF"/>
    <w:rsid w:val="00C6228D"/>
    <w:rsid w:val="00C641B2"/>
    <w:rsid w:val="00C671A1"/>
    <w:rsid w:val="00C71B56"/>
    <w:rsid w:val="00C71FF3"/>
    <w:rsid w:val="00C7573B"/>
    <w:rsid w:val="00C75773"/>
    <w:rsid w:val="00C8086D"/>
    <w:rsid w:val="00C9182B"/>
    <w:rsid w:val="00C92FBD"/>
    <w:rsid w:val="00C93C03"/>
    <w:rsid w:val="00C96DE6"/>
    <w:rsid w:val="00C970E2"/>
    <w:rsid w:val="00CA27C5"/>
    <w:rsid w:val="00CA3B59"/>
    <w:rsid w:val="00CB04E4"/>
    <w:rsid w:val="00CB1CD1"/>
    <w:rsid w:val="00CB2C8E"/>
    <w:rsid w:val="00CB5254"/>
    <w:rsid w:val="00CB602E"/>
    <w:rsid w:val="00CB6901"/>
    <w:rsid w:val="00CC0A11"/>
    <w:rsid w:val="00CC219C"/>
    <w:rsid w:val="00CC743F"/>
    <w:rsid w:val="00CD77B4"/>
    <w:rsid w:val="00CE051D"/>
    <w:rsid w:val="00CE1335"/>
    <w:rsid w:val="00CE2CEF"/>
    <w:rsid w:val="00CE493D"/>
    <w:rsid w:val="00CE56E9"/>
    <w:rsid w:val="00CF07FA"/>
    <w:rsid w:val="00CF0BB2"/>
    <w:rsid w:val="00CF3EE8"/>
    <w:rsid w:val="00CF4F15"/>
    <w:rsid w:val="00D050E6"/>
    <w:rsid w:val="00D10606"/>
    <w:rsid w:val="00D116EE"/>
    <w:rsid w:val="00D13441"/>
    <w:rsid w:val="00D150E7"/>
    <w:rsid w:val="00D16095"/>
    <w:rsid w:val="00D17C5D"/>
    <w:rsid w:val="00D25E97"/>
    <w:rsid w:val="00D26177"/>
    <w:rsid w:val="00D26FA4"/>
    <w:rsid w:val="00D30213"/>
    <w:rsid w:val="00D3289B"/>
    <w:rsid w:val="00D32F65"/>
    <w:rsid w:val="00D347B4"/>
    <w:rsid w:val="00D34ABF"/>
    <w:rsid w:val="00D351A2"/>
    <w:rsid w:val="00D35977"/>
    <w:rsid w:val="00D36959"/>
    <w:rsid w:val="00D410BA"/>
    <w:rsid w:val="00D42840"/>
    <w:rsid w:val="00D455A8"/>
    <w:rsid w:val="00D52DC2"/>
    <w:rsid w:val="00D53100"/>
    <w:rsid w:val="00D53BCC"/>
    <w:rsid w:val="00D53EDB"/>
    <w:rsid w:val="00D54D80"/>
    <w:rsid w:val="00D559EA"/>
    <w:rsid w:val="00D56556"/>
    <w:rsid w:val="00D57ACB"/>
    <w:rsid w:val="00D6167E"/>
    <w:rsid w:val="00D61720"/>
    <w:rsid w:val="00D67AFE"/>
    <w:rsid w:val="00D67E8A"/>
    <w:rsid w:val="00D70DFB"/>
    <w:rsid w:val="00D744C5"/>
    <w:rsid w:val="00D766DF"/>
    <w:rsid w:val="00D7792E"/>
    <w:rsid w:val="00D80324"/>
    <w:rsid w:val="00D808F9"/>
    <w:rsid w:val="00D80DC9"/>
    <w:rsid w:val="00D822EF"/>
    <w:rsid w:val="00D83788"/>
    <w:rsid w:val="00D8687F"/>
    <w:rsid w:val="00D912F5"/>
    <w:rsid w:val="00D927A7"/>
    <w:rsid w:val="00D952F1"/>
    <w:rsid w:val="00D979AA"/>
    <w:rsid w:val="00DA163D"/>
    <w:rsid w:val="00DA186E"/>
    <w:rsid w:val="00DA4116"/>
    <w:rsid w:val="00DB251C"/>
    <w:rsid w:val="00DB4630"/>
    <w:rsid w:val="00DC09DE"/>
    <w:rsid w:val="00DC0DC4"/>
    <w:rsid w:val="00DC4F88"/>
    <w:rsid w:val="00DC5687"/>
    <w:rsid w:val="00DC58CF"/>
    <w:rsid w:val="00DD56E6"/>
    <w:rsid w:val="00DD77F1"/>
    <w:rsid w:val="00DE0332"/>
    <w:rsid w:val="00DE3C76"/>
    <w:rsid w:val="00DE5933"/>
    <w:rsid w:val="00DE69AD"/>
    <w:rsid w:val="00DE7478"/>
    <w:rsid w:val="00DF0334"/>
    <w:rsid w:val="00DF0FB4"/>
    <w:rsid w:val="00DF386E"/>
    <w:rsid w:val="00DF5D84"/>
    <w:rsid w:val="00E034A0"/>
    <w:rsid w:val="00E05704"/>
    <w:rsid w:val="00E05779"/>
    <w:rsid w:val="00E0608D"/>
    <w:rsid w:val="00E11E44"/>
    <w:rsid w:val="00E13767"/>
    <w:rsid w:val="00E14C55"/>
    <w:rsid w:val="00E201EE"/>
    <w:rsid w:val="00E235CF"/>
    <w:rsid w:val="00E24C1A"/>
    <w:rsid w:val="00E2529A"/>
    <w:rsid w:val="00E25507"/>
    <w:rsid w:val="00E26786"/>
    <w:rsid w:val="00E3270E"/>
    <w:rsid w:val="00E338EF"/>
    <w:rsid w:val="00E340E4"/>
    <w:rsid w:val="00E35A6D"/>
    <w:rsid w:val="00E44782"/>
    <w:rsid w:val="00E46953"/>
    <w:rsid w:val="00E4766D"/>
    <w:rsid w:val="00E47E5C"/>
    <w:rsid w:val="00E52B47"/>
    <w:rsid w:val="00E544BB"/>
    <w:rsid w:val="00E56C1C"/>
    <w:rsid w:val="00E5787C"/>
    <w:rsid w:val="00E602A6"/>
    <w:rsid w:val="00E610C0"/>
    <w:rsid w:val="00E64153"/>
    <w:rsid w:val="00E662CB"/>
    <w:rsid w:val="00E7472A"/>
    <w:rsid w:val="00E74DC7"/>
    <w:rsid w:val="00E75550"/>
    <w:rsid w:val="00E76806"/>
    <w:rsid w:val="00E8075A"/>
    <w:rsid w:val="00E80EB8"/>
    <w:rsid w:val="00E81DFF"/>
    <w:rsid w:val="00E87080"/>
    <w:rsid w:val="00E94D5E"/>
    <w:rsid w:val="00E9698A"/>
    <w:rsid w:val="00EA7100"/>
    <w:rsid w:val="00EA7F9F"/>
    <w:rsid w:val="00EB0508"/>
    <w:rsid w:val="00EB1274"/>
    <w:rsid w:val="00EB67FE"/>
    <w:rsid w:val="00EB6AD0"/>
    <w:rsid w:val="00EC1DC6"/>
    <w:rsid w:val="00EC4EEC"/>
    <w:rsid w:val="00EC5AA5"/>
    <w:rsid w:val="00EC6F8E"/>
    <w:rsid w:val="00ED02B5"/>
    <w:rsid w:val="00ED0427"/>
    <w:rsid w:val="00ED1D8D"/>
    <w:rsid w:val="00ED2BB6"/>
    <w:rsid w:val="00ED304E"/>
    <w:rsid w:val="00ED34E1"/>
    <w:rsid w:val="00ED3B8D"/>
    <w:rsid w:val="00ED4A8E"/>
    <w:rsid w:val="00ED659C"/>
    <w:rsid w:val="00EE03E9"/>
    <w:rsid w:val="00EE1881"/>
    <w:rsid w:val="00EE2B79"/>
    <w:rsid w:val="00EE7657"/>
    <w:rsid w:val="00EF2E3A"/>
    <w:rsid w:val="00EF437A"/>
    <w:rsid w:val="00F00FB1"/>
    <w:rsid w:val="00F0274F"/>
    <w:rsid w:val="00F072A7"/>
    <w:rsid w:val="00F078DC"/>
    <w:rsid w:val="00F113E8"/>
    <w:rsid w:val="00F139B0"/>
    <w:rsid w:val="00F15460"/>
    <w:rsid w:val="00F15F53"/>
    <w:rsid w:val="00F2041F"/>
    <w:rsid w:val="00F24D32"/>
    <w:rsid w:val="00F30C15"/>
    <w:rsid w:val="00F32BA8"/>
    <w:rsid w:val="00F335C2"/>
    <w:rsid w:val="00F3409F"/>
    <w:rsid w:val="00F349F1"/>
    <w:rsid w:val="00F3564E"/>
    <w:rsid w:val="00F372D5"/>
    <w:rsid w:val="00F377EA"/>
    <w:rsid w:val="00F40225"/>
    <w:rsid w:val="00F4350D"/>
    <w:rsid w:val="00F45448"/>
    <w:rsid w:val="00F53F8B"/>
    <w:rsid w:val="00F55783"/>
    <w:rsid w:val="00F567F7"/>
    <w:rsid w:val="00F57F32"/>
    <w:rsid w:val="00F60790"/>
    <w:rsid w:val="00F62036"/>
    <w:rsid w:val="00F63007"/>
    <w:rsid w:val="00F65B52"/>
    <w:rsid w:val="00F67BCA"/>
    <w:rsid w:val="00F71138"/>
    <w:rsid w:val="00F71C04"/>
    <w:rsid w:val="00F73BD6"/>
    <w:rsid w:val="00F8039D"/>
    <w:rsid w:val="00F805E0"/>
    <w:rsid w:val="00F83989"/>
    <w:rsid w:val="00F83AE0"/>
    <w:rsid w:val="00F85099"/>
    <w:rsid w:val="00F878D5"/>
    <w:rsid w:val="00F87E40"/>
    <w:rsid w:val="00F91756"/>
    <w:rsid w:val="00F9379C"/>
    <w:rsid w:val="00F95AD2"/>
    <w:rsid w:val="00F9632C"/>
    <w:rsid w:val="00F967F7"/>
    <w:rsid w:val="00F979B9"/>
    <w:rsid w:val="00FA12F5"/>
    <w:rsid w:val="00FA1E52"/>
    <w:rsid w:val="00FB0087"/>
    <w:rsid w:val="00FB02D2"/>
    <w:rsid w:val="00FB1409"/>
    <w:rsid w:val="00FB3BAA"/>
    <w:rsid w:val="00FB4285"/>
    <w:rsid w:val="00FB6841"/>
    <w:rsid w:val="00FB78FF"/>
    <w:rsid w:val="00FC03F2"/>
    <w:rsid w:val="00FC0C8F"/>
    <w:rsid w:val="00FC148B"/>
    <w:rsid w:val="00FC2E4B"/>
    <w:rsid w:val="00FC54C7"/>
    <w:rsid w:val="00FD4992"/>
    <w:rsid w:val="00FE0112"/>
    <w:rsid w:val="00FE1338"/>
    <w:rsid w:val="00FE15C8"/>
    <w:rsid w:val="00FE4688"/>
    <w:rsid w:val="00FF1971"/>
    <w:rsid w:val="00FF231D"/>
    <w:rsid w:val="00FF5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20CD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B00E0"/>
    <w:pPr>
      <w:spacing w:line="260" w:lineRule="atLeast"/>
    </w:pPr>
    <w:rPr>
      <w:sz w:val="22"/>
    </w:rPr>
  </w:style>
  <w:style w:type="paragraph" w:styleId="Heading1">
    <w:name w:val="heading 1"/>
    <w:basedOn w:val="Normal"/>
    <w:next w:val="Normal"/>
    <w:link w:val="Heading1Char"/>
    <w:uiPriority w:val="9"/>
    <w:qFormat/>
    <w:rsid w:val="007B00E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00E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00E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B00E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B00E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B00E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B00E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00E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B00E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B00E0"/>
  </w:style>
  <w:style w:type="paragraph" w:customStyle="1" w:styleId="OPCParaBase">
    <w:name w:val="OPCParaBase"/>
    <w:qFormat/>
    <w:rsid w:val="007B00E0"/>
    <w:pPr>
      <w:spacing w:line="260" w:lineRule="atLeast"/>
    </w:pPr>
    <w:rPr>
      <w:rFonts w:eastAsia="Times New Roman" w:cs="Times New Roman"/>
      <w:sz w:val="22"/>
      <w:lang w:eastAsia="en-AU"/>
    </w:rPr>
  </w:style>
  <w:style w:type="paragraph" w:customStyle="1" w:styleId="ShortT">
    <w:name w:val="ShortT"/>
    <w:basedOn w:val="OPCParaBase"/>
    <w:next w:val="Normal"/>
    <w:qFormat/>
    <w:rsid w:val="007B00E0"/>
    <w:pPr>
      <w:spacing w:line="240" w:lineRule="auto"/>
    </w:pPr>
    <w:rPr>
      <w:b/>
      <w:sz w:val="40"/>
    </w:rPr>
  </w:style>
  <w:style w:type="paragraph" w:customStyle="1" w:styleId="ActHead1">
    <w:name w:val="ActHead 1"/>
    <w:aliases w:val="c"/>
    <w:basedOn w:val="OPCParaBase"/>
    <w:next w:val="Normal"/>
    <w:qFormat/>
    <w:rsid w:val="007B00E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00E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00E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00E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B00E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B00E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B00E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B00E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B00E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B00E0"/>
  </w:style>
  <w:style w:type="paragraph" w:customStyle="1" w:styleId="Blocks">
    <w:name w:val="Blocks"/>
    <w:aliases w:val="bb"/>
    <w:basedOn w:val="OPCParaBase"/>
    <w:qFormat/>
    <w:rsid w:val="007B00E0"/>
    <w:pPr>
      <w:spacing w:line="240" w:lineRule="auto"/>
    </w:pPr>
    <w:rPr>
      <w:sz w:val="24"/>
    </w:rPr>
  </w:style>
  <w:style w:type="paragraph" w:customStyle="1" w:styleId="BoxText">
    <w:name w:val="BoxText"/>
    <w:aliases w:val="bt"/>
    <w:basedOn w:val="OPCParaBase"/>
    <w:qFormat/>
    <w:rsid w:val="007B00E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B00E0"/>
    <w:rPr>
      <w:b/>
    </w:rPr>
  </w:style>
  <w:style w:type="paragraph" w:customStyle="1" w:styleId="BoxHeadItalic">
    <w:name w:val="BoxHeadItalic"/>
    <w:aliases w:val="bhi"/>
    <w:basedOn w:val="BoxText"/>
    <w:next w:val="BoxStep"/>
    <w:qFormat/>
    <w:rsid w:val="007B00E0"/>
    <w:rPr>
      <w:i/>
    </w:rPr>
  </w:style>
  <w:style w:type="paragraph" w:customStyle="1" w:styleId="BoxList">
    <w:name w:val="BoxList"/>
    <w:aliases w:val="bl"/>
    <w:basedOn w:val="BoxText"/>
    <w:qFormat/>
    <w:rsid w:val="007B00E0"/>
    <w:pPr>
      <w:ind w:left="1559" w:hanging="425"/>
    </w:pPr>
  </w:style>
  <w:style w:type="paragraph" w:customStyle="1" w:styleId="BoxNote">
    <w:name w:val="BoxNote"/>
    <w:aliases w:val="bn"/>
    <w:basedOn w:val="BoxText"/>
    <w:qFormat/>
    <w:rsid w:val="007B00E0"/>
    <w:pPr>
      <w:tabs>
        <w:tab w:val="left" w:pos="1985"/>
      </w:tabs>
      <w:spacing w:before="122" w:line="198" w:lineRule="exact"/>
      <w:ind w:left="2948" w:hanging="1814"/>
    </w:pPr>
    <w:rPr>
      <w:sz w:val="18"/>
    </w:rPr>
  </w:style>
  <w:style w:type="paragraph" w:customStyle="1" w:styleId="BoxPara">
    <w:name w:val="BoxPara"/>
    <w:aliases w:val="bp"/>
    <w:basedOn w:val="BoxText"/>
    <w:qFormat/>
    <w:rsid w:val="007B00E0"/>
    <w:pPr>
      <w:tabs>
        <w:tab w:val="right" w:pos="2268"/>
      </w:tabs>
      <w:ind w:left="2552" w:hanging="1418"/>
    </w:pPr>
  </w:style>
  <w:style w:type="paragraph" w:customStyle="1" w:styleId="BoxStep">
    <w:name w:val="BoxStep"/>
    <w:aliases w:val="bs"/>
    <w:basedOn w:val="BoxText"/>
    <w:qFormat/>
    <w:rsid w:val="007B00E0"/>
    <w:pPr>
      <w:ind w:left="1985" w:hanging="851"/>
    </w:pPr>
  </w:style>
  <w:style w:type="character" w:customStyle="1" w:styleId="CharAmPartNo">
    <w:name w:val="CharAmPartNo"/>
    <w:basedOn w:val="OPCCharBase"/>
    <w:qFormat/>
    <w:rsid w:val="007B00E0"/>
  </w:style>
  <w:style w:type="character" w:customStyle="1" w:styleId="CharAmPartText">
    <w:name w:val="CharAmPartText"/>
    <w:basedOn w:val="OPCCharBase"/>
    <w:qFormat/>
    <w:rsid w:val="007B00E0"/>
  </w:style>
  <w:style w:type="character" w:customStyle="1" w:styleId="CharAmSchNo">
    <w:name w:val="CharAmSchNo"/>
    <w:basedOn w:val="OPCCharBase"/>
    <w:qFormat/>
    <w:rsid w:val="007B00E0"/>
  </w:style>
  <w:style w:type="character" w:customStyle="1" w:styleId="CharAmSchText">
    <w:name w:val="CharAmSchText"/>
    <w:basedOn w:val="OPCCharBase"/>
    <w:qFormat/>
    <w:rsid w:val="007B00E0"/>
  </w:style>
  <w:style w:type="character" w:customStyle="1" w:styleId="CharBoldItalic">
    <w:name w:val="CharBoldItalic"/>
    <w:basedOn w:val="OPCCharBase"/>
    <w:uiPriority w:val="1"/>
    <w:qFormat/>
    <w:rsid w:val="007B00E0"/>
    <w:rPr>
      <w:b/>
      <w:i/>
    </w:rPr>
  </w:style>
  <w:style w:type="character" w:customStyle="1" w:styleId="CharChapNo">
    <w:name w:val="CharChapNo"/>
    <w:basedOn w:val="OPCCharBase"/>
    <w:uiPriority w:val="1"/>
    <w:qFormat/>
    <w:rsid w:val="007B00E0"/>
  </w:style>
  <w:style w:type="character" w:customStyle="1" w:styleId="CharChapText">
    <w:name w:val="CharChapText"/>
    <w:basedOn w:val="OPCCharBase"/>
    <w:uiPriority w:val="1"/>
    <w:qFormat/>
    <w:rsid w:val="007B00E0"/>
  </w:style>
  <w:style w:type="character" w:customStyle="1" w:styleId="CharDivNo">
    <w:name w:val="CharDivNo"/>
    <w:basedOn w:val="OPCCharBase"/>
    <w:uiPriority w:val="1"/>
    <w:qFormat/>
    <w:rsid w:val="007B00E0"/>
  </w:style>
  <w:style w:type="character" w:customStyle="1" w:styleId="CharDivText">
    <w:name w:val="CharDivText"/>
    <w:basedOn w:val="OPCCharBase"/>
    <w:uiPriority w:val="1"/>
    <w:qFormat/>
    <w:rsid w:val="007B00E0"/>
  </w:style>
  <w:style w:type="character" w:customStyle="1" w:styleId="CharItalic">
    <w:name w:val="CharItalic"/>
    <w:basedOn w:val="OPCCharBase"/>
    <w:uiPriority w:val="1"/>
    <w:qFormat/>
    <w:rsid w:val="007B00E0"/>
    <w:rPr>
      <w:i/>
    </w:rPr>
  </w:style>
  <w:style w:type="character" w:customStyle="1" w:styleId="CharPartNo">
    <w:name w:val="CharPartNo"/>
    <w:basedOn w:val="OPCCharBase"/>
    <w:uiPriority w:val="1"/>
    <w:qFormat/>
    <w:rsid w:val="007B00E0"/>
  </w:style>
  <w:style w:type="character" w:customStyle="1" w:styleId="CharPartText">
    <w:name w:val="CharPartText"/>
    <w:basedOn w:val="OPCCharBase"/>
    <w:uiPriority w:val="1"/>
    <w:qFormat/>
    <w:rsid w:val="007B00E0"/>
  </w:style>
  <w:style w:type="character" w:customStyle="1" w:styleId="CharSectno">
    <w:name w:val="CharSectno"/>
    <w:basedOn w:val="OPCCharBase"/>
    <w:qFormat/>
    <w:rsid w:val="007B00E0"/>
  </w:style>
  <w:style w:type="character" w:customStyle="1" w:styleId="CharSubdNo">
    <w:name w:val="CharSubdNo"/>
    <w:basedOn w:val="OPCCharBase"/>
    <w:uiPriority w:val="1"/>
    <w:qFormat/>
    <w:rsid w:val="007B00E0"/>
  </w:style>
  <w:style w:type="character" w:customStyle="1" w:styleId="CharSubdText">
    <w:name w:val="CharSubdText"/>
    <w:basedOn w:val="OPCCharBase"/>
    <w:uiPriority w:val="1"/>
    <w:qFormat/>
    <w:rsid w:val="007B00E0"/>
  </w:style>
  <w:style w:type="paragraph" w:customStyle="1" w:styleId="CTA--">
    <w:name w:val="CTA --"/>
    <w:basedOn w:val="OPCParaBase"/>
    <w:next w:val="Normal"/>
    <w:rsid w:val="007B00E0"/>
    <w:pPr>
      <w:spacing w:before="60" w:line="240" w:lineRule="atLeast"/>
      <w:ind w:left="142" w:hanging="142"/>
    </w:pPr>
    <w:rPr>
      <w:sz w:val="20"/>
    </w:rPr>
  </w:style>
  <w:style w:type="paragraph" w:customStyle="1" w:styleId="CTA-">
    <w:name w:val="CTA -"/>
    <w:basedOn w:val="OPCParaBase"/>
    <w:rsid w:val="007B00E0"/>
    <w:pPr>
      <w:spacing w:before="60" w:line="240" w:lineRule="atLeast"/>
      <w:ind w:left="85" w:hanging="85"/>
    </w:pPr>
    <w:rPr>
      <w:sz w:val="20"/>
    </w:rPr>
  </w:style>
  <w:style w:type="paragraph" w:customStyle="1" w:styleId="CTA---">
    <w:name w:val="CTA ---"/>
    <w:basedOn w:val="OPCParaBase"/>
    <w:next w:val="Normal"/>
    <w:rsid w:val="007B00E0"/>
    <w:pPr>
      <w:spacing w:before="60" w:line="240" w:lineRule="atLeast"/>
      <w:ind w:left="198" w:hanging="198"/>
    </w:pPr>
    <w:rPr>
      <w:sz w:val="20"/>
    </w:rPr>
  </w:style>
  <w:style w:type="paragraph" w:customStyle="1" w:styleId="CTA----">
    <w:name w:val="CTA ----"/>
    <w:basedOn w:val="OPCParaBase"/>
    <w:next w:val="Normal"/>
    <w:rsid w:val="007B00E0"/>
    <w:pPr>
      <w:spacing w:before="60" w:line="240" w:lineRule="atLeast"/>
      <w:ind w:left="255" w:hanging="255"/>
    </w:pPr>
    <w:rPr>
      <w:sz w:val="20"/>
    </w:rPr>
  </w:style>
  <w:style w:type="paragraph" w:customStyle="1" w:styleId="CTA1a">
    <w:name w:val="CTA 1(a)"/>
    <w:basedOn w:val="OPCParaBase"/>
    <w:rsid w:val="007B00E0"/>
    <w:pPr>
      <w:tabs>
        <w:tab w:val="right" w:pos="414"/>
      </w:tabs>
      <w:spacing w:before="40" w:line="240" w:lineRule="atLeast"/>
      <w:ind w:left="675" w:hanging="675"/>
    </w:pPr>
    <w:rPr>
      <w:sz w:val="20"/>
    </w:rPr>
  </w:style>
  <w:style w:type="paragraph" w:customStyle="1" w:styleId="CTA1ai">
    <w:name w:val="CTA 1(a)(i)"/>
    <w:basedOn w:val="OPCParaBase"/>
    <w:rsid w:val="007B00E0"/>
    <w:pPr>
      <w:tabs>
        <w:tab w:val="right" w:pos="1004"/>
      </w:tabs>
      <w:spacing w:before="40" w:line="240" w:lineRule="atLeast"/>
      <w:ind w:left="1253" w:hanging="1253"/>
    </w:pPr>
    <w:rPr>
      <w:sz w:val="20"/>
    </w:rPr>
  </w:style>
  <w:style w:type="paragraph" w:customStyle="1" w:styleId="CTA2a">
    <w:name w:val="CTA 2(a)"/>
    <w:basedOn w:val="OPCParaBase"/>
    <w:rsid w:val="007B00E0"/>
    <w:pPr>
      <w:tabs>
        <w:tab w:val="right" w:pos="482"/>
      </w:tabs>
      <w:spacing w:before="40" w:line="240" w:lineRule="atLeast"/>
      <w:ind w:left="748" w:hanging="748"/>
    </w:pPr>
    <w:rPr>
      <w:sz w:val="20"/>
    </w:rPr>
  </w:style>
  <w:style w:type="paragraph" w:customStyle="1" w:styleId="CTA2ai">
    <w:name w:val="CTA 2(a)(i)"/>
    <w:basedOn w:val="OPCParaBase"/>
    <w:rsid w:val="007B00E0"/>
    <w:pPr>
      <w:tabs>
        <w:tab w:val="right" w:pos="1089"/>
      </w:tabs>
      <w:spacing w:before="40" w:line="240" w:lineRule="atLeast"/>
      <w:ind w:left="1327" w:hanging="1327"/>
    </w:pPr>
    <w:rPr>
      <w:sz w:val="20"/>
    </w:rPr>
  </w:style>
  <w:style w:type="paragraph" w:customStyle="1" w:styleId="CTA3a">
    <w:name w:val="CTA 3(a)"/>
    <w:basedOn w:val="OPCParaBase"/>
    <w:rsid w:val="007B00E0"/>
    <w:pPr>
      <w:tabs>
        <w:tab w:val="right" w:pos="556"/>
      </w:tabs>
      <w:spacing w:before="40" w:line="240" w:lineRule="atLeast"/>
      <w:ind w:left="805" w:hanging="805"/>
    </w:pPr>
    <w:rPr>
      <w:sz w:val="20"/>
    </w:rPr>
  </w:style>
  <w:style w:type="paragraph" w:customStyle="1" w:styleId="CTA3ai">
    <w:name w:val="CTA 3(a)(i)"/>
    <w:basedOn w:val="OPCParaBase"/>
    <w:rsid w:val="007B00E0"/>
    <w:pPr>
      <w:tabs>
        <w:tab w:val="right" w:pos="1140"/>
      </w:tabs>
      <w:spacing w:before="40" w:line="240" w:lineRule="atLeast"/>
      <w:ind w:left="1361" w:hanging="1361"/>
    </w:pPr>
    <w:rPr>
      <w:sz w:val="20"/>
    </w:rPr>
  </w:style>
  <w:style w:type="paragraph" w:customStyle="1" w:styleId="CTA4a">
    <w:name w:val="CTA 4(a)"/>
    <w:basedOn w:val="OPCParaBase"/>
    <w:rsid w:val="007B00E0"/>
    <w:pPr>
      <w:tabs>
        <w:tab w:val="right" w:pos="624"/>
      </w:tabs>
      <w:spacing w:before="40" w:line="240" w:lineRule="atLeast"/>
      <w:ind w:left="873" w:hanging="873"/>
    </w:pPr>
    <w:rPr>
      <w:sz w:val="20"/>
    </w:rPr>
  </w:style>
  <w:style w:type="paragraph" w:customStyle="1" w:styleId="CTA4ai">
    <w:name w:val="CTA 4(a)(i)"/>
    <w:basedOn w:val="OPCParaBase"/>
    <w:rsid w:val="007B00E0"/>
    <w:pPr>
      <w:tabs>
        <w:tab w:val="right" w:pos="1213"/>
      </w:tabs>
      <w:spacing w:before="40" w:line="240" w:lineRule="atLeast"/>
      <w:ind w:left="1452" w:hanging="1452"/>
    </w:pPr>
    <w:rPr>
      <w:sz w:val="20"/>
    </w:rPr>
  </w:style>
  <w:style w:type="paragraph" w:customStyle="1" w:styleId="CTACAPS">
    <w:name w:val="CTA CAPS"/>
    <w:basedOn w:val="OPCParaBase"/>
    <w:rsid w:val="007B00E0"/>
    <w:pPr>
      <w:spacing w:before="60" w:line="240" w:lineRule="atLeast"/>
    </w:pPr>
    <w:rPr>
      <w:sz w:val="20"/>
    </w:rPr>
  </w:style>
  <w:style w:type="paragraph" w:customStyle="1" w:styleId="CTAright">
    <w:name w:val="CTA right"/>
    <w:basedOn w:val="OPCParaBase"/>
    <w:rsid w:val="007B00E0"/>
    <w:pPr>
      <w:spacing w:before="60" w:line="240" w:lineRule="auto"/>
      <w:jc w:val="right"/>
    </w:pPr>
    <w:rPr>
      <w:sz w:val="20"/>
    </w:rPr>
  </w:style>
  <w:style w:type="paragraph" w:customStyle="1" w:styleId="subsection">
    <w:name w:val="subsection"/>
    <w:aliases w:val="ss"/>
    <w:basedOn w:val="OPCParaBase"/>
    <w:link w:val="subsectionChar"/>
    <w:rsid w:val="007B00E0"/>
    <w:pPr>
      <w:tabs>
        <w:tab w:val="right" w:pos="1021"/>
      </w:tabs>
      <w:spacing w:before="180" w:line="240" w:lineRule="auto"/>
      <w:ind w:left="1134" w:hanging="1134"/>
    </w:pPr>
  </w:style>
  <w:style w:type="paragraph" w:customStyle="1" w:styleId="Definition">
    <w:name w:val="Definition"/>
    <w:aliases w:val="dd"/>
    <w:basedOn w:val="OPCParaBase"/>
    <w:rsid w:val="007B00E0"/>
    <w:pPr>
      <w:spacing w:before="180" w:line="240" w:lineRule="auto"/>
      <w:ind w:left="1134"/>
    </w:pPr>
  </w:style>
  <w:style w:type="paragraph" w:customStyle="1" w:styleId="EndNotespara">
    <w:name w:val="EndNotes(para)"/>
    <w:aliases w:val="eta"/>
    <w:basedOn w:val="OPCParaBase"/>
    <w:next w:val="EndNotessubpara"/>
    <w:rsid w:val="007B00E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B00E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B00E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B00E0"/>
    <w:pPr>
      <w:tabs>
        <w:tab w:val="right" w:pos="1412"/>
      </w:tabs>
      <w:spacing w:before="60" w:line="240" w:lineRule="auto"/>
      <w:ind w:left="1525" w:hanging="1525"/>
    </w:pPr>
    <w:rPr>
      <w:sz w:val="20"/>
    </w:rPr>
  </w:style>
  <w:style w:type="paragraph" w:customStyle="1" w:styleId="Formula">
    <w:name w:val="Formula"/>
    <w:basedOn w:val="OPCParaBase"/>
    <w:rsid w:val="007B00E0"/>
    <w:pPr>
      <w:spacing w:line="240" w:lineRule="auto"/>
      <w:ind w:left="1134"/>
    </w:pPr>
    <w:rPr>
      <w:sz w:val="20"/>
    </w:rPr>
  </w:style>
  <w:style w:type="paragraph" w:styleId="Header">
    <w:name w:val="header"/>
    <w:basedOn w:val="OPCParaBase"/>
    <w:link w:val="HeaderChar"/>
    <w:unhideWhenUsed/>
    <w:rsid w:val="007B00E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B00E0"/>
    <w:rPr>
      <w:rFonts w:eastAsia="Times New Roman" w:cs="Times New Roman"/>
      <w:sz w:val="16"/>
      <w:lang w:eastAsia="en-AU"/>
    </w:rPr>
  </w:style>
  <w:style w:type="paragraph" w:customStyle="1" w:styleId="House">
    <w:name w:val="House"/>
    <w:basedOn w:val="OPCParaBase"/>
    <w:rsid w:val="007B00E0"/>
    <w:pPr>
      <w:spacing w:line="240" w:lineRule="auto"/>
    </w:pPr>
    <w:rPr>
      <w:sz w:val="28"/>
    </w:rPr>
  </w:style>
  <w:style w:type="paragraph" w:customStyle="1" w:styleId="Item">
    <w:name w:val="Item"/>
    <w:aliases w:val="i"/>
    <w:basedOn w:val="OPCParaBase"/>
    <w:next w:val="ItemHead"/>
    <w:rsid w:val="007B00E0"/>
    <w:pPr>
      <w:keepLines/>
      <w:spacing w:before="80" w:line="240" w:lineRule="auto"/>
      <w:ind w:left="709"/>
    </w:pPr>
  </w:style>
  <w:style w:type="paragraph" w:customStyle="1" w:styleId="ItemHead">
    <w:name w:val="ItemHead"/>
    <w:aliases w:val="ih"/>
    <w:basedOn w:val="OPCParaBase"/>
    <w:next w:val="Item"/>
    <w:rsid w:val="007B00E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B00E0"/>
    <w:pPr>
      <w:spacing w:line="240" w:lineRule="auto"/>
    </w:pPr>
    <w:rPr>
      <w:b/>
      <w:sz w:val="32"/>
    </w:rPr>
  </w:style>
  <w:style w:type="paragraph" w:customStyle="1" w:styleId="notedraft">
    <w:name w:val="note(draft)"/>
    <w:aliases w:val="nd"/>
    <w:basedOn w:val="OPCParaBase"/>
    <w:rsid w:val="007B00E0"/>
    <w:pPr>
      <w:spacing w:before="240" w:line="240" w:lineRule="auto"/>
      <w:ind w:left="284" w:hanging="284"/>
    </w:pPr>
    <w:rPr>
      <w:i/>
      <w:sz w:val="24"/>
    </w:rPr>
  </w:style>
  <w:style w:type="paragraph" w:customStyle="1" w:styleId="notemargin">
    <w:name w:val="note(margin)"/>
    <w:aliases w:val="nm"/>
    <w:basedOn w:val="OPCParaBase"/>
    <w:rsid w:val="007B00E0"/>
    <w:pPr>
      <w:tabs>
        <w:tab w:val="left" w:pos="709"/>
      </w:tabs>
      <w:spacing w:before="122" w:line="198" w:lineRule="exact"/>
      <w:ind w:left="709" w:hanging="709"/>
    </w:pPr>
    <w:rPr>
      <w:sz w:val="18"/>
    </w:rPr>
  </w:style>
  <w:style w:type="paragraph" w:customStyle="1" w:styleId="noteToPara">
    <w:name w:val="noteToPara"/>
    <w:aliases w:val="ntp"/>
    <w:basedOn w:val="OPCParaBase"/>
    <w:rsid w:val="007B00E0"/>
    <w:pPr>
      <w:spacing w:before="122" w:line="198" w:lineRule="exact"/>
      <w:ind w:left="2353" w:hanging="709"/>
    </w:pPr>
    <w:rPr>
      <w:sz w:val="18"/>
    </w:rPr>
  </w:style>
  <w:style w:type="paragraph" w:customStyle="1" w:styleId="noteParlAmend">
    <w:name w:val="note(ParlAmend)"/>
    <w:aliases w:val="npp"/>
    <w:basedOn w:val="OPCParaBase"/>
    <w:next w:val="ParlAmend"/>
    <w:rsid w:val="007B00E0"/>
    <w:pPr>
      <w:spacing w:line="240" w:lineRule="auto"/>
      <w:jc w:val="right"/>
    </w:pPr>
    <w:rPr>
      <w:rFonts w:ascii="Arial" w:hAnsi="Arial"/>
      <w:b/>
      <w:i/>
    </w:rPr>
  </w:style>
  <w:style w:type="paragraph" w:customStyle="1" w:styleId="Page1">
    <w:name w:val="Page1"/>
    <w:basedOn w:val="OPCParaBase"/>
    <w:rsid w:val="007B00E0"/>
    <w:pPr>
      <w:spacing w:before="5600" w:line="240" w:lineRule="auto"/>
    </w:pPr>
    <w:rPr>
      <w:b/>
      <w:sz w:val="32"/>
    </w:rPr>
  </w:style>
  <w:style w:type="paragraph" w:customStyle="1" w:styleId="PageBreak">
    <w:name w:val="PageBreak"/>
    <w:aliases w:val="pb"/>
    <w:basedOn w:val="OPCParaBase"/>
    <w:rsid w:val="007B00E0"/>
    <w:pPr>
      <w:spacing w:line="240" w:lineRule="auto"/>
    </w:pPr>
    <w:rPr>
      <w:sz w:val="20"/>
    </w:rPr>
  </w:style>
  <w:style w:type="paragraph" w:customStyle="1" w:styleId="paragraphsub">
    <w:name w:val="paragraph(sub)"/>
    <w:aliases w:val="aa"/>
    <w:basedOn w:val="OPCParaBase"/>
    <w:rsid w:val="007B00E0"/>
    <w:pPr>
      <w:tabs>
        <w:tab w:val="right" w:pos="1985"/>
      </w:tabs>
      <w:spacing w:before="40" w:line="240" w:lineRule="auto"/>
      <w:ind w:left="2098" w:hanging="2098"/>
    </w:pPr>
  </w:style>
  <w:style w:type="paragraph" w:customStyle="1" w:styleId="paragraphsub-sub">
    <w:name w:val="paragraph(sub-sub)"/>
    <w:aliases w:val="aaa"/>
    <w:basedOn w:val="OPCParaBase"/>
    <w:rsid w:val="007B00E0"/>
    <w:pPr>
      <w:tabs>
        <w:tab w:val="right" w:pos="2722"/>
      </w:tabs>
      <w:spacing w:before="40" w:line="240" w:lineRule="auto"/>
      <w:ind w:left="2835" w:hanging="2835"/>
    </w:pPr>
  </w:style>
  <w:style w:type="paragraph" w:customStyle="1" w:styleId="paragraph">
    <w:name w:val="paragraph"/>
    <w:aliases w:val="a"/>
    <w:basedOn w:val="OPCParaBase"/>
    <w:rsid w:val="007B00E0"/>
    <w:pPr>
      <w:tabs>
        <w:tab w:val="right" w:pos="1531"/>
      </w:tabs>
      <w:spacing w:before="40" w:line="240" w:lineRule="auto"/>
      <w:ind w:left="1644" w:hanging="1644"/>
    </w:pPr>
  </w:style>
  <w:style w:type="paragraph" w:customStyle="1" w:styleId="ParlAmend">
    <w:name w:val="ParlAmend"/>
    <w:aliases w:val="pp"/>
    <w:basedOn w:val="OPCParaBase"/>
    <w:rsid w:val="007B00E0"/>
    <w:pPr>
      <w:spacing w:before="240" w:line="240" w:lineRule="atLeast"/>
      <w:ind w:hanging="567"/>
    </w:pPr>
    <w:rPr>
      <w:sz w:val="24"/>
    </w:rPr>
  </w:style>
  <w:style w:type="paragraph" w:customStyle="1" w:styleId="Penalty">
    <w:name w:val="Penalty"/>
    <w:basedOn w:val="OPCParaBase"/>
    <w:rsid w:val="007B00E0"/>
    <w:pPr>
      <w:tabs>
        <w:tab w:val="left" w:pos="2977"/>
      </w:tabs>
      <w:spacing w:before="180" w:line="240" w:lineRule="auto"/>
      <w:ind w:left="1985" w:hanging="851"/>
    </w:pPr>
  </w:style>
  <w:style w:type="paragraph" w:customStyle="1" w:styleId="Portfolio">
    <w:name w:val="Portfolio"/>
    <w:basedOn w:val="OPCParaBase"/>
    <w:rsid w:val="007B00E0"/>
    <w:pPr>
      <w:spacing w:line="240" w:lineRule="auto"/>
    </w:pPr>
    <w:rPr>
      <w:i/>
      <w:sz w:val="20"/>
    </w:rPr>
  </w:style>
  <w:style w:type="paragraph" w:customStyle="1" w:styleId="Preamble">
    <w:name w:val="Preamble"/>
    <w:basedOn w:val="OPCParaBase"/>
    <w:next w:val="Normal"/>
    <w:rsid w:val="007B00E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00E0"/>
    <w:pPr>
      <w:spacing w:line="240" w:lineRule="auto"/>
    </w:pPr>
    <w:rPr>
      <w:i/>
      <w:sz w:val="20"/>
    </w:rPr>
  </w:style>
  <w:style w:type="paragraph" w:customStyle="1" w:styleId="Session">
    <w:name w:val="Session"/>
    <w:basedOn w:val="OPCParaBase"/>
    <w:rsid w:val="007B00E0"/>
    <w:pPr>
      <w:spacing w:line="240" w:lineRule="auto"/>
    </w:pPr>
    <w:rPr>
      <w:sz w:val="28"/>
    </w:rPr>
  </w:style>
  <w:style w:type="paragraph" w:customStyle="1" w:styleId="Sponsor">
    <w:name w:val="Sponsor"/>
    <w:basedOn w:val="OPCParaBase"/>
    <w:rsid w:val="007B00E0"/>
    <w:pPr>
      <w:spacing w:line="240" w:lineRule="auto"/>
    </w:pPr>
    <w:rPr>
      <w:i/>
    </w:rPr>
  </w:style>
  <w:style w:type="paragraph" w:customStyle="1" w:styleId="Subitem">
    <w:name w:val="Subitem"/>
    <w:aliases w:val="iss"/>
    <w:basedOn w:val="OPCParaBase"/>
    <w:rsid w:val="007B00E0"/>
    <w:pPr>
      <w:spacing w:before="180" w:line="240" w:lineRule="auto"/>
      <w:ind w:left="709" w:hanging="709"/>
    </w:pPr>
  </w:style>
  <w:style w:type="paragraph" w:customStyle="1" w:styleId="SubitemHead">
    <w:name w:val="SubitemHead"/>
    <w:aliases w:val="issh"/>
    <w:basedOn w:val="OPCParaBase"/>
    <w:rsid w:val="007B00E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00E0"/>
    <w:pPr>
      <w:spacing w:before="40" w:line="240" w:lineRule="auto"/>
      <w:ind w:left="1134"/>
    </w:pPr>
  </w:style>
  <w:style w:type="paragraph" w:customStyle="1" w:styleId="SubsectionHead">
    <w:name w:val="SubsectionHead"/>
    <w:aliases w:val="ssh"/>
    <w:basedOn w:val="OPCParaBase"/>
    <w:next w:val="subsection"/>
    <w:rsid w:val="007B00E0"/>
    <w:pPr>
      <w:keepNext/>
      <w:keepLines/>
      <w:spacing w:before="240" w:line="240" w:lineRule="auto"/>
      <w:ind w:left="1134"/>
    </w:pPr>
    <w:rPr>
      <w:i/>
    </w:rPr>
  </w:style>
  <w:style w:type="paragraph" w:customStyle="1" w:styleId="Tablea">
    <w:name w:val="Table(a)"/>
    <w:aliases w:val="ta"/>
    <w:basedOn w:val="OPCParaBase"/>
    <w:rsid w:val="007B00E0"/>
    <w:pPr>
      <w:spacing w:before="60" w:line="240" w:lineRule="auto"/>
      <w:ind w:left="284" w:hanging="284"/>
    </w:pPr>
    <w:rPr>
      <w:sz w:val="20"/>
    </w:rPr>
  </w:style>
  <w:style w:type="paragraph" w:customStyle="1" w:styleId="TableAA">
    <w:name w:val="Table(AA)"/>
    <w:aliases w:val="taaa"/>
    <w:basedOn w:val="OPCParaBase"/>
    <w:rsid w:val="007B00E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B00E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B00E0"/>
    <w:pPr>
      <w:spacing w:before="60" w:line="240" w:lineRule="atLeast"/>
    </w:pPr>
    <w:rPr>
      <w:sz w:val="20"/>
    </w:rPr>
  </w:style>
  <w:style w:type="paragraph" w:customStyle="1" w:styleId="TLPBoxTextnote">
    <w:name w:val="TLPBoxText(note"/>
    <w:aliases w:val="right)"/>
    <w:basedOn w:val="OPCParaBase"/>
    <w:rsid w:val="007B00E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00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00E0"/>
    <w:pPr>
      <w:spacing w:before="122" w:line="198" w:lineRule="exact"/>
      <w:ind w:left="1985" w:hanging="851"/>
      <w:jc w:val="right"/>
    </w:pPr>
    <w:rPr>
      <w:sz w:val="18"/>
    </w:rPr>
  </w:style>
  <w:style w:type="paragraph" w:customStyle="1" w:styleId="TLPTableBullet">
    <w:name w:val="TLPTableBullet"/>
    <w:aliases w:val="ttb"/>
    <w:basedOn w:val="OPCParaBase"/>
    <w:rsid w:val="007B00E0"/>
    <w:pPr>
      <w:spacing w:line="240" w:lineRule="exact"/>
      <w:ind w:left="284" w:hanging="284"/>
    </w:pPr>
    <w:rPr>
      <w:sz w:val="20"/>
    </w:rPr>
  </w:style>
  <w:style w:type="paragraph" w:styleId="TOC1">
    <w:name w:val="toc 1"/>
    <w:basedOn w:val="Normal"/>
    <w:next w:val="Normal"/>
    <w:uiPriority w:val="39"/>
    <w:unhideWhenUsed/>
    <w:rsid w:val="007B00E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B00E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B00E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B00E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B00E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B00E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B00E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B00E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B00E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B00E0"/>
    <w:pPr>
      <w:keepLines/>
      <w:spacing w:before="240" w:after="120" w:line="240" w:lineRule="auto"/>
      <w:ind w:left="794"/>
    </w:pPr>
    <w:rPr>
      <w:b/>
      <w:kern w:val="28"/>
      <w:sz w:val="20"/>
    </w:rPr>
  </w:style>
  <w:style w:type="paragraph" w:customStyle="1" w:styleId="TofSectsHeading">
    <w:name w:val="TofSects(Heading)"/>
    <w:basedOn w:val="OPCParaBase"/>
    <w:rsid w:val="007B00E0"/>
    <w:pPr>
      <w:spacing w:before="240" w:after="120" w:line="240" w:lineRule="auto"/>
    </w:pPr>
    <w:rPr>
      <w:b/>
      <w:sz w:val="24"/>
    </w:rPr>
  </w:style>
  <w:style w:type="paragraph" w:customStyle="1" w:styleId="TofSectsSection">
    <w:name w:val="TofSects(Section)"/>
    <w:basedOn w:val="OPCParaBase"/>
    <w:rsid w:val="007B00E0"/>
    <w:pPr>
      <w:keepLines/>
      <w:spacing w:before="40" w:line="240" w:lineRule="auto"/>
      <w:ind w:left="1588" w:hanging="794"/>
    </w:pPr>
    <w:rPr>
      <w:kern w:val="28"/>
      <w:sz w:val="18"/>
    </w:rPr>
  </w:style>
  <w:style w:type="paragraph" w:customStyle="1" w:styleId="TofSectsSubdiv">
    <w:name w:val="TofSects(Subdiv)"/>
    <w:basedOn w:val="OPCParaBase"/>
    <w:rsid w:val="007B00E0"/>
    <w:pPr>
      <w:keepLines/>
      <w:spacing w:before="80" w:line="240" w:lineRule="auto"/>
      <w:ind w:left="1588" w:hanging="794"/>
    </w:pPr>
    <w:rPr>
      <w:kern w:val="28"/>
    </w:rPr>
  </w:style>
  <w:style w:type="paragraph" w:customStyle="1" w:styleId="WRStyle">
    <w:name w:val="WR Style"/>
    <w:aliases w:val="WR"/>
    <w:basedOn w:val="OPCParaBase"/>
    <w:rsid w:val="007B00E0"/>
    <w:pPr>
      <w:spacing w:before="240" w:line="240" w:lineRule="auto"/>
      <w:ind w:left="284" w:hanging="284"/>
    </w:pPr>
    <w:rPr>
      <w:b/>
      <w:i/>
      <w:kern w:val="28"/>
      <w:sz w:val="24"/>
    </w:rPr>
  </w:style>
  <w:style w:type="paragraph" w:customStyle="1" w:styleId="notepara">
    <w:name w:val="note(para)"/>
    <w:aliases w:val="na"/>
    <w:basedOn w:val="OPCParaBase"/>
    <w:rsid w:val="007B00E0"/>
    <w:pPr>
      <w:spacing w:before="40" w:line="198" w:lineRule="exact"/>
      <w:ind w:left="2354" w:hanging="369"/>
    </w:pPr>
    <w:rPr>
      <w:sz w:val="18"/>
    </w:rPr>
  </w:style>
  <w:style w:type="paragraph" w:styleId="Footer">
    <w:name w:val="footer"/>
    <w:link w:val="FooterChar"/>
    <w:rsid w:val="007B00E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B00E0"/>
    <w:rPr>
      <w:rFonts w:eastAsia="Times New Roman" w:cs="Times New Roman"/>
      <w:sz w:val="22"/>
      <w:szCs w:val="24"/>
      <w:lang w:eastAsia="en-AU"/>
    </w:rPr>
  </w:style>
  <w:style w:type="character" w:styleId="LineNumber">
    <w:name w:val="line number"/>
    <w:basedOn w:val="OPCCharBase"/>
    <w:uiPriority w:val="99"/>
    <w:unhideWhenUsed/>
    <w:rsid w:val="007B00E0"/>
    <w:rPr>
      <w:sz w:val="16"/>
    </w:rPr>
  </w:style>
  <w:style w:type="table" w:customStyle="1" w:styleId="CFlag">
    <w:name w:val="CFlag"/>
    <w:basedOn w:val="TableNormal"/>
    <w:uiPriority w:val="99"/>
    <w:rsid w:val="007B00E0"/>
    <w:rPr>
      <w:rFonts w:eastAsia="Times New Roman" w:cs="Times New Roman"/>
      <w:lang w:eastAsia="en-AU"/>
    </w:rPr>
    <w:tblPr/>
  </w:style>
  <w:style w:type="paragraph" w:styleId="BalloonText">
    <w:name w:val="Balloon Text"/>
    <w:basedOn w:val="Normal"/>
    <w:link w:val="BalloonTextChar"/>
    <w:uiPriority w:val="99"/>
    <w:unhideWhenUsed/>
    <w:rsid w:val="007B00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B00E0"/>
    <w:rPr>
      <w:rFonts w:ascii="Tahoma" w:hAnsi="Tahoma" w:cs="Tahoma"/>
      <w:sz w:val="16"/>
      <w:szCs w:val="16"/>
    </w:rPr>
  </w:style>
  <w:style w:type="table" w:styleId="TableGrid">
    <w:name w:val="Table Grid"/>
    <w:basedOn w:val="TableNormal"/>
    <w:uiPriority w:val="59"/>
    <w:rsid w:val="007B0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B00E0"/>
    <w:rPr>
      <w:b/>
      <w:sz w:val="28"/>
      <w:szCs w:val="32"/>
    </w:rPr>
  </w:style>
  <w:style w:type="paragraph" w:customStyle="1" w:styleId="LegislationMadeUnder">
    <w:name w:val="LegislationMadeUnder"/>
    <w:basedOn w:val="OPCParaBase"/>
    <w:next w:val="Normal"/>
    <w:rsid w:val="007B00E0"/>
    <w:rPr>
      <w:i/>
      <w:sz w:val="32"/>
      <w:szCs w:val="32"/>
    </w:rPr>
  </w:style>
  <w:style w:type="paragraph" w:customStyle="1" w:styleId="SignCoverPageEnd">
    <w:name w:val="SignCoverPageEnd"/>
    <w:basedOn w:val="OPCParaBase"/>
    <w:next w:val="Normal"/>
    <w:rsid w:val="007B00E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00E0"/>
    <w:pPr>
      <w:pBdr>
        <w:top w:val="single" w:sz="4" w:space="1" w:color="auto"/>
      </w:pBdr>
      <w:spacing w:before="360"/>
      <w:ind w:right="397"/>
      <w:jc w:val="both"/>
    </w:pPr>
  </w:style>
  <w:style w:type="paragraph" w:customStyle="1" w:styleId="NotesHeading1">
    <w:name w:val="NotesHeading 1"/>
    <w:basedOn w:val="OPCParaBase"/>
    <w:next w:val="Normal"/>
    <w:rsid w:val="007B00E0"/>
    <w:rPr>
      <w:b/>
      <w:sz w:val="28"/>
      <w:szCs w:val="28"/>
    </w:rPr>
  </w:style>
  <w:style w:type="paragraph" w:customStyle="1" w:styleId="NotesHeading2">
    <w:name w:val="NotesHeading 2"/>
    <w:basedOn w:val="OPCParaBase"/>
    <w:next w:val="Normal"/>
    <w:rsid w:val="007B00E0"/>
    <w:rPr>
      <w:b/>
      <w:sz w:val="28"/>
      <w:szCs w:val="28"/>
    </w:rPr>
  </w:style>
  <w:style w:type="paragraph" w:customStyle="1" w:styleId="CompiledActNo">
    <w:name w:val="CompiledActNo"/>
    <w:basedOn w:val="OPCParaBase"/>
    <w:next w:val="Normal"/>
    <w:rsid w:val="007B00E0"/>
    <w:rPr>
      <w:b/>
      <w:sz w:val="24"/>
      <w:szCs w:val="24"/>
    </w:rPr>
  </w:style>
  <w:style w:type="paragraph" w:customStyle="1" w:styleId="ENotesText">
    <w:name w:val="ENotesText"/>
    <w:aliases w:val="Ent"/>
    <w:basedOn w:val="OPCParaBase"/>
    <w:next w:val="Normal"/>
    <w:rsid w:val="007B00E0"/>
    <w:pPr>
      <w:spacing w:before="120"/>
    </w:pPr>
  </w:style>
  <w:style w:type="paragraph" w:customStyle="1" w:styleId="CompiledMadeUnder">
    <w:name w:val="CompiledMadeUnder"/>
    <w:basedOn w:val="OPCParaBase"/>
    <w:next w:val="Normal"/>
    <w:rsid w:val="007B00E0"/>
    <w:rPr>
      <w:i/>
      <w:sz w:val="24"/>
      <w:szCs w:val="24"/>
    </w:rPr>
  </w:style>
  <w:style w:type="paragraph" w:customStyle="1" w:styleId="Paragraphsub-sub-sub">
    <w:name w:val="Paragraph(sub-sub-sub)"/>
    <w:aliases w:val="aaaa"/>
    <w:basedOn w:val="OPCParaBase"/>
    <w:rsid w:val="007B00E0"/>
    <w:pPr>
      <w:tabs>
        <w:tab w:val="right" w:pos="3402"/>
      </w:tabs>
      <w:spacing w:before="40" w:line="240" w:lineRule="auto"/>
      <w:ind w:left="3402" w:hanging="3402"/>
    </w:pPr>
  </w:style>
  <w:style w:type="paragraph" w:customStyle="1" w:styleId="TableTextEndNotes">
    <w:name w:val="TableTextEndNotes"/>
    <w:aliases w:val="Tten"/>
    <w:basedOn w:val="Normal"/>
    <w:rsid w:val="007B00E0"/>
    <w:pPr>
      <w:spacing w:before="60" w:line="240" w:lineRule="auto"/>
    </w:pPr>
    <w:rPr>
      <w:rFonts w:cs="Arial"/>
      <w:sz w:val="20"/>
      <w:szCs w:val="22"/>
    </w:rPr>
  </w:style>
  <w:style w:type="paragraph" w:customStyle="1" w:styleId="NoteToSubpara">
    <w:name w:val="NoteToSubpara"/>
    <w:aliases w:val="nts"/>
    <w:basedOn w:val="OPCParaBase"/>
    <w:rsid w:val="007B00E0"/>
    <w:pPr>
      <w:spacing w:before="40" w:line="198" w:lineRule="exact"/>
      <w:ind w:left="2835" w:hanging="709"/>
    </w:pPr>
    <w:rPr>
      <w:sz w:val="18"/>
    </w:rPr>
  </w:style>
  <w:style w:type="paragraph" w:customStyle="1" w:styleId="ENoteTableHeading">
    <w:name w:val="ENoteTableHeading"/>
    <w:aliases w:val="enth"/>
    <w:basedOn w:val="OPCParaBase"/>
    <w:rsid w:val="007B00E0"/>
    <w:pPr>
      <w:keepNext/>
      <w:spacing w:before="60" w:line="240" w:lineRule="atLeast"/>
    </w:pPr>
    <w:rPr>
      <w:rFonts w:ascii="Arial" w:hAnsi="Arial"/>
      <w:b/>
      <w:sz w:val="16"/>
    </w:rPr>
  </w:style>
  <w:style w:type="paragraph" w:customStyle="1" w:styleId="ENoteTTi">
    <w:name w:val="ENoteTTi"/>
    <w:aliases w:val="entti"/>
    <w:basedOn w:val="OPCParaBase"/>
    <w:rsid w:val="007B00E0"/>
    <w:pPr>
      <w:keepNext/>
      <w:spacing w:before="60" w:line="240" w:lineRule="atLeast"/>
      <w:ind w:left="170"/>
    </w:pPr>
    <w:rPr>
      <w:sz w:val="16"/>
    </w:rPr>
  </w:style>
  <w:style w:type="paragraph" w:customStyle="1" w:styleId="ENotesHeading1">
    <w:name w:val="ENotesHeading 1"/>
    <w:aliases w:val="Enh1"/>
    <w:basedOn w:val="OPCParaBase"/>
    <w:next w:val="Normal"/>
    <w:rsid w:val="007B00E0"/>
    <w:pPr>
      <w:spacing w:before="120"/>
      <w:outlineLvl w:val="1"/>
    </w:pPr>
    <w:rPr>
      <w:b/>
      <w:sz w:val="28"/>
      <w:szCs w:val="28"/>
    </w:rPr>
  </w:style>
  <w:style w:type="paragraph" w:customStyle="1" w:styleId="ENotesHeading2">
    <w:name w:val="ENotesHeading 2"/>
    <w:aliases w:val="Enh2"/>
    <w:basedOn w:val="OPCParaBase"/>
    <w:next w:val="Normal"/>
    <w:rsid w:val="007B00E0"/>
    <w:pPr>
      <w:spacing w:before="120" w:after="120"/>
      <w:outlineLvl w:val="2"/>
    </w:pPr>
    <w:rPr>
      <w:b/>
      <w:sz w:val="24"/>
      <w:szCs w:val="28"/>
    </w:rPr>
  </w:style>
  <w:style w:type="paragraph" w:customStyle="1" w:styleId="ENoteTTIndentHeading">
    <w:name w:val="ENoteTTIndentHeading"/>
    <w:aliases w:val="enTTHi"/>
    <w:basedOn w:val="OPCParaBase"/>
    <w:rsid w:val="007B00E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00E0"/>
    <w:pPr>
      <w:spacing w:before="60" w:line="240" w:lineRule="atLeast"/>
    </w:pPr>
    <w:rPr>
      <w:sz w:val="16"/>
    </w:rPr>
  </w:style>
  <w:style w:type="paragraph" w:customStyle="1" w:styleId="MadeunderText">
    <w:name w:val="MadeunderText"/>
    <w:basedOn w:val="OPCParaBase"/>
    <w:next w:val="Normal"/>
    <w:rsid w:val="007B00E0"/>
    <w:pPr>
      <w:spacing w:before="240"/>
    </w:pPr>
    <w:rPr>
      <w:sz w:val="24"/>
      <w:szCs w:val="24"/>
    </w:rPr>
  </w:style>
  <w:style w:type="paragraph" w:customStyle="1" w:styleId="ENotesHeading3">
    <w:name w:val="ENotesHeading 3"/>
    <w:aliases w:val="Enh3"/>
    <w:basedOn w:val="OPCParaBase"/>
    <w:next w:val="Normal"/>
    <w:rsid w:val="007B00E0"/>
    <w:pPr>
      <w:keepNext/>
      <w:spacing w:before="120" w:line="240" w:lineRule="auto"/>
      <w:outlineLvl w:val="4"/>
    </w:pPr>
    <w:rPr>
      <w:b/>
      <w:szCs w:val="24"/>
    </w:rPr>
  </w:style>
  <w:style w:type="character" w:customStyle="1" w:styleId="CharSubPartTextCASA">
    <w:name w:val="CharSubPartText(CASA)"/>
    <w:basedOn w:val="OPCCharBase"/>
    <w:uiPriority w:val="1"/>
    <w:rsid w:val="007B00E0"/>
  </w:style>
  <w:style w:type="character" w:customStyle="1" w:styleId="CharSubPartNoCASA">
    <w:name w:val="CharSubPartNo(CASA)"/>
    <w:basedOn w:val="OPCCharBase"/>
    <w:uiPriority w:val="1"/>
    <w:rsid w:val="007B00E0"/>
  </w:style>
  <w:style w:type="paragraph" w:customStyle="1" w:styleId="ENoteTTIndentHeadingSub">
    <w:name w:val="ENoteTTIndentHeadingSub"/>
    <w:aliases w:val="enTTHis"/>
    <w:basedOn w:val="OPCParaBase"/>
    <w:rsid w:val="007B00E0"/>
    <w:pPr>
      <w:keepNext/>
      <w:spacing w:before="60" w:line="240" w:lineRule="atLeast"/>
      <w:ind w:left="340"/>
    </w:pPr>
    <w:rPr>
      <w:b/>
      <w:sz w:val="16"/>
    </w:rPr>
  </w:style>
  <w:style w:type="paragraph" w:customStyle="1" w:styleId="ENoteTTiSub">
    <w:name w:val="ENoteTTiSub"/>
    <w:aliases w:val="enttis"/>
    <w:basedOn w:val="OPCParaBase"/>
    <w:rsid w:val="007B00E0"/>
    <w:pPr>
      <w:keepNext/>
      <w:spacing w:before="60" w:line="240" w:lineRule="atLeast"/>
      <w:ind w:left="340"/>
    </w:pPr>
    <w:rPr>
      <w:sz w:val="16"/>
    </w:rPr>
  </w:style>
  <w:style w:type="paragraph" w:customStyle="1" w:styleId="SubDivisionMigration">
    <w:name w:val="SubDivisionMigration"/>
    <w:aliases w:val="sdm"/>
    <w:basedOn w:val="OPCParaBase"/>
    <w:rsid w:val="007B00E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00E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B00E0"/>
    <w:pPr>
      <w:spacing w:before="122" w:line="240" w:lineRule="auto"/>
      <w:ind w:left="1985" w:hanging="851"/>
    </w:pPr>
    <w:rPr>
      <w:sz w:val="18"/>
    </w:rPr>
  </w:style>
  <w:style w:type="paragraph" w:customStyle="1" w:styleId="FreeForm">
    <w:name w:val="FreeForm"/>
    <w:rsid w:val="007B00E0"/>
    <w:rPr>
      <w:rFonts w:ascii="Arial" w:hAnsi="Arial"/>
      <w:sz w:val="22"/>
    </w:rPr>
  </w:style>
  <w:style w:type="paragraph" w:customStyle="1" w:styleId="SOText">
    <w:name w:val="SO Text"/>
    <w:aliases w:val="sot"/>
    <w:link w:val="SOTextChar"/>
    <w:rsid w:val="007B00E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B00E0"/>
    <w:rPr>
      <w:sz w:val="22"/>
    </w:rPr>
  </w:style>
  <w:style w:type="paragraph" w:customStyle="1" w:styleId="SOTextNote">
    <w:name w:val="SO TextNote"/>
    <w:aliases w:val="sont"/>
    <w:basedOn w:val="SOText"/>
    <w:qFormat/>
    <w:rsid w:val="007B00E0"/>
    <w:pPr>
      <w:spacing w:before="122" w:line="198" w:lineRule="exact"/>
      <w:ind w:left="1843" w:hanging="709"/>
    </w:pPr>
    <w:rPr>
      <w:sz w:val="18"/>
    </w:rPr>
  </w:style>
  <w:style w:type="paragraph" w:customStyle="1" w:styleId="SOPara">
    <w:name w:val="SO Para"/>
    <w:aliases w:val="soa"/>
    <w:basedOn w:val="SOText"/>
    <w:link w:val="SOParaChar"/>
    <w:qFormat/>
    <w:rsid w:val="007B00E0"/>
    <w:pPr>
      <w:tabs>
        <w:tab w:val="right" w:pos="1786"/>
      </w:tabs>
      <w:spacing w:before="40"/>
      <w:ind w:left="2070" w:hanging="936"/>
    </w:pPr>
  </w:style>
  <w:style w:type="character" w:customStyle="1" w:styleId="SOParaChar">
    <w:name w:val="SO Para Char"/>
    <w:aliases w:val="soa Char"/>
    <w:basedOn w:val="DefaultParagraphFont"/>
    <w:link w:val="SOPara"/>
    <w:rsid w:val="007B00E0"/>
    <w:rPr>
      <w:sz w:val="22"/>
    </w:rPr>
  </w:style>
  <w:style w:type="paragraph" w:customStyle="1" w:styleId="FileName">
    <w:name w:val="FileName"/>
    <w:basedOn w:val="Normal"/>
    <w:rsid w:val="007B00E0"/>
  </w:style>
  <w:style w:type="paragraph" w:customStyle="1" w:styleId="TableHeading">
    <w:name w:val="TableHeading"/>
    <w:aliases w:val="th"/>
    <w:basedOn w:val="OPCParaBase"/>
    <w:next w:val="Tabletext"/>
    <w:rsid w:val="007B00E0"/>
    <w:pPr>
      <w:keepNext/>
      <w:spacing w:before="60" w:line="240" w:lineRule="atLeast"/>
    </w:pPr>
    <w:rPr>
      <w:b/>
      <w:sz w:val="20"/>
    </w:rPr>
  </w:style>
  <w:style w:type="paragraph" w:customStyle="1" w:styleId="SOHeadBold">
    <w:name w:val="SO HeadBold"/>
    <w:aliases w:val="sohb"/>
    <w:basedOn w:val="SOText"/>
    <w:next w:val="SOText"/>
    <w:link w:val="SOHeadBoldChar"/>
    <w:qFormat/>
    <w:rsid w:val="007B00E0"/>
    <w:rPr>
      <w:b/>
    </w:rPr>
  </w:style>
  <w:style w:type="character" w:customStyle="1" w:styleId="SOHeadBoldChar">
    <w:name w:val="SO HeadBold Char"/>
    <w:aliases w:val="sohb Char"/>
    <w:basedOn w:val="DefaultParagraphFont"/>
    <w:link w:val="SOHeadBold"/>
    <w:rsid w:val="007B00E0"/>
    <w:rPr>
      <w:b/>
      <w:sz w:val="22"/>
    </w:rPr>
  </w:style>
  <w:style w:type="paragraph" w:customStyle="1" w:styleId="SOHeadItalic">
    <w:name w:val="SO HeadItalic"/>
    <w:aliases w:val="sohi"/>
    <w:basedOn w:val="SOText"/>
    <w:next w:val="SOText"/>
    <w:link w:val="SOHeadItalicChar"/>
    <w:qFormat/>
    <w:rsid w:val="007B00E0"/>
    <w:rPr>
      <w:i/>
    </w:rPr>
  </w:style>
  <w:style w:type="character" w:customStyle="1" w:styleId="SOHeadItalicChar">
    <w:name w:val="SO HeadItalic Char"/>
    <w:aliases w:val="sohi Char"/>
    <w:basedOn w:val="DefaultParagraphFont"/>
    <w:link w:val="SOHeadItalic"/>
    <w:rsid w:val="007B00E0"/>
    <w:rPr>
      <w:i/>
      <w:sz w:val="22"/>
    </w:rPr>
  </w:style>
  <w:style w:type="paragraph" w:customStyle="1" w:styleId="SOBullet">
    <w:name w:val="SO Bullet"/>
    <w:aliases w:val="sotb"/>
    <w:basedOn w:val="SOText"/>
    <w:link w:val="SOBulletChar"/>
    <w:qFormat/>
    <w:rsid w:val="007B00E0"/>
    <w:pPr>
      <w:ind w:left="1559" w:hanging="425"/>
    </w:pPr>
  </w:style>
  <w:style w:type="character" w:customStyle="1" w:styleId="SOBulletChar">
    <w:name w:val="SO Bullet Char"/>
    <w:aliases w:val="sotb Char"/>
    <w:basedOn w:val="DefaultParagraphFont"/>
    <w:link w:val="SOBullet"/>
    <w:rsid w:val="007B00E0"/>
    <w:rPr>
      <w:sz w:val="22"/>
    </w:rPr>
  </w:style>
  <w:style w:type="paragraph" w:customStyle="1" w:styleId="SOBulletNote">
    <w:name w:val="SO BulletNote"/>
    <w:aliases w:val="sonb"/>
    <w:basedOn w:val="SOTextNote"/>
    <w:link w:val="SOBulletNoteChar"/>
    <w:qFormat/>
    <w:rsid w:val="007B00E0"/>
    <w:pPr>
      <w:tabs>
        <w:tab w:val="left" w:pos="1560"/>
      </w:tabs>
      <w:ind w:left="2268" w:hanging="1134"/>
    </w:pPr>
  </w:style>
  <w:style w:type="character" w:customStyle="1" w:styleId="SOBulletNoteChar">
    <w:name w:val="SO BulletNote Char"/>
    <w:aliases w:val="sonb Char"/>
    <w:basedOn w:val="DefaultParagraphFont"/>
    <w:link w:val="SOBulletNote"/>
    <w:rsid w:val="007B00E0"/>
    <w:rPr>
      <w:sz w:val="18"/>
    </w:rPr>
  </w:style>
  <w:style w:type="paragraph" w:customStyle="1" w:styleId="SOText2">
    <w:name w:val="SO Text2"/>
    <w:aliases w:val="sot2"/>
    <w:basedOn w:val="Normal"/>
    <w:next w:val="SOText"/>
    <w:link w:val="SOText2Char"/>
    <w:rsid w:val="007B00E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B00E0"/>
    <w:rPr>
      <w:sz w:val="22"/>
    </w:rPr>
  </w:style>
  <w:style w:type="paragraph" w:customStyle="1" w:styleId="SubPartCASA">
    <w:name w:val="SubPart(CASA)"/>
    <w:aliases w:val="csp"/>
    <w:basedOn w:val="OPCParaBase"/>
    <w:next w:val="ActHead3"/>
    <w:rsid w:val="007B00E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B00E0"/>
    <w:rPr>
      <w:rFonts w:eastAsia="Times New Roman" w:cs="Times New Roman"/>
      <w:sz w:val="22"/>
      <w:lang w:eastAsia="en-AU"/>
    </w:rPr>
  </w:style>
  <w:style w:type="character" w:customStyle="1" w:styleId="notetextChar">
    <w:name w:val="note(text) Char"/>
    <w:aliases w:val="n Char"/>
    <w:basedOn w:val="DefaultParagraphFont"/>
    <w:link w:val="notetext"/>
    <w:rsid w:val="007B00E0"/>
    <w:rPr>
      <w:rFonts w:eastAsia="Times New Roman" w:cs="Times New Roman"/>
      <w:sz w:val="18"/>
      <w:lang w:eastAsia="en-AU"/>
    </w:rPr>
  </w:style>
  <w:style w:type="character" w:customStyle="1" w:styleId="Heading1Char">
    <w:name w:val="Heading 1 Char"/>
    <w:basedOn w:val="DefaultParagraphFont"/>
    <w:link w:val="Heading1"/>
    <w:uiPriority w:val="9"/>
    <w:rsid w:val="007B00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00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B00E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B00E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B00E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B00E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B00E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B00E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B00E0"/>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B00E0"/>
    <w:rPr>
      <w:rFonts w:ascii="Arial" w:hAnsi="Arial" w:cs="Arial" w:hint="default"/>
      <w:b/>
      <w:bCs/>
      <w:sz w:val="28"/>
      <w:szCs w:val="28"/>
    </w:rPr>
  </w:style>
  <w:style w:type="paragraph" w:styleId="Index1">
    <w:name w:val="index 1"/>
    <w:basedOn w:val="Normal"/>
    <w:next w:val="Normal"/>
    <w:autoRedefine/>
    <w:rsid w:val="007B00E0"/>
    <w:pPr>
      <w:ind w:left="240" w:hanging="240"/>
    </w:pPr>
  </w:style>
  <w:style w:type="paragraph" w:styleId="Index2">
    <w:name w:val="index 2"/>
    <w:basedOn w:val="Normal"/>
    <w:next w:val="Normal"/>
    <w:autoRedefine/>
    <w:rsid w:val="007B00E0"/>
    <w:pPr>
      <w:ind w:left="480" w:hanging="240"/>
    </w:pPr>
  </w:style>
  <w:style w:type="paragraph" w:styleId="Index3">
    <w:name w:val="index 3"/>
    <w:basedOn w:val="Normal"/>
    <w:next w:val="Normal"/>
    <w:autoRedefine/>
    <w:rsid w:val="007B00E0"/>
    <w:pPr>
      <w:ind w:left="720" w:hanging="240"/>
    </w:pPr>
  </w:style>
  <w:style w:type="paragraph" w:styleId="Index4">
    <w:name w:val="index 4"/>
    <w:basedOn w:val="Normal"/>
    <w:next w:val="Normal"/>
    <w:autoRedefine/>
    <w:rsid w:val="007B00E0"/>
    <w:pPr>
      <w:ind w:left="960" w:hanging="240"/>
    </w:pPr>
  </w:style>
  <w:style w:type="paragraph" w:styleId="Index5">
    <w:name w:val="index 5"/>
    <w:basedOn w:val="Normal"/>
    <w:next w:val="Normal"/>
    <w:autoRedefine/>
    <w:rsid w:val="007B00E0"/>
    <w:pPr>
      <w:ind w:left="1200" w:hanging="240"/>
    </w:pPr>
  </w:style>
  <w:style w:type="paragraph" w:styleId="Index6">
    <w:name w:val="index 6"/>
    <w:basedOn w:val="Normal"/>
    <w:next w:val="Normal"/>
    <w:autoRedefine/>
    <w:rsid w:val="007B00E0"/>
    <w:pPr>
      <w:ind w:left="1440" w:hanging="240"/>
    </w:pPr>
  </w:style>
  <w:style w:type="paragraph" w:styleId="Index7">
    <w:name w:val="index 7"/>
    <w:basedOn w:val="Normal"/>
    <w:next w:val="Normal"/>
    <w:autoRedefine/>
    <w:rsid w:val="007B00E0"/>
    <w:pPr>
      <w:ind w:left="1680" w:hanging="240"/>
    </w:pPr>
  </w:style>
  <w:style w:type="paragraph" w:styleId="Index8">
    <w:name w:val="index 8"/>
    <w:basedOn w:val="Normal"/>
    <w:next w:val="Normal"/>
    <w:autoRedefine/>
    <w:rsid w:val="007B00E0"/>
    <w:pPr>
      <w:ind w:left="1920" w:hanging="240"/>
    </w:pPr>
  </w:style>
  <w:style w:type="paragraph" w:styleId="Index9">
    <w:name w:val="index 9"/>
    <w:basedOn w:val="Normal"/>
    <w:next w:val="Normal"/>
    <w:autoRedefine/>
    <w:rsid w:val="007B00E0"/>
    <w:pPr>
      <w:ind w:left="2160" w:hanging="240"/>
    </w:pPr>
  </w:style>
  <w:style w:type="paragraph" w:styleId="NormalIndent">
    <w:name w:val="Normal Indent"/>
    <w:basedOn w:val="Normal"/>
    <w:rsid w:val="007B00E0"/>
    <w:pPr>
      <w:ind w:left="720"/>
    </w:pPr>
  </w:style>
  <w:style w:type="paragraph" w:styleId="FootnoteText">
    <w:name w:val="footnote text"/>
    <w:basedOn w:val="Normal"/>
    <w:link w:val="FootnoteTextChar"/>
    <w:rsid w:val="007B00E0"/>
    <w:rPr>
      <w:sz w:val="20"/>
    </w:rPr>
  </w:style>
  <w:style w:type="character" w:customStyle="1" w:styleId="FootnoteTextChar">
    <w:name w:val="Footnote Text Char"/>
    <w:basedOn w:val="DefaultParagraphFont"/>
    <w:link w:val="FootnoteText"/>
    <w:rsid w:val="007B00E0"/>
  </w:style>
  <w:style w:type="paragraph" w:styleId="CommentText">
    <w:name w:val="annotation text"/>
    <w:basedOn w:val="Normal"/>
    <w:link w:val="CommentTextChar"/>
    <w:rsid w:val="007B00E0"/>
    <w:rPr>
      <w:sz w:val="20"/>
    </w:rPr>
  </w:style>
  <w:style w:type="character" w:customStyle="1" w:styleId="CommentTextChar">
    <w:name w:val="Comment Text Char"/>
    <w:basedOn w:val="DefaultParagraphFont"/>
    <w:link w:val="CommentText"/>
    <w:rsid w:val="007B00E0"/>
  </w:style>
  <w:style w:type="paragraph" w:styleId="IndexHeading">
    <w:name w:val="index heading"/>
    <w:basedOn w:val="Normal"/>
    <w:next w:val="Index1"/>
    <w:rsid w:val="007B00E0"/>
    <w:rPr>
      <w:rFonts w:ascii="Arial" w:hAnsi="Arial" w:cs="Arial"/>
      <w:b/>
      <w:bCs/>
    </w:rPr>
  </w:style>
  <w:style w:type="paragraph" w:styleId="Caption">
    <w:name w:val="caption"/>
    <w:basedOn w:val="Normal"/>
    <w:next w:val="Normal"/>
    <w:qFormat/>
    <w:rsid w:val="007B00E0"/>
    <w:pPr>
      <w:spacing w:before="120" w:after="120"/>
    </w:pPr>
    <w:rPr>
      <w:b/>
      <w:bCs/>
      <w:sz w:val="20"/>
    </w:rPr>
  </w:style>
  <w:style w:type="paragraph" w:styleId="TableofFigures">
    <w:name w:val="table of figures"/>
    <w:basedOn w:val="Normal"/>
    <w:next w:val="Normal"/>
    <w:rsid w:val="007B00E0"/>
    <w:pPr>
      <w:ind w:left="480" w:hanging="480"/>
    </w:pPr>
  </w:style>
  <w:style w:type="paragraph" w:styleId="EnvelopeAddress">
    <w:name w:val="envelope address"/>
    <w:basedOn w:val="Normal"/>
    <w:rsid w:val="007B00E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00E0"/>
    <w:rPr>
      <w:rFonts w:ascii="Arial" w:hAnsi="Arial" w:cs="Arial"/>
      <w:sz w:val="20"/>
    </w:rPr>
  </w:style>
  <w:style w:type="character" w:styleId="FootnoteReference">
    <w:name w:val="footnote reference"/>
    <w:basedOn w:val="DefaultParagraphFont"/>
    <w:rsid w:val="007B00E0"/>
    <w:rPr>
      <w:rFonts w:ascii="Times New Roman" w:hAnsi="Times New Roman"/>
      <w:sz w:val="20"/>
      <w:vertAlign w:val="superscript"/>
    </w:rPr>
  </w:style>
  <w:style w:type="character" w:styleId="CommentReference">
    <w:name w:val="annotation reference"/>
    <w:basedOn w:val="DefaultParagraphFont"/>
    <w:rsid w:val="007B00E0"/>
    <w:rPr>
      <w:sz w:val="16"/>
      <w:szCs w:val="16"/>
    </w:rPr>
  </w:style>
  <w:style w:type="character" w:styleId="PageNumber">
    <w:name w:val="page number"/>
    <w:basedOn w:val="DefaultParagraphFont"/>
    <w:rsid w:val="007B00E0"/>
  </w:style>
  <w:style w:type="character" w:styleId="EndnoteReference">
    <w:name w:val="endnote reference"/>
    <w:basedOn w:val="DefaultParagraphFont"/>
    <w:rsid w:val="007B00E0"/>
    <w:rPr>
      <w:vertAlign w:val="superscript"/>
    </w:rPr>
  </w:style>
  <w:style w:type="paragraph" w:styleId="EndnoteText">
    <w:name w:val="endnote text"/>
    <w:basedOn w:val="Normal"/>
    <w:link w:val="EndnoteTextChar"/>
    <w:rsid w:val="007B00E0"/>
    <w:rPr>
      <w:sz w:val="20"/>
    </w:rPr>
  </w:style>
  <w:style w:type="character" w:customStyle="1" w:styleId="EndnoteTextChar">
    <w:name w:val="Endnote Text Char"/>
    <w:basedOn w:val="DefaultParagraphFont"/>
    <w:link w:val="EndnoteText"/>
    <w:rsid w:val="007B00E0"/>
  </w:style>
  <w:style w:type="paragraph" w:styleId="TableofAuthorities">
    <w:name w:val="table of authorities"/>
    <w:basedOn w:val="Normal"/>
    <w:next w:val="Normal"/>
    <w:rsid w:val="007B00E0"/>
    <w:pPr>
      <w:ind w:left="240" w:hanging="240"/>
    </w:pPr>
  </w:style>
  <w:style w:type="paragraph" w:styleId="MacroText">
    <w:name w:val="macro"/>
    <w:link w:val="MacroTextChar"/>
    <w:rsid w:val="007B00E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B00E0"/>
    <w:rPr>
      <w:rFonts w:ascii="Courier New" w:eastAsia="Times New Roman" w:hAnsi="Courier New" w:cs="Courier New"/>
      <w:lang w:eastAsia="en-AU"/>
    </w:rPr>
  </w:style>
  <w:style w:type="paragraph" w:styleId="TOAHeading">
    <w:name w:val="toa heading"/>
    <w:basedOn w:val="Normal"/>
    <w:next w:val="Normal"/>
    <w:rsid w:val="007B00E0"/>
    <w:pPr>
      <w:spacing w:before="120"/>
    </w:pPr>
    <w:rPr>
      <w:rFonts w:ascii="Arial" w:hAnsi="Arial" w:cs="Arial"/>
      <w:b/>
      <w:bCs/>
    </w:rPr>
  </w:style>
  <w:style w:type="paragraph" w:styleId="List">
    <w:name w:val="List"/>
    <w:basedOn w:val="Normal"/>
    <w:rsid w:val="007B00E0"/>
    <w:pPr>
      <w:ind w:left="283" w:hanging="283"/>
    </w:pPr>
  </w:style>
  <w:style w:type="paragraph" w:styleId="ListBullet">
    <w:name w:val="List Bullet"/>
    <w:basedOn w:val="Normal"/>
    <w:autoRedefine/>
    <w:rsid w:val="007B00E0"/>
    <w:pPr>
      <w:tabs>
        <w:tab w:val="num" w:pos="360"/>
      </w:tabs>
      <w:ind w:left="360" w:hanging="360"/>
    </w:pPr>
  </w:style>
  <w:style w:type="paragraph" w:styleId="ListNumber">
    <w:name w:val="List Number"/>
    <w:basedOn w:val="Normal"/>
    <w:rsid w:val="007B00E0"/>
    <w:pPr>
      <w:tabs>
        <w:tab w:val="num" w:pos="360"/>
      </w:tabs>
      <w:ind w:left="360" w:hanging="360"/>
    </w:pPr>
  </w:style>
  <w:style w:type="paragraph" w:styleId="List2">
    <w:name w:val="List 2"/>
    <w:basedOn w:val="Normal"/>
    <w:rsid w:val="007B00E0"/>
    <w:pPr>
      <w:ind w:left="566" w:hanging="283"/>
    </w:pPr>
  </w:style>
  <w:style w:type="paragraph" w:styleId="List3">
    <w:name w:val="List 3"/>
    <w:basedOn w:val="Normal"/>
    <w:rsid w:val="007B00E0"/>
    <w:pPr>
      <w:ind w:left="849" w:hanging="283"/>
    </w:pPr>
  </w:style>
  <w:style w:type="paragraph" w:styleId="List4">
    <w:name w:val="List 4"/>
    <w:basedOn w:val="Normal"/>
    <w:rsid w:val="007B00E0"/>
    <w:pPr>
      <w:ind w:left="1132" w:hanging="283"/>
    </w:pPr>
  </w:style>
  <w:style w:type="paragraph" w:styleId="List5">
    <w:name w:val="List 5"/>
    <w:basedOn w:val="Normal"/>
    <w:rsid w:val="007B00E0"/>
    <w:pPr>
      <w:ind w:left="1415" w:hanging="283"/>
    </w:pPr>
  </w:style>
  <w:style w:type="paragraph" w:styleId="ListBullet2">
    <w:name w:val="List Bullet 2"/>
    <w:basedOn w:val="Normal"/>
    <w:autoRedefine/>
    <w:rsid w:val="007B00E0"/>
    <w:pPr>
      <w:tabs>
        <w:tab w:val="num" w:pos="360"/>
      </w:tabs>
    </w:pPr>
  </w:style>
  <w:style w:type="paragraph" w:styleId="ListBullet3">
    <w:name w:val="List Bullet 3"/>
    <w:basedOn w:val="Normal"/>
    <w:autoRedefine/>
    <w:rsid w:val="007B00E0"/>
    <w:pPr>
      <w:tabs>
        <w:tab w:val="num" w:pos="926"/>
      </w:tabs>
      <w:ind w:left="926" w:hanging="360"/>
    </w:pPr>
  </w:style>
  <w:style w:type="paragraph" w:styleId="ListBullet4">
    <w:name w:val="List Bullet 4"/>
    <w:basedOn w:val="Normal"/>
    <w:autoRedefine/>
    <w:rsid w:val="007B00E0"/>
    <w:pPr>
      <w:tabs>
        <w:tab w:val="num" w:pos="1209"/>
      </w:tabs>
      <w:ind w:left="1209" w:hanging="360"/>
    </w:pPr>
  </w:style>
  <w:style w:type="paragraph" w:styleId="ListBullet5">
    <w:name w:val="List Bullet 5"/>
    <w:basedOn w:val="Normal"/>
    <w:autoRedefine/>
    <w:rsid w:val="007B00E0"/>
    <w:pPr>
      <w:tabs>
        <w:tab w:val="num" w:pos="1492"/>
      </w:tabs>
      <w:ind w:left="1492" w:hanging="360"/>
    </w:pPr>
  </w:style>
  <w:style w:type="paragraph" w:styleId="ListNumber2">
    <w:name w:val="List Number 2"/>
    <w:basedOn w:val="Normal"/>
    <w:rsid w:val="007B00E0"/>
    <w:pPr>
      <w:tabs>
        <w:tab w:val="num" w:pos="643"/>
      </w:tabs>
      <w:ind w:left="643" w:hanging="360"/>
    </w:pPr>
  </w:style>
  <w:style w:type="paragraph" w:styleId="ListNumber3">
    <w:name w:val="List Number 3"/>
    <w:basedOn w:val="Normal"/>
    <w:rsid w:val="007B00E0"/>
    <w:pPr>
      <w:tabs>
        <w:tab w:val="num" w:pos="926"/>
      </w:tabs>
      <w:ind w:left="926" w:hanging="360"/>
    </w:pPr>
  </w:style>
  <w:style w:type="paragraph" w:styleId="ListNumber4">
    <w:name w:val="List Number 4"/>
    <w:basedOn w:val="Normal"/>
    <w:rsid w:val="007B00E0"/>
    <w:pPr>
      <w:tabs>
        <w:tab w:val="num" w:pos="1209"/>
      </w:tabs>
      <w:ind w:left="1209" w:hanging="360"/>
    </w:pPr>
  </w:style>
  <w:style w:type="paragraph" w:styleId="ListNumber5">
    <w:name w:val="List Number 5"/>
    <w:basedOn w:val="Normal"/>
    <w:rsid w:val="007B00E0"/>
    <w:pPr>
      <w:tabs>
        <w:tab w:val="num" w:pos="1492"/>
      </w:tabs>
      <w:ind w:left="1492" w:hanging="360"/>
    </w:pPr>
  </w:style>
  <w:style w:type="paragraph" w:styleId="Title">
    <w:name w:val="Title"/>
    <w:basedOn w:val="Normal"/>
    <w:link w:val="TitleChar"/>
    <w:qFormat/>
    <w:rsid w:val="007B00E0"/>
    <w:pPr>
      <w:spacing w:before="240" w:after="60"/>
    </w:pPr>
    <w:rPr>
      <w:rFonts w:ascii="Arial" w:hAnsi="Arial" w:cs="Arial"/>
      <w:b/>
      <w:bCs/>
      <w:sz w:val="40"/>
      <w:szCs w:val="40"/>
    </w:rPr>
  </w:style>
  <w:style w:type="character" w:customStyle="1" w:styleId="TitleChar">
    <w:name w:val="Title Char"/>
    <w:basedOn w:val="DefaultParagraphFont"/>
    <w:link w:val="Title"/>
    <w:rsid w:val="007B00E0"/>
    <w:rPr>
      <w:rFonts w:ascii="Arial" w:hAnsi="Arial" w:cs="Arial"/>
      <w:b/>
      <w:bCs/>
      <w:sz w:val="40"/>
      <w:szCs w:val="40"/>
    </w:rPr>
  </w:style>
  <w:style w:type="paragraph" w:styleId="Closing">
    <w:name w:val="Closing"/>
    <w:basedOn w:val="Normal"/>
    <w:link w:val="ClosingChar"/>
    <w:rsid w:val="007B00E0"/>
    <w:pPr>
      <w:ind w:left="4252"/>
    </w:pPr>
  </w:style>
  <w:style w:type="character" w:customStyle="1" w:styleId="ClosingChar">
    <w:name w:val="Closing Char"/>
    <w:basedOn w:val="DefaultParagraphFont"/>
    <w:link w:val="Closing"/>
    <w:rsid w:val="007B00E0"/>
    <w:rPr>
      <w:sz w:val="22"/>
    </w:rPr>
  </w:style>
  <w:style w:type="paragraph" w:styleId="Signature">
    <w:name w:val="Signature"/>
    <w:basedOn w:val="Normal"/>
    <w:link w:val="SignatureChar"/>
    <w:rsid w:val="007B00E0"/>
    <w:pPr>
      <w:ind w:left="4252"/>
    </w:pPr>
  </w:style>
  <w:style w:type="character" w:customStyle="1" w:styleId="SignatureChar">
    <w:name w:val="Signature Char"/>
    <w:basedOn w:val="DefaultParagraphFont"/>
    <w:link w:val="Signature"/>
    <w:rsid w:val="007B00E0"/>
    <w:rPr>
      <w:sz w:val="22"/>
    </w:rPr>
  </w:style>
  <w:style w:type="paragraph" w:styleId="BodyText">
    <w:name w:val="Body Text"/>
    <w:basedOn w:val="Normal"/>
    <w:link w:val="BodyTextChar"/>
    <w:rsid w:val="007B00E0"/>
    <w:pPr>
      <w:spacing w:after="120"/>
    </w:pPr>
  </w:style>
  <w:style w:type="character" w:customStyle="1" w:styleId="BodyTextChar">
    <w:name w:val="Body Text Char"/>
    <w:basedOn w:val="DefaultParagraphFont"/>
    <w:link w:val="BodyText"/>
    <w:rsid w:val="007B00E0"/>
    <w:rPr>
      <w:sz w:val="22"/>
    </w:rPr>
  </w:style>
  <w:style w:type="paragraph" w:styleId="BodyTextIndent">
    <w:name w:val="Body Text Indent"/>
    <w:basedOn w:val="Normal"/>
    <w:link w:val="BodyTextIndentChar"/>
    <w:rsid w:val="007B00E0"/>
    <w:pPr>
      <w:spacing w:after="120"/>
      <w:ind w:left="283"/>
    </w:pPr>
  </w:style>
  <w:style w:type="character" w:customStyle="1" w:styleId="BodyTextIndentChar">
    <w:name w:val="Body Text Indent Char"/>
    <w:basedOn w:val="DefaultParagraphFont"/>
    <w:link w:val="BodyTextIndent"/>
    <w:rsid w:val="007B00E0"/>
    <w:rPr>
      <w:sz w:val="22"/>
    </w:rPr>
  </w:style>
  <w:style w:type="paragraph" w:styleId="ListContinue">
    <w:name w:val="List Continue"/>
    <w:basedOn w:val="Normal"/>
    <w:rsid w:val="007B00E0"/>
    <w:pPr>
      <w:spacing w:after="120"/>
      <w:ind w:left="283"/>
    </w:pPr>
  </w:style>
  <w:style w:type="paragraph" w:styleId="ListContinue2">
    <w:name w:val="List Continue 2"/>
    <w:basedOn w:val="Normal"/>
    <w:rsid w:val="007B00E0"/>
    <w:pPr>
      <w:spacing w:after="120"/>
      <w:ind w:left="566"/>
    </w:pPr>
  </w:style>
  <w:style w:type="paragraph" w:styleId="ListContinue3">
    <w:name w:val="List Continue 3"/>
    <w:basedOn w:val="Normal"/>
    <w:rsid w:val="007B00E0"/>
    <w:pPr>
      <w:spacing w:after="120"/>
      <w:ind w:left="849"/>
    </w:pPr>
  </w:style>
  <w:style w:type="paragraph" w:styleId="ListContinue4">
    <w:name w:val="List Continue 4"/>
    <w:basedOn w:val="Normal"/>
    <w:rsid w:val="007B00E0"/>
    <w:pPr>
      <w:spacing w:after="120"/>
      <w:ind w:left="1132"/>
    </w:pPr>
  </w:style>
  <w:style w:type="paragraph" w:styleId="ListContinue5">
    <w:name w:val="List Continue 5"/>
    <w:basedOn w:val="Normal"/>
    <w:rsid w:val="007B00E0"/>
    <w:pPr>
      <w:spacing w:after="120"/>
      <w:ind w:left="1415"/>
    </w:pPr>
  </w:style>
  <w:style w:type="paragraph" w:styleId="MessageHeader">
    <w:name w:val="Message Header"/>
    <w:basedOn w:val="Normal"/>
    <w:link w:val="MessageHeaderChar"/>
    <w:rsid w:val="007B00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B00E0"/>
    <w:rPr>
      <w:rFonts w:ascii="Arial" w:hAnsi="Arial" w:cs="Arial"/>
      <w:sz w:val="22"/>
      <w:shd w:val="pct20" w:color="auto" w:fill="auto"/>
    </w:rPr>
  </w:style>
  <w:style w:type="paragraph" w:styleId="Subtitle">
    <w:name w:val="Subtitle"/>
    <w:basedOn w:val="Normal"/>
    <w:link w:val="SubtitleChar"/>
    <w:qFormat/>
    <w:rsid w:val="007B00E0"/>
    <w:pPr>
      <w:spacing w:after="60"/>
      <w:jc w:val="center"/>
      <w:outlineLvl w:val="1"/>
    </w:pPr>
    <w:rPr>
      <w:rFonts w:ascii="Arial" w:hAnsi="Arial" w:cs="Arial"/>
    </w:rPr>
  </w:style>
  <w:style w:type="character" w:customStyle="1" w:styleId="SubtitleChar">
    <w:name w:val="Subtitle Char"/>
    <w:basedOn w:val="DefaultParagraphFont"/>
    <w:link w:val="Subtitle"/>
    <w:rsid w:val="007B00E0"/>
    <w:rPr>
      <w:rFonts w:ascii="Arial" w:hAnsi="Arial" w:cs="Arial"/>
      <w:sz w:val="22"/>
    </w:rPr>
  </w:style>
  <w:style w:type="paragraph" w:styleId="Salutation">
    <w:name w:val="Salutation"/>
    <w:basedOn w:val="Normal"/>
    <w:next w:val="Normal"/>
    <w:link w:val="SalutationChar"/>
    <w:rsid w:val="007B00E0"/>
  </w:style>
  <w:style w:type="character" w:customStyle="1" w:styleId="SalutationChar">
    <w:name w:val="Salutation Char"/>
    <w:basedOn w:val="DefaultParagraphFont"/>
    <w:link w:val="Salutation"/>
    <w:rsid w:val="007B00E0"/>
    <w:rPr>
      <w:sz w:val="22"/>
    </w:rPr>
  </w:style>
  <w:style w:type="paragraph" w:styleId="Date">
    <w:name w:val="Date"/>
    <w:basedOn w:val="Normal"/>
    <w:next w:val="Normal"/>
    <w:link w:val="DateChar"/>
    <w:rsid w:val="007B00E0"/>
  </w:style>
  <w:style w:type="character" w:customStyle="1" w:styleId="DateChar">
    <w:name w:val="Date Char"/>
    <w:basedOn w:val="DefaultParagraphFont"/>
    <w:link w:val="Date"/>
    <w:rsid w:val="007B00E0"/>
    <w:rPr>
      <w:sz w:val="22"/>
    </w:rPr>
  </w:style>
  <w:style w:type="paragraph" w:styleId="BodyTextFirstIndent">
    <w:name w:val="Body Text First Indent"/>
    <w:basedOn w:val="BodyText"/>
    <w:link w:val="BodyTextFirstIndentChar"/>
    <w:rsid w:val="007B00E0"/>
    <w:pPr>
      <w:ind w:firstLine="210"/>
    </w:pPr>
  </w:style>
  <w:style w:type="character" w:customStyle="1" w:styleId="BodyTextFirstIndentChar">
    <w:name w:val="Body Text First Indent Char"/>
    <w:basedOn w:val="BodyTextChar"/>
    <w:link w:val="BodyTextFirstIndent"/>
    <w:rsid w:val="007B00E0"/>
    <w:rPr>
      <w:sz w:val="22"/>
    </w:rPr>
  </w:style>
  <w:style w:type="paragraph" w:styleId="BodyTextFirstIndent2">
    <w:name w:val="Body Text First Indent 2"/>
    <w:basedOn w:val="BodyTextIndent"/>
    <w:link w:val="BodyTextFirstIndent2Char"/>
    <w:rsid w:val="007B00E0"/>
    <w:pPr>
      <w:ind w:firstLine="210"/>
    </w:pPr>
  </w:style>
  <w:style w:type="character" w:customStyle="1" w:styleId="BodyTextFirstIndent2Char">
    <w:name w:val="Body Text First Indent 2 Char"/>
    <w:basedOn w:val="BodyTextIndentChar"/>
    <w:link w:val="BodyTextFirstIndent2"/>
    <w:rsid w:val="007B00E0"/>
    <w:rPr>
      <w:sz w:val="22"/>
    </w:rPr>
  </w:style>
  <w:style w:type="paragraph" w:styleId="BodyText2">
    <w:name w:val="Body Text 2"/>
    <w:basedOn w:val="Normal"/>
    <w:link w:val="BodyText2Char"/>
    <w:rsid w:val="007B00E0"/>
    <w:pPr>
      <w:spacing w:after="120" w:line="480" w:lineRule="auto"/>
    </w:pPr>
  </w:style>
  <w:style w:type="character" w:customStyle="1" w:styleId="BodyText2Char">
    <w:name w:val="Body Text 2 Char"/>
    <w:basedOn w:val="DefaultParagraphFont"/>
    <w:link w:val="BodyText2"/>
    <w:rsid w:val="007B00E0"/>
    <w:rPr>
      <w:sz w:val="22"/>
    </w:rPr>
  </w:style>
  <w:style w:type="paragraph" w:styleId="BodyText3">
    <w:name w:val="Body Text 3"/>
    <w:basedOn w:val="Normal"/>
    <w:link w:val="BodyText3Char"/>
    <w:rsid w:val="007B00E0"/>
    <w:pPr>
      <w:spacing w:after="120"/>
    </w:pPr>
    <w:rPr>
      <w:sz w:val="16"/>
      <w:szCs w:val="16"/>
    </w:rPr>
  </w:style>
  <w:style w:type="character" w:customStyle="1" w:styleId="BodyText3Char">
    <w:name w:val="Body Text 3 Char"/>
    <w:basedOn w:val="DefaultParagraphFont"/>
    <w:link w:val="BodyText3"/>
    <w:rsid w:val="007B00E0"/>
    <w:rPr>
      <w:sz w:val="16"/>
      <w:szCs w:val="16"/>
    </w:rPr>
  </w:style>
  <w:style w:type="paragraph" w:styleId="BodyTextIndent2">
    <w:name w:val="Body Text Indent 2"/>
    <w:basedOn w:val="Normal"/>
    <w:link w:val="BodyTextIndent2Char"/>
    <w:rsid w:val="007B00E0"/>
    <w:pPr>
      <w:spacing w:after="120" w:line="480" w:lineRule="auto"/>
      <w:ind w:left="283"/>
    </w:pPr>
  </w:style>
  <w:style w:type="character" w:customStyle="1" w:styleId="BodyTextIndent2Char">
    <w:name w:val="Body Text Indent 2 Char"/>
    <w:basedOn w:val="DefaultParagraphFont"/>
    <w:link w:val="BodyTextIndent2"/>
    <w:rsid w:val="007B00E0"/>
    <w:rPr>
      <w:sz w:val="22"/>
    </w:rPr>
  </w:style>
  <w:style w:type="paragraph" w:styleId="BodyTextIndent3">
    <w:name w:val="Body Text Indent 3"/>
    <w:basedOn w:val="Normal"/>
    <w:link w:val="BodyTextIndent3Char"/>
    <w:rsid w:val="007B00E0"/>
    <w:pPr>
      <w:spacing w:after="120"/>
      <w:ind w:left="283"/>
    </w:pPr>
    <w:rPr>
      <w:sz w:val="16"/>
      <w:szCs w:val="16"/>
    </w:rPr>
  </w:style>
  <w:style w:type="character" w:customStyle="1" w:styleId="BodyTextIndent3Char">
    <w:name w:val="Body Text Indent 3 Char"/>
    <w:basedOn w:val="DefaultParagraphFont"/>
    <w:link w:val="BodyTextIndent3"/>
    <w:rsid w:val="007B00E0"/>
    <w:rPr>
      <w:sz w:val="16"/>
      <w:szCs w:val="16"/>
    </w:rPr>
  </w:style>
  <w:style w:type="paragraph" w:styleId="BlockText">
    <w:name w:val="Block Text"/>
    <w:basedOn w:val="Normal"/>
    <w:rsid w:val="007B00E0"/>
    <w:pPr>
      <w:spacing w:after="120"/>
      <w:ind w:left="1440" w:right="1440"/>
    </w:pPr>
  </w:style>
  <w:style w:type="character" w:styleId="Hyperlink">
    <w:name w:val="Hyperlink"/>
    <w:basedOn w:val="DefaultParagraphFont"/>
    <w:rsid w:val="007B00E0"/>
    <w:rPr>
      <w:color w:val="0000FF"/>
      <w:u w:val="single"/>
    </w:rPr>
  </w:style>
  <w:style w:type="character" w:styleId="FollowedHyperlink">
    <w:name w:val="FollowedHyperlink"/>
    <w:basedOn w:val="DefaultParagraphFont"/>
    <w:rsid w:val="007B00E0"/>
    <w:rPr>
      <w:color w:val="800080"/>
      <w:u w:val="single"/>
    </w:rPr>
  </w:style>
  <w:style w:type="character" w:styleId="Strong">
    <w:name w:val="Strong"/>
    <w:basedOn w:val="DefaultParagraphFont"/>
    <w:qFormat/>
    <w:rsid w:val="007B00E0"/>
    <w:rPr>
      <w:b/>
      <w:bCs/>
    </w:rPr>
  </w:style>
  <w:style w:type="character" w:styleId="Emphasis">
    <w:name w:val="Emphasis"/>
    <w:basedOn w:val="DefaultParagraphFont"/>
    <w:qFormat/>
    <w:rsid w:val="007B00E0"/>
    <w:rPr>
      <w:i/>
      <w:iCs/>
    </w:rPr>
  </w:style>
  <w:style w:type="paragraph" w:styleId="DocumentMap">
    <w:name w:val="Document Map"/>
    <w:basedOn w:val="Normal"/>
    <w:link w:val="DocumentMapChar"/>
    <w:rsid w:val="007B00E0"/>
    <w:pPr>
      <w:shd w:val="clear" w:color="auto" w:fill="000080"/>
    </w:pPr>
    <w:rPr>
      <w:rFonts w:ascii="Tahoma" w:hAnsi="Tahoma" w:cs="Tahoma"/>
    </w:rPr>
  </w:style>
  <w:style w:type="character" w:customStyle="1" w:styleId="DocumentMapChar">
    <w:name w:val="Document Map Char"/>
    <w:basedOn w:val="DefaultParagraphFont"/>
    <w:link w:val="DocumentMap"/>
    <w:rsid w:val="007B00E0"/>
    <w:rPr>
      <w:rFonts w:ascii="Tahoma" w:hAnsi="Tahoma" w:cs="Tahoma"/>
      <w:sz w:val="22"/>
      <w:shd w:val="clear" w:color="auto" w:fill="000080"/>
    </w:rPr>
  </w:style>
  <w:style w:type="paragraph" w:styleId="PlainText">
    <w:name w:val="Plain Text"/>
    <w:basedOn w:val="Normal"/>
    <w:link w:val="PlainTextChar"/>
    <w:rsid w:val="007B00E0"/>
    <w:rPr>
      <w:rFonts w:ascii="Courier New" w:hAnsi="Courier New" w:cs="Courier New"/>
      <w:sz w:val="20"/>
    </w:rPr>
  </w:style>
  <w:style w:type="character" w:customStyle="1" w:styleId="PlainTextChar">
    <w:name w:val="Plain Text Char"/>
    <w:basedOn w:val="DefaultParagraphFont"/>
    <w:link w:val="PlainText"/>
    <w:rsid w:val="007B00E0"/>
    <w:rPr>
      <w:rFonts w:ascii="Courier New" w:hAnsi="Courier New" w:cs="Courier New"/>
    </w:rPr>
  </w:style>
  <w:style w:type="paragraph" w:styleId="E-mailSignature">
    <w:name w:val="E-mail Signature"/>
    <w:basedOn w:val="Normal"/>
    <w:link w:val="E-mailSignatureChar"/>
    <w:rsid w:val="007B00E0"/>
  </w:style>
  <w:style w:type="character" w:customStyle="1" w:styleId="E-mailSignatureChar">
    <w:name w:val="E-mail Signature Char"/>
    <w:basedOn w:val="DefaultParagraphFont"/>
    <w:link w:val="E-mailSignature"/>
    <w:rsid w:val="007B00E0"/>
    <w:rPr>
      <w:sz w:val="22"/>
    </w:rPr>
  </w:style>
  <w:style w:type="paragraph" w:styleId="NormalWeb">
    <w:name w:val="Normal (Web)"/>
    <w:basedOn w:val="Normal"/>
    <w:rsid w:val="007B00E0"/>
  </w:style>
  <w:style w:type="character" w:styleId="HTMLAcronym">
    <w:name w:val="HTML Acronym"/>
    <w:basedOn w:val="DefaultParagraphFont"/>
    <w:rsid w:val="007B00E0"/>
  </w:style>
  <w:style w:type="paragraph" w:styleId="HTMLAddress">
    <w:name w:val="HTML Address"/>
    <w:basedOn w:val="Normal"/>
    <w:link w:val="HTMLAddressChar"/>
    <w:rsid w:val="007B00E0"/>
    <w:rPr>
      <w:i/>
      <w:iCs/>
    </w:rPr>
  </w:style>
  <w:style w:type="character" w:customStyle="1" w:styleId="HTMLAddressChar">
    <w:name w:val="HTML Address Char"/>
    <w:basedOn w:val="DefaultParagraphFont"/>
    <w:link w:val="HTMLAddress"/>
    <w:rsid w:val="007B00E0"/>
    <w:rPr>
      <w:i/>
      <w:iCs/>
      <w:sz w:val="22"/>
    </w:rPr>
  </w:style>
  <w:style w:type="character" w:styleId="HTMLCite">
    <w:name w:val="HTML Cite"/>
    <w:basedOn w:val="DefaultParagraphFont"/>
    <w:rsid w:val="007B00E0"/>
    <w:rPr>
      <w:i/>
      <w:iCs/>
    </w:rPr>
  </w:style>
  <w:style w:type="character" w:styleId="HTMLCode">
    <w:name w:val="HTML Code"/>
    <w:basedOn w:val="DefaultParagraphFont"/>
    <w:rsid w:val="007B00E0"/>
    <w:rPr>
      <w:rFonts w:ascii="Courier New" w:hAnsi="Courier New" w:cs="Courier New"/>
      <w:sz w:val="20"/>
      <w:szCs w:val="20"/>
    </w:rPr>
  </w:style>
  <w:style w:type="character" w:styleId="HTMLDefinition">
    <w:name w:val="HTML Definition"/>
    <w:basedOn w:val="DefaultParagraphFont"/>
    <w:rsid w:val="007B00E0"/>
    <w:rPr>
      <w:i/>
      <w:iCs/>
    </w:rPr>
  </w:style>
  <w:style w:type="character" w:styleId="HTMLKeyboard">
    <w:name w:val="HTML Keyboard"/>
    <w:basedOn w:val="DefaultParagraphFont"/>
    <w:rsid w:val="007B00E0"/>
    <w:rPr>
      <w:rFonts w:ascii="Courier New" w:hAnsi="Courier New" w:cs="Courier New"/>
      <w:sz w:val="20"/>
      <w:szCs w:val="20"/>
    </w:rPr>
  </w:style>
  <w:style w:type="paragraph" w:styleId="HTMLPreformatted">
    <w:name w:val="HTML Preformatted"/>
    <w:basedOn w:val="Normal"/>
    <w:link w:val="HTMLPreformattedChar"/>
    <w:rsid w:val="007B00E0"/>
    <w:rPr>
      <w:rFonts w:ascii="Courier New" w:hAnsi="Courier New" w:cs="Courier New"/>
      <w:sz w:val="20"/>
    </w:rPr>
  </w:style>
  <w:style w:type="character" w:customStyle="1" w:styleId="HTMLPreformattedChar">
    <w:name w:val="HTML Preformatted Char"/>
    <w:basedOn w:val="DefaultParagraphFont"/>
    <w:link w:val="HTMLPreformatted"/>
    <w:rsid w:val="007B00E0"/>
    <w:rPr>
      <w:rFonts w:ascii="Courier New" w:hAnsi="Courier New" w:cs="Courier New"/>
    </w:rPr>
  </w:style>
  <w:style w:type="character" w:styleId="HTMLSample">
    <w:name w:val="HTML Sample"/>
    <w:basedOn w:val="DefaultParagraphFont"/>
    <w:rsid w:val="007B00E0"/>
    <w:rPr>
      <w:rFonts w:ascii="Courier New" w:hAnsi="Courier New" w:cs="Courier New"/>
    </w:rPr>
  </w:style>
  <w:style w:type="character" w:styleId="HTMLTypewriter">
    <w:name w:val="HTML Typewriter"/>
    <w:basedOn w:val="DefaultParagraphFont"/>
    <w:rsid w:val="007B00E0"/>
    <w:rPr>
      <w:rFonts w:ascii="Courier New" w:hAnsi="Courier New" w:cs="Courier New"/>
      <w:sz w:val="20"/>
      <w:szCs w:val="20"/>
    </w:rPr>
  </w:style>
  <w:style w:type="character" w:styleId="HTMLVariable">
    <w:name w:val="HTML Variable"/>
    <w:basedOn w:val="DefaultParagraphFont"/>
    <w:rsid w:val="007B00E0"/>
    <w:rPr>
      <w:i/>
      <w:iCs/>
    </w:rPr>
  </w:style>
  <w:style w:type="paragraph" w:styleId="CommentSubject">
    <w:name w:val="annotation subject"/>
    <w:basedOn w:val="CommentText"/>
    <w:next w:val="CommentText"/>
    <w:link w:val="CommentSubjectChar"/>
    <w:rsid w:val="007B00E0"/>
    <w:rPr>
      <w:b/>
      <w:bCs/>
    </w:rPr>
  </w:style>
  <w:style w:type="character" w:customStyle="1" w:styleId="CommentSubjectChar">
    <w:name w:val="Comment Subject Char"/>
    <w:basedOn w:val="CommentTextChar"/>
    <w:link w:val="CommentSubject"/>
    <w:rsid w:val="007B00E0"/>
    <w:rPr>
      <w:b/>
      <w:bCs/>
    </w:rPr>
  </w:style>
  <w:style w:type="numbering" w:styleId="1ai">
    <w:name w:val="Outline List 1"/>
    <w:basedOn w:val="NoList"/>
    <w:rsid w:val="007B00E0"/>
    <w:pPr>
      <w:numPr>
        <w:numId w:val="14"/>
      </w:numPr>
    </w:pPr>
  </w:style>
  <w:style w:type="numbering" w:styleId="111111">
    <w:name w:val="Outline List 2"/>
    <w:basedOn w:val="NoList"/>
    <w:rsid w:val="007B00E0"/>
    <w:pPr>
      <w:numPr>
        <w:numId w:val="15"/>
      </w:numPr>
    </w:pPr>
  </w:style>
  <w:style w:type="numbering" w:styleId="ArticleSection">
    <w:name w:val="Outline List 3"/>
    <w:basedOn w:val="NoList"/>
    <w:rsid w:val="007B00E0"/>
    <w:pPr>
      <w:numPr>
        <w:numId w:val="17"/>
      </w:numPr>
    </w:pPr>
  </w:style>
  <w:style w:type="table" w:styleId="TableSimple1">
    <w:name w:val="Table Simple 1"/>
    <w:basedOn w:val="TableNormal"/>
    <w:rsid w:val="007B00E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B00E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B00E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B00E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B00E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B00E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B00E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B00E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B00E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B00E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B00E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B00E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B00E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B00E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B00E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B00E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B00E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B00E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B00E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B00E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B00E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B00E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B00E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B00E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B00E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B00E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B00E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B00E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B00E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B00E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B00E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B00E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B00E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B00E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B00E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B00E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B00E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B00E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B00E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B00E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B00E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B00E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B00E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B00E0"/>
    <w:rPr>
      <w:rFonts w:eastAsia="Times New Roman" w:cs="Times New Roman"/>
      <w:b/>
      <w:kern w:val="28"/>
      <w:sz w:val="24"/>
      <w:lang w:eastAsia="en-AU"/>
    </w:rPr>
  </w:style>
  <w:style w:type="paragraph" w:customStyle="1" w:styleId="ETAsubitem">
    <w:name w:val="ETA(subitem)"/>
    <w:basedOn w:val="OPCParaBase"/>
    <w:rsid w:val="007B00E0"/>
    <w:pPr>
      <w:tabs>
        <w:tab w:val="right" w:pos="340"/>
      </w:tabs>
      <w:spacing w:before="60" w:line="240" w:lineRule="auto"/>
      <w:ind w:left="454" w:hanging="454"/>
    </w:pPr>
    <w:rPr>
      <w:sz w:val="20"/>
    </w:rPr>
  </w:style>
  <w:style w:type="paragraph" w:customStyle="1" w:styleId="ETApara">
    <w:name w:val="ETA(para)"/>
    <w:basedOn w:val="OPCParaBase"/>
    <w:rsid w:val="007B00E0"/>
    <w:pPr>
      <w:tabs>
        <w:tab w:val="right" w:pos="754"/>
      </w:tabs>
      <w:spacing w:before="60" w:line="240" w:lineRule="auto"/>
      <w:ind w:left="828" w:hanging="828"/>
    </w:pPr>
    <w:rPr>
      <w:sz w:val="20"/>
    </w:rPr>
  </w:style>
  <w:style w:type="paragraph" w:customStyle="1" w:styleId="ETAsubpara">
    <w:name w:val="ETA(subpara)"/>
    <w:basedOn w:val="OPCParaBase"/>
    <w:rsid w:val="007B00E0"/>
    <w:pPr>
      <w:tabs>
        <w:tab w:val="right" w:pos="1083"/>
      </w:tabs>
      <w:spacing w:before="60" w:line="240" w:lineRule="auto"/>
      <w:ind w:left="1191" w:hanging="1191"/>
    </w:pPr>
    <w:rPr>
      <w:sz w:val="20"/>
    </w:rPr>
  </w:style>
  <w:style w:type="paragraph" w:customStyle="1" w:styleId="ETAsub-subpara">
    <w:name w:val="ETA(sub-subpara)"/>
    <w:basedOn w:val="OPCParaBase"/>
    <w:rsid w:val="007B00E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B00E0"/>
  </w:style>
  <w:style w:type="paragraph" w:styleId="ListParagraph">
    <w:name w:val="List Paragraph"/>
    <w:basedOn w:val="Normal"/>
    <w:uiPriority w:val="34"/>
    <w:qFormat/>
    <w:rsid w:val="007B00E0"/>
    <w:pPr>
      <w:ind w:left="720"/>
      <w:contextualSpacing/>
    </w:pPr>
  </w:style>
  <w:style w:type="paragraph" w:styleId="Bibliography">
    <w:name w:val="Bibliography"/>
    <w:basedOn w:val="Normal"/>
    <w:next w:val="Normal"/>
    <w:uiPriority w:val="37"/>
    <w:semiHidden/>
    <w:unhideWhenUsed/>
    <w:rsid w:val="007B00E0"/>
  </w:style>
  <w:style w:type="character" w:styleId="BookTitle">
    <w:name w:val="Book Title"/>
    <w:basedOn w:val="DefaultParagraphFont"/>
    <w:uiPriority w:val="33"/>
    <w:qFormat/>
    <w:rsid w:val="007B00E0"/>
    <w:rPr>
      <w:b/>
      <w:bCs/>
      <w:i/>
      <w:iCs/>
      <w:spacing w:val="5"/>
    </w:rPr>
  </w:style>
  <w:style w:type="table" w:styleId="ColorfulGrid">
    <w:name w:val="Colorful Grid"/>
    <w:basedOn w:val="TableNormal"/>
    <w:uiPriority w:val="73"/>
    <w:semiHidden/>
    <w:unhideWhenUsed/>
    <w:rsid w:val="007B00E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B00E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B00E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B00E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B00E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B00E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B00E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B00E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B00E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B00E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B00E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B00E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B00E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B00E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B00E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B00E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B00E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B00E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B00E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B00E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B00E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B00E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B00E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B00E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B00E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B00E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B00E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B00E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7B00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B00E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B00E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B00E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B00E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B00E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B00E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B00E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B00E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B00E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B00E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B00E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B00E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B00E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B00E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B00E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B00E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B00E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B00E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B00E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B00E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B00E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B00E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B00E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B00E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B00E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B00E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B00E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B00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B00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B00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B00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B00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B00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B00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B00E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B00E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B00E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B00E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B00E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B00E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B00E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B00E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B00E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B00E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B00E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B00E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B00E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B00E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B00E0"/>
    <w:rPr>
      <w:color w:val="2B579A"/>
      <w:shd w:val="clear" w:color="auto" w:fill="E1DFDD"/>
    </w:rPr>
  </w:style>
  <w:style w:type="character" w:styleId="IntenseEmphasis">
    <w:name w:val="Intense Emphasis"/>
    <w:basedOn w:val="DefaultParagraphFont"/>
    <w:uiPriority w:val="21"/>
    <w:qFormat/>
    <w:rsid w:val="007B00E0"/>
    <w:rPr>
      <w:i/>
      <w:iCs/>
      <w:color w:val="4F81BD" w:themeColor="accent1"/>
    </w:rPr>
  </w:style>
  <w:style w:type="paragraph" w:styleId="IntenseQuote">
    <w:name w:val="Intense Quote"/>
    <w:basedOn w:val="Normal"/>
    <w:next w:val="Normal"/>
    <w:link w:val="IntenseQuoteChar"/>
    <w:uiPriority w:val="30"/>
    <w:qFormat/>
    <w:rsid w:val="007B00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B00E0"/>
    <w:rPr>
      <w:i/>
      <w:iCs/>
      <w:color w:val="4F81BD" w:themeColor="accent1"/>
      <w:sz w:val="22"/>
    </w:rPr>
  </w:style>
  <w:style w:type="character" w:styleId="IntenseReference">
    <w:name w:val="Intense Reference"/>
    <w:basedOn w:val="DefaultParagraphFont"/>
    <w:uiPriority w:val="32"/>
    <w:qFormat/>
    <w:rsid w:val="007B00E0"/>
    <w:rPr>
      <w:b/>
      <w:bCs/>
      <w:smallCaps/>
      <w:color w:val="4F81BD" w:themeColor="accent1"/>
      <w:spacing w:val="5"/>
    </w:rPr>
  </w:style>
  <w:style w:type="table" w:styleId="LightGrid">
    <w:name w:val="Light Grid"/>
    <w:basedOn w:val="TableNormal"/>
    <w:uiPriority w:val="62"/>
    <w:semiHidden/>
    <w:unhideWhenUsed/>
    <w:rsid w:val="007B00E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B00E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B00E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B00E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B00E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B00E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B00E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B00E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B00E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B00E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B00E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B00E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B00E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B00E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B00E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B00E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B00E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B00E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B00E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B00E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B00E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7B00E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B00E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B00E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B00E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B00E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B00E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B00E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B00E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B00E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B00E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B00E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B00E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B00E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B00E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B00E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B00E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B00E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B00E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B00E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B00E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B00E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B00E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B00E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B00E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B00E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B00E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B00E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B00E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B00E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B00E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B00E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B00E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B00E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B00E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B00E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B00E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B00E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B00E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B00E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B00E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B00E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B00E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B00E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B00E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B00E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B00E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B00E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B00E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B00E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B00E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B00E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B00E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B00E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B00E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B00E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B00E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B00E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B00E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B00E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B00E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B00E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B00E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B00E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B00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B00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B00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B00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B00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B00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B00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B00E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B00E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B00E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B00E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B00E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B00E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B00E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B00E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B00E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B00E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B00E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B00E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B00E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B00E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B00E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B00E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B00E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B00E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B00E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B00E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B00E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B00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B00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B00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B00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B00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B00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B00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B00E0"/>
    <w:rPr>
      <w:color w:val="2B579A"/>
      <w:shd w:val="clear" w:color="auto" w:fill="E1DFDD"/>
    </w:rPr>
  </w:style>
  <w:style w:type="paragraph" w:styleId="NoSpacing">
    <w:name w:val="No Spacing"/>
    <w:uiPriority w:val="1"/>
    <w:qFormat/>
    <w:rsid w:val="007B00E0"/>
    <w:rPr>
      <w:sz w:val="22"/>
    </w:rPr>
  </w:style>
  <w:style w:type="paragraph" w:styleId="NoteHeading">
    <w:name w:val="Note Heading"/>
    <w:basedOn w:val="Normal"/>
    <w:next w:val="Normal"/>
    <w:link w:val="NoteHeadingChar"/>
    <w:uiPriority w:val="99"/>
    <w:semiHidden/>
    <w:unhideWhenUsed/>
    <w:rsid w:val="007B00E0"/>
    <w:pPr>
      <w:spacing w:line="240" w:lineRule="auto"/>
    </w:pPr>
  </w:style>
  <w:style w:type="character" w:customStyle="1" w:styleId="NoteHeadingChar">
    <w:name w:val="Note Heading Char"/>
    <w:basedOn w:val="DefaultParagraphFont"/>
    <w:link w:val="NoteHeading"/>
    <w:uiPriority w:val="99"/>
    <w:semiHidden/>
    <w:rsid w:val="007B00E0"/>
    <w:rPr>
      <w:sz w:val="22"/>
    </w:rPr>
  </w:style>
  <w:style w:type="character" w:styleId="PlaceholderText">
    <w:name w:val="Placeholder Text"/>
    <w:basedOn w:val="DefaultParagraphFont"/>
    <w:uiPriority w:val="99"/>
    <w:semiHidden/>
    <w:rsid w:val="007B00E0"/>
    <w:rPr>
      <w:color w:val="808080"/>
    </w:rPr>
  </w:style>
  <w:style w:type="table" w:styleId="PlainTable1">
    <w:name w:val="Plain Table 1"/>
    <w:basedOn w:val="TableNormal"/>
    <w:uiPriority w:val="41"/>
    <w:rsid w:val="007B00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0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0E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B00E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B00E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B00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00E0"/>
    <w:rPr>
      <w:i/>
      <w:iCs/>
      <w:color w:val="404040" w:themeColor="text1" w:themeTint="BF"/>
      <w:sz w:val="22"/>
    </w:rPr>
  </w:style>
  <w:style w:type="character" w:styleId="SmartHyperlink">
    <w:name w:val="Smart Hyperlink"/>
    <w:basedOn w:val="DefaultParagraphFont"/>
    <w:uiPriority w:val="99"/>
    <w:semiHidden/>
    <w:unhideWhenUsed/>
    <w:rsid w:val="007B00E0"/>
    <w:rPr>
      <w:u w:val="dotted"/>
    </w:rPr>
  </w:style>
  <w:style w:type="character" w:styleId="SubtleEmphasis">
    <w:name w:val="Subtle Emphasis"/>
    <w:basedOn w:val="DefaultParagraphFont"/>
    <w:uiPriority w:val="19"/>
    <w:qFormat/>
    <w:rsid w:val="007B00E0"/>
    <w:rPr>
      <w:i/>
      <w:iCs/>
      <w:color w:val="404040" w:themeColor="text1" w:themeTint="BF"/>
    </w:rPr>
  </w:style>
  <w:style w:type="character" w:styleId="SubtleReference">
    <w:name w:val="Subtle Reference"/>
    <w:basedOn w:val="DefaultParagraphFont"/>
    <w:uiPriority w:val="31"/>
    <w:qFormat/>
    <w:rsid w:val="007B00E0"/>
    <w:rPr>
      <w:smallCaps/>
      <w:color w:val="5A5A5A" w:themeColor="text1" w:themeTint="A5"/>
    </w:rPr>
  </w:style>
  <w:style w:type="table" w:styleId="TableGridLight">
    <w:name w:val="Grid Table Light"/>
    <w:basedOn w:val="TableNormal"/>
    <w:uiPriority w:val="40"/>
    <w:rsid w:val="007B00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B00E0"/>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7B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35030">
      <w:bodyDiv w:val="1"/>
      <w:marLeft w:val="0"/>
      <w:marRight w:val="0"/>
      <w:marTop w:val="0"/>
      <w:marBottom w:val="0"/>
      <w:divBdr>
        <w:top w:val="none" w:sz="0" w:space="0" w:color="auto"/>
        <w:left w:val="none" w:sz="0" w:space="0" w:color="auto"/>
        <w:bottom w:val="none" w:sz="0" w:space="0" w:color="auto"/>
        <w:right w:val="none" w:sz="0" w:space="0" w:color="auto"/>
      </w:divBdr>
    </w:div>
    <w:div w:id="352851523">
      <w:bodyDiv w:val="1"/>
      <w:marLeft w:val="0"/>
      <w:marRight w:val="0"/>
      <w:marTop w:val="0"/>
      <w:marBottom w:val="0"/>
      <w:divBdr>
        <w:top w:val="none" w:sz="0" w:space="0" w:color="auto"/>
        <w:left w:val="none" w:sz="0" w:space="0" w:color="auto"/>
        <w:bottom w:val="none" w:sz="0" w:space="0" w:color="auto"/>
        <w:right w:val="none" w:sz="0" w:space="0" w:color="auto"/>
      </w:divBdr>
    </w:div>
    <w:div w:id="435951020">
      <w:bodyDiv w:val="1"/>
      <w:marLeft w:val="0"/>
      <w:marRight w:val="0"/>
      <w:marTop w:val="0"/>
      <w:marBottom w:val="0"/>
      <w:divBdr>
        <w:top w:val="none" w:sz="0" w:space="0" w:color="auto"/>
        <w:left w:val="none" w:sz="0" w:space="0" w:color="auto"/>
        <w:bottom w:val="none" w:sz="0" w:space="0" w:color="auto"/>
        <w:right w:val="none" w:sz="0" w:space="0" w:color="auto"/>
      </w:divBdr>
    </w:div>
    <w:div w:id="461653969">
      <w:bodyDiv w:val="1"/>
      <w:marLeft w:val="0"/>
      <w:marRight w:val="0"/>
      <w:marTop w:val="0"/>
      <w:marBottom w:val="0"/>
      <w:divBdr>
        <w:top w:val="none" w:sz="0" w:space="0" w:color="auto"/>
        <w:left w:val="none" w:sz="0" w:space="0" w:color="auto"/>
        <w:bottom w:val="none" w:sz="0" w:space="0" w:color="auto"/>
        <w:right w:val="none" w:sz="0" w:space="0" w:color="auto"/>
      </w:divBdr>
    </w:div>
    <w:div w:id="747314796">
      <w:bodyDiv w:val="1"/>
      <w:marLeft w:val="0"/>
      <w:marRight w:val="0"/>
      <w:marTop w:val="0"/>
      <w:marBottom w:val="0"/>
      <w:divBdr>
        <w:top w:val="none" w:sz="0" w:space="0" w:color="auto"/>
        <w:left w:val="none" w:sz="0" w:space="0" w:color="auto"/>
        <w:bottom w:val="none" w:sz="0" w:space="0" w:color="auto"/>
        <w:right w:val="none" w:sz="0" w:space="0" w:color="auto"/>
      </w:divBdr>
    </w:div>
    <w:div w:id="982807247">
      <w:bodyDiv w:val="1"/>
      <w:marLeft w:val="0"/>
      <w:marRight w:val="0"/>
      <w:marTop w:val="0"/>
      <w:marBottom w:val="0"/>
      <w:divBdr>
        <w:top w:val="none" w:sz="0" w:space="0" w:color="auto"/>
        <w:left w:val="none" w:sz="0" w:space="0" w:color="auto"/>
        <w:bottom w:val="none" w:sz="0" w:space="0" w:color="auto"/>
        <w:right w:val="none" w:sz="0" w:space="0" w:color="auto"/>
      </w:divBdr>
    </w:div>
    <w:div w:id="991719064">
      <w:bodyDiv w:val="1"/>
      <w:marLeft w:val="0"/>
      <w:marRight w:val="0"/>
      <w:marTop w:val="0"/>
      <w:marBottom w:val="0"/>
      <w:divBdr>
        <w:top w:val="none" w:sz="0" w:space="0" w:color="auto"/>
        <w:left w:val="none" w:sz="0" w:space="0" w:color="auto"/>
        <w:bottom w:val="none" w:sz="0" w:space="0" w:color="auto"/>
        <w:right w:val="none" w:sz="0" w:space="0" w:color="auto"/>
      </w:divBdr>
    </w:div>
    <w:div w:id="1122114172">
      <w:bodyDiv w:val="1"/>
      <w:marLeft w:val="0"/>
      <w:marRight w:val="0"/>
      <w:marTop w:val="0"/>
      <w:marBottom w:val="0"/>
      <w:divBdr>
        <w:top w:val="none" w:sz="0" w:space="0" w:color="auto"/>
        <w:left w:val="none" w:sz="0" w:space="0" w:color="auto"/>
        <w:bottom w:val="none" w:sz="0" w:space="0" w:color="auto"/>
        <w:right w:val="none" w:sz="0" w:space="0" w:color="auto"/>
      </w:divBdr>
    </w:div>
    <w:div w:id="1236209790">
      <w:bodyDiv w:val="1"/>
      <w:marLeft w:val="0"/>
      <w:marRight w:val="0"/>
      <w:marTop w:val="0"/>
      <w:marBottom w:val="0"/>
      <w:divBdr>
        <w:top w:val="none" w:sz="0" w:space="0" w:color="auto"/>
        <w:left w:val="none" w:sz="0" w:space="0" w:color="auto"/>
        <w:bottom w:val="none" w:sz="0" w:space="0" w:color="auto"/>
        <w:right w:val="none" w:sz="0" w:space="0" w:color="auto"/>
      </w:divBdr>
    </w:div>
    <w:div w:id="1390420467">
      <w:bodyDiv w:val="1"/>
      <w:marLeft w:val="0"/>
      <w:marRight w:val="0"/>
      <w:marTop w:val="0"/>
      <w:marBottom w:val="0"/>
      <w:divBdr>
        <w:top w:val="none" w:sz="0" w:space="0" w:color="auto"/>
        <w:left w:val="none" w:sz="0" w:space="0" w:color="auto"/>
        <w:bottom w:val="none" w:sz="0" w:space="0" w:color="auto"/>
        <w:right w:val="none" w:sz="0" w:space="0" w:color="auto"/>
      </w:divBdr>
      <w:divsChild>
        <w:div w:id="930242869">
          <w:marLeft w:val="0"/>
          <w:marRight w:val="0"/>
          <w:marTop w:val="0"/>
          <w:marBottom w:val="0"/>
          <w:divBdr>
            <w:top w:val="none" w:sz="0" w:space="0" w:color="auto"/>
            <w:left w:val="none" w:sz="0" w:space="0" w:color="auto"/>
            <w:bottom w:val="none" w:sz="0" w:space="0" w:color="auto"/>
            <w:right w:val="none" w:sz="0" w:space="0" w:color="auto"/>
          </w:divBdr>
          <w:divsChild>
            <w:div w:id="900870572">
              <w:marLeft w:val="0"/>
              <w:marRight w:val="0"/>
              <w:marTop w:val="0"/>
              <w:marBottom w:val="225"/>
              <w:divBdr>
                <w:top w:val="none" w:sz="0" w:space="0" w:color="auto"/>
                <w:left w:val="none" w:sz="0" w:space="0" w:color="auto"/>
                <w:bottom w:val="none" w:sz="0" w:space="0" w:color="auto"/>
                <w:right w:val="none" w:sz="0" w:space="0" w:color="auto"/>
              </w:divBdr>
            </w:div>
          </w:divsChild>
        </w:div>
        <w:div w:id="1277833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7761A-D5F3-4401-AFAF-8362E2C0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8</Pages>
  <Words>5524</Words>
  <Characters>27234</Characters>
  <Application>Microsoft Office Word</Application>
  <DocSecurity>0</DocSecurity>
  <PresentationFormat/>
  <Lines>2269</Lines>
  <Paragraphs>992</Paragraphs>
  <ScaleCrop>false</ScaleCrop>
  <HeadingPairs>
    <vt:vector size="2" baseType="variant">
      <vt:variant>
        <vt:lpstr>Title</vt:lpstr>
      </vt:variant>
      <vt:variant>
        <vt:i4>1</vt:i4>
      </vt:variant>
    </vt:vector>
  </HeadingPairs>
  <TitlesOfParts>
    <vt:vector size="1" baseType="lpstr">
      <vt:lpstr>Consumer Goods (Infant Sleep Products) Safety Standard 2024</vt:lpstr>
    </vt:vector>
  </TitlesOfParts>
  <Manager/>
  <Company/>
  <LinksUpToDate>false</LinksUpToDate>
  <CharactersWithSpaces>31766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2023-06-28T07:38:00Z</cp:lastPrinted>
  <dcterms:created xsi:type="dcterms:W3CDTF">2024-07-16T00:11:00Z</dcterms:created>
  <dcterms:modified xsi:type="dcterms:W3CDTF">2024-07-17T23:25:00Z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Consumer Goods (Infant Sleep Products) Safety Standard 2024</vt:lpwstr>
  </property>
  <property fmtid="{D5CDD505-2E9C-101B-9397-08002B2CF9AE}" pid="4" name="Header">
    <vt:lpwstr>Section</vt:lpwstr>
  </property>
  <property fmtid="{D5CDD505-2E9C-101B-9397-08002B2CF9AE}" pid="5" name="Class">
    <vt:lpwstr>Safety Standard</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OPC66434</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MSIP_Label_d9d5a995-dfdf-4407-9a97-edbbc68c9f53_Enabled">
    <vt:lpwstr>true</vt:lpwstr>
  </property>
  <property fmtid="{D5CDD505-2E9C-101B-9397-08002B2CF9AE}" pid="19" name="MSIP_Label_d9d5a995-dfdf-4407-9a97-edbbc68c9f53_SetDate">
    <vt:lpwstr>2024-06-25T01:15:46Z</vt:lpwstr>
  </property>
  <property fmtid="{D5CDD505-2E9C-101B-9397-08002B2CF9AE}" pid="20" name="MSIP_Label_d9d5a995-dfdf-4407-9a97-edbbc68c9f53_Method">
    <vt:lpwstr>Privileged</vt:lpwstr>
  </property>
  <property fmtid="{D5CDD505-2E9C-101B-9397-08002B2CF9AE}" pid="21" name="MSIP_Label_d9d5a995-dfdf-4407-9a97-edbbc68c9f53_Name">
    <vt:lpwstr>OFFICIAL</vt:lpwstr>
  </property>
  <property fmtid="{D5CDD505-2E9C-101B-9397-08002B2CF9AE}" pid="22" name="MSIP_Label_d9d5a995-dfdf-4407-9a97-edbbc68c9f53_SiteId">
    <vt:lpwstr>b33e9e1a-e443-4edd-9789-24bed26d38d6</vt:lpwstr>
  </property>
  <property fmtid="{D5CDD505-2E9C-101B-9397-08002B2CF9AE}" pid="23" name="MSIP_Label_d9d5a995-dfdf-4407-9a97-edbbc68c9f53_ActionId">
    <vt:lpwstr>a703217d-847a-421b-9a30-4226a8b4bed7</vt:lpwstr>
  </property>
  <property fmtid="{D5CDD505-2E9C-101B-9397-08002B2CF9AE}" pid="24" name="MSIP_Label_d9d5a995-dfdf-4407-9a97-edbbc68c9f53_ContentBits">
    <vt:lpwstr>0</vt:lpwstr>
  </property>
</Properties>
</file>