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2577792F" w:rsidR="00FB640B" w:rsidRPr="008B24C8" w:rsidRDefault="0057002B" w:rsidP="00764E57">
      <w:pPr>
        <w:pStyle w:val="ESTitleHeader"/>
      </w:pPr>
      <w:bookmarkStart w:id="0" w:name="_GoBack"/>
      <w:bookmarkEnd w:id="0"/>
      <w:r>
        <w:t>EXPLANATORY STATEMENT</w:t>
      </w:r>
    </w:p>
    <w:p w14:paraId="1485ABB6" w14:textId="0A67EC88" w:rsidR="5220722F" w:rsidRDefault="5220722F" w:rsidP="5220722F">
      <w:pPr>
        <w:spacing w:after="0" w:line="240" w:lineRule="auto"/>
        <w:ind w:right="40"/>
        <w:jc w:val="center"/>
        <w:rPr>
          <w:rFonts w:ascii="Times New Roman" w:eastAsia="Times New Roman" w:hAnsi="Times New Roman" w:cs="Times New Roman"/>
          <w:color w:val="000000" w:themeColor="text1"/>
          <w:sz w:val="24"/>
          <w:szCs w:val="24"/>
        </w:rPr>
      </w:pPr>
    </w:p>
    <w:p w14:paraId="0B8377EA" w14:textId="30336133" w:rsidR="706B4E9E" w:rsidRDefault="706B4E9E" w:rsidP="5220722F">
      <w:pPr>
        <w:spacing w:after="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 xml:space="preserve">Issued by the Minister for </w:t>
      </w:r>
      <w:r w:rsidR="0055339C">
        <w:rPr>
          <w:rFonts w:ascii="Times New Roman" w:eastAsia="Times New Roman" w:hAnsi="Times New Roman" w:cs="Times New Roman"/>
          <w:color w:val="000000" w:themeColor="text1"/>
          <w:sz w:val="24"/>
          <w:szCs w:val="24"/>
        </w:rPr>
        <w:t xml:space="preserve">Home </w:t>
      </w:r>
      <w:r w:rsidRPr="5220722F">
        <w:rPr>
          <w:rFonts w:ascii="Times New Roman" w:eastAsia="Times New Roman" w:hAnsi="Times New Roman" w:cs="Times New Roman"/>
          <w:color w:val="000000" w:themeColor="text1"/>
          <w:sz w:val="24"/>
          <w:szCs w:val="24"/>
        </w:rPr>
        <w:t>Affairs</w:t>
      </w:r>
    </w:p>
    <w:p w14:paraId="0280C46B" w14:textId="7E6FECCD" w:rsidR="706B4E9E"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5220722F">
        <w:rPr>
          <w:rStyle w:val="legislationtitleitalics"/>
          <w:rFonts w:eastAsia="Times New Roman" w:cs="Times New Roman"/>
          <w:color w:val="000000" w:themeColor="text1"/>
        </w:rPr>
        <w:t>Migration Act 1958</w:t>
      </w:r>
    </w:p>
    <w:p w14:paraId="529E2F29" w14:textId="0857EF73" w:rsidR="706B4E9E"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5220722F">
        <w:rPr>
          <w:rStyle w:val="legislationtitleitalics"/>
          <w:rFonts w:eastAsia="Times New Roman" w:cs="Times New Roman"/>
          <w:color w:val="000000" w:themeColor="text1"/>
        </w:rPr>
        <w:t>Migration Amendment (</w:t>
      </w:r>
      <w:r w:rsidR="0087583D">
        <w:rPr>
          <w:rStyle w:val="legislationtitleitalics"/>
          <w:rFonts w:eastAsia="Times New Roman" w:cs="Times New Roman"/>
          <w:color w:val="000000" w:themeColor="text1"/>
        </w:rPr>
        <w:t>Business</w:t>
      </w:r>
      <w:r w:rsidR="00A61ADF">
        <w:rPr>
          <w:rStyle w:val="legislationtitleitalics"/>
          <w:rFonts w:eastAsia="Times New Roman" w:cs="Times New Roman"/>
          <w:color w:val="000000" w:themeColor="text1"/>
        </w:rPr>
        <w:t xml:space="preserve"> Innovation and Investment Program Closure</w:t>
      </w:r>
      <w:r w:rsidRPr="5220722F">
        <w:rPr>
          <w:rStyle w:val="legislationtitleitalics"/>
          <w:rFonts w:eastAsia="Times New Roman" w:cs="Times New Roman"/>
          <w:color w:val="000000" w:themeColor="text1"/>
        </w:rPr>
        <w:t>) Regulations 202</w:t>
      </w:r>
      <w:r w:rsidR="0087583D">
        <w:rPr>
          <w:rStyle w:val="legislationtitleitalics"/>
          <w:rFonts w:eastAsia="Times New Roman" w:cs="Times New Roman"/>
          <w:color w:val="000000" w:themeColor="text1"/>
        </w:rPr>
        <w:t>4</w:t>
      </w:r>
    </w:p>
    <w:p w14:paraId="06D25028" w14:textId="52B1ACF7" w:rsidR="5220722F" w:rsidRDefault="5220722F" w:rsidP="5220722F">
      <w:pPr>
        <w:spacing w:before="240" w:after="0" w:line="240" w:lineRule="auto"/>
        <w:jc w:val="center"/>
        <w:rPr>
          <w:rStyle w:val="legislationtitleitalics"/>
          <w:rFonts w:eastAsia="Times New Roman" w:cs="Times New Roman"/>
          <w:color w:val="000000" w:themeColor="text1"/>
        </w:rPr>
      </w:pPr>
    </w:p>
    <w:p w14:paraId="4CC9BA27" w14:textId="6921B346" w:rsidR="706B4E9E" w:rsidRDefault="706B4E9E" w:rsidP="5220722F">
      <w:pPr>
        <w:pStyle w:val="ESoutlinetext"/>
        <w:spacing w:line="276" w:lineRule="auto"/>
        <w:rPr>
          <w:color w:val="000000" w:themeColor="text1"/>
        </w:rPr>
      </w:pPr>
      <w:r w:rsidRPr="5220722F">
        <w:rPr>
          <w:color w:val="000000" w:themeColor="text1"/>
        </w:rPr>
        <w:t xml:space="preserve">The </w:t>
      </w:r>
      <w:r w:rsidRPr="5220722F">
        <w:rPr>
          <w:rStyle w:val="legislationtitleitalics"/>
          <w:rFonts w:eastAsia="Times New Roman" w:cs="Times New Roman"/>
          <w:color w:val="000000" w:themeColor="text1"/>
        </w:rPr>
        <w:t>Migration Act 1958</w:t>
      </w:r>
      <w:r w:rsidRPr="5220722F">
        <w:rPr>
          <w:color w:val="000000" w:themeColor="text1"/>
        </w:rPr>
        <w:t xml:space="preserve"> (the </w:t>
      </w:r>
      <w:r w:rsidRPr="00041B61">
        <w:rPr>
          <w:bCs/>
          <w:color w:val="000000" w:themeColor="text1"/>
        </w:rPr>
        <w:t>Migration Act</w:t>
      </w:r>
      <w:r w:rsidRPr="5220722F">
        <w:rPr>
          <w:color w:val="000000" w:themeColor="text1"/>
        </w:rPr>
        <w:t>) is an</w:t>
      </w:r>
      <w:r w:rsidR="00326223">
        <w:rPr>
          <w:color w:val="000000" w:themeColor="text1"/>
        </w:rPr>
        <w:t xml:space="preserve"> Act relating to the entry into</w:t>
      </w:r>
      <w:r w:rsidRPr="5220722F">
        <w:rPr>
          <w:color w:val="000000" w:themeColor="text1"/>
        </w:rPr>
        <w:t xml:space="preserve"> and presence in Australia of aliens, and the departure or deportation from Australia of aliens and certain other persons.</w:t>
      </w:r>
    </w:p>
    <w:p w14:paraId="4005AFB3" w14:textId="312B778A" w:rsidR="706B4E9E" w:rsidRDefault="706B4E9E" w:rsidP="5220722F">
      <w:pPr>
        <w:pStyle w:val="ESoutlinetext"/>
        <w:spacing w:line="276" w:lineRule="auto"/>
        <w:rPr>
          <w:color w:val="000000" w:themeColor="text1"/>
        </w:rPr>
      </w:pPr>
      <w:r w:rsidRPr="5220722F">
        <w:rPr>
          <w:color w:val="000000" w:themeColor="text1"/>
        </w:rPr>
        <w:t>Subsection 504(1) of the Migration Act</w:t>
      </w:r>
      <w:r w:rsidRPr="5220722F">
        <w:rPr>
          <w:i/>
          <w:iCs/>
          <w:color w:val="000000" w:themeColor="text1"/>
        </w:rPr>
        <w:t xml:space="preserve"> </w:t>
      </w:r>
      <w:r w:rsidRPr="5220722F">
        <w:rPr>
          <w:color w:val="000000" w:themeColor="text1"/>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0DB12045" w14:textId="2F05EF51" w:rsidR="5220722F" w:rsidRDefault="00A61ADF" w:rsidP="5220722F">
      <w:pPr>
        <w:spacing w:before="240" w:after="0" w:line="240" w:lineRule="auto"/>
        <w:rPr>
          <w:rStyle w:val="legislationtitleitalics"/>
          <w:rFonts w:eastAsia="Times New Roman" w:cs="Times New Roman"/>
          <w:i w:val="0"/>
          <w:color w:val="000000" w:themeColor="text1"/>
          <w:u w:val="single"/>
        </w:rPr>
      </w:pPr>
      <w:r>
        <w:rPr>
          <w:rStyle w:val="legislationtitleitalics"/>
          <w:rFonts w:eastAsia="Times New Roman" w:cs="Times New Roman"/>
          <w:i w:val="0"/>
          <w:color w:val="000000" w:themeColor="text1"/>
        </w:rPr>
        <w:t xml:space="preserve">In addition, regulations may be made pursuant to the provisions </w:t>
      </w:r>
      <w:r w:rsidR="00936968">
        <w:rPr>
          <w:rStyle w:val="legislationtitleitalics"/>
          <w:rFonts w:eastAsia="Times New Roman" w:cs="Times New Roman"/>
          <w:i w:val="0"/>
          <w:color w:val="000000" w:themeColor="text1"/>
        </w:rPr>
        <w:t>mentioned</w:t>
      </w:r>
      <w:r>
        <w:rPr>
          <w:rStyle w:val="legislationtitleitalics"/>
          <w:rFonts w:eastAsia="Times New Roman" w:cs="Times New Roman"/>
          <w:i w:val="0"/>
          <w:color w:val="000000" w:themeColor="text1"/>
        </w:rPr>
        <w:t xml:space="preserve"> in </w:t>
      </w:r>
      <w:r w:rsidRPr="00A61ADF">
        <w:rPr>
          <w:rStyle w:val="legislationtitleitalics"/>
          <w:rFonts w:eastAsia="Times New Roman" w:cs="Times New Roman"/>
          <w:i w:val="0"/>
          <w:color w:val="000000" w:themeColor="text1"/>
          <w:u w:val="single"/>
        </w:rPr>
        <w:t>Attachment A</w:t>
      </w:r>
      <w:r w:rsidR="00041B61" w:rsidRPr="00041B61">
        <w:rPr>
          <w:rStyle w:val="legislationtitleitalics"/>
          <w:rFonts w:eastAsia="Times New Roman" w:cs="Times New Roman"/>
          <w:i w:val="0"/>
          <w:color w:val="000000" w:themeColor="text1"/>
        </w:rPr>
        <w:t>.</w:t>
      </w:r>
    </w:p>
    <w:p w14:paraId="304B9BB9" w14:textId="0405088D" w:rsidR="00C22F1A" w:rsidRDefault="00A61ADF" w:rsidP="5220722F">
      <w:pPr>
        <w:spacing w:before="240" w:after="0" w:line="240" w:lineRule="auto"/>
        <w:rPr>
          <w:rFonts w:ascii="Times New Roman" w:eastAsia="Times New Roman" w:hAnsi="Times New Roman" w:cs="Times New Roman"/>
          <w:iCs/>
          <w:color w:val="000000" w:themeColor="text1"/>
          <w:sz w:val="24"/>
          <w:szCs w:val="24"/>
        </w:rPr>
      </w:pPr>
      <w:r>
        <w:rPr>
          <w:rStyle w:val="legislationtitleitalics"/>
          <w:rFonts w:eastAsia="Times New Roman" w:cs="Times New Roman"/>
          <w:i w:val="0"/>
          <w:color w:val="000000" w:themeColor="text1"/>
        </w:rPr>
        <w:t xml:space="preserve">The </w:t>
      </w:r>
      <w:r w:rsidR="009C4CBF" w:rsidRPr="009C4CBF">
        <w:rPr>
          <w:rFonts w:ascii="Times New Roman" w:eastAsia="Times New Roman" w:hAnsi="Times New Roman" w:cs="Times New Roman"/>
          <w:i/>
          <w:iCs/>
          <w:color w:val="000000" w:themeColor="text1"/>
          <w:sz w:val="24"/>
          <w:szCs w:val="24"/>
        </w:rPr>
        <w:t>Migration Amendment (Business Innovation and Investment Program Closure) Regulations 2024</w:t>
      </w:r>
      <w:r w:rsidR="009C4CBF">
        <w:rPr>
          <w:rFonts w:ascii="Times New Roman" w:eastAsia="Times New Roman" w:hAnsi="Times New Roman" w:cs="Times New Roman"/>
          <w:iCs/>
          <w:color w:val="000000" w:themeColor="text1"/>
          <w:sz w:val="24"/>
          <w:szCs w:val="24"/>
        </w:rPr>
        <w:t xml:space="preserve"> (the Amendment Regulations) amend the </w:t>
      </w:r>
      <w:r w:rsidR="009C4CBF" w:rsidRPr="009C4CBF">
        <w:rPr>
          <w:rFonts w:ascii="Times New Roman" w:eastAsia="Times New Roman" w:hAnsi="Times New Roman" w:cs="Times New Roman"/>
          <w:i/>
          <w:iCs/>
          <w:color w:val="000000" w:themeColor="text1"/>
          <w:sz w:val="24"/>
          <w:szCs w:val="24"/>
        </w:rPr>
        <w:t>Migration Regulations 1994</w:t>
      </w:r>
      <w:r w:rsidR="009C4CBF">
        <w:rPr>
          <w:rFonts w:ascii="Times New Roman" w:eastAsia="Times New Roman" w:hAnsi="Times New Roman" w:cs="Times New Roman"/>
          <w:iCs/>
          <w:color w:val="000000" w:themeColor="text1"/>
          <w:sz w:val="24"/>
          <w:szCs w:val="24"/>
        </w:rPr>
        <w:t xml:space="preserve"> (the </w:t>
      </w:r>
      <w:r w:rsidR="000E236E">
        <w:rPr>
          <w:rFonts w:ascii="Times New Roman" w:eastAsia="Times New Roman" w:hAnsi="Times New Roman" w:cs="Times New Roman"/>
          <w:iCs/>
          <w:color w:val="000000" w:themeColor="text1"/>
          <w:sz w:val="24"/>
          <w:szCs w:val="24"/>
        </w:rPr>
        <w:t>Migration</w:t>
      </w:r>
      <w:r w:rsidR="000C48FD">
        <w:rPr>
          <w:rFonts w:ascii="Times New Roman" w:eastAsia="Times New Roman" w:hAnsi="Times New Roman" w:cs="Times New Roman"/>
          <w:iCs/>
          <w:color w:val="000000" w:themeColor="text1"/>
          <w:sz w:val="24"/>
          <w:szCs w:val="24"/>
        </w:rPr>
        <w:t xml:space="preserve"> </w:t>
      </w:r>
      <w:r w:rsidR="009C4CBF">
        <w:rPr>
          <w:rFonts w:ascii="Times New Roman" w:eastAsia="Times New Roman" w:hAnsi="Times New Roman" w:cs="Times New Roman"/>
          <w:iCs/>
          <w:color w:val="000000" w:themeColor="text1"/>
          <w:sz w:val="24"/>
          <w:szCs w:val="24"/>
        </w:rPr>
        <w:t xml:space="preserve">Regulations) to close the Business Innovation and Investment Program (BIIP) </w:t>
      </w:r>
      <w:r w:rsidR="000E236E">
        <w:rPr>
          <w:rFonts w:ascii="Times New Roman" w:eastAsia="Times New Roman" w:hAnsi="Times New Roman" w:cs="Times New Roman"/>
          <w:iCs/>
          <w:color w:val="000000" w:themeColor="text1"/>
          <w:sz w:val="24"/>
          <w:szCs w:val="24"/>
        </w:rPr>
        <w:t xml:space="preserve">to new </w:t>
      </w:r>
      <w:r w:rsidR="00936968">
        <w:rPr>
          <w:rFonts w:ascii="Times New Roman" w:eastAsia="Times New Roman" w:hAnsi="Times New Roman" w:cs="Times New Roman"/>
          <w:iCs/>
          <w:color w:val="000000" w:themeColor="text1"/>
          <w:sz w:val="24"/>
          <w:szCs w:val="24"/>
        </w:rPr>
        <w:t xml:space="preserve">visa </w:t>
      </w:r>
      <w:r w:rsidR="000E236E">
        <w:rPr>
          <w:rFonts w:ascii="Times New Roman" w:eastAsia="Times New Roman" w:hAnsi="Times New Roman" w:cs="Times New Roman"/>
          <w:iCs/>
          <w:color w:val="000000" w:themeColor="text1"/>
          <w:sz w:val="24"/>
          <w:szCs w:val="24"/>
        </w:rPr>
        <w:t>applications</w:t>
      </w:r>
      <w:r w:rsidR="00EA0963">
        <w:rPr>
          <w:rFonts w:ascii="Times New Roman" w:eastAsia="Times New Roman" w:hAnsi="Times New Roman" w:cs="Times New Roman"/>
          <w:iCs/>
          <w:color w:val="000000" w:themeColor="text1"/>
          <w:sz w:val="24"/>
          <w:szCs w:val="24"/>
        </w:rPr>
        <w:t xml:space="preserve">. </w:t>
      </w:r>
      <w:r w:rsidR="000E236E">
        <w:rPr>
          <w:rFonts w:ascii="Times New Roman" w:eastAsia="Times New Roman" w:hAnsi="Times New Roman" w:cs="Times New Roman"/>
          <w:iCs/>
          <w:color w:val="000000" w:themeColor="text1"/>
          <w:sz w:val="24"/>
          <w:szCs w:val="24"/>
        </w:rPr>
        <w:t>The</w:t>
      </w:r>
      <w:r w:rsidR="002F4D71">
        <w:rPr>
          <w:rFonts w:ascii="Times New Roman" w:eastAsia="Times New Roman" w:hAnsi="Times New Roman" w:cs="Times New Roman"/>
          <w:iCs/>
          <w:color w:val="000000" w:themeColor="text1"/>
          <w:sz w:val="24"/>
          <w:szCs w:val="24"/>
        </w:rPr>
        <w:t xml:space="preserve"> Amendment</w:t>
      </w:r>
      <w:r w:rsidR="000E236E">
        <w:rPr>
          <w:rFonts w:ascii="Times New Roman" w:eastAsia="Times New Roman" w:hAnsi="Times New Roman" w:cs="Times New Roman"/>
          <w:iCs/>
          <w:color w:val="000000" w:themeColor="text1"/>
          <w:sz w:val="24"/>
          <w:szCs w:val="24"/>
        </w:rPr>
        <w:t xml:space="preserve"> Regulations </w:t>
      </w:r>
      <w:r w:rsidR="000C48FD">
        <w:rPr>
          <w:rFonts w:ascii="Times New Roman" w:eastAsia="Times New Roman" w:hAnsi="Times New Roman" w:cs="Times New Roman"/>
          <w:iCs/>
          <w:color w:val="000000" w:themeColor="text1"/>
          <w:sz w:val="24"/>
          <w:szCs w:val="24"/>
        </w:rPr>
        <w:t>reflect</w:t>
      </w:r>
      <w:r w:rsidR="000E236E">
        <w:rPr>
          <w:rFonts w:ascii="Times New Roman" w:eastAsia="Times New Roman" w:hAnsi="Times New Roman" w:cs="Times New Roman"/>
          <w:iCs/>
          <w:color w:val="000000" w:themeColor="text1"/>
          <w:sz w:val="24"/>
          <w:szCs w:val="24"/>
        </w:rPr>
        <w:t xml:space="preserve"> the Government’s commitment to implement </w:t>
      </w:r>
      <w:r w:rsidR="00041B61">
        <w:rPr>
          <w:rFonts w:ascii="Times New Roman" w:eastAsia="Times New Roman" w:hAnsi="Times New Roman" w:cs="Times New Roman"/>
          <w:iCs/>
          <w:color w:val="000000" w:themeColor="text1"/>
          <w:sz w:val="24"/>
          <w:szCs w:val="24"/>
        </w:rPr>
        <w:t xml:space="preserve">reforms set out in </w:t>
      </w:r>
      <w:r w:rsidR="000E236E">
        <w:rPr>
          <w:rFonts w:ascii="Times New Roman" w:eastAsia="Times New Roman" w:hAnsi="Times New Roman" w:cs="Times New Roman"/>
          <w:iCs/>
          <w:color w:val="000000" w:themeColor="text1"/>
          <w:sz w:val="24"/>
          <w:szCs w:val="24"/>
        </w:rPr>
        <w:t>the Migration Strategy</w:t>
      </w:r>
      <w:r w:rsidR="00936968">
        <w:rPr>
          <w:rFonts w:ascii="Times New Roman" w:eastAsia="Times New Roman" w:hAnsi="Times New Roman" w:cs="Times New Roman"/>
          <w:iCs/>
          <w:color w:val="000000" w:themeColor="text1"/>
          <w:sz w:val="24"/>
          <w:szCs w:val="24"/>
        </w:rPr>
        <w:t xml:space="preserve">, and give effect to part of the measure </w:t>
      </w:r>
      <w:r w:rsidR="00936968" w:rsidRPr="00936968">
        <w:rPr>
          <w:rFonts w:ascii="Times New Roman" w:eastAsia="Times New Roman" w:hAnsi="Times New Roman" w:cs="Times New Roman"/>
          <w:i/>
          <w:iCs/>
          <w:color w:val="000000" w:themeColor="text1"/>
          <w:sz w:val="24"/>
          <w:szCs w:val="24"/>
        </w:rPr>
        <w:t>Migration System Reforms</w:t>
      </w:r>
      <w:r w:rsidR="00936968">
        <w:rPr>
          <w:rFonts w:ascii="Times New Roman" w:eastAsia="Times New Roman" w:hAnsi="Times New Roman" w:cs="Times New Roman"/>
          <w:iCs/>
          <w:color w:val="000000" w:themeColor="text1"/>
          <w:sz w:val="24"/>
          <w:szCs w:val="24"/>
        </w:rPr>
        <w:t xml:space="preserve"> in Budget Paper No. 2 of Budget 2024-25</w:t>
      </w:r>
      <w:r w:rsidR="000E236E">
        <w:rPr>
          <w:rFonts w:ascii="Times New Roman" w:eastAsia="Times New Roman" w:hAnsi="Times New Roman" w:cs="Times New Roman"/>
          <w:iCs/>
          <w:color w:val="000000" w:themeColor="text1"/>
          <w:sz w:val="24"/>
          <w:szCs w:val="24"/>
        </w:rPr>
        <w:t xml:space="preserve">. </w:t>
      </w:r>
    </w:p>
    <w:p w14:paraId="68833FCD" w14:textId="3F283C6E" w:rsidR="00A61ADF" w:rsidRPr="001451BA" w:rsidRDefault="00822B1D" w:rsidP="5220722F">
      <w:pPr>
        <w:spacing w:before="240" w:after="0" w:line="240" w:lineRule="auto"/>
        <w:rPr>
          <w:rFonts w:ascii="Times New Roman" w:eastAsia="Times New Roman" w:hAnsi="Times New Roman" w:cs="Times New Roman"/>
          <w:iCs/>
          <w:color w:val="000000" w:themeColor="text1"/>
          <w:sz w:val="24"/>
          <w:szCs w:val="24"/>
        </w:rPr>
      </w:pPr>
      <w:r w:rsidRPr="001451BA">
        <w:rPr>
          <w:rFonts w:ascii="Times New Roman" w:eastAsia="Times New Roman" w:hAnsi="Times New Roman" w:cs="Times New Roman"/>
          <w:iCs/>
          <w:color w:val="000000" w:themeColor="text1"/>
          <w:sz w:val="24"/>
          <w:szCs w:val="24"/>
        </w:rPr>
        <w:t>The BIIP was designed to attract investor</w:t>
      </w:r>
      <w:r w:rsidR="00C22F1A" w:rsidRPr="001451BA">
        <w:rPr>
          <w:rFonts w:ascii="Times New Roman" w:eastAsia="Times New Roman" w:hAnsi="Times New Roman" w:cs="Times New Roman"/>
          <w:iCs/>
          <w:color w:val="000000" w:themeColor="text1"/>
          <w:sz w:val="24"/>
          <w:szCs w:val="24"/>
        </w:rPr>
        <w:t>s,</w:t>
      </w:r>
      <w:r w:rsidR="00503B03">
        <w:rPr>
          <w:rFonts w:ascii="Times New Roman" w:eastAsia="Times New Roman" w:hAnsi="Times New Roman" w:cs="Times New Roman"/>
          <w:iCs/>
          <w:color w:val="000000" w:themeColor="text1"/>
          <w:sz w:val="24"/>
          <w:szCs w:val="24"/>
        </w:rPr>
        <w:t xml:space="preserve"> entrepreneurs and innovators. H</w:t>
      </w:r>
      <w:r w:rsidR="00C22F1A" w:rsidRPr="001451BA">
        <w:rPr>
          <w:rFonts w:ascii="Times New Roman" w:eastAsia="Times New Roman" w:hAnsi="Times New Roman" w:cs="Times New Roman"/>
          <w:iCs/>
          <w:color w:val="000000" w:themeColor="text1"/>
          <w:sz w:val="24"/>
          <w:szCs w:val="24"/>
        </w:rPr>
        <w:t>owever</w:t>
      </w:r>
      <w:r w:rsidR="000E236E">
        <w:rPr>
          <w:rFonts w:ascii="Times New Roman" w:eastAsia="Times New Roman" w:hAnsi="Times New Roman" w:cs="Times New Roman"/>
          <w:iCs/>
          <w:color w:val="000000" w:themeColor="text1"/>
          <w:sz w:val="24"/>
          <w:szCs w:val="24"/>
        </w:rPr>
        <w:t>,</w:t>
      </w:r>
      <w:r w:rsidR="00C22F1A" w:rsidRPr="001451BA">
        <w:rPr>
          <w:rFonts w:ascii="Times New Roman" w:eastAsia="Times New Roman" w:hAnsi="Times New Roman" w:cs="Times New Roman"/>
          <w:iCs/>
          <w:color w:val="000000" w:themeColor="text1"/>
          <w:sz w:val="24"/>
          <w:szCs w:val="24"/>
        </w:rPr>
        <w:t xml:space="preserve"> due to its poor fiscal performance and other means available to attract foreign investment into Australia</w:t>
      </w:r>
      <w:r w:rsidR="000E236E">
        <w:rPr>
          <w:rFonts w:ascii="Times New Roman" w:eastAsia="Times New Roman" w:hAnsi="Times New Roman" w:cs="Times New Roman"/>
          <w:iCs/>
          <w:color w:val="000000" w:themeColor="text1"/>
          <w:sz w:val="24"/>
          <w:szCs w:val="24"/>
        </w:rPr>
        <w:t xml:space="preserve">, the </w:t>
      </w:r>
      <w:r w:rsidR="00CF0E57">
        <w:rPr>
          <w:rFonts w:ascii="Times New Roman" w:eastAsia="Times New Roman" w:hAnsi="Times New Roman" w:cs="Times New Roman"/>
          <w:iCs/>
          <w:color w:val="000000" w:themeColor="text1"/>
          <w:sz w:val="24"/>
          <w:szCs w:val="24"/>
        </w:rPr>
        <w:t>Parkinson Review</w:t>
      </w:r>
      <w:r w:rsidR="000E236E">
        <w:rPr>
          <w:rFonts w:ascii="Times New Roman" w:eastAsia="Times New Roman" w:hAnsi="Times New Roman" w:cs="Times New Roman"/>
          <w:iCs/>
          <w:color w:val="000000" w:themeColor="text1"/>
          <w:sz w:val="24"/>
          <w:szCs w:val="24"/>
        </w:rPr>
        <w:t xml:space="preserve"> has recommended closing this program.</w:t>
      </w:r>
      <w:r w:rsidR="00C22F1A" w:rsidRPr="001451BA">
        <w:rPr>
          <w:rFonts w:ascii="Times New Roman" w:eastAsia="Times New Roman" w:hAnsi="Times New Roman" w:cs="Times New Roman"/>
          <w:iCs/>
          <w:color w:val="000000" w:themeColor="text1"/>
          <w:sz w:val="24"/>
          <w:szCs w:val="24"/>
        </w:rPr>
        <w:t xml:space="preserve"> </w:t>
      </w:r>
      <w:r w:rsidR="00EA50CB" w:rsidRPr="001451BA">
        <w:rPr>
          <w:rFonts w:ascii="Times New Roman" w:eastAsia="Times New Roman" w:hAnsi="Times New Roman" w:cs="Times New Roman"/>
          <w:iCs/>
          <w:color w:val="000000" w:themeColor="text1"/>
          <w:sz w:val="24"/>
          <w:szCs w:val="24"/>
        </w:rPr>
        <w:t xml:space="preserve">The initial visa available to </w:t>
      </w:r>
      <w:r w:rsidR="00232027">
        <w:rPr>
          <w:rFonts w:ascii="Times New Roman" w:eastAsia="Times New Roman" w:hAnsi="Times New Roman" w:cs="Times New Roman"/>
          <w:iCs/>
          <w:color w:val="000000" w:themeColor="text1"/>
          <w:sz w:val="24"/>
          <w:szCs w:val="24"/>
        </w:rPr>
        <w:t xml:space="preserve">prospective applicants to the </w:t>
      </w:r>
      <w:r w:rsidR="00EA50CB" w:rsidRPr="001451BA">
        <w:rPr>
          <w:rFonts w:ascii="Times New Roman" w:eastAsia="Times New Roman" w:hAnsi="Times New Roman" w:cs="Times New Roman"/>
          <w:iCs/>
          <w:color w:val="000000" w:themeColor="text1"/>
          <w:sz w:val="24"/>
          <w:szCs w:val="24"/>
        </w:rPr>
        <w:t xml:space="preserve">BIIP </w:t>
      </w:r>
      <w:r w:rsidR="00232027">
        <w:rPr>
          <w:rFonts w:ascii="Times New Roman" w:eastAsia="Times New Roman" w:hAnsi="Times New Roman" w:cs="Times New Roman"/>
          <w:iCs/>
          <w:color w:val="000000" w:themeColor="text1"/>
          <w:sz w:val="24"/>
          <w:szCs w:val="24"/>
        </w:rPr>
        <w:t>is the Subclass 188</w:t>
      </w:r>
      <w:r w:rsidR="00EA50CB" w:rsidRPr="001451BA">
        <w:rPr>
          <w:rFonts w:ascii="Times New Roman" w:eastAsia="Times New Roman" w:hAnsi="Times New Roman" w:cs="Times New Roman"/>
          <w:iCs/>
          <w:color w:val="000000" w:themeColor="text1"/>
          <w:sz w:val="24"/>
          <w:szCs w:val="24"/>
        </w:rPr>
        <w:t xml:space="preserve"> </w:t>
      </w:r>
      <w:r w:rsidR="00232027">
        <w:rPr>
          <w:rFonts w:ascii="Times New Roman" w:eastAsia="Times New Roman" w:hAnsi="Times New Roman" w:cs="Times New Roman"/>
          <w:iCs/>
          <w:color w:val="000000" w:themeColor="text1"/>
          <w:sz w:val="24"/>
          <w:szCs w:val="24"/>
        </w:rPr>
        <w:t>(</w:t>
      </w:r>
      <w:r w:rsidR="00EA50CB" w:rsidRPr="001451BA">
        <w:rPr>
          <w:rFonts w:ascii="Times New Roman" w:eastAsia="Times New Roman" w:hAnsi="Times New Roman" w:cs="Times New Roman"/>
          <w:iCs/>
          <w:color w:val="000000" w:themeColor="text1"/>
          <w:sz w:val="24"/>
          <w:szCs w:val="24"/>
        </w:rPr>
        <w:t>Business Innovati</w:t>
      </w:r>
      <w:r w:rsidR="00232027">
        <w:rPr>
          <w:rFonts w:ascii="Times New Roman" w:eastAsia="Times New Roman" w:hAnsi="Times New Roman" w:cs="Times New Roman"/>
          <w:iCs/>
          <w:color w:val="000000" w:themeColor="text1"/>
          <w:sz w:val="24"/>
          <w:szCs w:val="24"/>
        </w:rPr>
        <w:t xml:space="preserve">on and Investment (Provisional)) </w:t>
      </w:r>
      <w:r w:rsidR="00EA50CB" w:rsidRPr="001451BA">
        <w:rPr>
          <w:rFonts w:ascii="Times New Roman" w:eastAsia="Times New Roman" w:hAnsi="Times New Roman" w:cs="Times New Roman"/>
          <w:iCs/>
          <w:color w:val="000000" w:themeColor="text1"/>
          <w:sz w:val="24"/>
          <w:szCs w:val="24"/>
        </w:rPr>
        <w:t>visa, which provides a period of up to 5 years residence with the possi</w:t>
      </w:r>
      <w:r w:rsidR="00503B03">
        <w:rPr>
          <w:rFonts w:ascii="Times New Roman" w:eastAsia="Times New Roman" w:hAnsi="Times New Roman" w:cs="Times New Roman"/>
          <w:iCs/>
          <w:color w:val="000000" w:themeColor="text1"/>
          <w:sz w:val="24"/>
          <w:szCs w:val="24"/>
        </w:rPr>
        <w:t xml:space="preserve">bility of extension. </w:t>
      </w:r>
      <w:r w:rsidR="00232027">
        <w:rPr>
          <w:rFonts w:ascii="Times New Roman" w:eastAsia="Times New Roman" w:hAnsi="Times New Roman" w:cs="Times New Roman"/>
          <w:iCs/>
          <w:color w:val="000000" w:themeColor="text1"/>
          <w:sz w:val="24"/>
          <w:szCs w:val="24"/>
        </w:rPr>
        <w:t xml:space="preserve">Holders of the Subclass 188 visa may later </w:t>
      </w:r>
      <w:r w:rsidR="00EA50CB" w:rsidRPr="001451BA">
        <w:rPr>
          <w:rFonts w:ascii="Times New Roman" w:eastAsia="Times New Roman" w:hAnsi="Times New Roman" w:cs="Times New Roman"/>
          <w:iCs/>
          <w:color w:val="000000" w:themeColor="text1"/>
          <w:sz w:val="24"/>
          <w:szCs w:val="24"/>
        </w:rPr>
        <w:t xml:space="preserve">transfer to the </w:t>
      </w:r>
      <w:r w:rsidR="00EA50CB" w:rsidRPr="001451BA">
        <w:rPr>
          <w:rFonts w:ascii="Times New Roman" w:hAnsi="Times New Roman" w:cs="Times New Roman"/>
          <w:sz w:val="24"/>
          <w:szCs w:val="24"/>
        </w:rPr>
        <w:t>Subclass</w:t>
      </w:r>
      <w:r w:rsidR="00232027">
        <w:rPr>
          <w:rFonts w:ascii="Times New Roman" w:hAnsi="Times New Roman" w:cs="Times New Roman"/>
          <w:sz w:val="24"/>
          <w:szCs w:val="24"/>
        </w:rPr>
        <w:t> 888 (</w:t>
      </w:r>
      <w:r w:rsidR="00EA50CB" w:rsidRPr="001451BA">
        <w:rPr>
          <w:rFonts w:ascii="Times New Roman" w:hAnsi="Times New Roman" w:cs="Times New Roman"/>
          <w:sz w:val="24"/>
          <w:szCs w:val="24"/>
        </w:rPr>
        <w:t>Business Innovation and Investment (Permanent)</w:t>
      </w:r>
      <w:r w:rsidR="00232027">
        <w:rPr>
          <w:rFonts w:ascii="Times New Roman" w:hAnsi="Times New Roman" w:cs="Times New Roman"/>
          <w:sz w:val="24"/>
          <w:szCs w:val="24"/>
        </w:rPr>
        <w:t>)</w:t>
      </w:r>
      <w:r w:rsidR="00EA50CB" w:rsidRPr="001451BA">
        <w:rPr>
          <w:rFonts w:ascii="Times New Roman" w:hAnsi="Times New Roman" w:cs="Times New Roman"/>
          <w:sz w:val="24"/>
          <w:szCs w:val="24"/>
        </w:rPr>
        <w:t xml:space="preserve"> visa</w:t>
      </w:r>
      <w:r w:rsidR="00232027">
        <w:rPr>
          <w:rFonts w:ascii="Times New Roman" w:hAnsi="Times New Roman" w:cs="Times New Roman"/>
          <w:sz w:val="24"/>
          <w:szCs w:val="24"/>
        </w:rPr>
        <w:t xml:space="preserve"> should they meet the criteria</w:t>
      </w:r>
      <w:r w:rsidR="00EA50CB" w:rsidRPr="001451BA">
        <w:rPr>
          <w:rFonts w:ascii="Times New Roman" w:hAnsi="Times New Roman" w:cs="Times New Roman"/>
          <w:sz w:val="24"/>
          <w:szCs w:val="24"/>
        </w:rPr>
        <w:t>.</w:t>
      </w:r>
    </w:p>
    <w:p w14:paraId="6B7BE09C" w14:textId="4931152D" w:rsidR="000C48FD" w:rsidRDefault="000C48FD" w:rsidP="5220722F">
      <w:pPr>
        <w:spacing w:before="240" w:after="0" w:line="240" w:lineRule="auto"/>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Th</w:t>
      </w:r>
      <w:r w:rsidR="00824812">
        <w:rPr>
          <w:rFonts w:ascii="Times New Roman" w:eastAsia="Times New Roman" w:hAnsi="Times New Roman" w:cs="Times New Roman"/>
          <w:iCs/>
          <w:color w:val="000000" w:themeColor="text1"/>
          <w:sz w:val="24"/>
          <w:szCs w:val="24"/>
        </w:rPr>
        <w:t>e Amendment Regulations provide</w:t>
      </w:r>
      <w:r>
        <w:rPr>
          <w:rFonts w:ascii="Times New Roman" w:eastAsia="Times New Roman" w:hAnsi="Times New Roman" w:cs="Times New Roman"/>
          <w:iCs/>
          <w:color w:val="000000" w:themeColor="text1"/>
          <w:sz w:val="24"/>
          <w:szCs w:val="24"/>
        </w:rPr>
        <w:t xml:space="preserve"> that Subclass 188 visa applications </w:t>
      </w:r>
      <w:r w:rsidR="00516E63">
        <w:rPr>
          <w:rFonts w:ascii="Times New Roman" w:eastAsia="Times New Roman" w:hAnsi="Times New Roman" w:cs="Times New Roman"/>
          <w:iCs/>
          <w:color w:val="000000" w:themeColor="text1"/>
          <w:sz w:val="24"/>
          <w:szCs w:val="24"/>
        </w:rPr>
        <w:t>in</w:t>
      </w:r>
      <w:r w:rsidR="00EA50CB">
        <w:rPr>
          <w:rFonts w:ascii="Times New Roman" w:eastAsia="Times New Roman" w:hAnsi="Times New Roman" w:cs="Times New Roman"/>
          <w:iCs/>
          <w:color w:val="000000" w:themeColor="text1"/>
          <w:sz w:val="24"/>
          <w:szCs w:val="24"/>
        </w:rPr>
        <w:t xml:space="preserve"> the </w:t>
      </w:r>
      <w:r w:rsidR="00EA50CB" w:rsidRPr="00EA50CB">
        <w:rPr>
          <w:rFonts w:ascii="Times New Roman" w:eastAsia="Times New Roman" w:hAnsi="Times New Roman" w:cs="Times New Roman"/>
          <w:iCs/>
          <w:color w:val="000000" w:themeColor="text1"/>
          <w:sz w:val="24"/>
          <w:szCs w:val="24"/>
        </w:rPr>
        <w:t>Business Innovation, Investor, Significant Investor</w:t>
      </w:r>
      <w:r w:rsidR="009E180F">
        <w:rPr>
          <w:rFonts w:ascii="Times New Roman" w:eastAsia="Times New Roman" w:hAnsi="Times New Roman" w:cs="Times New Roman"/>
          <w:iCs/>
          <w:color w:val="000000" w:themeColor="text1"/>
          <w:sz w:val="24"/>
          <w:szCs w:val="24"/>
        </w:rPr>
        <w:t>, and Entrepreneur streams</w:t>
      </w:r>
      <w:r>
        <w:rPr>
          <w:rFonts w:ascii="Times New Roman" w:eastAsia="Times New Roman" w:hAnsi="Times New Roman" w:cs="Times New Roman"/>
          <w:iCs/>
          <w:color w:val="000000" w:themeColor="text1"/>
          <w:sz w:val="24"/>
          <w:szCs w:val="24"/>
        </w:rPr>
        <w:t xml:space="preserve"> </w:t>
      </w:r>
      <w:r w:rsidR="00516E63">
        <w:rPr>
          <w:rFonts w:ascii="Times New Roman" w:eastAsia="Times New Roman" w:hAnsi="Times New Roman" w:cs="Times New Roman"/>
          <w:iCs/>
          <w:color w:val="000000" w:themeColor="text1"/>
          <w:sz w:val="24"/>
          <w:szCs w:val="24"/>
        </w:rPr>
        <w:t>must be made before 31</w:t>
      </w:r>
      <w:r w:rsidR="005D2541">
        <w:rPr>
          <w:rFonts w:ascii="Times New Roman" w:eastAsia="Times New Roman" w:hAnsi="Times New Roman" w:cs="Times New Roman"/>
          <w:iCs/>
          <w:color w:val="000000" w:themeColor="text1"/>
          <w:sz w:val="24"/>
          <w:szCs w:val="24"/>
        </w:rPr>
        <w:t> </w:t>
      </w:r>
      <w:r w:rsidR="00516E63">
        <w:rPr>
          <w:rFonts w:ascii="Times New Roman" w:eastAsia="Times New Roman" w:hAnsi="Times New Roman" w:cs="Times New Roman"/>
          <w:iCs/>
          <w:color w:val="000000" w:themeColor="text1"/>
          <w:sz w:val="24"/>
          <w:szCs w:val="24"/>
        </w:rPr>
        <w:t>July</w:t>
      </w:r>
      <w:r w:rsidR="005D2541">
        <w:rPr>
          <w:rFonts w:ascii="Times New Roman" w:eastAsia="Times New Roman" w:hAnsi="Times New Roman" w:cs="Times New Roman"/>
          <w:iCs/>
          <w:color w:val="000000" w:themeColor="text1"/>
          <w:sz w:val="24"/>
          <w:szCs w:val="24"/>
        </w:rPr>
        <w:t> </w:t>
      </w:r>
      <w:r w:rsidR="00516E63">
        <w:rPr>
          <w:rFonts w:ascii="Times New Roman" w:eastAsia="Times New Roman" w:hAnsi="Times New Roman" w:cs="Times New Roman"/>
          <w:iCs/>
          <w:color w:val="000000" w:themeColor="text1"/>
          <w:sz w:val="24"/>
          <w:szCs w:val="24"/>
        </w:rPr>
        <w:t xml:space="preserve">2024. This has the effect of closing those streams </w:t>
      </w:r>
      <w:r>
        <w:rPr>
          <w:rFonts w:ascii="Times New Roman" w:eastAsia="Times New Roman" w:hAnsi="Times New Roman" w:cs="Times New Roman"/>
          <w:iCs/>
          <w:color w:val="000000" w:themeColor="text1"/>
          <w:sz w:val="24"/>
          <w:szCs w:val="24"/>
        </w:rPr>
        <w:t>to new applications</w:t>
      </w:r>
      <w:r w:rsidR="009E180F">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 xml:space="preserve">Existing applications for the Subclass 188 visa continue to be processed according to </w:t>
      </w:r>
      <w:r w:rsidR="00A638D1">
        <w:rPr>
          <w:rFonts w:ascii="Times New Roman" w:eastAsia="Times New Roman" w:hAnsi="Times New Roman" w:cs="Times New Roman"/>
          <w:iCs/>
          <w:color w:val="000000" w:themeColor="text1"/>
          <w:sz w:val="24"/>
          <w:szCs w:val="24"/>
        </w:rPr>
        <w:t xml:space="preserve">the </w:t>
      </w:r>
      <w:r>
        <w:rPr>
          <w:rFonts w:ascii="Times New Roman" w:eastAsia="Times New Roman" w:hAnsi="Times New Roman" w:cs="Times New Roman"/>
          <w:iCs/>
          <w:color w:val="000000" w:themeColor="text1"/>
          <w:sz w:val="24"/>
          <w:szCs w:val="24"/>
        </w:rPr>
        <w:t>settings</w:t>
      </w:r>
      <w:r w:rsidR="00A638D1">
        <w:rPr>
          <w:rFonts w:ascii="Times New Roman" w:eastAsia="Times New Roman" w:hAnsi="Times New Roman" w:cs="Times New Roman"/>
          <w:iCs/>
          <w:color w:val="000000" w:themeColor="text1"/>
          <w:sz w:val="24"/>
          <w:szCs w:val="24"/>
        </w:rPr>
        <w:t xml:space="preserve"> which were in place before 31</w:t>
      </w:r>
      <w:r w:rsidR="005D2541">
        <w:rPr>
          <w:rFonts w:ascii="Times New Roman" w:eastAsia="Times New Roman" w:hAnsi="Times New Roman" w:cs="Times New Roman"/>
          <w:iCs/>
          <w:color w:val="000000" w:themeColor="text1"/>
          <w:sz w:val="24"/>
          <w:szCs w:val="24"/>
        </w:rPr>
        <w:t> </w:t>
      </w:r>
      <w:r w:rsidR="00A638D1">
        <w:rPr>
          <w:rFonts w:ascii="Times New Roman" w:eastAsia="Times New Roman" w:hAnsi="Times New Roman" w:cs="Times New Roman"/>
          <w:iCs/>
          <w:color w:val="000000" w:themeColor="text1"/>
          <w:sz w:val="24"/>
          <w:szCs w:val="24"/>
        </w:rPr>
        <w:t>July 2024</w:t>
      </w:r>
      <w:r>
        <w:rPr>
          <w:rFonts w:ascii="Times New Roman" w:eastAsia="Times New Roman" w:hAnsi="Times New Roman" w:cs="Times New Roman"/>
          <w:iCs/>
          <w:color w:val="000000" w:themeColor="text1"/>
          <w:sz w:val="24"/>
          <w:szCs w:val="24"/>
        </w:rPr>
        <w:t>. Related visa</w:t>
      </w:r>
      <w:r w:rsidR="00A638D1">
        <w:rPr>
          <w:rFonts w:ascii="Times New Roman" w:eastAsia="Times New Roman" w:hAnsi="Times New Roman" w:cs="Times New Roman"/>
          <w:iCs/>
          <w:color w:val="000000" w:themeColor="text1"/>
          <w:sz w:val="24"/>
          <w:szCs w:val="24"/>
        </w:rPr>
        <w:t xml:space="preserve"> pathway</w:t>
      </w:r>
      <w:r>
        <w:rPr>
          <w:rFonts w:ascii="Times New Roman" w:eastAsia="Times New Roman" w:hAnsi="Times New Roman" w:cs="Times New Roman"/>
          <w:iCs/>
          <w:color w:val="000000" w:themeColor="text1"/>
          <w:sz w:val="24"/>
          <w:szCs w:val="24"/>
        </w:rPr>
        <w:t>s would also be maintained:</w:t>
      </w:r>
    </w:p>
    <w:p w14:paraId="21250352" w14:textId="58FE6EC6" w:rsidR="000C48FD" w:rsidRDefault="000C48FD" w:rsidP="000C48FD">
      <w:pPr>
        <w:pStyle w:val="ListParagraph"/>
        <w:numPr>
          <w:ilvl w:val="0"/>
          <w:numId w:val="6"/>
        </w:numPr>
        <w:spacing w:before="240" w:after="0" w:line="240" w:lineRule="auto"/>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Applications </w:t>
      </w:r>
      <w:r w:rsidR="00A638D1">
        <w:rPr>
          <w:rFonts w:ascii="Times New Roman" w:eastAsia="Times New Roman" w:hAnsi="Times New Roman" w:cs="Times New Roman"/>
          <w:iCs/>
          <w:color w:val="000000" w:themeColor="text1"/>
          <w:sz w:val="24"/>
          <w:szCs w:val="24"/>
        </w:rPr>
        <w:t xml:space="preserve">can </w:t>
      </w:r>
      <w:r>
        <w:rPr>
          <w:rFonts w:ascii="Times New Roman" w:eastAsia="Times New Roman" w:hAnsi="Times New Roman" w:cs="Times New Roman"/>
          <w:iCs/>
          <w:color w:val="000000" w:themeColor="text1"/>
          <w:sz w:val="24"/>
          <w:szCs w:val="24"/>
        </w:rPr>
        <w:t>continue to be made in the Business Innovation Extension and Significant Investor Extension streams for current Subclass 188 visa holders</w:t>
      </w:r>
      <w:r w:rsidR="00311A7F">
        <w:rPr>
          <w:rFonts w:ascii="Times New Roman" w:eastAsia="Times New Roman" w:hAnsi="Times New Roman" w:cs="Times New Roman"/>
          <w:iCs/>
          <w:color w:val="000000" w:themeColor="text1"/>
          <w:sz w:val="24"/>
          <w:szCs w:val="24"/>
        </w:rPr>
        <w:t xml:space="preserve"> in the Business Innovation or Significant Investor stream</w:t>
      </w:r>
      <w:r w:rsidR="00EA3868">
        <w:rPr>
          <w:rFonts w:ascii="Times New Roman" w:eastAsia="Times New Roman" w:hAnsi="Times New Roman" w:cs="Times New Roman"/>
          <w:iCs/>
          <w:color w:val="000000" w:themeColor="text1"/>
          <w:sz w:val="24"/>
          <w:szCs w:val="24"/>
        </w:rPr>
        <w:t>s</w:t>
      </w:r>
      <w:r>
        <w:rPr>
          <w:rFonts w:ascii="Times New Roman" w:eastAsia="Times New Roman" w:hAnsi="Times New Roman" w:cs="Times New Roman"/>
          <w:iCs/>
          <w:color w:val="000000" w:themeColor="text1"/>
          <w:sz w:val="24"/>
          <w:szCs w:val="24"/>
        </w:rPr>
        <w:t xml:space="preserve">. </w:t>
      </w:r>
    </w:p>
    <w:p w14:paraId="729C899F" w14:textId="250CD90F" w:rsidR="000C48FD" w:rsidRDefault="000C48FD" w:rsidP="000C48FD">
      <w:pPr>
        <w:pStyle w:val="ListParagraph"/>
        <w:numPr>
          <w:ilvl w:val="0"/>
          <w:numId w:val="6"/>
        </w:numPr>
        <w:spacing w:before="240" w:after="0" w:line="240" w:lineRule="auto"/>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Applications </w:t>
      </w:r>
      <w:r w:rsidR="00A638D1">
        <w:rPr>
          <w:rFonts w:ascii="Times New Roman" w:eastAsia="Times New Roman" w:hAnsi="Times New Roman" w:cs="Times New Roman"/>
          <w:iCs/>
          <w:color w:val="000000" w:themeColor="text1"/>
          <w:sz w:val="24"/>
          <w:szCs w:val="24"/>
        </w:rPr>
        <w:t xml:space="preserve">can </w:t>
      </w:r>
      <w:r>
        <w:rPr>
          <w:rFonts w:ascii="Times New Roman" w:eastAsia="Times New Roman" w:hAnsi="Times New Roman" w:cs="Times New Roman"/>
          <w:iCs/>
          <w:color w:val="000000" w:themeColor="text1"/>
          <w:sz w:val="24"/>
          <w:szCs w:val="24"/>
        </w:rPr>
        <w:t>also</w:t>
      </w:r>
      <w:r w:rsidR="00A638D1">
        <w:rPr>
          <w:rFonts w:ascii="Times New Roman" w:eastAsia="Times New Roman" w:hAnsi="Times New Roman" w:cs="Times New Roman"/>
          <w:iCs/>
          <w:color w:val="000000" w:themeColor="text1"/>
          <w:sz w:val="24"/>
          <w:szCs w:val="24"/>
        </w:rPr>
        <w:t xml:space="preserve"> continue to</w:t>
      </w:r>
      <w:r>
        <w:rPr>
          <w:rFonts w:ascii="Times New Roman" w:eastAsia="Times New Roman" w:hAnsi="Times New Roman" w:cs="Times New Roman"/>
          <w:iCs/>
          <w:color w:val="000000" w:themeColor="text1"/>
          <w:sz w:val="24"/>
          <w:szCs w:val="24"/>
        </w:rPr>
        <w:t xml:space="preserve"> be made by applicants seeking to satisfy the secondary criteria for the Subclass 188 visa – that is, members of the family unit of the ‘primary’ applicant who currently holds a Subclass 188 visa or is granted on</w:t>
      </w:r>
      <w:r w:rsidR="00A638D1">
        <w:rPr>
          <w:rFonts w:ascii="Times New Roman" w:eastAsia="Times New Roman" w:hAnsi="Times New Roman" w:cs="Times New Roman"/>
          <w:iCs/>
          <w:color w:val="000000" w:themeColor="text1"/>
          <w:sz w:val="24"/>
          <w:szCs w:val="24"/>
        </w:rPr>
        <w:t>e</w:t>
      </w:r>
      <w:r>
        <w:rPr>
          <w:rFonts w:ascii="Times New Roman" w:eastAsia="Times New Roman" w:hAnsi="Times New Roman" w:cs="Times New Roman"/>
          <w:iCs/>
          <w:color w:val="000000" w:themeColor="text1"/>
          <w:sz w:val="24"/>
          <w:szCs w:val="24"/>
        </w:rPr>
        <w:t xml:space="preserve"> further to an existing application. </w:t>
      </w:r>
    </w:p>
    <w:p w14:paraId="3F84D321" w14:textId="24902158" w:rsidR="000C48FD" w:rsidRPr="000C48FD" w:rsidRDefault="000C48FD" w:rsidP="000C48FD">
      <w:pPr>
        <w:pStyle w:val="ListParagraph"/>
        <w:numPr>
          <w:ilvl w:val="0"/>
          <w:numId w:val="6"/>
        </w:numPr>
        <w:spacing w:before="240" w:after="0" w:line="240" w:lineRule="auto"/>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Subclass 188 visa holders, including those who are granted a visa further to an application made before 31 July 2024, </w:t>
      </w:r>
      <w:r w:rsidR="00A638D1">
        <w:rPr>
          <w:rFonts w:ascii="Times New Roman" w:eastAsia="Times New Roman" w:hAnsi="Times New Roman" w:cs="Times New Roman"/>
          <w:iCs/>
          <w:color w:val="000000" w:themeColor="text1"/>
          <w:sz w:val="24"/>
          <w:szCs w:val="24"/>
        </w:rPr>
        <w:t xml:space="preserve">can </w:t>
      </w:r>
      <w:r>
        <w:rPr>
          <w:rFonts w:ascii="Times New Roman" w:eastAsia="Times New Roman" w:hAnsi="Times New Roman" w:cs="Times New Roman"/>
          <w:iCs/>
          <w:color w:val="000000" w:themeColor="text1"/>
          <w:sz w:val="24"/>
          <w:szCs w:val="24"/>
        </w:rPr>
        <w:t>continue to apply for the permanent Subclass 888 visa.</w:t>
      </w:r>
    </w:p>
    <w:p w14:paraId="6F637F7F" w14:textId="264EC8E3" w:rsidR="00764E57" w:rsidRDefault="00764E57" w:rsidP="5220722F">
      <w:pPr>
        <w:spacing w:before="240" w:after="0" w:line="240" w:lineRule="auto"/>
        <w:rPr>
          <w:rFonts w:ascii="Times New Roman" w:eastAsia="Times New Roman" w:hAnsi="Times New Roman" w:cs="Times New Roman"/>
          <w:iCs/>
          <w:color w:val="000000" w:themeColor="text1"/>
          <w:sz w:val="24"/>
          <w:szCs w:val="24"/>
        </w:rPr>
      </w:pPr>
      <w:r w:rsidRPr="00764E57">
        <w:rPr>
          <w:rFonts w:ascii="Times New Roman" w:eastAsia="Times New Roman" w:hAnsi="Times New Roman" w:cs="Times New Roman"/>
          <w:iCs/>
          <w:color w:val="000000" w:themeColor="text1"/>
          <w:sz w:val="24"/>
          <w:szCs w:val="24"/>
        </w:rPr>
        <w:lastRenderedPageBreak/>
        <w:t>The matters dealt with in the Amendment Regulations are appropriate for implementation in regulations rather than by parliamentary enactment. It has been the consistent practice of the Government of the day to provide for detailed matters of visa criteria and visa conditions in the Migration Regulations rather than in the Migration Act itself. The Migration Act expressly provides for these matters to be prescribed in regulations.</w:t>
      </w:r>
    </w:p>
    <w:p w14:paraId="5FA6AA1C" w14:textId="003E6D0F" w:rsidR="00764E57" w:rsidRDefault="00764E57" w:rsidP="5220722F">
      <w:pPr>
        <w:spacing w:before="240" w:after="0" w:line="240" w:lineRule="auto"/>
        <w:rPr>
          <w:rFonts w:ascii="Times New Roman" w:eastAsia="Times New Roman" w:hAnsi="Times New Roman" w:cs="Times New Roman"/>
          <w:iCs/>
          <w:color w:val="000000" w:themeColor="text1"/>
          <w:sz w:val="24"/>
          <w:szCs w:val="24"/>
        </w:rPr>
      </w:pPr>
      <w:r w:rsidRPr="00764E57">
        <w:rPr>
          <w:rFonts w:ascii="Times New Roman" w:eastAsia="Times New Roman" w:hAnsi="Times New Roman" w:cs="Times New Roman"/>
          <w:iCs/>
          <w:color w:val="000000" w:themeColor="text1"/>
          <w:sz w:val="24"/>
          <w:szCs w:val="24"/>
        </w:rPr>
        <w:t>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1B3BC9DF" w14:textId="77777777" w:rsidR="007539FB" w:rsidRPr="00561563" w:rsidRDefault="007539FB" w:rsidP="007539FB">
      <w:pPr>
        <w:spacing w:before="100" w:beforeAutospacing="1" w:after="100" w:afterAutospacing="1" w:line="240" w:lineRule="auto"/>
        <w:rPr>
          <w:rFonts w:ascii="Times New Roman" w:eastAsia="Times New Roman" w:hAnsi="Times New Roman" w:cs="Times New Roman"/>
          <w:sz w:val="24"/>
          <w:szCs w:val="20"/>
          <w:lang w:eastAsia="en-AU"/>
        </w:rPr>
      </w:pPr>
      <w:r w:rsidRPr="00561563">
        <w:rPr>
          <w:rFonts w:ascii="Times New Roman" w:eastAsia="Times New Roman" w:hAnsi="Times New Roman" w:cs="Times New Roman"/>
          <w:sz w:val="24"/>
          <w:szCs w:val="20"/>
          <w:lang w:eastAsia="en-AU"/>
        </w:rPr>
        <w:t xml:space="preserve">The Amendment Regulations amend the Migration Regulations, which are exempt from sunsetting under table item 38A of section 12 of the </w:t>
      </w:r>
      <w:r w:rsidRPr="00561563">
        <w:rPr>
          <w:rFonts w:ascii="Times New Roman" w:eastAsia="Times New Roman" w:hAnsi="Times New Roman" w:cs="Times New Roman"/>
          <w:i/>
          <w:iCs/>
          <w:sz w:val="24"/>
          <w:szCs w:val="20"/>
          <w:lang w:eastAsia="en-AU"/>
        </w:rPr>
        <w:t>Legislation (Exemptions and other Matters) Regulations 2015</w:t>
      </w:r>
      <w:r w:rsidRPr="00561563">
        <w:rPr>
          <w:rFonts w:ascii="Times New Roman" w:eastAsia="Times New Roman" w:hAnsi="Times New Roman" w:cs="Times New Roman"/>
          <w:sz w:val="24"/>
          <w:szCs w:val="20"/>
          <w:lang w:eastAsia="en-AU"/>
        </w:rPr>
        <w:t>. The Migration Regulations are exempt from sunsetting on the basis that the repeal and remaking of the Migration Regulations:</w:t>
      </w:r>
    </w:p>
    <w:p w14:paraId="5FBC3851" w14:textId="77777777" w:rsidR="007539FB" w:rsidRPr="00561563" w:rsidRDefault="007539FB" w:rsidP="007539FB">
      <w:pPr>
        <w:numPr>
          <w:ilvl w:val="0"/>
          <w:numId w:val="7"/>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r w:rsidRPr="00561563">
        <w:rPr>
          <w:rFonts w:ascii="Times New Roman" w:eastAsia="Times New Roman" w:hAnsi="Times New Roman" w:cs="Times New Roman"/>
          <w:sz w:val="24"/>
          <w:szCs w:val="20"/>
          <w:lang w:eastAsia="en-AU"/>
        </w:rPr>
        <w:t>is necessary as the Migration Regulations are regularly amended numerous times each year to update policy settings for immigration programs;</w:t>
      </w:r>
    </w:p>
    <w:p w14:paraId="52C96021" w14:textId="77777777" w:rsidR="007539FB" w:rsidRPr="00561563" w:rsidRDefault="007539FB" w:rsidP="007539FB">
      <w:pPr>
        <w:numPr>
          <w:ilvl w:val="0"/>
          <w:numId w:val="7"/>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r w:rsidRPr="00561563">
        <w:rPr>
          <w:rFonts w:ascii="Times New Roman" w:eastAsia="Times New Roman" w:hAnsi="Times New Roman" w:cs="Times New Roman"/>
          <w:sz w:val="24"/>
          <w:szCs w:val="20"/>
          <w:lang w:eastAsia="en-AU"/>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1279B0A0" w14:textId="77777777" w:rsidR="007539FB" w:rsidRPr="00561563" w:rsidRDefault="007539FB" w:rsidP="007539FB">
      <w:pPr>
        <w:numPr>
          <w:ilvl w:val="0"/>
          <w:numId w:val="7"/>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r w:rsidRPr="00561563">
        <w:rPr>
          <w:rFonts w:ascii="Times New Roman" w:eastAsia="Times New Roman" w:hAnsi="Times New Roman" w:cs="Times New Roman"/>
          <w:sz w:val="24"/>
          <w:szCs w:val="20"/>
          <w:lang w:eastAsia="en-AU"/>
        </w:rPr>
        <w:t>would demand complicated and costly systems, training and operational changes that would impose significant strain on Government resources and the Australian public for insignificant gain, while not advancing the aims of Legislation Act.</w:t>
      </w:r>
    </w:p>
    <w:p w14:paraId="75EA7991" w14:textId="6C0FAB4F" w:rsidR="00EF375C" w:rsidRDefault="00EF375C" w:rsidP="5220722F">
      <w:pPr>
        <w:spacing w:before="240" w:after="0" w:line="240" w:lineRule="auto"/>
        <w:rPr>
          <w:rFonts w:ascii="Times New Roman" w:eastAsia="Times New Roman" w:hAnsi="Times New Roman" w:cs="Times New Roman"/>
          <w:iCs/>
          <w:color w:val="000000" w:themeColor="text1"/>
          <w:sz w:val="24"/>
          <w:szCs w:val="24"/>
        </w:rPr>
      </w:pPr>
      <w:r w:rsidRPr="00EF375C">
        <w:rPr>
          <w:rFonts w:ascii="Times New Roman" w:eastAsia="Times New Roman" w:hAnsi="Times New Roman" w:cs="Times New Roman"/>
          <w:iCs/>
          <w:color w:val="000000" w:themeColor="text1"/>
          <w:sz w:val="24"/>
          <w:szCs w:val="24"/>
        </w:rPr>
        <w:t xml:space="preserve">A Statement of Compatibility with Human Rights has been completed in accordance with the </w:t>
      </w:r>
      <w:r w:rsidRPr="003E1B35">
        <w:rPr>
          <w:rFonts w:ascii="Times New Roman" w:eastAsia="Times New Roman" w:hAnsi="Times New Roman" w:cs="Times New Roman"/>
          <w:i/>
          <w:iCs/>
          <w:color w:val="000000" w:themeColor="text1"/>
          <w:sz w:val="24"/>
          <w:szCs w:val="24"/>
        </w:rPr>
        <w:t>Human Rights (Parliamentary Scrutiny) Act 2011</w:t>
      </w:r>
      <w:r w:rsidRPr="00EF375C">
        <w:rPr>
          <w:rFonts w:ascii="Times New Roman" w:eastAsia="Times New Roman" w:hAnsi="Times New Roman" w:cs="Times New Roman"/>
          <w:iCs/>
          <w:color w:val="000000" w:themeColor="text1"/>
          <w:sz w:val="24"/>
          <w:szCs w:val="24"/>
        </w:rPr>
        <w:t xml:space="preserve">. The overall assessment is that the Regulations are compatible with human rights. A copy of this Statement is at </w:t>
      </w:r>
      <w:r w:rsidRPr="00EF375C">
        <w:rPr>
          <w:rFonts w:ascii="Times New Roman" w:eastAsia="Times New Roman" w:hAnsi="Times New Roman" w:cs="Times New Roman"/>
          <w:iCs/>
          <w:color w:val="000000" w:themeColor="text1"/>
          <w:sz w:val="24"/>
          <w:szCs w:val="24"/>
          <w:u w:val="single"/>
        </w:rPr>
        <w:t>Attachment B</w:t>
      </w:r>
      <w:r w:rsidRPr="00EF375C">
        <w:rPr>
          <w:rFonts w:ascii="Times New Roman" w:eastAsia="Times New Roman" w:hAnsi="Times New Roman" w:cs="Times New Roman"/>
          <w:iCs/>
          <w:color w:val="000000" w:themeColor="text1"/>
          <w:sz w:val="24"/>
          <w:szCs w:val="24"/>
        </w:rPr>
        <w:t>.</w:t>
      </w:r>
    </w:p>
    <w:p w14:paraId="271AB21F" w14:textId="7FEB72CD" w:rsidR="00EF375C" w:rsidRDefault="00EF375C" w:rsidP="00C7134E">
      <w:pPr>
        <w:pStyle w:val="ESPara"/>
        <w:numPr>
          <w:ilvl w:val="0"/>
          <w:numId w:val="0"/>
        </w:numPr>
        <w:rPr>
          <w:rFonts w:eastAsia="Times New Roman"/>
          <w:iCs/>
          <w:sz w:val="24"/>
          <w:szCs w:val="24"/>
        </w:rPr>
      </w:pPr>
      <w:r w:rsidRPr="00EF375C">
        <w:rPr>
          <w:rFonts w:eastAsia="Times New Roman"/>
          <w:iCs/>
          <w:sz w:val="24"/>
          <w:szCs w:val="24"/>
        </w:rPr>
        <w:t>The Office of Impact Analysis (the OIA) has been consulted in relation to the amendments. No Impact Analysis is required. The OIA consultation reference number is OIA24-07084.</w:t>
      </w:r>
    </w:p>
    <w:p w14:paraId="06A0230E" w14:textId="4551E380" w:rsidR="00906AB2" w:rsidRDefault="00906AB2" w:rsidP="00C7134E">
      <w:pPr>
        <w:pStyle w:val="ESPara"/>
        <w:numPr>
          <w:ilvl w:val="0"/>
          <w:numId w:val="0"/>
        </w:numPr>
        <w:rPr>
          <w:rFonts w:eastAsia="Times New Roman"/>
          <w:iCs/>
          <w:sz w:val="24"/>
          <w:szCs w:val="24"/>
        </w:rPr>
      </w:pPr>
      <w:r>
        <w:rPr>
          <w:rFonts w:eastAsia="Times New Roman"/>
          <w:iCs/>
          <w:sz w:val="24"/>
          <w:szCs w:val="24"/>
        </w:rPr>
        <w:t xml:space="preserve">The Amendment Regulations are a legislative instrument for the purposes of the </w:t>
      </w:r>
      <w:r w:rsidRPr="00906AB2">
        <w:rPr>
          <w:rFonts w:eastAsia="Times New Roman"/>
          <w:i/>
          <w:iCs/>
          <w:sz w:val="24"/>
          <w:szCs w:val="24"/>
        </w:rPr>
        <w:t>Legislation Act 2003</w:t>
      </w:r>
      <w:r>
        <w:rPr>
          <w:rFonts w:eastAsia="Times New Roman"/>
          <w:iCs/>
          <w:sz w:val="24"/>
          <w:szCs w:val="24"/>
        </w:rPr>
        <w:t xml:space="preserve"> (the Legislation Act).</w:t>
      </w:r>
    </w:p>
    <w:p w14:paraId="7F14207C" w14:textId="77777777" w:rsidR="00A070A5" w:rsidRDefault="008A4CBA" w:rsidP="00C7134E">
      <w:pPr>
        <w:pStyle w:val="ESPara"/>
        <w:numPr>
          <w:ilvl w:val="0"/>
          <w:numId w:val="0"/>
        </w:numPr>
        <w:rPr>
          <w:rFonts w:eastAsia="Times New Roman"/>
          <w:iCs/>
          <w:sz w:val="24"/>
          <w:szCs w:val="24"/>
        </w:rPr>
      </w:pPr>
      <w:r>
        <w:rPr>
          <w:rFonts w:eastAsia="Times New Roman"/>
          <w:iCs/>
          <w:sz w:val="24"/>
          <w:szCs w:val="24"/>
        </w:rPr>
        <w:t xml:space="preserve">Section 17 of the Legislation Act provides that the rule-maker must be satisfied that there has been undertaken any consultation that is appropriate and reasonably practicable before making a legislative instrument. The </w:t>
      </w:r>
      <w:r w:rsidR="00C7134E" w:rsidRPr="00C7134E">
        <w:rPr>
          <w:rFonts w:eastAsia="Times New Roman"/>
          <w:iCs/>
          <w:sz w:val="24"/>
          <w:szCs w:val="24"/>
        </w:rPr>
        <w:t>Department of the Prime Minister and Cabinet, the Department of the Treasury, the Department of Finance and Austrade</w:t>
      </w:r>
      <w:r>
        <w:rPr>
          <w:rFonts w:eastAsia="Times New Roman"/>
          <w:iCs/>
          <w:sz w:val="24"/>
          <w:szCs w:val="24"/>
        </w:rPr>
        <w:t xml:space="preserve"> were each consulted on the closure of the BIIP</w:t>
      </w:r>
      <w:r w:rsidR="00C7134E" w:rsidRPr="00C7134E">
        <w:rPr>
          <w:rFonts w:eastAsia="Times New Roman"/>
          <w:iCs/>
          <w:sz w:val="24"/>
          <w:szCs w:val="24"/>
        </w:rPr>
        <w:t>.</w:t>
      </w:r>
      <w:r w:rsidR="00C7134E">
        <w:rPr>
          <w:rFonts w:eastAsia="Times New Roman"/>
          <w:b/>
          <w:iCs/>
          <w:sz w:val="24"/>
          <w:szCs w:val="24"/>
        </w:rPr>
        <w:t xml:space="preserve"> </w:t>
      </w:r>
      <w:r w:rsidR="00A070A5" w:rsidRPr="00A070A5">
        <w:rPr>
          <w:rFonts w:eastAsia="Times New Roman"/>
          <w:iCs/>
          <w:sz w:val="24"/>
          <w:szCs w:val="24"/>
        </w:rPr>
        <w:t xml:space="preserve">The </w:t>
      </w:r>
      <w:r w:rsidR="00A070A5">
        <w:rPr>
          <w:rFonts w:eastAsia="Times New Roman"/>
          <w:iCs/>
          <w:sz w:val="24"/>
          <w:szCs w:val="24"/>
        </w:rPr>
        <w:t xml:space="preserve">Government’s decision to close the BIIP was also informed by the findings of the </w:t>
      </w:r>
      <w:r w:rsidR="00A070A5" w:rsidRPr="00A070A5">
        <w:rPr>
          <w:rFonts w:eastAsia="Times New Roman"/>
          <w:i/>
          <w:iCs/>
          <w:sz w:val="24"/>
          <w:szCs w:val="24"/>
        </w:rPr>
        <w:t>Review of the Migration System</w:t>
      </w:r>
      <w:r w:rsidR="00A070A5" w:rsidRPr="00A070A5">
        <w:rPr>
          <w:rFonts w:eastAsia="Times New Roman"/>
          <w:iCs/>
          <w:sz w:val="24"/>
          <w:szCs w:val="24"/>
        </w:rPr>
        <w:t xml:space="preserve"> report, led by Dr Martin Parkinson AC PSM (the Migration Review), </w:t>
      </w:r>
      <w:r w:rsidR="00A070A5">
        <w:rPr>
          <w:rFonts w:eastAsia="Times New Roman"/>
          <w:iCs/>
          <w:sz w:val="24"/>
          <w:szCs w:val="24"/>
        </w:rPr>
        <w:t xml:space="preserve">which </w:t>
      </w:r>
      <w:r w:rsidR="00A070A5" w:rsidRPr="00A070A5">
        <w:rPr>
          <w:rFonts w:eastAsia="Times New Roman"/>
          <w:iCs/>
          <w:sz w:val="24"/>
          <w:szCs w:val="24"/>
        </w:rPr>
        <w:t xml:space="preserve">noted that the Migration Review concluded the BIIP is delivering poor economic outcomes for Australia and recommended closing this program. </w:t>
      </w:r>
    </w:p>
    <w:p w14:paraId="27114B77" w14:textId="0ED3AF98" w:rsidR="005A3733" w:rsidRDefault="00A070A5" w:rsidP="00C7134E">
      <w:pPr>
        <w:pStyle w:val="ESPara"/>
        <w:numPr>
          <w:ilvl w:val="0"/>
          <w:numId w:val="0"/>
        </w:numPr>
        <w:rPr>
          <w:rFonts w:eastAsia="Times New Roman"/>
          <w:iCs/>
          <w:sz w:val="24"/>
          <w:szCs w:val="24"/>
        </w:rPr>
      </w:pPr>
      <w:r>
        <w:rPr>
          <w:rFonts w:eastAsia="Times New Roman"/>
          <w:iCs/>
          <w:sz w:val="24"/>
          <w:szCs w:val="24"/>
        </w:rPr>
        <w:t>C</w:t>
      </w:r>
      <w:r w:rsidR="00936968">
        <w:rPr>
          <w:rFonts w:eastAsia="Times New Roman"/>
          <w:iCs/>
          <w:sz w:val="24"/>
          <w:szCs w:val="24"/>
        </w:rPr>
        <w:t>losure of the BIIP was announced by the Minister for Home Affairs in a media release on 14 May 2024</w:t>
      </w:r>
      <w:r>
        <w:rPr>
          <w:rFonts w:eastAsia="Times New Roman"/>
          <w:iCs/>
          <w:sz w:val="24"/>
          <w:szCs w:val="24"/>
        </w:rPr>
        <w:t xml:space="preserve">, as part of the </w:t>
      </w:r>
      <w:r w:rsidRPr="00A070A5">
        <w:rPr>
          <w:rFonts w:eastAsia="Times New Roman"/>
          <w:iCs/>
          <w:sz w:val="24"/>
          <w:szCs w:val="24"/>
        </w:rPr>
        <w:t xml:space="preserve">Budget 2024-25 measure </w:t>
      </w:r>
      <w:r w:rsidRPr="00A070A5">
        <w:rPr>
          <w:rFonts w:eastAsia="Times New Roman"/>
          <w:i/>
          <w:iCs/>
          <w:sz w:val="24"/>
          <w:szCs w:val="24"/>
        </w:rPr>
        <w:t>Migration System Reforms</w:t>
      </w:r>
      <w:r w:rsidR="00936968">
        <w:rPr>
          <w:rFonts w:eastAsia="Times New Roman"/>
          <w:iCs/>
          <w:sz w:val="24"/>
          <w:szCs w:val="24"/>
        </w:rPr>
        <w:t xml:space="preserve">. </w:t>
      </w:r>
      <w:r w:rsidRPr="00A070A5">
        <w:rPr>
          <w:rFonts w:eastAsia="Times New Roman"/>
          <w:iCs/>
          <w:sz w:val="24"/>
          <w:szCs w:val="24"/>
        </w:rPr>
        <w:t xml:space="preserve">Relevant State and Territory government counterparts have been notified of the Government’s decision to close the </w:t>
      </w:r>
      <w:r w:rsidRPr="00A070A5">
        <w:rPr>
          <w:rFonts w:eastAsia="Times New Roman"/>
          <w:iCs/>
          <w:sz w:val="24"/>
          <w:szCs w:val="24"/>
        </w:rPr>
        <w:lastRenderedPageBreak/>
        <w:t xml:space="preserve">BIIP. </w:t>
      </w:r>
      <w:r w:rsidR="00936968">
        <w:rPr>
          <w:rFonts w:eastAsia="Times New Roman"/>
          <w:iCs/>
          <w:sz w:val="24"/>
          <w:szCs w:val="24"/>
        </w:rPr>
        <w:t>The Department also published information in relation to the closure of the BIIP on its website on 12 June 2024,</w:t>
      </w:r>
      <w:r w:rsidR="00936968">
        <w:rPr>
          <w:rStyle w:val="FootnoteReference"/>
          <w:rFonts w:eastAsia="Times New Roman"/>
          <w:iCs/>
          <w:sz w:val="24"/>
          <w:szCs w:val="24"/>
        </w:rPr>
        <w:footnoteReference w:id="1"/>
      </w:r>
      <w:r w:rsidR="00936968">
        <w:rPr>
          <w:rFonts w:eastAsia="Times New Roman"/>
          <w:iCs/>
          <w:sz w:val="24"/>
          <w:szCs w:val="24"/>
        </w:rPr>
        <w:t xml:space="preserve"> including information for current visa applicants.</w:t>
      </w:r>
    </w:p>
    <w:p w14:paraId="78C44D18" w14:textId="77777777" w:rsidR="0087763B" w:rsidRPr="0087763B" w:rsidRDefault="0087763B" w:rsidP="0087763B">
      <w:pPr>
        <w:spacing w:line="256" w:lineRule="auto"/>
        <w:rPr>
          <w:rFonts w:ascii="Times New Roman" w:eastAsia="Calibri" w:hAnsi="Times New Roman" w:cs="Times New Roman"/>
          <w:iCs/>
          <w:color w:val="000000" w:themeColor="text1"/>
          <w:sz w:val="24"/>
          <w:szCs w:val="24"/>
        </w:rPr>
      </w:pPr>
      <w:r w:rsidRPr="0087763B">
        <w:rPr>
          <w:rFonts w:ascii="Times New Roman" w:eastAsia="Calibri" w:hAnsi="Times New Roman" w:cs="Times New Roman"/>
          <w:iCs/>
          <w:color w:val="000000" w:themeColor="text1"/>
          <w:sz w:val="24"/>
          <w:szCs w:val="24"/>
        </w:rPr>
        <w:t>The Amendment Regulations commence the day after the instrument is registered on the Federal Register of Legislation.</w:t>
      </w:r>
    </w:p>
    <w:p w14:paraId="1DCE86E9" w14:textId="77777777" w:rsidR="0087763B" w:rsidRPr="0087763B" w:rsidRDefault="0087763B" w:rsidP="0087763B">
      <w:pPr>
        <w:spacing w:line="256" w:lineRule="auto"/>
        <w:rPr>
          <w:rFonts w:ascii="Times New Roman" w:eastAsia="Calibri" w:hAnsi="Times New Roman" w:cs="Times New Roman"/>
          <w:iCs/>
          <w:color w:val="000000" w:themeColor="text1"/>
          <w:sz w:val="24"/>
          <w:szCs w:val="24"/>
          <w:u w:val="single"/>
        </w:rPr>
      </w:pPr>
      <w:r w:rsidRPr="0087763B">
        <w:rPr>
          <w:rFonts w:ascii="Times New Roman" w:eastAsia="Calibri" w:hAnsi="Times New Roman" w:cs="Times New Roman"/>
          <w:iCs/>
          <w:color w:val="000000" w:themeColor="text1"/>
          <w:sz w:val="24"/>
          <w:szCs w:val="24"/>
        </w:rPr>
        <w:t xml:space="preserve">Further details of the Regulations are set out in </w:t>
      </w:r>
      <w:r w:rsidRPr="0087763B">
        <w:rPr>
          <w:rFonts w:ascii="Times New Roman" w:eastAsia="Calibri" w:hAnsi="Times New Roman" w:cs="Times New Roman"/>
          <w:iCs/>
          <w:color w:val="000000" w:themeColor="text1"/>
          <w:sz w:val="24"/>
          <w:szCs w:val="24"/>
          <w:u w:val="single"/>
        </w:rPr>
        <w:t>Attachment C</w:t>
      </w:r>
      <w:r w:rsidRPr="00041B61">
        <w:rPr>
          <w:rFonts w:ascii="Times New Roman" w:eastAsia="Calibri" w:hAnsi="Times New Roman" w:cs="Times New Roman"/>
          <w:iCs/>
          <w:color w:val="000000" w:themeColor="text1"/>
          <w:sz w:val="24"/>
          <w:szCs w:val="24"/>
        </w:rPr>
        <w:t>.</w:t>
      </w:r>
    </w:p>
    <w:p w14:paraId="7EA24179" w14:textId="3D4B6489" w:rsidR="0087763B" w:rsidRDefault="0087763B" w:rsidP="00041B61">
      <w:pPr>
        <w:spacing w:line="256" w:lineRule="auto"/>
        <w:rPr>
          <w:rFonts w:ascii="Times New Roman" w:hAnsi="Times New Roman" w:cs="Times New Roman"/>
        </w:rPr>
      </w:pPr>
      <w:r w:rsidRPr="0087763B">
        <w:rPr>
          <w:rFonts w:ascii="Times New Roman" w:eastAsia="Calibri" w:hAnsi="Times New Roman" w:cs="Times New Roman"/>
          <w:iCs/>
          <w:color w:val="000000" w:themeColor="text1"/>
          <w:sz w:val="24"/>
          <w:szCs w:val="24"/>
        </w:rPr>
        <w:t>The Migration Act specifies no conditions that need to be satisfied before the power to make the Amendment Regulations may be exercised.</w:t>
      </w:r>
      <w:r>
        <w:br w:type="page"/>
      </w:r>
    </w:p>
    <w:p w14:paraId="2DE00FDB" w14:textId="77777777" w:rsidR="0087763B" w:rsidRPr="0087763B" w:rsidRDefault="0087763B" w:rsidP="0087763B">
      <w:pPr>
        <w:spacing w:line="256" w:lineRule="auto"/>
        <w:jc w:val="right"/>
        <w:rPr>
          <w:rFonts w:ascii="Times New Roman" w:eastAsia="Times New Roman" w:hAnsi="Times New Roman" w:cs="Times New Roman"/>
          <w:b/>
          <w:sz w:val="24"/>
          <w:szCs w:val="24"/>
          <w:u w:val="single"/>
          <w:lang w:eastAsia="en-AU"/>
        </w:rPr>
      </w:pPr>
      <w:r w:rsidRPr="0087763B">
        <w:rPr>
          <w:rFonts w:ascii="Times New Roman" w:eastAsia="Times New Roman" w:hAnsi="Times New Roman" w:cs="Times New Roman"/>
          <w:b/>
          <w:sz w:val="24"/>
          <w:szCs w:val="24"/>
          <w:u w:val="single"/>
          <w:lang w:eastAsia="en-AU"/>
        </w:rPr>
        <w:lastRenderedPageBreak/>
        <w:t>ATTACHMENT A</w:t>
      </w:r>
    </w:p>
    <w:p w14:paraId="62872710" w14:textId="290E24E8" w:rsidR="0087763B" w:rsidRDefault="0087763B" w:rsidP="008A4CBA">
      <w:pPr>
        <w:tabs>
          <w:tab w:val="left" w:pos="435"/>
        </w:tabs>
        <w:spacing w:after="0" w:line="240" w:lineRule="auto"/>
        <w:ind w:right="42"/>
        <w:jc w:val="center"/>
        <w:rPr>
          <w:rFonts w:ascii="Times New Roman" w:eastAsia="Times New Roman" w:hAnsi="Times New Roman" w:cs="Times New Roman"/>
          <w:b/>
          <w:bCs/>
          <w:sz w:val="24"/>
          <w:szCs w:val="20"/>
          <w:lang w:eastAsia="en-AU"/>
        </w:rPr>
      </w:pPr>
      <w:r w:rsidRPr="0087763B">
        <w:rPr>
          <w:rFonts w:ascii="Times New Roman" w:eastAsia="Times New Roman" w:hAnsi="Times New Roman" w:cs="Times New Roman"/>
          <w:b/>
          <w:bCs/>
          <w:sz w:val="24"/>
          <w:szCs w:val="20"/>
          <w:lang w:eastAsia="en-AU"/>
        </w:rPr>
        <w:t>AUTHORISING PROVISIONS</w:t>
      </w:r>
    </w:p>
    <w:p w14:paraId="1EAA931A" w14:textId="10DA167A" w:rsidR="008A4CBA" w:rsidRPr="008A4CBA" w:rsidRDefault="008A4CBA" w:rsidP="008A4CBA">
      <w:pPr>
        <w:tabs>
          <w:tab w:val="left" w:pos="435"/>
        </w:tabs>
        <w:spacing w:after="0" w:line="240" w:lineRule="auto"/>
        <w:ind w:right="42"/>
        <w:rPr>
          <w:rFonts w:ascii="Times New Roman" w:eastAsia="Times New Roman" w:hAnsi="Times New Roman" w:cs="Times New Roman"/>
          <w:bCs/>
          <w:sz w:val="24"/>
          <w:szCs w:val="20"/>
          <w:lang w:eastAsia="en-AU"/>
        </w:rPr>
      </w:pPr>
    </w:p>
    <w:p w14:paraId="6A3492CF" w14:textId="77777777" w:rsidR="008A4CBA" w:rsidRPr="00E56C2B" w:rsidRDefault="008A4CBA" w:rsidP="008A4CBA">
      <w:pPr>
        <w:spacing w:after="0" w:line="240" w:lineRule="auto"/>
        <w:ind w:right="42"/>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Subsection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504(1)</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i/>
          <w:iCs/>
          <w:sz w:val="24"/>
          <w:szCs w:val="20"/>
          <w:lang w:eastAsia="en-AU"/>
        </w:rPr>
        <w:t>Migration</w:t>
      </w:r>
      <w:r>
        <w:rPr>
          <w:rFonts w:ascii="Times New Roman" w:eastAsia="Times New Roman" w:hAnsi="Times New Roman" w:cs="Times New Roman"/>
          <w:i/>
          <w:iCs/>
          <w:sz w:val="24"/>
          <w:szCs w:val="20"/>
          <w:lang w:eastAsia="en-AU"/>
        </w:rPr>
        <w:t xml:space="preserve"> </w:t>
      </w:r>
      <w:r w:rsidRPr="00E56C2B">
        <w:rPr>
          <w:rFonts w:ascii="Times New Roman" w:eastAsia="Times New Roman" w:hAnsi="Times New Roman" w:cs="Times New Roman"/>
          <w:i/>
          <w:iCs/>
          <w:sz w:val="24"/>
          <w:szCs w:val="20"/>
          <w:lang w:eastAsia="en-AU"/>
        </w:rPr>
        <w:t>Act</w:t>
      </w:r>
      <w:r>
        <w:rPr>
          <w:rFonts w:ascii="Times New Roman" w:eastAsia="Times New Roman" w:hAnsi="Times New Roman" w:cs="Times New Roman"/>
          <w:i/>
          <w:iCs/>
          <w:sz w:val="24"/>
          <w:szCs w:val="20"/>
          <w:lang w:eastAsia="en-AU"/>
        </w:rPr>
        <w:t xml:space="preserve"> </w:t>
      </w:r>
      <w:r w:rsidRPr="00E56C2B">
        <w:rPr>
          <w:rFonts w:ascii="Times New Roman" w:eastAsia="Times New Roman" w:hAnsi="Times New Roman" w:cs="Times New Roman"/>
          <w:i/>
          <w:iCs/>
          <w:sz w:val="24"/>
          <w:szCs w:val="20"/>
          <w:lang w:eastAsia="en-AU"/>
        </w:rPr>
        <w:t>1958</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relevantly</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provides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that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Governor</w:t>
      </w:r>
      <w:r w:rsidRPr="00E56C2B">
        <w:rPr>
          <w:rFonts w:ascii="Times New Roman" w:eastAsia="Times New Roman" w:hAnsi="Times New Roman" w:cs="Times New Roman"/>
          <w:sz w:val="24"/>
          <w:szCs w:val="20"/>
          <w:lang w:eastAsia="en-AU"/>
        </w:rPr>
        <w:noBreakHyphen/>
        <w:t>General</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may</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make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regulations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prescribing</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matters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required</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permitted</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be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prescribed,</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necessary</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convenient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be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prescribed,</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carrying</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out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giving</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effect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p>
    <w:p w14:paraId="7DF0EDAF" w14:textId="77777777" w:rsidR="008A4CBA" w:rsidRPr="00E56C2B" w:rsidRDefault="008A4CBA" w:rsidP="008A4CBA">
      <w:pPr>
        <w:spacing w:after="0" w:line="240" w:lineRule="auto"/>
        <w:ind w:right="42"/>
        <w:rPr>
          <w:rFonts w:ascii="Times New Roman" w:eastAsia="Times New Roman" w:hAnsi="Times New Roman" w:cs="Times New Roman"/>
          <w:sz w:val="24"/>
          <w:szCs w:val="20"/>
          <w:lang w:eastAsia="en-AU"/>
        </w:rPr>
      </w:pPr>
    </w:p>
    <w:p w14:paraId="1EDB454B" w14:textId="77777777" w:rsidR="008A4CBA" w:rsidRPr="00E56C2B" w:rsidRDefault="008A4CBA" w:rsidP="008A4CBA">
      <w:pPr>
        <w:spacing w:after="0" w:line="240" w:lineRule="auto"/>
        <w:ind w:right="43"/>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In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addition,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following</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provisions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are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also</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relevant:</w:t>
      </w:r>
    </w:p>
    <w:p w14:paraId="1EA20A0A" w14:textId="77777777" w:rsidR="005946FE" w:rsidRDefault="008A4CBA" w:rsidP="000139FD">
      <w:pPr>
        <w:numPr>
          <w:ilvl w:val="0"/>
          <w:numId w:val="5"/>
        </w:numPr>
        <w:spacing w:before="120" w:after="0" w:line="240" w:lineRule="auto"/>
        <w:ind w:left="425" w:hanging="357"/>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subsection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31(3)</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provides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that</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regulations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may</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criteria</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visa</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visas</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specified</w:t>
      </w:r>
      <w:r>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class</w:t>
      </w:r>
      <w:r w:rsidR="005946FE">
        <w:rPr>
          <w:rFonts w:ascii="Times New Roman" w:eastAsia="Times New Roman" w:hAnsi="Times New Roman" w:cs="Times New Roman"/>
          <w:sz w:val="24"/>
          <w:szCs w:val="20"/>
          <w:lang w:eastAsia="en-AU"/>
        </w:rPr>
        <w:t>;</w:t>
      </w:r>
    </w:p>
    <w:p w14:paraId="5CFE0551" w14:textId="413B3790" w:rsidR="008A4CBA" w:rsidRPr="00E56C2B" w:rsidRDefault="005946FE" w:rsidP="000139FD">
      <w:pPr>
        <w:numPr>
          <w:ilvl w:val="0"/>
          <w:numId w:val="5"/>
        </w:numPr>
        <w:spacing w:before="120" w:after="0" w:line="240" w:lineRule="auto"/>
        <w:ind w:left="425" w:hanging="357"/>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46(3) of the Migration Act provides that the regulations may prescribe criteria that must be satisfied for an application of a visa of a specified class to be a valid application</w:t>
      </w:r>
      <w:r w:rsidR="008A4CBA">
        <w:rPr>
          <w:rFonts w:ascii="Times New Roman" w:eastAsia="Times New Roman" w:hAnsi="Times New Roman" w:cs="Times New Roman"/>
          <w:sz w:val="24"/>
          <w:szCs w:val="20"/>
          <w:lang w:eastAsia="en-AU"/>
        </w:rPr>
        <w:t>.</w:t>
      </w:r>
    </w:p>
    <w:p w14:paraId="199D0B7B" w14:textId="181EE1AD" w:rsidR="008A4CBA" w:rsidRPr="008A4CBA" w:rsidRDefault="008A4CBA" w:rsidP="008A4CBA">
      <w:pPr>
        <w:tabs>
          <w:tab w:val="left" w:pos="435"/>
        </w:tabs>
        <w:spacing w:after="0" w:line="240" w:lineRule="auto"/>
        <w:ind w:right="42"/>
        <w:rPr>
          <w:rFonts w:ascii="Times New Roman" w:eastAsia="Times New Roman" w:hAnsi="Times New Roman" w:cs="Times New Roman"/>
          <w:bCs/>
          <w:sz w:val="24"/>
          <w:szCs w:val="20"/>
          <w:lang w:eastAsia="en-AU"/>
        </w:rPr>
      </w:pPr>
    </w:p>
    <w:p w14:paraId="62CF2ACA" w14:textId="75F27450" w:rsidR="0087763B" w:rsidRDefault="0087763B">
      <w:pPr>
        <w:rPr>
          <w:rFonts w:ascii="Times New Roman" w:hAnsi="Times New Roman" w:cs="Times New Roman"/>
        </w:rPr>
      </w:pPr>
      <w:r>
        <w:br w:type="page"/>
      </w:r>
    </w:p>
    <w:p w14:paraId="3E2F0F12" w14:textId="77777777" w:rsidR="0087763B" w:rsidRPr="00041B61" w:rsidRDefault="0087763B" w:rsidP="00041B61">
      <w:pPr>
        <w:spacing w:line="256" w:lineRule="auto"/>
        <w:jc w:val="right"/>
        <w:rPr>
          <w:rFonts w:ascii="Times New Roman" w:eastAsia="Times New Roman" w:hAnsi="Times New Roman" w:cs="Times New Roman"/>
          <w:b/>
          <w:sz w:val="24"/>
          <w:szCs w:val="24"/>
          <w:u w:val="single"/>
          <w:lang w:eastAsia="en-AU"/>
        </w:rPr>
      </w:pPr>
      <w:r w:rsidRPr="00041B61">
        <w:rPr>
          <w:rFonts w:ascii="Times New Roman" w:eastAsia="Times New Roman" w:hAnsi="Times New Roman" w:cs="Times New Roman"/>
          <w:b/>
          <w:sz w:val="24"/>
          <w:szCs w:val="24"/>
          <w:u w:val="single"/>
          <w:lang w:eastAsia="en-AU"/>
        </w:rPr>
        <w:lastRenderedPageBreak/>
        <w:t>ATTACHMENT B</w:t>
      </w:r>
    </w:p>
    <w:p w14:paraId="5B17F23A" w14:textId="77777777" w:rsidR="00905322" w:rsidRDefault="00905322" w:rsidP="00905322">
      <w:pPr>
        <w:pStyle w:val="Heading2"/>
      </w:pPr>
      <w:r>
        <w:t>Statement of Compatibility with Human Rights</w:t>
      </w:r>
    </w:p>
    <w:p w14:paraId="40B48073" w14:textId="77777777" w:rsidR="00905322" w:rsidRDefault="00905322" w:rsidP="00905322">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7B08C66" w14:textId="77777777" w:rsidR="00905322" w:rsidRDefault="00905322" w:rsidP="00905322">
      <w:pPr>
        <w:spacing w:before="120" w:after="120" w:line="240" w:lineRule="auto"/>
        <w:jc w:val="center"/>
        <w:rPr>
          <w:rFonts w:ascii="Times New Roman" w:hAnsi="Times New Roman"/>
          <w:sz w:val="24"/>
          <w:szCs w:val="24"/>
        </w:rPr>
      </w:pPr>
    </w:p>
    <w:p w14:paraId="7B070FF9" w14:textId="5643450F" w:rsidR="00905322" w:rsidRPr="0095352C" w:rsidRDefault="00905322" w:rsidP="00905322">
      <w:pPr>
        <w:spacing w:before="120" w:after="120" w:line="240" w:lineRule="auto"/>
        <w:jc w:val="center"/>
        <w:rPr>
          <w:rFonts w:ascii="Times New Roman" w:hAnsi="Times New Roman"/>
          <w:b/>
          <w:i/>
          <w:sz w:val="24"/>
          <w:szCs w:val="24"/>
        </w:rPr>
      </w:pPr>
      <w:r w:rsidRPr="0095352C">
        <w:rPr>
          <w:rFonts w:ascii="Times New Roman" w:hAnsi="Times New Roman"/>
          <w:b/>
          <w:i/>
          <w:sz w:val="24"/>
          <w:szCs w:val="24"/>
        </w:rPr>
        <w:t>Migration Amendment (Business Innovation and Investment Program Closure) Regulations 2024</w:t>
      </w:r>
    </w:p>
    <w:p w14:paraId="58FCCB60" w14:textId="77777777" w:rsidR="00905322" w:rsidRDefault="00905322" w:rsidP="00905322">
      <w:pPr>
        <w:spacing w:before="120" w:after="120" w:line="240" w:lineRule="auto"/>
        <w:jc w:val="center"/>
        <w:rPr>
          <w:rFonts w:ascii="Times New Roman" w:hAnsi="Times New Roman"/>
          <w:sz w:val="24"/>
          <w:szCs w:val="24"/>
        </w:rPr>
      </w:pPr>
    </w:p>
    <w:p w14:paraId="75130EE5" w14:textId="77777777" w:rsidR="00905322" w:rsidRDefault="00905322" w:rsidP="00905322">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772F4C0B" w14:textId="77777777" w:rsidR="00905322" w:rsidRDefault="00905322" w:rsidP="00905322">
      <w:pPr>
        <w:spacing w:before="120" w:after="120" w:line="240" w:lineRule="auto"/>
        <w:rPr>
          <w:rFonts w:ascii="Times New Roman" w:hAnsi="Times New Roman"/>
          <w:sz w:val="24"/>
          <w:szCs w:val="24"/>
        </w:rPr>
      </w:pPr>
    </w:p>
    <w:p w14:paraId="6C852EB7" w14:textId="77777777" w:rsidR="00905322" w:rsidRPr="00041B61" w:rsidRDefault="00905322" w:rsidP="00905322">
      <w:pPr>
        <w:pStyle w:val="Heading3"/>
      </w:pPr>
      <w:r w:rsidRPr="00041B61">
        <w:t>Overview of the Disallowable Legislative Instrument</w:t>
      </w:r>
    </w:p>
    <w:p w14:paraId="4C5E11E6" w14:textId="47F01499" w:rsidR="00905322" w:rsidRPr="00041B61" w:rsidRDefault="00905322" w:rsidP="00905322">
      <w:pPr>
        <w:widowControl w:val="0"/>
        <w:spacing w:before="120" w:after="120"/>
        <w:rPr>
          <w:rFonts w:ascii="Times New Roman" w:hAnsi="Times New Roman" w:cs="Times New Roman"/>
          <w:b/>
          <w:spacing w:val="1"/>
          <w:sz w:val="24"/>
          <w:szCs w:val="24"/>
        </w:rPr>
      </w:pPr>
      <w:r w:rsidRPr="00041B61">
        <w:rPr>
          <w:rFonts w:ascii="Times New Roman" w:eastAsia="Times New Roman" w:hAnsi="Times New Roman" w:cs="Times New Roman"/>
          <w:color w:val="000000"/>
          <w:sz w:val="24"/>
          <w:szCs w:val="24"/>
          <w:lang w:eastAsia="en-AU"/>
        </w:rPr>
        <w:t>The </w:t>
      </w:r>
      <w:r w:rsidRPr="00041B61">
        <w:rPr>
          <w:rFonts w:ascii="Times New Roman" w:eastAsia="Times New Roman" w:hAnsi="Times New Roman" w:cs="Times New Roman"/>
          <w:i/>
          <w:iCs/>
          <w:color w:val="000000"/>
          <w:sz w:val="24"/>
          <w:szCs w:val="24"/>
          <w:lang w:eastAsia="en-AU"/>
        </w:rPr>
        <w:t>Migration Amendment (Business Innovation and Investment Program Closure) Regulations 2024 </w:t>
      </w:r>
      <w:r w:rsidRPr="00041B61">
        <w:rPr>
          <w:rFonts w:ascii="Times New Roman" w:eastAsia="Times New Roman" w:hAnsi="Times New Roman" w:cs="Times New Roman"/>
          <w:color w:val="000000"/>
          <w:sz w:val="24"/>
          <w:szCs w:val="24"/>
          <w:lang w:eastAsia="en-AU"/>
        </w:rPr>
        <w:t xml:space="preserve">(the Amendment Regulations) amend the </w:t>
      </w:r>
      <w:r w:rsidRPr="00041B61">
        <w:rPr>
          <w:rFonts w:ascii="Times New Roman" w:eastAsia="Times New Roman" w:hAnsi="Times New Roman" w:cs="Times New Roman"/>
          <w:i/>
          <w:iCs/>
          <w:color w:val="000000"/>
          <w:sz w:val="24"/>
          <w:szCs w:val="24"/>
          <w:lang w:eastAsia="en-AU"/>
        </w:rPr>
        <w:t>Migration Regulations 1994 </w:t>
      </w:r>
      <w:r w:rsidRPr="00041B61">
        <w:rPr>
          <w:rFonts w:ascii="Times New Roman" w:eastAsia="Times New Roman" w:hAnsi="Times New Roman" w:cs="Times New Roman"/>
          <w:color w:val="000000"/>
          <w:sz w:val="24"/>
          <w:szCs w:val="24"/>
          <w:lang w:eastAsia="en-AU"/>
        </w:rPr>
        <w:t xml:space="preserve">(the Migration Regulations) to permanently close the Subclass 188 (Business Innovation and Investment (Provisional)) visa, in the initial </w:t>
      </w:r>
      <w:r w:rsidRPr="00041B61">
        <w:rPr>
          <w:rFonts w:ascii="Times New Roman" w:hAnsi="Times New Roman" w:cs="Times New Roman"/>
          <w:spacing w:val="1"/>
          <w:sz w:val="24"/>
          <w:szCs w:val="24"/>
        </w:rPr>
        <w:t xml:space="preserve">Business Innovation, Investor, Significant Investor and Entrepreneur streams, with the effect that the Business Innovation and Investment Program (BIIP) is closed </w:t>
      </w:r>
      <w:r w:rsidRPr="00041B61">
        <w:rPr>
          <w:rFonts w:ascii="Times New Roman" w:eastAsia="Times New Roman" w:hAnsi="Times New Roman" w:cs="Times New Roman"/>
          <w:color w:val="000000"/>
          <w:sz w:val="24"/>
          <w:szCs w:val="24"/>
          <w:lang w:eastAsia="en-AU"/>
        </w:rPr>
        <w:t xml:space="preserve">to new applications. </w:t>
      </w:r>
    </w:p>
    <w:p w14:paraId="4FE1824A" w14:textId="620828D0" w:rsidR="00905322" w:rsidRPr="00041B61" w:rsidRDefault="00905322" w:rsidP="00905322">
      <w:pPr>
        <w:pStyle w:val="ListBullet"/>
        <w:numPr>
          <w:ilvl w:val="0"/>
          <w:numId w:val="0"/>
        </w:numPr>
        <w:rPr>
          <w:rFonts w:ascii="Times New Roman" w:eastAsia="Times New Roman" w:hAnsi="Times New Roman" w:cs="Times New Roman"/>
          <w:color w:val="000000"/>
          <w:sz w:val="24"/>
          <w:szCs w:val="24"/>
          <w:lang w:eastAsia="en-AU"/>
        </w:rPr>
      </w:pPr>
      <w:r w:rsidRPr="00041B61">
        <w:rPr>
          <w:rFonts w:ascii="Times New Roman" w:eastAsia="Times New Roman" w:hAnsi="Times New Roman" w:cs="Times New Roman"/>
          <w:color w:val="000000"/>
          <w:sz w:val="24"/>
          <w:szCs w:val="24"/>
          <w:lang w:eastAsia="en-AU"/>
        </w:rPr>
        <w:t>The BIIP was designed to attract investors and entrepreneurs to Australia. However, the Migration Strategy released on 11 December 2023, building on the findings of the ‘Review of the Migration System’ report, led by Dr Martin Parkinson AC PSM (the Migration Review), noted that the Migration Review concluded the BIIP is delivering poor economic outcomes for Australia and recommended closing this program. Studies including work by the Treasury and the Productivity Commission support this finding. As part of the Migration Strategy, the Government announced that it would not provide any new allocations for the BIIP while a new talent and innovation visa was considered.</w:t>
      </w:r>
    </w:p>
    <w:p w14:paraId="195033A4" w14:textId="77777777" w:rsidR="00905322" w:rsidRPr="00041B61" w:rsidRDefault="00905322" w:rsidP="00905322">
      <w:pPr>
        <w:pStyle w:val="ListBullet"/>
        <w:numPr>
          <w:ilvl w:val="0"/>
          <w:numId w:val="0"/>
        </w:numPr>
        <w:rPr>
          <w:rFonts w:ascii="Times New Roman" w:hAnsi="Times New Roman" w:cs="Times New Roman"/>
          <w:sz w:val="24"/>
          <w:szCs w:val="24"/>
        </w:rPr>
      </w:pPr>
      <w:r w:rsidRPr="00041B61">
        <w:rPr>
          <w:rFonts w:ascii="Times New Roman" w:eastAsia="Times New Roman" w:hAnsi="Times New Roman" w:cs="Times New Roman"/>
          <w:color w:val="000000"/>
          <w:sz w:val="24"/>
          <w:szCs w:val="24"/>
          <w:lang w:eastAsia="en-AU"/>
        </w:rPr>
        <w:t>The initial visa</w:t>
      </w:r>
      <w:r w:rsidRPr="00041B61">
        <w:rPr>
          <w:rFonts w:ascii="Times New Roman" w:hAnsi="Times New Roman" w:cs="Times New Roman"/>
          <w:sz w:val="24"/>
          <w:szCs w:val="24"/>
        </w:rPr>
        <w:t xml:space="preserve"> available to prospective applicants to the BIIP was the Subclass 188 (Business Innovation and Investment (Provisional)) visa, which provides for five years residence with the possibility for extension for holders of the Business Innovation and the Significant Investor streams. Holders of the Subclass 188 visa may later transfer to the Subclass 888 (Business Innovation and Investment (Permanent)) visa should they meet the criteria. This includes that they hold their Subclass 188 (Provisional) visa for at least three years, or four years for the investor streams.</w:t>
      </w:r>
    </w:p>
    <w:p w14:paraId="34D9DD7D" w14:textId="77777777" w:rsidR="00905322" w:rsidRPr="00041B61" w:rsidRDefault="00905322" w:rsidP="00905322">
      <w:pPr>
        <w:pStyle w:val="ListBullet"/>
        <w:numPr>
          <w:ilvl w:val="0"/>
          <w:numId w:val="0"/>
        </w:numPr>
        <w:rPr>
          <w:rFonts w:ascii="Times New Roman" w:hAnsi="Times New Roman" w:cs="Times New Roman"/>
          <w:sz w:val="24"/>
          <w:szCs w:val="24"/>
        </w:rPr>
      </w:pPr>
      <w:r w:rsidRPr="00041B61">
        <w:rPr>
          <w:rFonts w:ascii="Times New Roman" w:hAnsi="Times New Roman" w:cs="Times New Roman"/>
          <w:sz w:val="24"/>
          <w:szCs w:val="24"/>
        </w:rPr>
        <w:t>The Amendment Regulations provide that Subclass 188 visa applications in the Business Innovation, Investor, Significant Investor, and Entrepreneur streams must be made before 31 July 2024. This has the effect of closing those streams to new applications. Existing applications lodged for the Subclass 188 visa will continue to be processed according to the settings which were in place before 31 July 2024. Related visa pathways are also maintained:</w:t>
      </w:r>
    </w:p>
    <w:p w14:paraId="2512E61E" w14:textId="77777777" w:rsidR="00905322" w:rsidRPr="00041B61" w:rsidRDefault="00905322" w:rsidP="00905322">
      <w:pPr>
        <w:pStyle w:val="ListBullet"/>
        <w:numPr>
          <w:ilvl w:val="0"/>
          <w:numId w:val="10"/>
        </w:numPr>
        <w:rPr>
          <w:rFonts w:ascii="Times New Roman" w:hAnsi="Times New Roman" w:cs="Times New Roman"/>
          <w:sz w:val="24"/>
          <w:szCs w:val="24"/>
        </w:rPr>
      </w:pPr>
      <w:r w:rsidRPr="00041B61">
        <w:rPr>
          <w:rFonts w:ascii="Times New Roman" w:hAnsi="Times New Roman" w:cs="Times New Roman"/>
          <w:sz w:val="24"/>
          <w:szCs w:val="24"/>
        </w:rPr>
        <w:t>Applications can continue to be made in the Business Innovation Extension and Significant Investor Extension streams for current Subclass 188 visa holders.</w:t>
      </w:r>
    </w:p>
    <w:p w14:paraId="6112E157" w14:textId="77777777" w:rsidR="00905322" w:rsidRPr="00041B61" w:rsidRDefault="00905322" w:rsidP="00905322">
      <w:pPr>
        <w:pStyle w:val="ListBullet"/>
        <w:numPr>
          <w:ilvl w:val="0"/>
          <w:numId w:val="10"/>
        </w:numPr>
        <w:rPr>
          <w:rFonts w:ascii="Times New Roman" w:hAnsi="Times New Roman" w:cs="Times New Roman"/>
          <w:sz w:val="24"/>
          <w:szCs w:val="24"/>
        </w:rPr>
      </w:pPr>
      <w:r w:rsidRPr="00041B61">
        <w:rPr>
          <w:rFonts w:ascii="Times New Roman" w:hAnsi="Times New Roman" w:cs="Times New Roman"/>
          <w:sz w:val="24"/>
          <w:szCs w:val="24"/>
        </w:rPr>
        <w:t xml:space="preserve">Applications can also continue to be made by applicants seeking to satisfy the secondary criteria for the Subclass 188 visa – that is, members of the family unit of the ‘primary’ </w:t>
      </w:r>
      <w:r w:rsidRPr="00041B61">
        <w:rPr>
          <w:rFonts w:ascii="Times New Roman" w:hAnsi="Times New Roman" w:cs="Times New Roman"/>
          <w:sz w:val="24"/>
          <w:szCs w:val="24"/>
        </w:rPr>
        <w:lastRenderedPageBreak/>
        <w:t>applicant who currently holds a Subclass 188 visa or is granted one further to an existing application.</w:t>
      </w:r>
    </w:p>
    <w:p w14:paraId="2C5BBBA5" w14:textId="77777777" w:rsidR="00905322" w:rsidRPr="00041B61" w:rsidRDefault="00905322" w:rsidP="00905322">
      <w:pPr>
        <w:pStyle w:val="ListBullet"/>
        <w:numPr>
          <w:ilvl w:val="0"/>
          <w:numId w:val="10"/>
        </w:numPr>
        <w:rPr>
          <w:rFonts w:ascii="Times New Roman" w:hAnsi="Times New Roman" w:cs="Times New Roman"/>
          <w:sz w:val="24"/>
          <w:szCs w:val="24"/>
        </w:rPr>
      </w:pPr>
      <w:r w:rsidRPr="00041B61">
        <w:rPr>
          <w:rFonts w:ascii="Times New Roman" w:hAnsi="Times New Roman" w:cs="Times New Roman"/>
          <w:sz w:val="24"/>
          <w:szCs w:val="24"/>
        </w:rPr>
        <w:t>Subclass 188 visa holders, including those who are granted a visa further to an application made before 31 July 2024, can continue to apply for the permanent Subclass 888 visa.</w:t>
      </w:r>
    </w:p>
    <w:p w14:paraId="563A7824" w14:textId="77777777" w:rsidR="00905322" w:rsidRPr="00041B61" w:rsidRDefault="00905322" w:rsidP="00905322">
      <w:pPr>
        <w:pStyle w:val="ListBullet"/>
        <w:numPr>
          <w:ilvl w:val="0"/>
          <w:numId w:val="0"/>
        </w:numPr>
        <w:rPr>
          <w:sz w:val="24"/>
          <w:szCs w:val="24"/>
          <w:lang w:eastAsia="en-AU"/>
        </w:rPr>
      </w:pPr>
      <w:r w:rsidRPr="00041B61">
        <w:rPr>
          <w:rFonts w:ascii="Times New Roman" w:eastAsia="Times New Roman" w:hAnsi="Times New Roman" w:cs="Times New Roman"/>
          <w:color w:val="000000"/>
          <w:sz w:val="24"/>
          <w:szCs w:val="24"/>
          <w:lang w:eastAsia="en-AU"/>
        </w:rPr>
        <w:t>These provisions ensure that Subclass 188 visa holders are able to remain until they qualify for the permanent Subclass 888 visa, and to allow them to bring their family members to Australia to join them.</w:t>
      </w:r>
    </w:p>
    <w:p w14:paraId="0C7C276F" w14:textId="77777777" w:rsidR="00905322" w:rsidRPr="00041B61" w:rsidRDefault="00905322" w:rsidP="00905322">
      <w:pPr>
        <w:pStyle w:val="Heading3"/>
      </w:pPr>
      <w:r w:rsidRPr="00041B61">
        <w:t>Human rights implications</w:t>
      </w:r>
    </w:p>
    <w:p w14:paraId="12018CB7" w14:textId="77777777" w:rsidR="00905322" w:rsidRPr="00041B61" w:rsidRDefault="00905322" w:rsidP="00905322">
      <w:pPr>
        <w:spacing w:before="120" w:after="120" w:line="240" w:lineRule="auto"/>
        <w:rPr>
          <w:rFonts w:ascii="Times New Roman" w:hAnsi="Times New Roman"/>
          <w:sz w:val="24"/>
          <w:szCs w:val="24"/>
        </w:rPr>
      </w:pPr>
      <w:r w:rsidRPr="00041B61">
        <w:rPr>
          <w:rFonts w:ascii="Times New Roman" w:hAnsi="Times New Roman"/>
          <w:sz w:val="24"/>
          <w:szCs w:val="24"/>
        </w:rPr>
        <w:t>This Disallowable Legislative Instrument engages the following rights:</w:t>
      </w:r>
    </w:p>
    <w:p w14:paraId="60801594" w14:textId="77777777" w:rsidR="00905322" w:rsidRPr="00041B61" w:rsidRDefault="00905322" w:rsidP="00905322">
      <w:pPr>
        <w:numPr>
          <w:ilvl w:val="0"/>
          <w:numId w:val="9"/>
        </w:numPr>
        <w:spacing w:before="120" w:after="120" w:line="240" w:lineRule="auto"/>
        <w:rPr>
          <w:rFonts w:ascii="Times New Roman" w:hAnsi="Times New Roman"/>
          <w:sz w:val="24"/>
          <w:szCs w:val="24"/>
        </w:rPr>
      </w:pPr>
      <w:r w:rsidRPr="00041B61">
        <w:rPr>
          <w:rFonts w:ascii="Times New Roman" w:hAnsi="Times New Roman"/>
          <w:sz w:val="24"/>
          <w:szCs w:val="24"/>
        </w:rPr>
        <w:t xml:space="preserve">the right to work in Article 6(1) of the </w:t>
      </w:r>
      <w:r w:rsidRPr="00041B61">
        <w:rPr>
          <w:rFonts w:ascii="Times New Roman" w:hAnsi="Times New Roman"/>
          <w:i/>
          <w:iCs/>
          <w:sz w:val="24"/>
          <w:szCs w:val="24"/>
        </w:rPr>
        <w:t>International Covenant on Economic, Social and Cultural Rights</w:t>
      </w:r>
      <w:r w:rsidRPr="00041B61">
        <w:rPr>
          <w:rFonts w:ascii="Times New Roman" w:hAnsi="Times New Roman"/>
          <w:sz w:val="24"/>
          <w:szCs w:val="24"/>
        </w:rPr>
        <w:t xml:space="preserve"> (ICESCR)</w:t>
      </w:r>
      <w:r w:rsidRPr="00041B61">
        <w:rPr>
          <w:rFonts w:ascii="Times New Roman" w:eastAsia="Times New Roman" w:hAnsi="Times New Roman" w:cs="Times New Roman"/>
          <w:color w:val="000000"/>
          <w:sz w:val="24"/>
          <w:szCs w:val="24"/>
          <w:lang w:eastAsia="en-AU"/>
        </w:rPr>
        <w:t>;</w:t>
      </w:r>
    </w:p>
    <w:p w14:paraId="2CC8CB73" w14:textId="77777777" w:rsidR="00905322" w:rsidRPr="00041B61" w:rsidRDefault="00905322" w:rsidP="00905322">
      <w:pPr>
        <w:numPr>
          <w:ilvl w:val="0"/>
          <w:numId w:val="9"/>
        </w:numPr>
        <w:spacing w:before="120" w:after="120" w:line="240" w:lineRule="auto"/>
        <w:rPr>
          <w:rFonts w:ascii="Times New Roman" w:hAnsi="Times New Roman"/>
          <w:sz w:val="24"/>
          <w:szCs w:val="24"/>
        </w:rPr>
      </w:pPr>
      <w:r w:rsidRPr="00041B61">
        <w:rPr>
          <w:rFonts w:ascii="Times New Roman" w:hAnsi="Times New Roman"/>
          <w:sz w:val="24"/>
          <w:szCs w:val="24"/>
        </w:rPr>
        <w:t xml:space="preserve">rights relating to families and children, in particular those in Articles 17(1) and 23(1) of the </w:t>
      </w:r>
      <w:r w:rsidRPr="00041B61">
        <w:rPr>
          <w:rFonts w:ascii="Times New Roman" w:hAnsi="Times New Roman"/>
          <w:i/>
          <w:sz w:val="24"/>
          <w:szCs w:val="24"/>
        </w:rPr>
        <w:t>International Covenant on Civil and Political Rights</w:t>
      </w:r>
      <w:r w:rsidRPr="00041B61">
        <w:rPr>
          <w:rFonts w:ascii="Times New Roman" w:hAnsi="Times New Roman"/>
          <w:sz w:val="24"/>
          <w:szCs w:val="24"/>
        </w:rPr>
        <w:t xml:space="preserve"> (ICCPR) and Article 10(1) of the </w:t>
      </w:r>
      <w:r w:rsidRPr="00041B61">
        <w:rPr>
          <w:rFonts w:ascii="Times New Roman" w:hAnsi="Times New Roman"/>
          <w:i/>
          <w:sz w:val="24"/>
          <w:szCs w:val="24"/>
        </w:rPr>
        <w:t>Convention on the Rights of the Child</w:t>
      </w:r>
      <w:r w:rsidRPr="00041B61">
        <w:rPr>
          <w:rFonts w:ascii="Times New Roman" w:hAnsi="Times New Roman"/>
          <w:sz w:val="24"/>
          <w:szCs w:val="24"/>
        </w:rPr>
        <w:t xml:space="preserve"> (CRC).</w:t>
      </w:r>
    </w:p>
    <w:p w14:paraId="4466B4BB" w14:textId="77777777" w:rsidR="00905322" w:rsidRPr="00041B61" w:rsidRDefault="00905322" w:rsidP="00905322">
      <w:pPr>
        <w:rPr>
          <w:rFonts w:ascii="Times New Roman" w:hAnsi="Times New Roman"/>
          <w:i/>
          <w:sz w:val="24"/>
          <w:szCs w:val="24"/>
          <w:u w:val="single"/>
        </w:rPr>
      </w:pPr>
      <w:r w:rsidRPr="00041B61">
        <w:rPr>
          <w:rFonts w:ascii="Times New Roman" w:hAnsi="Times New Roman"/>
          <w:i/>
          <w:sz w:val="24"/>
          <w:szCs w:val="24"/>
          <w:u w:val="single"/>
        </w:rPr>
        <w:t>The right to work</w:t>
      </w:r>
    </w:p>
    <w:p w14:paraId="33304CEA" w14:textId="77777777" w:rsidR="00905322" w:rsidRPr="00041B61" w:rsidRDefault="00905322" w:rsidP="00905322">
      <w:pPr>
        <w:rPr>
          <w:rFonts w:ascii="Times New Roman" w:hAnsi="Times New Roman"/>
          <w:bCs/>
          <w:sz w:val="24"/>
          <w:szCs w:val="24"/>
        </w:rPr>
      </w:pPr>
      <w:r w:rsidRPr="00041B61">
        <w:rPr>
          <w:rFonts w:ascii="Times New Roman" w:hAnsi="Times New Roman"/>
          <w:bCs/>
          <w:sz w:val="24"/>
          <w:szCs w:val="24"/>
        </w:rPr>
        <w:t xml:space="preserve">Article 6(1) of the </w:t>
      </w:r>
      <w:r w:rsidRPr="00041B61">
        <w:rPr>
          <w:rFonts w:ascii="Times New Roman" w:hAnsi="Times New Roman"/>
          <w:i/>
          <w:sz w:val="24"/>
          <w:szCs w:val="24"/>
        </w:rPr>
        <w:t>International Covenant on Economic, Social and Cultural Rights</w:t>
      </w:r>
      <w:r w:rsidRPr="00041B61">
        <w:rPr>
          <w:rFonts w:ascii="Times New Roman" w:hAnsi="Times New Roman"/>
          <w:bCs/>
          <w:sz w:val="24"/>
          <w:szCs w:val="24"/>
        </w:rPr>
        <w:t xml:space="preserve"> (ICESCR) provides:</w:t>
      </w:r>
    </w:p>
    <w:p w14:paraId="5F0384D2" w14:textId="77777777" w:rsidR="00905322" w:rsidRPr="00041B61" w:rsidRDefault="00905322" w:rsidP="00905322">
      <w:pPr>
        <w:ind w:left="720"/>
        <w:rPr>
          <w:rFonts w:ascii="Times New Roman" w:hAnsi="Times New Roman"/>
          <w:i/>
          <w:sz w:val="24"/>
          <w:szCs w:val="24"/>
        </w:rPr>
      </w:pPr>
      <w:r w:rsidRPr="00041B61">
        <w:rPr>
          <w:rFonts w:ascii="Times New Roman" w:hAnsi="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250B67FF" w14:textId="77777777" w:rsidR="00905322" w:rsidRPr="00041B61" w:rsidRDefault="00905322" w:rsidP="00905322">
      <w:pPr>
        <w:spacing w:before="120" w:after="120"/>
        <w:rPr>
          <w:rFonts w:ascii="Times New Roman" w:hAnsi="Times New Roman" w:cs="Times New Roman"/>
          <w:sz w:val="24"/>
          <w:szCs w:val="24"/>
        </w:rPr>
      </w:pPr>
      <w:r w:rsidRPr="00041B61">
        <w:rPr>
          <w:rFonts w:ascii="Times New Roman" w:hAnsi="Times New Roman" w:cs="Times New Roman"/>
          <w:sz w:val="24"/>
          <w:szCs w:val="24"/>
        </w:rPr>
        <w:t xml:space="preserve">While existing visa holders are able to continue working on their existing visa, the amendments made by the Amendment Regulations will result in some non-citizens who are in Australia, who may have been eligible for a Subclass 188 visa had they applied prior to the commencement of the amendments no longer being eligible. This may affect their ability to continue working in Australia. </w:t>
      </w:r>
    </w:p>
    <w:p w14:paraId="41A17734" w14:textId="77777777" w:rsidR="00905322" w:rsidRPr="00041B61" w:rsidRDefault="00905322" w:rsidP="00905322">
      <w:pPr>
        <w:rPr>
          <w:rFonts w:ascii="Times New Roman" w:hAnsi="Times New Roman"/>
          <w:sz w:val="24"/>
          <w:szCs w:val="24"/>
        </w:rPr>
      </w:pPr>
      <w:r w:rsidRPr="00041B61">
        <w:rPr>
          <w:rFonts w:ascii="Times New Roman" w:hAnsi="Times New Roman"/>
          <w:sz w:val="24"/>
          <w:szCs w:val="24"/>
        </w:rPr>
        <w:t>Neither the ICCPR nor the ICESCR give a right for non-citizens to enter Australia for the purposes of seeking residence or employment. The UN Human Rights Committee, in its General Comment 15 on the position of aliens under the ICCPR, stated:</w:t>
      </w:r>
    </w:p>
    <w:p w14:paraId="6A66F05D" w14:textId="77777777" w:rsidR="00905322" w:rsidRPr="00041B61" w:rsidRDefault="00905322" w:rsidP="00905322">
      <w:pPr>
        <w:ind w:left="720"/>
        <w:rPr>
          <w:rFonts w:ascii="Times New Roman" w:hAnsi="Times New Roman"/>
          <w:i/>
          <w:sz w:val="24"/>
          <w:szCs w:val="24"/>
        </w:rPr>
      </w:pPr>
      <w:r w:rsidRPr="00041B61">
        <w:rPr>
          <w:rFonts w:ascii="Times New Roman" w:hAnsi="Times New Roman"/>
          <w:i/>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0A1FFDE6" w14:textId="77777777" w:rsidR="00905322" w:rsidRPr="00041B61" w:rsidRDefault="00905322" w:rsidP="00905322">
      <w:pPr>
        <w:ind w:left="720"/>
        <w:rPr>
          <w:rFonts w:ascii="Times New Roman" w:hAnsi="Times New Roman"/>
          <w:i/>
          <w:sz w:val="24"/>
          <w:szCs w:val="24"/>
        </w:rPr>
      </w:pPr>
      <w:r w:rsidRPr="00041B61">
        <w:rPr>
          <w:rFonts w:ascii="Times New Roman" w:hAnsi="Times New Roman"/>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085C196E" w14:textId="77777777" w:rsidR="00905322" w:rsidRPr="00041B61" w:rsidRDefault="00905322" w:rsidP="00905322">
      <w:pPr>
        <w:rPr>
          <w:rFonts w:ascii="Times New Roman" w:hAnsi="Times New Roman"/>
          <w:sz w:val="24"/>
          <w:szCs w:val="24"/>
        </w:rPr>
      </w:pPr>
      <w:r w:rsidRPr="00041B61">
        <w:rPr>
          <w:rFonts w:ascii="Times New Roman" w:hAnsi="Times New Roman"/>
          <w:sz w:val="24"/>
          <w:szCs w:val="24"/>
        </w:rPr>
        <w:t>As such, Australia is able to set requirements for the entry of non-citizens into Australia and conditions for their stay, and does so on the basis of reasonable and objective criteria. It is open to the Government to change visa settings for new applicants to meet its policy priorities for a well-managed migration program, consistently with its international obligations, that are intended to benefit the Australian community as a whole.</w:t>
      </w:r>
    </w:p>
    <w:p w14:paraId="50483F44" w14:textId="77777777" w:rsidR="00905322" w:rsidRPr="00041B61" w:rsidRDefault="00905322" w:rsidP="00905322">
      <w:pPr>
        <w:spacing w:before="120" w:after="120" w:line="240" w:lineRule="auto"/>
        <w:rPr>
          <w:rFonts w:ascii="Times New Roman" w:hAnsi="Times New Roman"/>
          <w:sz w:val="24"/>
          <w:szCs w:val="24"/>
        </w:rPr>
      </w:pPr>
      <w:r w:rsidRPr="00041B61">
        <w:rPr>
          <w:rFonts w:ascii="Times New Roman" w:hAnsi="Times New Roman"/>
          <w:sz w:val="24"/>
          <w:szCs w:val="24"/>
        </w:rPr>
        <w:lastRenderedPageBreak/>
        <w:t xml:space="preserve">The amendments made by the Amendment Regulations have been implemented following reviews that included public consultation and stakeholder feedback. The amendments support the Migration Strategy intent to better identify migrants who drive Australia’s long-term prosperity and drive growth in sectors of national importance by addressing deficits in the skilled migrant program, for the benefit of the Australian community. </w:t>
      </w:r>
    </w:p>
    <w:p w14:paraId="7EAFF748" w14:textId="77777777" w:rsidR="00905322" w:rsidRPr="00041B61" w:rsidRDefault="00905322" w:rsidP="00905322">
      <w:pPr>
        <w:spacing w:before="120" w:after="120" w:line="240" w:lineRule="auto"/>
        <w:rPr>
          <w:rFonts w:ascii="Times New Roman" w:hAnsi="Times New Roman"/>
          <w:sz w:val="24"/>
          <w:szCs w:val="24"/>
        </w:rPr>
      </w:pPr>
      <w:r w:rsidRPr="00041B61">
        <w:rPr>
          <w:rFonts w:ascii="Times New Roman" w:hAnsi="Times New Roman"/>
          <w:sz w:val="24"/>
          <w:szCs w:val="24"/>
        </w:rPr>
        <w:t xml:space="preserve">The amendments do not affect current applicants or holders of the Subclass 188 visa, including those on a pathway from a provisional Subclass 188 visa to a permanent Subclass 888 visa. </w:t>
      </w:r>
    </w:p>
    <w:p w14:paraId="3FAE6E5B" w14:textId="77777777" w:rsidR="00905322" w:rsidRPr="00041B61" w:rsidRDefault="00905322" w:rsidP="00905322">
      <w:pPr>
        <w:rPr>
          <w:rFonts w:ascii="Times New Roman" w:eastAsia="Batang" w:hAnsi="Times New Roman" w:cs="Times New Roman"/>
          <w:sz w:val="24"/>
          <w:szCs w:val="24"/>
          <w:lang w:eastAsia="ko-KR"/>
        </w:rPr>
      </w:pPr>
      <w:r w:rsidRPr="00041B61">
        <w:rPr>
          <w:rFonts w:ascii="Times New Roman" w:eastAsia="Batang" w:hAnsi="Times New Roman" w:cs="Times New Roman"/>
          <w:sz w:val="24"/>
          <w:szCs w:val="24"/>
          <w:lang w:eastAsia="ko-KR"/>
        </w:rPr>
        <w:t xml:space="preserve">The amendments do not affect a person’s current rights on the visa that they hold and they may be able to apply for another visa appropriate to their circumstances, including other skilled visas, that would permit them to continue working or engaging in other business activities in Australia. </w:t>
      </w:r>
    </w:p>
    <w:p w14:paraId="21CC73CD" w14:textId="77777777" w:rsidR="00905322" w:rsidRPr="00041B61" w:rsidRDefault="00905322" w:rsidP="00905322">
      <w:pPr>
        <w:rPr>
          <w:rFonts w:ascii="Times New Roman" w:eastAsia="Batang" w:hAnsi="Times New Roman" w:cs="Times New Roman"/>
          <w:sz w:val="24"/>
          <w:szCs w:val="24"/>
          <w:lang w:eastAsia="ko-KR"/>
        </w:rPr>
      </w:pPr>
      <w:r w:rsidRPr="00041B61">
        <w:rPr>
          <w:rFonts w:ascii="Times New Roman" w:eastAsia="Batang" w:hAnsi="Times New Roman" w:cs="Times New Roman"/>
          <w:sz w:val="24"/>
          <w:szCs w:val="24"/>
          <w:lang w:eastAsia="ko-KR"/>
        </w:rPr>
        <w:t xml:space="preserve">As such, while some non-citizens who had been intending to apply for a Subclass 188 visa are no longer able to do so, this does not limit their ability to pursue other visa options to remain in Australia for work purposes and the amendments do not unduly limit these rights. </w:t>
      </w:r>
    </w:p>
    <w:p w14:paraId="3B8331AD" w14:textId="77777777" w:rsidR="00905322" w:rsidRPr="00897E4E" w:rsidRDefault="00905322" w:rsidP="00905322">
      <w:pPr>
        <w:spacing w:before="120" w:after="120" w:line="240" w:lineRule="auto"/>
        <w:rPr>
          <w:rFonts w:ascii="Times New Roman" w:hAnsi="Times New Roman"/>
          <w:i/>
          <w:sz w:val="24"/>
          <w:szCs w:val="24"/>
          <w:u w:val="single"/>
        </w:rPr>
      </w:pPr>
      <w:r w:rsidRPr="00897E4E">
        <w:rPr>
          <w:rFonts w:ascii="Times New Roman" w:hAnsi="Times New Roman"/>
          <w:i/>
          <w:sz w:val="24"/>
          <w:szCs w:val="24"/>
          <w:u w:val="single"/>
        </w:rPr>
        <w:t>Rights relating to families and children</w:t>
      </w:r>
    </w:p>
    <w:p w14:paraId="33158826" w14:textId="77777777" w:rsidR="00905322" w:rsidRDefault="00905322" w:rsidP="00905322">
      <w:pPr>
        <w:spacing w:before="120" w:after="120" w:line="240" w:lineRule="auto"/>
        <w:rPr>
          <w:rFonts w:ascii="Times New Roman" w:hAnsi="Times New Roman"/>
          <w:sz w:val="24"/>
          <w:szCs w:val="24"/>
        </w:rPr>
      </w:pPr>
      <w:r>
        <w:rPr>
          <w:rFonts w:ascii="Times New Roman" w:hAnsi="Times New Roman"/>
          <w:sz w:val="24"/>
          <w:szCs w:val="24"/>
        </w:rPr>
        <w:t>Article</w:t>
      </w:r>
      <w:r w:rsidRPr="0078235F">
        <w:rPr>
          <w:rFonts w:ascii="Times New Roman" w:hAnsi="Times New Roman"/>
          <w:sz w:val="24"/>
          <w:szCs w:val="24"/>
        </w:rPr>
        <w:t xml:space="preserve"> 17</w:t>
      </w:r>
      <w:r>
        <w:rPr>
          <w:rFonts w:ascii="Times New Roman" w:hAnsi="Times New Roman"/>
          <w:sz w:val="24"/>
          <w:szCs w:val="24"/>
        </w:rPr>
        <w:t>(1) of the ICCPR provides:</w:t>
      </w:r>
    </w:p>
    <w:p w14:paraId="5C14EC86" w14:textId="77777777" w:rsidR="00905322" w:rsidRPr="006F6AB4" w:rsidRDefault="00905322" w:rsidP="00905322">
      <w:pPr>
        <w:spacing w:before="120" w:after="120" w:line="240" w:lineRule="auto"/>
        <w:ind w:left="720"/>
        <w:rPr>
          <w:rFonts w:ascii="Times New Roman" w:hAnsi="Times New Roman"/>
          <w:i/>
          <w:sz w:val="24"/>
          <w:szCs w:val="24"/>
        </w:rPr>
      </w:pPr>
      <w:r w:rsidRPr="006F6AB4">
        <w:rPr>
          <w:rFonts w:ascii="Times New Roman" w:hAnsi="Times New Roman"/>
          <w:i/>
          <w:sz w:val="24"/>
          <w:szCs w:val="24"/>
        </w:rPr>
        <w:t>No one shall be subjected to arbitrary or unlawful interference with his privacy, family, home or correspondence, nor to unlawful attacks on his honour and reputation.</w:t>
      </w:r>
    </w:p>
    <w:p w14:paraId="29C2BEE7" w14:textId="77777777" w:rsidR="00905322" w:rsidRDefault="00905322" w:rsidP="00905322">
      <w:pPr>
        <w:spacing w:before="120" w:after="120" w:line="240" w:lineRule="auto"/>
        <w:rPr>
          <w:rFonts w:ascii="Times New Roman" w:hAnsi="Times New Roman"/>
          <w:sz w:val="24"/>
          <w:szCs w:val="24"/>
        </w:rPr>
      </w:pPr>
      <w:r>
        <w:rPr>
          <w:rFonts w:ascii="Times New Roman" w:hAnsi="Times New Roman"/>
          <w:sz w:val="24"/>
          <w:szCs w:val="24"/>
        </w:rPr>
        <w:t>Article 23(1) of the ICCPR provides:</w:t>
      </w:r>
    </w:p>
    <w:p w14:paraId="2F225ED0" w14:textId="77777777" w:rsidR="00905322" w:rsidRPr="006F6AB4" w:rsidRDefault="00905322" w:rsidP="00905322">
      <w:pPr>
        <w:spacing w:before="120" w:after="120" w:line="240" w:lineRule="auto"/>
        <w:ind w:left="720"/>
        <w:rPr>
          <w:rFonts w:ascii="Times New Roman" w:hAnsi="Times New Roman"/>
          <w:i/>
          <w:sz w:val="24"/>
          <w:szCs w:val="24"/>
        </w:rPr>
      </w:pPr>
      <w:r w:rsidRPr="006F6AB4">
        <w:rPr>
          <w:rFonts w:ascii="Times New Roman" w:hAnsi="Times New Roman"/>
          <w:i/>
          <w:sz w:val="24"/>
          <w:szCs w:val="24"/>
        </w:rPr>
        <w:t>The family is the natural and fundamental group unit of society and is entitled to protection by society and the State.</w:t>
      </w:r>
    </w:p>
    <w:p w14:paraId="549C228F" w14:textId="77777777" w:rsidR="00905322" w:rsidRDefault="00905322" w:rsidP="00905322">
      <w:pPr>
        <w:spacing w:before="120" w:after="120" w:line="240" w:lineRule="auto"/>
        <w:rPr>
          <w:rFonts w:ascii="Times New Roman" w:hAnsi="Times New Roman"/>
          <w:sz w:val="24"/>
          <w:szCs w:val="24"/>
        </w:rPr>
      </w:pPr>
      <w:r>
        <w:rPr>
          <w:rFonts w:ascii="Times New Roman" w:hAnsi="Times New Roman"/>
          <w:sz w:val="24"/>
          <w:szCs w:val="24"/>
        </w:rPr>
        <w:t>Article 10 of the CRC provides:</w:t>
      </w:r>
    </w:p>
    <w:p w14:paraId="04E6AF5B" w14:textId="77777777" w:rsidR="00905322" w:rsidRPr="002739DA" w:rsidRDefault="00905322" w:rsidP="00905322">
      <w:pPr>
        <w:spacing w:before="120" w:after="120" w:line="240" w:lineRule="auto"/>
        <w:ind w:left="720"/>
        <w:rPr>
          <w:rFonts w:ascii="Times New Roman" w:hAnsi="Times New Roman"/>
          <w:i/>
          <w:sz w:val="24"/>
          <w:szCs w:val="24"/>
        </w:rPr>
      </w:pPr>
      <w:r>
        <w:rPr>
          <w:rFonts w:ascii="Times New Roman" w:hAnsi="Times New Roman"/>
          <w:i/>
          <w:sz w:val="24"/>
          <w:szCs w:val="24"/>
        </w:rPr>
        <w:t>[</w:t>
      </w:r>
      <w:r w:rsidRPr="00034423">
        <w:rPr>
          <w:rFonts w:ascii="Times New Roman" w:hAnsi="Times New Roman"/>
          <w:i/>
          <w:sz w:val="24"/>
          <w:szCs w:val="24"/>
        </w:rPr>
        <w:t>A</w:t>
      </w:r>
      <w:r>
        <w:rPr>
          <w:rFonts w:ascii="Times New Roman" w:hAnsi="Times New Roman"/>
          <w:i/>
          <w:sz w:val="24"/>
          <w:szCs w:val="24"/>
        </w:rPr>
        <w:t>]</w:t>
      </w:r>
      <w:r w:rsidRPr="002739DA">
        <w:rPr>
          <w:rFonts w:ascii="Times New Roman" w:hAnsi="Times New Roman"/>
          <w:i/>
          <w:sz w:val="24"/>
          <w:szCs w:val="24"/>
        </w:rPr>
        <w:t>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14:paraId="20E1DCA6" w14:textId="77777777" w:rsidR="00905322" w:rsidRDefault="00905322" w:rsidP="00905322">
      <w:pPr>
        <w:spacing w:before="120" w:after="120" w:line="240" w:lineRule="auto"/>
        <w:rPr>
          <w:rFonts w:ascii="Times New Roman" w:hAnsi="Times New Roman"/>
          <w:sz w:val="24"/>
          <w:szCs w:val="24"/>
        </w:rPr>
      </w:pPr>
      <w:r w:rsidRPr="00B83594">
        <w:rPr>
          <w:rFonts w:ascii="Times New Roman" w:hAnsi="Times New Roman"/>
          <w:sz w:val="24"/>
          <w:szCs w:val="24"/>
        </w:rPr>
        <w:t>The Subclass 188 visa allow</w:t>
      </w:r>
      <w:r>
        <w:rPr>
          <w:rFonts w:ascii="Times New Roman" w:hAnsi="Times New Roman"/>
          <w:sz w:val="24"/>
          <w:szCs w:val="24"/>
        </w:rPr>
        <w:t>s</w:t>
      </w:r>
      <w:r w:rsidRPr="00B83594">
        <w:rPr>
          <w:rFonts w:ascii="Times New Roman" w:hAnsi="Times New Roman"/>
          <w:sz w:val="24"/>
          <w:szCs w:val="24"/>
        </w:rPr>
        <w:t xml:space="preserve"> members of a primary applicant’s family unit to apply for, and be granted, the Subclass 188 visa at the same time as the primary applicant. In some cases this </w:t>
      </w:r>
      <w:r>
        <w:rPr>
          <w:rFonts w:ascii="Times New Roman" w:hAnsi="Times New Roman"/>
          <w:sz w:val="24"/>
          <w:szCs w:val="24"/>
        </w:rPr>
        <w:t>may</w:t>
      </w:r>
      <w:r w:rsidRPr="00B83594">
        <w:rPr>
          <w:rFonts w:ascii="Times New Roman" w:hAnsi="Times New Roman"/>
          <w:sz w:val="24"/>
          <w:szCs w:val="24"/>
        </w:rPr>
        <w:t xml:space="preserve"> not happen, for example if the family unit members intended to join the primary applicant in Australia later or where the family unit formed after the grant of the visa to the primary applicant – in such cases the family members could apply as ‘subsequent </w:t>
      </w:r>
      <w:r w:rsidRPr="008B6C6F">
        <w:rPr>
          <w:rFonts w:ascii="Times New Roman" w:hAnsi="Times New Roman"/>
          <w:sz w:val="24"/>
          <w:szCs w:val="24"/>
        </w:rPr>
        <w:t xml:space="preserve">entrant’ applicants. The closure of the Subclass 188 visa to new applications will </w:t>
      </w:r>
      <w:r w:rsidRPr="002739DA">
        <w:rPr>
          <w:rFonts w:ascii="Times New Roman" w:hAnsi="Times New Roman"/>
          <w:sz w:val="24"/>
          <w:szCs w:val="24"/>
        </w:rPr>
        <w:t>not impact the ability of famil</w:t>
      </w:r>
      <w:r>
        <w:rPr>
          <w:rFonts w:ascii="Times New Roman" w:hAnsi="Times New Roman"/>
          <w:sz w:val="24"/>
          <w:szCs w:val="24"/>
        </w:rPr>
        <w:t>y members</w:t>
      </w:r>
      <w:r w:rsidRPr="002739DA">
        <w:rPr>
          <w:rFonts w:ascii="Times New Roman" w:hAnsi="Times New Roman"/>
          <w:sz w:val="24"/>
          <w:szCs w:val="24"/>
        </w:rPr>
        <w:t xml:space="preserve"> to apply as subsequent entrant applicants for Subclass 188 visa holders</w:t>
      </w:r>
      <w:r>
        <w:rPr>
          <w:rFonts w:ascii="Times New Roman" w:hAnsi="Times New Roman"/>
          <w:sz w:val="24"/>
          <w:szCs w:val="24"/>
        </w:rPr>
        <w:t>.</w:t>
      </w:r>
    </w:p>
    <w:p w14:paraId="13DA94B0" w14:textId="77777777" w:rsidR="00905322" w:rsidRPr="00E74702" w:rsidRDefault="00905322" w:rsidP="00905322">
      <w:pPr>
        <w:spacing w:before="120" w:after="120" w:line="240" w:lineRule="auto"/>
        <w:rPr>
          <w:rFonts w:ascii="Times New Roman" w:hAnsi="Times New Roman"/>
          <w:sz w:val="24"/>
          <w:szCs w:val="24"/>
        </w:rPr>
      </w:pPr>
      <w:r w:rsidRPr="00E74702">
        <w:rPr>
          <w:rFonts w:ascii="Times New Roman" w:hAnsi="Times New Roman"/>
          <w:sz w:val="24"/>
          <w:szCs w:val="24"/>
        </w:rPr>
        <w:t>Babies bor</w:t>
      </w:r>
      <w:r>
        <w:rPr>
          <w:rFonts w:ascii="Times New Roman" w:hAnsi="Times New Roman"/>
          <w:sz w:val="24"/>
          <w:szCs w:val="24"/>
        </w:rPr>
        <w:t>n in Australia to a Subclass 188</w:t>
      </w:r>
      <w:r w:rsidRPr="00E74702">
        <w:rPr>
          <w:rFonts w:ascii="Times New Roman" w:hAnsi="Times New Roman"/>
          <w:sz w:val="24"/>
          <w:szCs w:val="24"/>
        </w:rPr>
        <w:t xml:space="preserve"> visa</w:t>
      </w:r>
      <w:r>
        <w:rPr>
          <w:rFonts w:ascii="Times New Roman" w:hAnsi="Times New Roman"/>
          <w:sz w:val="24"/>
          <w:szCs w:val="24"/>
        </w:rPr>
        <w:t xml:space="preserve"> holder are not affected by the</w:t>
      </w:r>
      <w:r w:rsidRPr="00E74702">
        <w:rPr>
          <w:rFonts w:ascii="Times New Roman" w:hAnsi="Times New Roman"/>
          <w:sz w:val="24"/>
          <w:szCs w:val="24"/>
        </w:rPr>
        <w:t xml:space="preserve"> closure</w:t>
      </w:r>
      <w:r>
        <w:rPr>
          <w:rFonts w:ascii="Times New Roman" w:hAnsi="Times New Roman"/>
          <w:sz w:val="24"/>
          <w:szCs w:val="24"/>
        </w:rPr>
        <w:t xml:space="preserve"> of Subclass 188 to new applications</w:t>
      </w:r>
      <w:r w:rsidRPr="00E74702">
        <w:rPr>
          <w:rFonts w:ascii="Times New Roman" w:hAnsi="Times New Roman"/>
          <w:sz w:val="24"/>
          <w:szCs w:val="24"/>
        </w:rPr>
        <w:t xml:space="preserve"> as</w:t>
      </w:r>
      <w:r>
        <w:rPr>
          <w:rFonts w:ascii="Times New Roman" w:hAnsi="Times New Roman"/>
          <w:sz w:val="24"/>
          <w:szCs w:val="24"/>
        </w:rPr>
        <w:t xml:space="preserve"> they are granted a Subclass 188</w:t>
      </w:r>
      <w:r w:rsidRPr="00E74702">
        <w:rPr>
          <w:rFonts w:ascii="Times New Roman" w:hAnsi="Times New Roman"/>
          <w:sz w:val="24"/>
          <w:szCs w:val="24"/>
        </w:rPr>
        <w:t xml:space="preserve"> visa by operation of law, if they do not acquire Australian citizenship through the other parent being an Australian citizen or permanent resident. For other family members, there may be range of options for the family to reunite or to maintain family unity in Australia, including other visas for those family members to enter or remain in Austr</w:t>
      </w:r>
      <w:r>
        <w:rPr>
          <w:rFonts w:ascii="Times New Roman" w:hAnsi="Times New Roman"/>
          <w:sz w:val="24"/>
          <w:szCs w:val="24"/>
        </w:rPr>
        <w:t>alia or through the Subclass 188</w:t>
      </w:r>
      <w:r w:rsidRPr="00E74702">
        <w:rPr>
          <w:rFonts w:ascii="Times New Roman" w:hAnsi="Times New Roman"/>
          <w:sz w:val="24"/>
          <w:szCs w:val="24"/>
        </w:rPr>
        <w:t xml:space="preserve"> visa holder being able to travel back to visit or re-join their family.</w:t>
      </w:r>
    </w:p>
    <w:p w14:paraId="4386E93F" w14:textId="77777777" w:rsidR="00905322" w:rsidRDefault="00905322" w:rsidP="00905322">
      <w:pPr>
        <w:spacing w:before="120" w:after="120" w:line="240" w:lineRule="auto"/>
        <w:rPr>
          <w:rFonts w:ascii="Times New Roman" w:hAnsi="Times New Roman"/>
          <w:sz w:val="24"/>
          <w:szCs w:val="24"/>
        </w:rPr>
      </w:pPr>
      <w:r w:rsidRPr="00E74702">
        <w:rPr>
          <w:rFonts w:ascii="Times New Roman" w:hAnsi="Times New Roman"/>
          <w:sz w:val="24"/>
          <w:szCs w:val="24"/>
        </w:rPr>
        <w:t>As such, because of other options available to affected</w:t>
      </w:r>
      <w:r>
        <w:rPr>
          <w:rFonts w:ascii="Times New Roman" w:hAnsi="Times New Roman"/>
          <w:sz w:val="24"/>
          <w:szCs w:val="24"/>
        </w:rPr>
        <w:t xml:space="preserve"> families, the closure of the Subclass 188</w:t>
      </w:r>
      <w:r w:rsidRPr="00E74702">
        <w:rPr>
          <w:rFonts w:ascii="Times New Roman" w:hAnsi="Times New Roman"/>
          <w:sz w:val="24"/>
          <w:szCs w:val="24"/>
        </w:rPr>
        <w:t xml:space="preserve"> visa does not unduly limit rights relating to families and children.</w:t>
      </w:r>
    </w:p>
    <w:p w14:paraId="37496314" w14:textId="77777777" w:rsidR="00905322" w:rsidRDefault="00905322" w:rsidP="00722449">
      <w:pPr>
        <w:pStyle w:val="Heading3"/>
        <w:keepNext/>
      </w:pPr>
      <w:r>
        <w:lastRenderedPageBreak/>
        <w:t>Conclusion</w:t>
      </w:r>
    </w:p>
    <w:p w14:paraId="156AD0EF" w14:textId="77777777" w:rsidR="00905322" w:rsidRDefault="00905322" w:rsidP="00905322">
      <w:pPr>
        <w:pStyle w:val="Heading3"/>
        <w:rPr>
          <w:b w:val="0"/>
        </w:rPr>
      </w:pPr>
      <w:r w:rsidRPr="002739DA">
        <w:rPr>
          <w:b w:val="0"/>
        </w:rPr>
        <w:t xml:space="preserve">This Disallowable Legislative Instrument is compatible with human rights because, to the extent that it may limit human rights, those limitations are reasonable, necessary and proportionate to legitimate aims. </w:t>
      </w:r>
    </w:p>
    <w:p w14:paraId="3DDE0C0F" w14:textId="77777777" w:rsidR="00905322" w:rsidRDefault="00905322" w:rsidP="00905322"/>
    <w:p w14:paraId="0A816DE0" w14:textId="77777777" w:rsidR="00905322" w:rsidRPr="00D42887" w:rsidRDefault="00905322" w:rsidP="00905322">
      <w:pPr>
        <w:spacing w:before="120" w:after="120" w:line="240" w:lineRule="auto"/>
      </w:pPr>
    </w:p>
    <w:p w14:paraId="2260D65C" w14:textId="77777777" w:rsidR="00905322" w:rsidRPr="00041B61" w:rsidRDefault="00905322" w:rsidP="00905322">
      <w:pPr>
        <w:spacing w:before="120" w:after="120" w:line="240" w:lineRule="auto"/>
        <w:jc w:val="center"/>
        <w:rPr>
          <w:rFonts w:ascii="Times New Roman" w:hAnsi="Times New Roman" w:cs="Times New Roman"/>
          <w:b/>
          <w:bCs/>
          <w:sz w:val="24"/>
          <w:szCs w:val="24"/>
        </w:rPr>
      </w:pPr>
      <w:r w:rsidRPr="00041B61">
        <w:rPr>
          <w:rFonts w:ascii="Times New Roman" w:hAnsi="Times New Roman" w:cs="Times New Roman"/>
          <w:b/>
          <w:bCs/>
          <w:sz w:val="24"/>
          <w:szCs w:val="24"/>
        </w:rPr>
        <w:t>The Hon Clare O’Neil MP</w:t>
      </w:r>
    </w:p>
    <w:p w14:paraId="780C52CC" w14:textId="77777777" w:rsidR="00905322" w:rsidRPr="00041B61" w:rsidRDefault="00905322" w:rsidP="00905322">
      <w:pPr>
        <w:spacing w:before="120" w:after="120" w:line="240" w:lineRule="auto"/>
        <w:jc w:val="center"/>
        <w:rPr>
          <w:rFonts w:ascii="Times New Roman" w:hAnsi="Times New Roman" w:cs="Times New Roman"/>
          <w:b/>
          <w:bCs/>
          <w:sz w:val="24"/>
          <w:szCs w:val="24"/>
        </w:rPr>
      </w:pPr>
      <w:r w:rsidRPr="00041B61">
        <w:rPr>
          <w:rFonts w:ascii="Times New Roman" w:hAnsi="Times New Roman" w:cs="Times New Roman"/>
          <w:b/>
          <w:bCs/>
          <w:sz w:val="24"/>
          <w:szCs w:val="24"/>
        </w:rPr>
        <w:t>Minister for Home Affairs</w:t>
      </w:r>
    </w:p>
    <w:p w14:paraId="716529A7" w14:textId="454EABFB" w:rsidR="0087763B" w:rsidRDefault="0087763B">
      <w:pPr>
        <w:rPr>
          <w:rFonts w:ascii="Times New Roman" w:hAnsi="Times New Roman" w:cs="Times New Roman"/>
        </w:rPr>
      </w:pPr>
      <w:r>
        <w:br w:type="page"/>
      </w:r>
    </w:p>
    <w:p w14:paraId="5C5B3054" w14:textId="3C061927" w:rsidR="00915032" w:rsidRPr="00041B61" w:rsidRDefault="0087763B" w:rsidP="00041B61">
      <w:pPr>
        <w:spacing w:line="256" w:lineRule="auto"/>
        <w:jc w:val="right"/>
        <w:rPr>
          <w:rFonts w:ascii="Times New Roman" w:eastAsia="Times New Roman" w:hAnsi="Times New Roman" w:cs="Times New Roman"/>
          <w:b/>
          <w:sz w:val="24"/>
          <w:szCs w:val="24"/>
          <w:u w:val="single"/>
          <w:lang w:eastAsia="en-AU"/>
        </w:rPr>
      </w:pPr>
      <w:r w:rsidRPr="00041B61">
        <w:rPr>
          <w:rFonts w:ascii="Times New Roman" w:eastAsia="Times New Roman" w:hAnsi="Times New Roman" w:cs="Times New Roman"/>
          <w:b/>
          <w:sz w:val="24"/>
          <w:szCs w:val="24"/>
          <w:u w:val="single"/>
          <w:lang w:eastAsia="en-AU"/>
        </w:rPr>
        <w:lastRenderedPageBreak/>
        <w:t>ATTACHMENT C</w:t>
      </w:r>
    </w:p>
    <w:p w14:paraId="542783EE" w14:textId="77777777" w:rsidR="008A4CBA" w:rsidRPr="008A4CBA" w:rsidRDefault="008A4CBA" w:rsidP="008A4CBA">
      <w:pPr>
        <w:spacing w:after="200" w:line="240" w:lineRule="auto"/>
        <w:rPr>
          <w:rFonts w:ascii="Times New Roman" w:hAnsi="Times New Roman" w:cs="Times New Roman"/>
          <w:b/>
          <w:sz w:val="24"/>
          <w:szCs w:val="24"/>
          <w:u w:val="single"/>
        </w:rPr>
      </w:pPr>
      <w:r w:rsidRPr="008A4CBA">
        <w:rPr>
          <w:rFonts w:ascii="Times New Roman" w:hAnsi="Times New Roman" w:cs="Times New Roman"/>
          <w:b/>
          <w:sz w:val="24"/>
          <w:szCs w:val="24"/>
          <w:u w:val="single"/>
        </w:rPr>
        <w:t xml:space="preserve">Details of the proposed </w:t>
      </w:r>
      <w:r w:rsidRPr="008A4CBA">
        <w:rPr>
          <w:rFonts w:ascii="Times New Roman" w:hAnsi="Times New Roman" w:cs="Times New Roman"/>
          <w:b/>
          <w:i/>
          <w:iCs/>
          <w:sz w:val="24"/>
          <w:szCs w:val="24"/>
          <w:u w:val="single"/>
        </w:rPr>
        <w:t>Migration Amendment (Business Investment and Innovation Program Closure) Regulations 2024</w:t>
      </w:r>
    </w:p>
    <w:p w14:paraId="0AFD32D5" w14:textId="77777777" w:rsidR="008A4CBA" w:rsidRPr="008A4CBA" w:rsidRDefault="008A4CBA" w:rsidP="008A4CBA">
      <w:pPr>
        <w:spacing w:after="200" w:line="240" w:lineRule="auto"/>
        <w:rPr>
          <w:rFonts w:ascii="Times New Roman" w:eastAsiaTheme="minorEastAsia" w:hAnsi="Times New Roman" w:cs="Times New Roman"/>
          <w:kern w:val="28"/>
          <w:sz w:val="24"/>
          <w:szCs w:val="24"/>
          <w:u w:val="single"/>
        </w:rPr>
      </w:pPr>
      <w:r w:rsidRPr="008A4CBA">
        <w:rPr>
          <w:rFonts w:ascii="Times New Roman" w:eastAsiaTheme="minorEastAsia" w:hAnsi="Times New Roman" w:cs="Times New Roman"/>
          <w:kern w:val="28"/>
          <w:sz w:val="24"/>
          <w:szCs w:val="24"/>
          <w:u w:val="single"/>
        </w:rPr>
        <w:t>Section 1 – Name of Regulations</w:t>
      </w:r>
    </w:p>
    <w:p w14:paraId="2E93C20A" w14:textId="6E61CD1D" w:rsidR="008A4CBA" w:rsidRPr="008A4CBA" w:rsidRDefault="008A4CBA" w:rsidP="008A4CBA">
      <w:pPr>
        <w:spacing w:after="200" w:line="240" w:lineRule="auto"/>
        <w:rPr>
          <w:rFonts w:ascii="Times New Roman" w:eastAsiaTheme="minorEastAsia" w:hAnsi="Times New Roman" w:cs="Times New Roman"/>
          <w:bCs/>
          <w:i/>
          <w:iCs/>
          <w:sz w:val="24"/>
          <w:szCs w:val="24"/>
        </w:rPr>
      </w:pPr>
      <w:r w:rsidRPr="008A4CBA">
        <w:rPr>
          <w:rFonts w:ascii="Times New Roman" w:eastAsiaTheme="minorEastAsia" w:hAnsi="Times New Roman" w:cs="Times New Roman"/>
          <w:sz w:val="24"/>
          <w:szCs w:val="24"/>
        </w:rPr>
        <w:t xml:space="preserve">This section </w:t>
      </w:r>
      <w:r w:rsidR="00B03C4C">
        <w:rPr>
          <w:rFonts w:ascii="Times New Roman" w:eastAsiaTheme="minorEastAsia" w:hAnsi="Times New Roman" w:cs="Times New Roman"/>
          <w:sz w:val="24"/>
          <w:szCs w:val="24"/>
        </w:rPr>
        <w:t>provides</w:t>
      </w:r>
      <w:r w:rsidRPr="008A4CBA">
        <w:rPr>
          <w:rFonts w:ascii="Times New Roman" w:eastAsiaTheme="minorEastAsia" w:hAnsi="Times New Roman" w:cs="Times New Roman"/>
          <w:sz w:val="24"/>
          <w:szCs w:val="24"/>
        </w:rPr>
        <w:t xml:space="preserve"> </w:t>
      </w:r>
      <w:r w:rsidR="00B03C4C">
        <w:rPr>
          <w:rFonts w:ascii="Times New Roman" w:eastAsiaTheme="minorEastAsia" w:hAnsi="Times New Roman" w:cs="Times New Roman"/>
          <w:sz w:val="24"/>
          <w:szCs w:val="24"/>
        </w:rPr>
        <w:t>the title of the Regulations a</w:t>
      </w:r>
      <w:r w:rsidRPr="008A4CBA">
        <w:rPr>
          <w:rFonts w:ascii="Times New Roman" w:eastAsiaTheme="minorEastAsia" w:hAnsi="Times New Roman" w:cs="Times New Roman"/>
          <w:sz w:val="24"/>
          <w:szCs w:val="24"/>
        </w:rPr>
        <w:t xml:space="preserve">s the </w:t>
      </w:r>
      <w:r w:rsidRPr="008A4CBA">
        <w:rPr>
          <w:rFonts w:ascii="Times New Roman" w:eastAsiaTheme="minorEastAsia" w:hAnsi="Times New Roman" w:cs="Times New Roman"/>
          <w:bCs/>
          <w:i/>
          <w:iCs/>
          <w:sz w:val="24"/>
          <w:szCs w:val="24"/>
        </w:rPr>
        <w:t>Migration Amendment (Business Innovation and Investment Program Closure) Regulations 2024</w:t>
      </w:r>
      <w:r w:rsidRPr="008A4CBA">
        <w:rPr>
          <w:rFonts w:ascii="Times New Roman" w:eastAsiaTheme="minorEastAsia" w:hAnsi="Times New Roman" w:cs="Times New Roman"/>
          <w:bCs/>
          <w:iCs/>
          <w:sz w:val="24"/>
          <w:szCs w:val="24"/>
        </w:rPr>
        <w:t xml:space="preserve"> (the Amendment Regulations)</w:t>
      </w:r>
      <w:r w:rsidRPr="008A4CBA">
        <w:rPr>
          <w:rFonts w:ascii="Times New Roman" w:eastAsiaTheme="minorEastAsia" w:hAnsi="Times New Roman" w:cs="Times New Roman"/>
          <w:bCs/>
          <w:i/>
          <w:iCs/>
          <w:sz w:val="24"/>
          <w:szCs w:val="24"/>
        </w:rPr>
        <w:t>.</w:t>
      </w:r>
    </w:p>
    <w:p w14:paraId="7587B6FF" w14:textId="77777777" w:rsidR="008A4CBA" w:rsidRPr="008A4CBA" w:rsidRDefault="008A4CBA" w:rsidP="008A4CBA">
      <w:pPr>
        <w:spacing w:after="200" w:line="240" w:lineRule="auto"/>
        <w:rPr>
          <w:rFonts w:ascii="Times New Roman" w:eastAsiaTheme="minorEastAsia" w:hAnsi="Times New Roman" w:cs="Times New Roman"/>
          <w:sz w:val="24"/>
          <w:szCs w:val="24"/>
          <w:u w:val="single"/>
        </w:rPr>
      </w:pPr>
      <w:r w:rsidRPr="008A4CBA">
        <w:rPr>
          <w:rFonts w:ascii="Times New Roman" w:eastAsiaTheme="minorEastAsia" w:hAnsi="Times New Roman" w:cs="Times New Roman"/>
          <w:sz w:val="24"/>
          <w:szCs w:val="24"/>
          <w:u w:val="single"/>
        </w:rPr>
        <w:t>Section 2 - Commencement</w:t>
      </w:r>
    </w:p>
    <w:p w14:paraId="72844BC5" w14:textId="5A988C71" w:rsidR="008A4CBA" w:rsidRPr="008A4CBA" w:rsidRDefault="008A4CBA" w:rsidP="008A4CBA">
      <w:pPr>
        <w:spacing w:after="200" w:line="240" w:lineRule="auto"/>
        <w:rPr>
          <w:rFonts w:ascii="Times New Roman" w:hAnsi="Times New Roman" w:cs="Times New Roman"/>
          <w:sz w:val="24"/>
          <w:szCs w:val="24"/>
          <w:shd w:val="clear" w:color="auto" w:fill="FFFFFF"/>
        </w:rPr>
      </w:pPr>
      <w:r w:rsidRPr="008A4CBA">
        <w:rPr>
          <w:rFonts w:ascii="Times New Roman" w:eastAsia="SimSun" w:hAnsi="Times New Roman" w:cs="Times New Roman"/>
          <w:sz w:val="24"/>
          <w:szCs w:val="24"/>
        </w:rPr>
        <w:t xml:space="preserve">This section </w:t>
      </w:r>
      <w:r w:rsidRPr="008A4CBA">
        <w:rPr>
          <w:rFonts w:ascii="Times New Roman" w:eastAsiaTheme="minorEastAsia" w:hAnsi="Times New Roman" w:cs="Times New Roman"/>
          <w:sz w:val="24"/>
          <w:szCs w:val="24"/>
        </w:rPr>
        <w:t>provide</w:t>
      </w:r>
      <w:r w:rsidR="00B03C4C">
        <w:rPr>
          <w:rFonts w:ascii="Times New Roman" w:eastAsiaTheme="minorEastAsia" w:hAnsi="Times New Roman" w:cs="Times New Roman"/>
          <w:sz w:val="24"/>
          <w:szCs w:val="24"/>
        </w:rPr>
        <w:t>s</w:t>
      </w:r>
      <w:r w:rsidRPr="008A4CBA">
        <w:rPr>
          <w:rFonts w:ascii="Times New Roman" w:eastAsia="SimSun" w:hAnsi="Times New Roman" w:cs="Times New Roman"/>
          <w:sz w:val="24"/>
          <w:szCs w:val="24"/>
        </w:rPr>
        <w:t xml:space="preserve"> for the </w:t>
      </w:r>
      <w:r w:rsidR="00B03C4C">
        <w:rPr>
          <w:rFonts w:ascii="Times New Roman" w:eastAsia="SimSun" w:hAnsi="Times New Roman" w:cs="Times New Roman"/>
          <w:sz w:val="24"/>
          <w:szCs w:val="24"/>
        </w:rPr>
        <w:t xml:space="preserve">Amendment </w:t>
      </w:r>
      <w:r w:rsidRPr="008A4CBA">
        <w:rPr>
          <w:rFonts w:ascii="Times New Roman" w:eastAsia="SimSun" w:hAnsi="Times New Roman" w:cs="Times New Roman"/>
          <w:sz w:val="24"/>
          <w:szCs w:val="24"/>
        </w:rPr>
        <w:t xml:space="preserve">Regulations to </w:t>
      </w:r>
      <w:r w:rsidRPr="008A4CBA">
        <w:rPr>
          <w:rFonts w:ascii="Times New Roman" w:hAnsi="Times New Roman" w:cs="Times New Roman"/>
          <w:sz w:val="24"/>
          <w:szCs w:val="24"/>
          <w:shd w:val="clear" w:color="auto" w:fill="FFFFFF"/>
        </w:rPr>
        <w:t xml:space="preserve">commence on the day after </w:t>
      </w:r>
      <w:r w:rsidR="00B03C4C">
        <w:rPr>
          <w:rFonts w:ascii="Times New Roman" w:hAnsi="Times New Roman" w:cs="Times New Roman"/>
          <w:sz w:val="24"/>
          <w:szCs w:val="24"/>
          <w:shd w:val="clear" w:color="auto" w:fill="FFFFFF"/>
        </w:rPr>
        <w:t>registration</w:t>
      </w:r>
      <w:r w:rsidRPr="008A4CBA">
        <w:rPr>
          <w:rFonts w:ascii="Times New Roman" w:hAnsi="Times New Roman" w:cs="Times New Roman"/>
          <w:sz w:val="24"/>
          <w:szCs w:val="24"/>
          <w:shd w:val="clear" w:color="auto" w:fill="FFFFFF"/>
        </w:rPr>
        <w:t xml:space="preserve"> on the Federal Register of Legislation.</w:t>
      </w:r>
    </w:p>
    <w:p w14:paraId="585BBD93" w14:textId="2950A258" w:rsidR="008A4CBA" w:rsidRPr="008A4CBA" w:rsidRDefault="008A4CBA" w:rsidP="008A4CBA">
      <w:pPr>
        <w:spacing w:after="200" w:line="240" w:lineRule="auto"/>
        <w:rPr>
          <w:rFonts w:ascii="Times New Roman" w:hAnsi="Times New Roman" w:cs="Times New Roman"/>
          <w:sz w:val="24"/>
          <w:szCs w:val="24"/>
          <w:shd w:val="clear" w:color="auto" w:fill="FFFFFF"/>
        </w:rPr>
      </w:pPr>
      <w:r w:rsidRPr="008A4CBA">
        <w:rPr>
          <w:rFonts w:ascii="Times New Roman" w:hAnsi="Times New Roman" w:cs="Times New Roman"/>
          <w:sz w:val="24"/>
          <w:szCs w:val="24"/>
          <w:shd w:val="clear" w:color="auto" w:fill="FFFFFF"/>
        </w:rPr>
        <w:t>Subsection 2(1) provide that each provision of the Amendment Regulations specified in column 1 of the table would commence, or would be taken to commence, in accordance with column 2 of the table.  Any other statement in column 2 has the effect according to its terms.</w:t>
      </w:r>
    </w:p>
    <w:p w14:paraId="528497BA" w14:textId="77777777" w:rsidR="008A4CBA" w:rsidRPr="008A4CBA" w:rsidRDefault="008A4CBA" w:rsidP="008A4CBA">
      <w:pPr>
        <w:spacing w:after="200" w:line="240" w:lineRule="auto"/>
        <w:rPr>
          <w:rFonts w:ascii="Times New Roman" w:hAnsi="Times New Roman" w:cs="Times New Roman"/>
          <w:sz w:val="24"/>
          <w:szCs w:val="24"/>
          <w:shd w:val="clear" w:color="auto" w:fill="FFFFFF"/>
        </w:rPr>
      </w:pPr>
      <w:r w:rsidRPr="008A4CBA">
        <w:rPr>
          <w:rFonts w:ascii="Times New Roman" w:hAnsi="Times New Roman" w:cs="Times New Roman"/>
          <w:sz w:val="24"/>
          <w:szCs w:val="24"/>
          <w:shd w:val="clear" w:color="auto" w:fill="FFFFFF"/>
        </w:rPr>
        <w:t>A note at the foot of the table under subsection 2(1) explains that the table would relate only to the provisions of the Amendment Regulations as originally made. The table will not be amended to deal with any later amendments to the Amendment Regulations.</w:t>
      </w:r>
    </w:p>
    <w:p w14:paraId="43BDA6EB" w14:textId="77777777" w:rsidR="008A4CBA" w:rsidRPr="008A4CBA" w:rsidRDefault="008A4CBA" w:rsidP="008A4CBA">
      <w:pPr>
        <w:spacing w:after="200" w:line="240" w:lineRule="auto"/>
        <w:rPr>
          <w:rFonts w:ascii="Times New Roman" w:hAnsi="Times New Roman" w:cs="Times New Roman"/>
          <w:sz w:val="24"/>
          <w:szCs w:val="24"/>
          <w:shd w:val="clear" w:color="auto" w:fill="FFFFFF"/>
        </w:rPr>
      </w:pPr>
      <w:r w:rsidRPr="008A4CBA">
        <w:rPr>
          <w:rFonts w:ascii="Times New Roman" w:hAnsi="Times New Roman" w:cs="Times New Roman"/>
          <w:sz w:val="24"/>
          <w:szCs w:val="24"/>
          <w:shd w:val="clear" w:color="auto" w:fill="FFFFFF"/>
        </w:rPr>
        <w:t xml:space="preserve">Subsection 2(2) would provide that any information in column 3 of, the table is not be part of the Regulations. Information may be inserted in column 3, or information in it may be edited, in any published version of the Regulations. </w:t>
      </w:r>
    </w:p>
    <w:p w14:paraId="5DB951DF" w14:textId="77777777" w:rsidR="008A4CBA" w:rsidRPr="008A4CBA" w:rsidRDefault="008A4CBA" w:rsidP="008A4CBA">
      <w:pPr>
        <w:spacing w:after="200" w:line="240" w:lineRule="auto"/>
        <w:rPr>
          <w:rFonts w:ascii="Times New Roman" w:eastAsiaTheme="minorEastAsia" w:hAnsi="Times New Roman" w:cs="Times New Roman"/>
          <w:sz w:val="24"/>
          <w:szCs w:val="24"/>
          <w:u w:val="single"/>
        </w:rPr>
      </w:pPr>
      <w:r w:rsidRPr="008A4CBA">
        <w:rPr>
          <w:rFonts w:ascii="Times New Roman" w:eastAsiaTheme="minorEastAsia" w:hAnsi="Times New Roman" w:cs="Times New Roman"/>
          <w:sz w:val="24"/>
          <w:szCs w:val="24"/>
          <w:u w:val="single"/>
        </w:rPr>
        <w:t>Section 3 - Authority</w:t>
      </w:r>
    </w:p>
    <w:p w14:paraId="2986C350" w14:textId="71EBA5AC" w:rsidR="008A4CBA" w:rsidRPr="008A4CBA" w:rsidRDefault="008A4CBA" w:rsidP="008A4CBA">
      <w:pPr>
        <w:spacing w:after="200" w:line="240" w:lineRule="auto"/>
        <w:rPr>
          <w:rFonts w:ascii="Times New Roman" w:eastAsia="SimSun" w:hAnsi="Times New Roman" w:cs="Times New Roman"/>
          <w:sz w:val="24"/>
          <w:szCs w:val="24"/>
        </w:rPr>
      </w:pPr>
      <w:r w:rsidRPr="008A4CBA">
        <w:rPr>
          <w:rFonts w:ascii="Times New Roman" w:eastAsia="SimSun" w:hAnsi="Times New Roman" w:cs="Times New Roman"/>
          <w:sz w:val="24"/>
          <w:szCs w:val="24"/>
        </w:rPr>
        <w:t xml:space="preserve">This section </w:t>
      </w:r>
      <w:r w:rsidRPr="008A4CBA">
        <w:rPr>
          <w:rFonts w:ascii="Times New Roman" w:eastAsiaTheme="minorEastAsia" w:hAnsi="Times New Roman" w:cs="Times New Roman"/>
          <w:sz w:val="24"/>
          <w:szCs w:val="24"/>
        </w:rPr>
        <w:t>provide</w:t>
      </w:r>
      <w:r w:rsidR="00B03C4C">
        <w:rPr>
          <w:rFonts w:ascii="Times New Roman" w:eastAsiaTheme="minorEastAsia" w:hAnsi="Times New Roman" w:cs="Times New Roman"/>
          <w:sz w:val="24"/>
          <w:szCs w:val="24"/>
        </w:rPr>
        <w:t>s</w:t>
      </w:r>
      <w:r w:rsidRPr="008A4CBA">
        <w:rPr>
          <w:rFonts w:ascii="Times New Roman" w:eastAsia="SimSun" w:hAnsi="Times New Roman" w:cs="Times New Roman"/>
          <w:sz w:val="24"/>
          <w:szCs w:val="24"/>
        </w:rPr>
        <w:t xml:space="preserve"> that the </w:t>
      </w:r>
      <w:r w:rsidR="005D2541">
        <w:rPr>
          <w:rFonts w:ascii="Times New Roman" w:eastAsia="SimSun" w:hAnsi="Times New Roman" w:cs="Times New Roman"/>
          <w:sz w:val="24"/>
          <w:szCs w:val="24"/>
        </w:rPr>
        <w:t>Amendment Regulations are</w:t>
      </w:r>
      <w:r w:rsidRPr="008A4CBA">
        <w:rPr>
          <w:rFonts w:ascii="Times New Roman" w:eastAsia="SimSun" w:hAnsi="Times New Roman" w:cs="Times New Roman"/>
          <w:sz w:val="24"/>
          <w:szCs w:val="24"/>
        </w:rPr>
        <w:t xml:space="preserve"> made under the </w:t>
      </w:r>
      <w:r w:rsidRPr="008A4CBA">
        <w:rPr>
          <w:rFonts w:ascii="Times New Roman" w:eastAsia="SimSun" w:hAnsi="Times New Roman" w:cs="Times New Roman"/>
          <w:i/>
          <w:iCs/>
          <w:sz w:val="24"/>
          <w:szCs w:val="24"/>
        </w:rPr>
        <w:t xml:space="preserve">Migration Act 1958 </w:t>
      </w:r>
      <w:r w:rsidRPr="008A4CBA">
        <w:rPr>
          <w:rFonts w:ascii="Times New Roman" w:eastAsia="SimSun" w:hAnsi="Times New Roman" w:cs="Times New Roman"/>
          <w:sz w:val="24"/>
          <w:szCs w:val="24"/>
        </w:rPr>
        <w:t>(the Migration Act).</w:t>
      </w:r>
    </w:p>
    <w:p w14:paraId="31FF8BBC" w14:textId="77777777" w:rsidR="008A4CBA" w:rsidRPr="008A4CBA" w:rsidRDefault="008A4CBA" w:rsidP="008A4CBA">
      <w:pPr>
        <w:spacing w:after="200" w:line="240" w:lineRule="auto"/>
        <w:rPr>
          <w:rFonts w:ascii="Times New Roman" w:eastAsia="SimSun" w:hAnsi="Times New Roman" w:cs="Times New Roman"/>
          <w:sz w:val="24"/>
          <w:szCs w:val="24"/>
          <w:u w:val="single"/>
        </w:rPr>
      </w:pPr>
      <w:r w:rsidRPr="008A4CBA">
        <w:rPr>
          <w:rFonts w:ascii="Times New Roman" w:eastAsia="SimSun" w:hAnsi="Times New Roman" w:cs="Times New Roman"/>
          <w:sz w:val="24"/>
          <w:szCs w:val="24"/>
          <w:u w:val="single"/>
        </w:rPr>
        <w:t>Section 4 - Schedules</w:t>
      </w:r>
    </w:p>
    <w:p w14:paraId="33A08390" w14:textId="2DECB51D" w:rsidR="008A4CBA" w:rsidRPr="008A4CBA" w:rsidRDefault="00B03C4C" w:rsidP="008A4CBA">
      <w:pPr>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section</w:t>
      </w:r>
      <w:r w:rsidR="008A4CBA" w:rsidRPr="008A4CBA">
        <w:rPr>
          <w:rFonts w:ascii="Times New Roman" w:eastAsiaTheme="minorEastAsia" w:hAnsi="Times New Roman" w:cs="Times New Roman"/>
          <w:sz w:val="24"/>
          <w:szCs w:val="24"/>
        </w:rPr>
        <w:t xml:space="preserve"> provide</w:t>
      </w:r>
      <w:r>
        <w:rPr>
          <w:rFonts w:ascii="Times New Roman" w:eastAsiaTheme="minorEastAsia" w:hAnsi="Times New Roman" w:cs="Times New Roman"/>
          <w:sz w:val="24"/>
          <w:szCs w:val="24"/>
        </w:rPr>
        <w:t>s</w:t>
      </w:r>
      <w:r w:rsidR="008A4CBA" w:rsidRPr="008A4CBA">
        <w:rPr>
          <w:rFonts w:ascii="Times New Roman" w:eastAsiaTheme="minorEastAsia" w:hAnsi="Times New Roman" w:cs="Times New Roman"/>
          <w:sz w:val="24"/>
          <w:szCs w:val="24"/>
        </w:rPr>
        <w:t xml:space="preserve"> for how the amendments in the Amendment Regulations operate</w:t>
      </w:r>
      <w:r w:rsidR="00824812">
        <w:rPr>
          <w:rFonts w:ascii="Times New Roman" w:eastAsiaTheme="minorEastAsia" w:hAnsi="Times New Roman" w:cs="Times New Roman"/>
          <w:sz w:val="24"/>
          <w:szCs w:val="24"/>
        </w:rPr>
        <w:t xml:space="preserve">, amending the </w:t>
      </w:r>
      <w:r w:rsidR="00824812" w:rsidRPr="00824812">
        <w:rPr>
          <w:rFonts w:ascii="Times New Roman" w:eastAsiaTheme="minorEastAsia" w:hAnsi="Times New Roman" w:cs="Times New Roman"/>
          <w:i/>
          <w:sz w:val="24"/>
          <w:szCs w:val="24"/>
        </w:rPr>
        <w:t>Migration Regulations 1994</w:t>
      </w:r>
      <w:r w:rsidR="008A4CBA" w:rsidRPr="008A4CBA">
        <w:rPr>
          <w:rFonts w:ascii="Times New Roman" w:eastAsiaTheme="minorEastAsia" w:hAnsi="Times New Roman" w:cs="Times New Roman"/>
          <w:sz w:val="24"/>
          <w:szCs w:val="24"/>
        </w:rPr>
        <w:t>.</w:t>
      </w:r>
    </w:p>
    <w:p w14:paraId="2FE4041B" w14:textId="77777777" w:rsidR="008A4CBA" w:rsidRPr="008A4CBA" w:rsidRDefault="008A4CBA" w:rsidP="008A4CBA">
      <w:pPr>
        <w:spacing w:after="200" w:line="240" w:lineRule="auto"/>
        <w:rPr>
          <w:rFonts w:ascii="Times New Roman" w:eastAsiaTheme="minorEastAsia" w:hAnsi="Times New Roman" w:cs="Times New Roman"/>
          <w:sz w:val="24"/>
          <w:szCs w:val="24"/>
          <w:u w:val="single"/>
        </w:rPr>
      </w:pPr>
      <w:r w:rsidRPr="008A4CBA">
        <w:rPr>
          <w:rFonts w:ascii="Times New Roman" w:eastAsiaTheme="minorEastAsia" w:hAnsi="Times New Roman" w:cs="Times New Roman"/>
          <w:sz w:val="24"/>
          <w:szCs w:val="24"/>
          <w:u w:val="single"/>
        </w:rPr>
        <w:t>Schedule 1 – Amendments</w:t>
      </w:r>
    </w:p>
    <w:p w14:paraId="597E3CA6" w14:textId="77777777" w:rsidR="008A4CBA" w:rsidRPr="008A4CBA" w:rsidRDefault="008A4CBA" w:rsidP="008A4CBA">
      <w:pPr>
        <w:spacing w:before="100" w:beforeAutospacing="1" w:after="200" w:line="240" w:lineRule="auto"/>
        <w:rPr>
          <w:rFonts w:ascii="Times New Roman" w:eastAsiaTheme="minorEastAsia" w:hAnsi="Times New Roman" w:cs="Times New Roman"/>
          <w:b/>
          <w:i/>
          <w:sz w:val="24"/>
          <w:szCs w:val="24"/>
        </w:rPr>
      </w:pPr>
      <w:r w:rsidRPr="008A4CBA">
        <w:rPr>
          <w:rFonts w:ascii="Times New Roman" w:eastAsiaTheme="minorEastAsia" w:hAnsi="Times New Roman" w:cs="Times New Roman"/>
          <w:b/>
          <w:i/>
          <w:sz w:val="24"/>
          <w:szCs w:val="24"/>
        </w:rPr>
        <w:t>Migration Regulations 1994</w:t>
      </w:r>
    </w:p>
    <w:p w14:paraId="5AE99906" w14:textId="77777777" w:rsidR="008A4CBA" w:rsidRPr="008A4CBA" w:rsidRDefault="008A4CBA" w:rsidP="008A4CBA">
      <w:pPr>
        <w:spacing w:after="200" w:line="240" w:lineRule="auto"/>
        <w:rPr>
          <w:rFonts w:ascii="Times New Roman" w:hAnsi="Times New Roman" w:cs="Times New Roman"/>
          <w:color w:val="000000" w:themeColor="text1"/>
          <w:sz w:val="24"/>
          <w:szCs w:val="24"/>
          <w:lang w:val="en-GB"/>
        </w:rPr>
      </w:pPr>
      <w:r w:rsidRPr="008A4CBA">
        <w:rPr>
          <w:rFonts w:ascii="Times New Roman" w:hAnsi="Times New Roman" w:cs="Times New Roman"/>
          <w:b/>
          <w:bCs/>
          <w:color w:val="000000" w:themeColor="text1"/>
          <w:sz w:val="24"/>
          <w:szCs w:val="24"/>
        </w:rPr>
        <w:t>Item [1] – Subitems 1202B(4), (6), (6A) and (6D) of Schedule 1</w:t>
      </w:r>
    </w:p>
    <w:p w14:paraId="4EA06A86" w14:textId="709B21C9" w:rsidR="008A4CBA" w:rsidRPr="008A4CBA" w:rsidRDefault="008A4CBA" w:rsidP="008A4CBA">
      <w:pPr>
        <w:spacing w:after="200" w:line="240" w:lineRule="auto"/>
        <w:rPr>
          <w:rFonts w:ascii="Times New Roman" w:hAnsi="Times New Roman" w:cs="Times New Roman"/>
          <w:color w:val="000000" w:themeColor="text1"/>
          <w:sz w:val="24"/>
          <w:szCs w:val="24"/>
        </w:rPr>
      </w:pPr>
      <w:r w:rsidRPr="008A4CBA">
        <w:rPr>
          <w:rFonts w:ascii="Times New Roman" w:hAnsi="Times New Roman" w:cs="Times New Roman"/>
          <w:color w:val="000000" w:themeColor="text1"/>
          <w:sz w:val="24"/>
          <w:szCs w:val="24"/>
        </w:rPr>
        <w:t>This item insert</w:t>
      </w:r>
      <w:r w:rsidR="00B03C4C">
        <w:rPr>
          <w:rFonts w:ascii="Times New Roman" w:hAnsi="Times New Roman" w:cs="Times New Roman"/>
          <w:color w:val="000000" w:themeColor="text1"/>
          <w:sz w:val="24"/>
          <w:szCs w:val="24"/>
        </w:rPr>
        <w:t>s</w:t>
      </w:r>
      <w:r w:rsidRPr="008A4CBA">
        <w:rPr>
          <w:rFonts w:ascii="Times New Roman" w:hAnsi="Times New Roman" w:cs="Times New Roman"/>
          <w:color w:val="000000" w:themeColor="text1"/>
          <w:sz w:val="24"/>
          <w:szCs w:val="24"/>
        </w:rPr>
        <w:t xml:space="preserve"> an additional item in the table under subitems 1202B(4), (6), (6A) and (6D) of Schedule 1 to the Migration Regulations, which relevantly sets out the requirements that must be met by a non-citizen seeking to make a valid application for each of the streams under the Subclass 188 (Business Innovation and Investment (Provisional)) visa. The additional item provide</w:t>
      </w:r>
      <w:r w:rsidR="00B03C4C">
        <w:rPr>
          <w:rFonts w:ascii="Times New Roman" w:hAnsi="Times New Roman" w:cs="Times New Roman"/>
          <w:color w:val="000000" w:themeColor="text1"/>
          <w:sz w:val="24"/>
          <w:szCs w:val="24"/>
        </w:rPr>
        <w:t>s</w:t>
      </w:r>
      <w:r w:rsidRPr="008A4CBA">
        <w:rPr>
          <w:rFonts w:ascii="Times New Roman" w:hAnsi="Times New Roman" w:cs="Times New Roman"/>
          <w:color w:val="000000" w:themeColor="text1"/>
          <w:sz w:val="24"/>
          <w:szCs w:val="24"/>
        </w:rPr>
        <w:t xml:space="preserve"> that the applicant must make the application before 31 July 2024. The effect of the </w:t>
      </w:r>
      <w:r w:rsidR="00B03C4C">
        <w:rPr>
          <w:rFonts w:ascii="Times New Roman" w:hAnsi="Times New Roman" w:cs="Times New Roman"/>
          <w:color w:val="000000" w:themeColor="text1"/>
          <w:sz w:val="24"/>
          <w:szCs w:val="24"/>
        </w:rPr>
        <w:t xml:space="preserve">amendment </w:t>
      </w:r>
      <w:r w:rsidR="00722449">
        <w:rPr>
          <w:rFonts w:ascii="Times New Roman" w:hAnsi="Times New Roman" w:cs="Times New Roman"/>
          <w:color w:val="000000" w:themeColor="text1"/>
          <w:sz w:val="24"/>
          <w:szCs w:val="24"/>
        </w:rPr>
        <w:t>is</w:t>
      </w:r>
      <w:r w:rsidR="00B03C4C">
        <w:rPr>
          <w:rFonts w:ascii="Times New Roman" w:hAnsi="Times New Roman" w:cs="Times New Roman"/>
          <w:color w:val="000000" w:themeColor="text1"/>
          <w:sz w:val="24"/>
          <w:szCs w:val="24"/>
        </w:rPr>
        <w:t xml:space="preserve"> to close off the visa to any new applications made </w:t>
      </w:r>
      <w:r w:rsidR="00683B3B">
        <w:rPr>
          <w:rFonts w:ascii="Times New Roman" w:hAnsi="Times New Roman" w:cs="Times New Roman"/>
          <w:color w:val="000000" w:themeColor="text1"/>
          <w:sz w:val="24"/>
          <w:szCs w:val="24"/>
        </w:rPr>
        <w:t xml:space="preserve">on or </w:t>
      </w:r>
      <w:r w:rsidR="00B03C4C">
        <w:rPr>
          <w:rFonts w:ascii="Times New Roman" w:hAnsi="Times New Roman" w:cs="Times New Roman"/>
          <w:color w:val="000000" w:themeColor="text1"/>
          <w:sz w:val="24"/>
          <w:szCs w:val="24"/>
        </w:rPr>
        <w:t>after 31 July 2024</w:t>
      </w:r>
      <w:r w:rsidRPr="008A4CBA">
        <w:rPr>
          <w:rFonts w:ascii="Times New Roman" w:hAnsi="Times New Roman" w:cs="Times New Roman"/>
          <w:color w:val="000000" w:themeColor="text1"/>
          <w:sz w:val="24"/>
          <w:szCs w:val="24"/>
        </w:rPr>
        <w:t>.</w:t>
      </w:r>
    </w:p>
    <w:sectPr w:rsidR="008A4CBA" w:rsidRPr="008A4CBA"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936D" w14:textId="77777777" w:rsidR="00936968" w:rsidRDefault="00936968" w:rsidP="00936968">
      <w:pPr>
        <w:spacing w:after="0" w:line="240" w:lineRule="auto"/>
      </w:pPr>
      <w:r>
        <w:separator/>
      </w:r>
    </w:p>
  </w:endnote>
  <w:endnote w:type="continuationSeparator" w:id="0">
    <w:p w14:paraId="7E17F2F0" w14:textId="77777777" w:rsidR="00936968" w:rsidRDefault="00936968" w:rsidP="0093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09F3" w14:textId="77777777" w:rsidR="00936968" w:rsidRDefault="00936968" w:rsidP="00936968">
      <w:pPr>
        <w:spacing w:after="0" w:line="240" w:lineRule="auto"/>
      </w:pPr>
      <w:r>
        <w:separator/>
      </w:r>
    </w:p>
  </w:footnote>
  <w:footnote w:type="continuationSeparator" w:id="0">
    <w:p w14:paraId="73926555" w14:textId="77777777" w:rsidR="00936968" w:rsidRDefault="00936968" w:rsidP="00936968">
      <w:pPr>
        <w:spacing w:after="0" w:line="240" w:lineRule="auto"/>
      </w:pPr>
      <w:r>
        <w:continuationSeparator/>
      </w:r>
    </w:p>
  </w:footnote>
  <w:footnote w:id="1">
    <w:p w14:paraId="7776A814" w14:textId="2BE82FAE" w:rsidR="00936968" w:rsidRPr="00936968" w:rsidRDefault="00936968" w:rsidP="00AF3ADA">
      <w:pPr>
        <w:pStyle w:val="FootnoteText"/>
        <w:ind w:left="284" w:hanging="142"/>
        <w:rPr>
          <w:rFonts w:ascii="Times New Roman" w:hAnsi="Times New Roman" w:cs="Times New Roman"/>
        </w:rPr>
      </w:pPr>
      <w:r w:rsidRPr="00936968">
        <w:rPr>
          <w:rStyle w:val="FootnoteReference"/>
          <w:rFonts w:ascii="Times New Roman" w:hAnsi="Times New Roman" w:cs="Times New Roman"/>
        </w:rPr>
        <w:footnoteRef/>
      </w:r>
      <w:r w:rsidRPr="00936968">
        <w:rPr>
          <w:rFonts w:ascii="Times New Roman" w:hAnsi="Times New Roman" w:cs="Times New Roman"/>
        </w:rPr>
        <w:t xml:space="preserve">  </w:t>
      </w:r>
      <w:r w:rsidRPr="00936968">
        <w:rPr>
          <w:rFonts w:ascii="Times New Roman" w:hAnsi="Times New Roman" w:cs="Times New Roman"/>
          <w:i/>
        </w:rPr>
        <w:t>Business Innovation and Investment Program (BIIP)</w:t>
      </w:r>
      <w:r w:rsidRPr="00936968">
        <w:rPr>
          <w:rFonts w:ascii="Times New Roman" w:hAnsi="Times New Roman" w:cs="Times New Roman"/>
        </w:rPr>
        <w:t xml:space="preserve">, 12 June 2024 - </w:t>
      </w:r>
      <w:r w:rsidRPr="00936968">
        <w:rPr>
          <w:rFonts w:ascii="Times New Roman" w:hAnsi="Times New Roman" w:cs="Times New Roman"/>
          <w:u w:val="single"/>
        </w:rPr>
        <w:t>https://immi.homeaffairs.gov.au/news-media/archive/article?itemId=1209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04"/>
    <w:multiLevelType w:val="multilevel"/>
    <w:tmpl w:val="9FC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 w15:restartNumberingAfterBreak="0">
    <w:nsid w:val="2DBF2847"/>
    <w:multiLevelType w:val="hybridMultilevel"/>
    <w:tmpl w:val="CE7C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C6CF7"/>
    <w:multiLevelType w:val="hybridMultilevel"/>
    <w:tmpl w:val="FC1ECE6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5785737"/>
    <w:multiLevelType w:val="hybridMultilevel"/>
    <w:tmpl w:val="3AB0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7"/>
  </w:num>
  <w:num w:numId="4">
    <w:abstractNumId w:val="7"/>
  </w:num>
  <w:num w:numId="5">
    <w:abstractNumId w:val="5"/>
  </w:num>
  <w:num w:numId="6">
    <w:abstractNumId w:val="2"/>
  </w:num>
  <w:num w:numId="7">
    <w:abstractNumId w:val="0"/>
  </w:num>
  <w:num w:numId="8">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139FD"/>
    <w:rsid w:val="00041B61"/>
    <w:rsid w:val="0009526D"/>
    <w:rsid w:val="000C48FD"/>
    <w:rsid w:val="000D014F"/>
    <w:rsid w:val="000E236E"/>
    <w:rsid w:val="00100DFC"/>
    <w:rsid w:val="001451BA"/>
    <w:rsid w:val="0019164E"/>
    <w:rsid w:val="00232027"/>
    <w:rsid w:val="002402E0"/>
    <w:rsid w:val="002D167E"/>
    <w:rsid w:val="002F4D71"/>
    <w:rsid w:val="00311A7F"/>
    <w:rsid w:val="0032229A"/>
    <w:rsid w:val="00326223"/>
    <w:rsid w:val="003E1B35"/>
    <w:rsid w:val="00420EB6"/>
    <w:rsid w:val="00430C8B"/>
    <w:rsid w:val="00457D4A"/>
    <w:rsid w:val="00461BF4"/>
    <w:rsid w:val="00464080"/>
    <w:rsid w:val="004D0402"/>
    <w:rsid w:val="004F5CE4"/>
    <w:rsid w:val="00503B03"/>
    <w:rsid w:val="00516E63"/>
    <w:rsid w:val="0055339C"/>
    <w:rsid w:val="00560B24"/>
    <w:rsid w:val="00561563"/>
    <w:rsid w:val="0057002B"/>
    <w:rsid w:val="005946FE"/>
    <w:rsid w:val="005A3733"/>
    <w:rsid w:val="005D2541"/>
    <w:rsid w:val="00604E06"/>
    <w:rsid w:val="00623405"/>
    <w:rsid w:val="00626466"/>
    <w:rsid w:val="00683B3B"/>
    <w:rsid w:val="00722449"/>
    <w:rsid w:val="007539FB"/>
    <w:rsid w:val="00764E57"/>
    <w:rsid w:val="007E4691"/>
    <w:rsid w:val="008100FB"/>
    <w:rsid w:val="00822B1D"/>
    <w:rsid w:val="00824812"/>
    <w:rsid w:val="0085340B"/>
    <w:rsid w:val="0087583D"/>
    <w:rsid w:val="0087763B"/>
    <w:rsid w:val="0088407D"/>
    <w:rsid w:val="008A00D3"/>
    <w:rsid w:val="008A4CBA"/>
    <w:rsid w:val="008B24C8"/>
    <w:rsid w:val="00905322"/>
    <w:rsid w:val="00906AB2"/>
    <w:rsid w:val="00915032"/>
    <w:rsid w:val="00936968"/>
    <w:rsid w:val="0095352C"/>
    <w:rsid w:val="0095681B"/>
    <w:rsid w:val="009949D9"/>
    <w:rsid w:val="009C4CBF"/>
    <w:rsid w:val="009D5E64"/>
    <w:rsid w:val="009E180F"/>
    <w:rsid w:val="00A070A5"/>
    <w:rsid w:val="00A149F2"/>
    <w:rsid w:val="00A34323"/>
    <w:rsid w:val="00A61ADF"/>
    <w:rsid w:val="00A638D1"/>
    <w:rsid w:val="00AA4557"/>
    <w:rsid w:val="00AA4F77"/>
    <w:rsid w:val="00AF3ADA"/>
    <w:rsid w:val="00B03C4C"/>
    <w:rsid w:val="00B445D9"/>
    <w:rsid w:val="00B65A06"/>
    <w:rsid w:val="00B75478"/>
    <w:rsid w:val="00B9117F"/>
    <w:rsid w:val="00BB0CF2"/>
    <w:rsid w:val="00BD598E"/>
    <w:rsid w:val="00BE3E7F"/>
    <w:rsid w:val="00C22F1A"/>
    <w:rsid w:val="00C37FA0"/>
    <w:rsid w:val="00C54619"/>
    <w:rsid w:val="00C7134E"/>
    <w:rsid w:val="00C81A5E"/>
    <w:rsid w:val="00C82AA2"/>
    <w:rsid w:val="00C930F2"/>
    <w:rsid w:val="00CF0E57"/>
    <w:rsid w:val="00D40E1E"/>
    <w:rsid w:val="00D63B86"/>
    <w:rsid w:val="00E03DCC"/>
    <w:rsid w:val="00E45FE2"/>
    <w:rsid w:val="00E53CDB"/>
    <w:rsid w:val="00E66985"/>
    <w:rsid w:val="00EA0963"/>
    <w:rsid w:val="00EA12C9"/>
    <w:rsid w:val="00EA3868"/>
    <w:rsid w:val="00EA50CB"/>
    <w:rsid w:val="00EF375C"/>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075"/>
  <w15:chartTrackingRefBased/>
  <w15:docId w15:val="{E8712E2B-8E0D-4A5E-81A1-DB2AA37F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BF"/>
  </w:style>
  <w:style w:type="paragraph" w:styleId="Heading2">
    <w:name w:val="heading 2"/>
    <w:basedOn w:val="Normal"/>
    <w:next w:val="Normal"/>
    <w:link w:val="Heading2Char"/>
    <w:uiPriority w:val="9"/>
    <w:unhideWhenUsed/>
    <w:qFormat/>
    <w:rsid w:val="00905322"/>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905322"/>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CommentReference">
    <w:name w:val="annotation reference"/>
    <w:basedOn w:val="DefaultParagraphFont"/>
    <w:uiPriority w:val="99"/>
    <w:semiHidden/>
    <w:unhideWhenUsed/>
    <w:rsid w:val="007539FB"/>
    <w:rPr>
      <w:sz w:val="16"/>
      <w:szCs w:val="16"/>
    </w:rPr>
  </w:style>
  <w:style w:type="paragraph" w:styleId="CommentText">
    <w:name w:val="annotation text"/>
    <w:basedOn w:val="Normal"/>
    <w:link w:val="CommentTextChar"/>
    <w:uiPriority w:val="99"/>
    <w:semiHidden/>
    <w:unhideWhenUsed/>
    <w:rsid w:val="007539FB"/>
    <w:pPr>
      <w:spacing w:line="240" w:lineRule="auto"/>
    </w:pPr>
    <w:rPr>
      <w:sz w:val="20"/>
      <w:szCs w:val="20"/>
    </w:rPr>
  </w:style>
  <w:style w:type="character" w:customStyle="1" w:styleId="CommentTextChar">
    <w:name w:val="Comment Text Char"/>
    <w:basedOn w:val="DefaultParagraphFont"/>
    <w:link w:val="CommentText"/>
    <w:uiPriority w:val="99"/>
    <w:semiHidden/>
    <w:rsid w:val="007539FB"/>
    <w:rPr>
      <w:sz w:val="20"/>
      <w:szCs w:val="20"/>
    </w:rPr>
  </w:style>
  <w:style w:type="paragraph" w:styleId="CommentSubject">
    <w:name w:val="annotation subject"/>
    <w:basedOn w:val="CommentText"/>
    <w:next w:val="CommentText"/>
    <w:link w:val="CommentSubjectChar"/>
    <w:uiPriority w:val="99"/>
    <w:semiHidden/>
    <w:unhideWhenUsed/>
    <w:rsid w:val="007539FB"/>
    <w:rPr>
      <w:b/>
      <w:bCs/>
    </w:rPr>
  </w:style>
  <w:style w:type="character" w:customStyle="1" w:styleId="CommentSubjectChar">
    <w:name w:val="Comment Subject Char"/>
    <w:basedOn w:val="CommentTextChar"/>
    <w:link w:val="CommentSubject"/>
    <w:uiPriority w:val="99"/>
    <w:semiHidden/>
    <w:rsid w:val="007539FB"/>
    <w:rPr>
      <w:b/>
      <w:bCs/>
      <w:sz w:val="20"/>
      <w:szCs w:val="20"/>
    </w:rPr>
  </w:style>
  <w:style w:type="paragraph" w:styleId="BalloonText">
    <w:name w:val="Balloon Text"/>
    <w:basedOn w:val="Normal"/>
    <w:link w:val="BalloonTextChar"/>
    <w:uiPriority w:val="99"/>
    <w:semiHidden/>
    <w:unhideWhenUsed/>
    <w:rsid w:val="0075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FB"/>
    <w:rPr>
      <w:rFonts w:ascii="Segoe UI" w:hAnsi="Segoe UI" w:cs="Segoe UI"/>
      <w:sz w:val="18"/>
      <w:szCs w:val="18"/>
    </w:rPr>
  </w:style>
  <w:style w:type="character" w:customStyle="1" w:styleId="Heading2Char">
    <w:name w:val="Heading 2 Char"/>
    <w:basedOn w:val="DefaultParagraphFont"/>
    <w:link w:val="Heading2"/>
    <w:uiPriority w:val="9"/>
    <w:rsid w:val="00905322"/>
    <w:rPr>
      <w:rFonts w:ascii="Times New Roman" w:hAnsi="Times New Roman"/>
      <w:b/>
      <w:sz w:val="28"/>
      <w:szCs w:val="28"/>
    </w:rPr>
  </w:style>
  <w:style w:type="character" w:customStyle="1" w:styleId="Heading3Char">
    <w:name w:val="Heading 3 Char"/>
    <w:basedOn w:val="DefaultParagraphFont"/>
    <w:link w:val="Heading3"/>
    <w:uiPriority w:val="9"/>
    <w:rsid w:val="00905322"/>
    <w:rPr>
      <w:rFonts w:ascii="Times New Roman" w:hAnsi="Times New Roman"/>
      <w:b/>
      <w:sz w:val="24"/>
      <w:szCs w:val="24"/>
    </w:rPr>
  </w:style>
  <w:style w:type="paragraph" w:styleId="ListBullet">
    <w:name w:val="List Bullet"/>
    <w:basedOn w:val="Normal"/>
    <w:uiPriority w:val="3"/>
    <w:unhideWhenUsed/>
    <w:qFormat/>
    <w:rsid w:val="00905322"/>
    <w:pPr>
      <w:numPr>
        <w:numId w:val="8"/>
      </w:numPr>
      <w:spacing w:before="120" w:after="120" w:line="264" w:lineRule="auto"/>
    </w:pPr>
    <w:rPr>
      <w:sz w:val="20"/>
    </w:rPr>
  </w:style>
  <w:style w:type="paragraph" w:styleId="ListBullet2">
    <w:name w:val="List Bullet 2"/>
    <w:basedOn w:val="ListBullet"/>
    <w:uiPriority w:val="3"/>
    <w:semiHidden/>
    <w:unhideWhenUsed/>
    <w:rsid w:val="00905322"/>
    <w:pPr>
      <w:numPr>
        <w:ilvl w:val="1"/>
      </w:numPr>
    </w:pPr>
  </w:style>
  <w:style w:type="paragraph" w:styleId="ListBullet3">
    <w:name w:val="List Bullet 3"/>
    <w:basedOn w:val="ListBullet"/>
    <w:uiPriority w:val="3"/>
    <w:semiHidden/>
    <w:unhideWhenUsed/>
    <w:rsid w:val="00905322"/>
    <w:pPr>
      <w:numPr>
        <w:ilvl w:val="2"/>
      </w:numPr>
    </w:pPr>
  </w:style>
  <w:style w:type="paragraph" w:styleId="ListBullet4">
    <w:name w:val="List Bullet 4"/>
    <w:basedOn w:val="ListBullet"/>
    <w:uiPriority w:val="3"/>
    <w:semiHidden/>
    <w:unhideWhenUsed/>
    <w:rsid w:val="00905322"/>
    <w:pPr>
      <w:numPr>
        <w:ilvl w:val="3"/>
      </w:numPr>
    </w:pPr>
  </w:style>
  <w:style w:type="paragraph" w:styleId="FootnoteText">
    <w:name w:val="footnote text"/>
    <w:basedOn w:val="Normal"/>
    <w:link w:val="FootnoteTextChar"/>
    <w:uiPriority w:val="99"/>
    <w:semiHidden/>
    <w:unhideWhenUsed/>
    <w:rsid w:val="00936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968"/>
    <w:rPr>
      <w:sz w:val="20"/>
      <w:szCs w:val="20"/>
    </w:rPr>
  </w:style>
  <w:style w:type="character" w:styleId="FootnoteReference">
    <w:name w:val="footnote reference"/>
    <w:basedOn w:val="DefaultParagraphFont"/>
    <w:uiPriority w:val="99"/>
    <w:semiHidden/>
    <w:unhideWhenUsed/>
    <w:rsid w:val="00936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77369">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31794704">
      <w:bodyDiv w:val="1"/>
      <w:marLeft w:val="0"/>
      <w:marRight w:val="0"/>
      <w:marTop w:val="0"/>
      <w:marBottom w:val="0"/>
      <w:divBdr>
        <w:top w:val="none" w:sz="0" w:space="0" w:color="auto"/>
        <w:left w:val="none" w:sz="0" w:space="0" w:color="auto"/>
        <w:bottom w:val="none" w:sz="0" w:space="0" w:color="auto"/>
        <w:right w:val="none" w:sz="0" w:space="0" w:color="auto"/>
      </w:divBdr>
    </w:div>
    <w:div w:id="18521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A3D968318ABF42A1739F04B2658656" ma:contentTypeVersion="" ma:contentTypeDescription="PDMS Document Site Content Type" ma:contentTypeScope="" ma:versionID="b88ab0753154204e1d4cb12d7de20dc5">
  <xsd:schema xmlns:xsd="http://www.w3.org/2001/XMLSchema" xmlns:xs="http://www.w3.org/2001/XMLSchema" xmlns:p="http://schemas.microsoft.com/office/2006/metadata/properties" xmlns:ns2="F3E3A355-BAB2-42CC-A4B1-296014DC82E7" targetNamespace="http://schemas.microsoft.com/office/2006/metadata/properties" ma:root="true" ma:fieldsID="29e9327c6a28bc7523d85f6acc537d62" ns2:_="">
    <xsd:import namespace="F3E3A355-BAB2-42CC-A4B1-296014DC82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3A355-BAB2-42CC-A4B1-296014DC82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E3A355-BAB2-42CC-A4B1-296014DC82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4D58-E3DB-4154-B6ED-B7E7B5AC8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3A355-BAB2-42CC-A4B1-296014DC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B0C5E-B333-4847-9E66-9D38D67D8A69}">
  <ds:schemaRefs>
    <ds:schemaRef ds:uri="http://schemas.microsoft.com/sharepoint/v3/contenttype/forms"/>
  </ds:schemaRefs>
</ds:datastoreItem>
</file>

<file path=customXml/itemProps3.xml><?xml version="1.0" encoding="utf-8"?>
<ds:datastoreItem xmlns:ds="http://schemas.openxmlformats.org/officeDocument/2006/customXml" ds:itemID="{C0944CFA-7056-486B-A3D4-947CC6ED3A81}">
  <ds:schemaRefs>
    <ds:schemaRef ds:uri="http://purl.org/dc/elements/1.1/"/>
    <ds:schemaRef ds:uri="http://schemas.microsoft.com/office/2006/metadata/properties"/>
    <ds:schemaRef ds:uri="http://purl.org/dc/terms/"/>
    <ds:schemaRef ds:uri="http://schemas.openxmlformats.org/package/2006/metadata/core-properties"/>
    <ds:schemaRef ds:uri="F3E3A355-BAB2-42CC-A4B1-296014DC82E7"/>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FDDB42F-DE1A-4796-A9AD-4E41553A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2927</Words>
  <Characters>16686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Gideon SUA</cp:lastModifiedBy>
  <cp:revision>2</cp:revision>
  <dcterms:created xsi:type="dcterms:W3CDTF">2024-07-18T03:03:00Z</dcterms:created>
  <dcterms:modified xsi:type="dcterms:W3CDTF">2024-07-18T03:03:00Z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0x010100266966F133664895A6EE3632470D45F500BDA3D968318ABF42A1739F04B2658656</vt:lpwstr>
  </property>
</Properties>
</file>