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8C78D" w14:textId="77777777" w:rsidR="00DF7308" w:rsidRDefault="00DF7308" w:rsidP="00DF7308">
      <w:pPr>
        <w:pStyle w:val="NormalWeb"/>
        <w:shd w:val="clear" w:color="auto" w:fill="FFFFFF"/>
        <w:spacing w:before="120" w:beforeAutospacing="0" w:after="120" w:afterAutospacing="0" w:line="276" w:lineRule="atLeast"/>
        <w:jc w:val="center"/>
        <w:rPr>
          <w:rFonts w:ascii="Calibri" w:hAnsi="Calibri" w:cs="Calibri"/>
          <w:color w:val="000000"/>
          <w:sz w:val="22"/>
          <w:szCs w:val="22"/>
        </w:rPr>
      </w:pPr>
      <w:r>
        <w:rPr>
          <w:b/>
          <w:bCs/>
          <w:color w:val="000000"/>
          <w:u w:val="single"/>
        </w:rPr>
        <w:t>EXPLANATORY STATEMENT</w:t>
      </w:r>
    </w:p>
    <w:p w14:paraId="176C2BFD" w14:textId="77777777" w:rsidR="00DF7308" w:rsidRDefault="00DF7308" w:rsidP="00DF7308">
      <w:pPr>
        <w:pStyle w:val="NormalWeb"/>
        <w:shd w:val="clear" w:color="auto" w:fill="FFFFFF"/>
        <w:spacing w:before="120" w:beforeAutospacing="0" w:after="120" w:afterAutospacing="0" w:line="276" w:lineRule="atLeast"/>
        <w:jc w:val="center"/>
        <w:rPr>
          <w:rFonts w:ascii="Calibri" w:hAnsi="Calibri" w:cs="Calibri"/>
          <w:color w:val="000000"/>
          <w:sz w:val="22"/>
          <w:szCs w:val="22"/>
        </w:rPr>
      </w:pPr>
      <w:r>
        <w:rPr>
          <w:i/>
          <w:iCs/>
          <w:color w:val="000000"/>
        </w:rPr>
        <w:t> </w:t>
      </w:r>
    </w:p>
    <w:p w14:paraId="2BE0527E" w14:textId="77777777" w:rsidR="00DF7308" w:rsidRDefault="00DF7308" w:rsidP="00DF7308">
      <w:pPr>
        <w:pStyle w:val="NormalWeb"/>
        <w:shd w:val="clear" w:color="auto" w:fill="FFFFFF"/>
        <w:spacing w:before="120" w:beforeAutospacing="0" w:after="0" w:afterAutospacing="0" w:line="276" w:lineRule="atLeast"/>
        <w:jc w:val="center"/>
        <w:rPr>
          <w:color w:val="000000"/>
        </w:rPr>
      </w:pPr>
      <w:r>
        <w:rPr>
          <w:color w:val="000000"/>
        </w:rPr>
        <w:t xml:space="preserve">Issued by </w:t>
      </w:r>
      <w:r w:rsidR="006C5C82">
        <w:rPr>
          <w:color w:val="000000"/>
        </w:rPr>
        <w:t xml:space="preserve">Authority of </w:t>
      </w:r>
      <w:r w:rsidRPr="00DF7308">
        <w:rPr>
          <w:color w:val="000000"/>
        </w:rPr>
        <w:t>the Classification Board</w:t>
      </w:r>
    </w:p>
    <w:p w14:paraId="57C978FC" w14:textId="77777777" w:rsidR="000E44D9" w:rsidRPr="00DF7308" w:rsidRDefault="000E44D9" w:rsidP="00DF7308">
      <w:pPr>
        <w:pStyle w:val="NormalWeb"/>
        <w:shd w:val="clear" w:color="auto" w:fill="FFFFFF"/>
        <w:spacing w:before="120" w:beforeAutospacing="0" w:after="0" w:afterAutospacing="0" w:line="276" w:lineRule="atLeast"/>
        <w:jc w:val="center"/>
        <w:rPr>
          <w:rFonts w:ascii="Calibri" w:hAnsi="Calibri" w:cs="Calibri"/>
          <w:color w:val="000000"/>
          <w:sz w:val="22"/>
          <w:szCs w:val="22"/>
        </w:rPr>
      </w:pPr>
    </w:p>
    <w:p w14:paraId="67334F7F" w14:textId="77777777" w:rsidR="00DF7308" w:rsidRPr="00DF7308" w:rsidRDefault="00DF7308" w:rsidP="00DF7308">
      <w:pPr>
        <w:pStyle w:val="NormalWeb"/>
        <w:shd w:val="clear" w:color="auto" w:fill="FFFFFF"/>
        <w:spacing w:before="0" w:beforeAutospacing="0" w:after="360" w:afterAutospacing="0" w:line="276" w:lineRule="atLeast"/>
        <w:jc w:val="center"/>
        <w:rPr>
          <w:rFonts w:ascii="Calibri" w:hAnsi="Calibri" w:cs="Calibri"/>
          <w:color w:val="000000"/>
          <w:sz w:val="22"/>
          <w:szCs w:val="22"/>
        </w:rPr>
      </w:pPr>
      <w:r w:rsidRPr="00DF7308">
        <w:rPr>
          <w:i/>
          <w:iCs/>
          <w:color w:val="000000"/>
        </w:rPr>
        <w:t>Classification (Publications, Films and Computer Games) Act 1995</w:t>
      </w:r>
    </w:p>
    <w:p w14:paraId="367DAB88" w14:textId="77777777" w:rsidR="00DF7308" w:rsidRPr="00AE2ECB" w:rsidRDefault="00DF7308" w:rsidP="00DF7308">
      <w:pPr>
        <w:pStyle w:val="NormalWeb"/>
        <w:shd w:val="clear" w:color="auto" w:fill="FFFFFF"/>
        <w:spacing w:before="120" w:beforeAutospacing="0" w:after="120" w:afterAutospacing="0" w:line="276" w:lineRule="atLeast"/>
        <w:jc w:val="center"/>
        <w:rPr>
          <w:rFonts w:ascii="Calibri" w:hAnsi="Calibri" w:cs="Calibri"/>
          <w:color w:val="000000"/>
          <w:sz w:val="22"/>
          <w:szCs w:val="22"/>
        </w:rPr>
      </w:pPr>
      <w:bookmarkStart w:id="0" w:name="_Hlk165968821"/>
      <w:r w:rsidRPr="00DF7308">
        <w:rPr>
          <w:b/>
          <w:bCs/>
          <w:i/>
          <w:iCs/>
          <w:color w:val="000000"/>
        </w:rPr>
        <w:t>Classification (Publications, Films and Computer Games) (Consumer Advice Terms) Determination 2024</w:t>
      </w:r>
      <w:r w:rsidRPr="00DF7308">
        <w:rPr>
          <w:color w:val="000000"/>
        </w:rPr>
        <w:t> </w:t>
      </w:r>
    </w:p>
    <w:bookmarkEnd w:id="0"/>
    <w:p w14:paraId="0E2A4592" w14:textId="77777777" w:rsidR="00DF7308" w:rsidRPr="00C86D63" w:rsidRDefault="00DF7308" w:rsidP="00DF7308">
      <w:pPr>
        <w:pStyle w:val="NormalWeb"/>
        <w:shd w:val="clear" w:color="auto" w:fill="FFFFFF"/>
        <w:spacing w:before="120" w:beforeAutospacing="0" w:after="120" w:afterAutospacing="0" w:line="253" w:lineRule="atLeast"/>
        <w:rPr>
          <w:rFonts w:ascii="Calibri" w:hAnsi="Calibri" w:cs="Calibri"/>
          <w:color w:val="000000"/>
          <w:sz w:val="22"/>
          <w:szCs w:val="22"/>
        </w:rPr>
      </w:pPr>
      <w:r w:rsidRPr="00C86D63">
        <w:rPr>
          <w:b/>
          <w:bCs/>
          <w:color w:val="000000"/>
        </w:rPr>
        <w:t>Authority</w:t>
      </w:r>
    </w:p>
    <w:p w14:paraId="06BB9842" w14:textId="77777777" w:rsidR="000E44D9" w:rsidRDefault="000E44D9" w:rsidP="00DF7308">
      <w:pPr>
        <w:pStyle w:val="NormalWeb"/>
        <w:shd w:val="clear" w:color="auto" w:fill="FFFFFF"/>
        <w:spacing w:before="120" w:beforeAutospacing="0" w:after="120" w:afterAutospacing="0" w:line="253" w:lineRule="atLeast"/>
        <w:rPr>
          <w:color w:val="000000"/>
        </w:rPr>
      </w:pPr>
      <w:r>
        <w:rPr>
          <w:color w:val="000000"/>
        </w:rPr>
        <w:t xml:space="preserve">This instrument is made under section 12A of the </w:t>
      </w:r>
      <w:r w:rsidRPr="00C86D63">
        <w:rPr>
          <w:i/>
          <w:iCs/>
          <w:color w:val="000000"/>
        </w:rPr>
        <w:t>Classification (Publications, Films and Computer Games) Act 1995</w:t>
      </w:r>
      <w:r w:rsidRPr="00C86D63">
        <w:rPr>
          <w:color w:val="000000"/>
        </w:rPr>
        <w:t> (Classification Act)</w:t>
      </w:r>
      <w:r>
        <w:rPr>
          <w:color w:val="000000"/>
        </w:rPr>
        <w:t>.</w:t>
      </w:r>
    </w:p>
    <w:p w14:paraId="65CCC183" w14:textId="77777777" w:rsidR="000E44D9" w:rsidRDefault="000E44D9" w:rsidP="000E44D9">
      <w:pPr>
        <w:pStyle w:val="NormalWeb"/>
        <w:shd w:val="clear" w:color="auto" w:fill="FFFFFF"/>
        <w:spacing w:before="120" w:beforeAutospacing="0" w:after="120" w:afterAutospacing="0" w:line="276" w:lineRule="atLeast"/>
        <w:rPr>
          <w:color w:val="000000"/>
        </w:rPr>
      </w:pPr>
      <w:r>
        <w:rPr>
          <w:color w:val="000000"/>
        </w:rPr>
        <w:t xml:space="preserve">Paragraph </w:t>
      </w:r>
      <w:r w:rsidR="000E5612">
        <w:rPr>
          <w:color w:val="000000"/>
        </w:rPr>
        <w:t>12A(1)(a)</w:t>
      </w:r>
      <w:r>
        <w:rPr>
          <w:color w:val="000000"/>
        </w:rPr>
        <w:t xml:space="preserve"> provides </w:t>
      </w:r>
      <w:r w:rsidRPr="00D9727F">
        <w:rPr>
          <w:color w:val="000000"/>
        </w:rPr>
        <w:t xml:space="preserve">that the Classification Board </w:t>
      </w:r>
      <w:r>
        <w:rPr>
          <w:color w:val="000000"/>
        </w:rPr>
        <w:t xml:space="preserve">(the Board) </w:t>
      </w:r>
      <w:r w:rsidRPr="00D9727F">
        <w:rPr>
          <w:color w:val="000000"/>
        </w:rPr>
        <w:t>may</w:t>
      </w:r>
      <w:r w:rsidR="000E5612">
        <w:rPr>
          <w:color w:val="000000"/>
        </w:rPr>
        <w:t>, by legislative instrument, determine</w:t>
      </w:r>
      <w:r>
        <w:rPr>
          <w:color w:val="000000"/>
        </w:rPr>
        <w:t xml:space="preserve"> </w:t>
      </w:r>
      <w:r w:rsidRPr="00D9727F">
        <w:rPr>
          <w:color w:val="000000"/>
        </w:rPr>
        <w:t xml:space="preserve">a list of consumer advice terms, to be used in </w:t>
      </w:r>
      <w:r w:rsidR="000E5612">
        <w:rPr>
          <w:color w:val="000000"/>
        </w:rPr>
        <w:t>determining</w:t>
      </w:r>
      <w:r w:rsidRPr="00D9727F">
        <w:rPr>
          <w:color w:val="000000"/>
        </w:rPr>
        <w:t xml:space="preserve"> consumer advice for a film or computer game. </w:t>
      </w:r>
    </w:p>
    <w:p w14:paraId="652F2349" w14:textId="77777777" w:rsidR="00DF7308" w:rsidRPr="00A14177" w:rsidRDefault="00DF7308" w:rsidP="00DF7308">
      <w:pPr>
        <w:pStyle w:val="NormalWeb"/>
        <w:shd w:val="clear" w:color="auto" w:fill="FFFFFF"/>
        <w:spacing w:before="120" w:beforeAutospacing="0" w:after="120" w:afterAutospacing="0" w:line="253" w:lineRule="atLeast"/>
        <w:rPr>
          <w:rFonts w:ascii="Calibri" w:hAnsi="Calibri" w:cs="Calibri"/>
          <w:color w:val="000000"/>
          <w:sz w:val="22"/>
          <w:szCs w:val="22"/>
        </w:rPr>
      </w:pPr>
      <w:r w:rsidRPr="00A14177">
        <w:rPr>
          <w:b/>
          <w:bCs/>
          <w:color w:val="000000"/>
        </w:rPr>
        <w:t>Purpose and operation</w:t>
      </w:r>
    </w:p>
    <w:p w14:paraId="5C69A33A" w14:textId="7A0B200A" w:rsidR="000575D8" w:rsidRDefault="000E44D9" w:rsidP="00DF7308">
      <w:pPr>
        <w:pStyle w:val="NormalWeb"/>
        <w:shd w:val="clear" w:color="auto" w:fill="FFFFFF"/>
        <w:spacing w:before="120" w:beforeAutospacing="0" w:after="120" w:afterAutospacing="0" w:line="253" w:lineRule="atLeast"/>
        <w:rPr>
          <w:color w:val="000000"/>
        </w:rPr>
      </w:pPr>
      <w:r>
        <w:rPr>
          <w:color w:val="000000"/>
        </w:rPr>
        <w:t>The</w:t>
      </w:r>
      <w:r w:rsidR="00C05046">
        <w:rPr>
          <w:color w:val="000000"/>
        </w:rPr>
        <w:t xml:space="preserve"> Board</w:t>
      </w:r>
      <w:r>
        <w:rPr>
          <w:color w:val="000000"/>
        </w:rPr>
        <w:t xml:space="preserve"> </w:t>
      </w:r>
      <w:r w:rsidR="009D1B7A">
        <w:rPr>
          <w:color w:val="000000"/>
        </w:rPr>
        <w:t xml:space="preserve">has </w:t>
      </w:r>
      <w:r w:rsidR="000E5612">
        <w:rPr>
          <w:color w:val="000000"/>
        </w:rPr>
        <w:t>determine</w:t>
      </w:r>
      <w:r w:rsidR="009D1B7A">
        <w:rPr>
          <w:color w:val="000000"/>
        </w:rPr>
        <w:t>d</w:t>
      </w:r>
      <w:r w:rsidR="000E5612">
        <w:rPr>
          <w:color w:val="000000"/>
        </w:rPr>
        <w:t xml:space="preserve"> a list of approved</w:t>
      </w:r>
      <w:r w:rsidR="00C05046">
        <w:rPr>
          <w:color w:val="000000"/>
        </w:rPr>
        <w:t xml:space="preserve"> words and phrases to be used </w:t>
      </w:r>
      <w:r w:rsidR="009D1B7A">
        <w:rPr>
          <w:color w:val="000000"/>
        </w:rPr>
        <w:t>as</w:t>
      </w:r>
      <w:r w:rsidR="00C05046">
        <w:rPr>
          <w:color w:val="000000"/>
        </w:rPr>
        <w:t xml:space="preserve"> consumer advice</w:t>
      </w:r>
      <w:r w:rsidR="009D1B7A">
        <w:rPr>
          <w:color w:val="000000"/>
        </w:rPr>
        <w:t xml:space="preserve"> in respect of films and computer games</w:t>
      </w:r>
      <w:r w:rsidR="00C05046">
        <w:rPr>
          <w:color w:val="000000"/>
        </w:rPr>
        <w:t xml:space="preserve">. </w:t>
      </w:r>
      <w:r w:rsidR="000914B0">
        <w:rPr>
          <w:color w:val="000000"/>
        </w:rPr>
        <w:t>A</w:t>
      </w:r>
      <w:r w:rsidR="00C05046">
        <w:rPr>
          <w:color w:val="000000"/>
        </w:rPr>
        <w:t xml:space="preserve">ccredited persons and operators of approved classification tools will </w:t>
      </w:r>
      <w:r w:rsidR="000914B0">
        <w:rPr>
          <w:color w:val="000000"/>
        </w:rPr>
        <w:t xml:space="preserve">only </w:t>
      </w:r>
      <w:r w:rsidR="00C05046">
        <w:rPr>
          <w:color w:val="000000"/>
        </w:rPr>
        <w:t>use the list of approved consumer advice</w:t>
      </w:r>
      <w:r w:rsidR="009D1B7A">
        <w:rPr>
          <w:color w:val="000000"/>
        </w:rPr>
        <w:t xml:space="preserve"> terms</w:t>
      </w:r>
      <w:r w:rsidR="00C05046">
        <w:rPr>
          <w:color w:val="000000"/>
        </w:rPr>
        <w:t xml:space="preserve"> to ensure consistent application </w:t>
      </w:r>
      <w:r w:rsidR="009D1B7A">
        <w:rPr>
          <w:color w:val="000000"/>
        </w:rPr>
        <w:t xml:space="preserve">of consumer advice </w:t>
      </w:r>
      <w:r w:rsidR="00C05046">
        <w:rPr>
          <w:color w:val="000000"/>
        </w:rPr>
        <w:t xml:space="preserve">for all </w:t>
      </w:r>
      <w:r w:rsidR="000575D8">
        <w:rPr>
          <w:color w:val="000000"/>
        </w:rPr>
        <w:t xml:space="preserve">film and computer game </w:t>
      </w:r>
      <w:r w:rsidR="00C05046">
        <w:rPr>
          <w:color w:val="000000"/>
        </w:rPr>
        <w:t xml:space="preserve">content classified under the Classification Act. </w:t>
      </w:r>
      <w:r w:rsidR="002074CA">
        <w:rPr>
          <w:color w:val="000000"/>
        </w:rPr>
        <w:t>The outcome of this is to</w:t>
      </w:r>
      <w:r w:rsidR="000575D8">
        <w:rPr>
          <w:color w:val="000000"/>
        </w:rPr>
        <w:t>:</w:t>
      </w:r>
    </w:p>
    <w:p w14:paraId="5BA7BDA3" w14:textId="2A14D1E9" w:rsidR="000575D8" w:rsidRDefault="00C05046" w:rsidP="000575D8">
      <w:pPr>
        <w:pStyle w:val="NormalWeb"/>
        <w:numPr>
          <w:ilvl w:val="0"/>
          <w:numId w:val="2"/>
        </w:numPr>
        <w:shd w:val="clear" w:color="auto" w:fill="FFFFFF"/>
        <w:spacing w:before="120" w:beforeAutospacing="0" w:after="120" w:afterAutospacing="0" w:line="253" w:lineRule="atLeast"/>
        <w:rPr>
          <w:color w:val="000000"/>
        </w:rPr>
      </w:pPr>
      <w:r>
        <w:rPr>
          <w:color w:val="000000"/>
        </w:rPr>
        <w:t>make it easier for consumers to understand and interpret consumer advice labelling for content that they watch, or play</w:t>
      </w:r>
      <w:r w:rsidR="002074CA">
        <w:rPr>
          <w:color w:val="000000"/>
        </w:rPr>
        <w:t>;</w:t>
      </w:r>
      <w:r w:rsidR="000575D8">
        <w:rPr>
          <w:color w:val="000000"/>
        </w:rPr>
        <w:t xml:space="preserve"> and </w:t>
      </w:r>
    </w:p>
    <w:p w14:paraId="4D2300B0" w14:textId="323D2AB1" w:rsidR="00C05046" w:rsidRDefault="000575D8" w:rsidP="000575D8">
      <w:pPr>
        <w:pStyle w:val="NormalWeb"/>
        <w:numPr>
          <w:ilvl w:val="0"/>
          <w:numId w:val="2"/>
        </w:numPr>
        <w:shd w:val="clear" w:color="auto" w:fill="FFFFFF"/>
        <w:spacing w:before="120" w:beforeAutospacing="0" w:after="120" w:afterAutospacing="0" w:line="253" w:lineRule="atLeast"/>
        <w:rPr>
          <w:color w:val="000000"/>
        </w:rPr>
      </w:pPr>
      <w:r>
        <w:rPr>
          <w:color w:val="000000"/>
        </w:rPr>
        <w:t xml:space="preserve">provide a </w:t>
      </w:r>
      <w:r w:rsidR="009D1B7A">
        <w:rPr>
          <w:color w:val="000000"/>
        </w:rPr>
        <w:t>basis</w:t>
      </w:r>
      <w:r>
        <w:rPr>
          <w:color w:val="000000"/>
        </w:rPr>
        <w:t xml:space="preserve"> for the revocation of classification decisions made by accredited persons and approved classification tools </w:t>
      </w:r>
      <w:r w:rsidR="009D1B7A">
        <w:rPr>
          <w:color w:val="000000"/>
        </w:rPr>
        <w:t>if classification decisions they produce use different consumer advice terms not included in the list.</w:t>
      </w:r>
    </w:p>
    <w:p w14:paraId="52DE3E0C" w14:textId="59AC5FCD" w:rsidR="00DF7308" w:rsidRDefault="00A14177" w:rsidP="00DF7308">
      <w:pPr>
        <w:pStyle w:val="NormalWeb"/>
        <w:shd w:val="clear" w:color="auto" w:fill="FFFFFF"/>
        <w:spacing w:before="120" w:beforeAutospacing="0" w:after="120" w:afterAutospacing="0" w:line="253" w:lineRule="atLeast"/>
        <w:rPr>
          <w:color w:val="000000"/>
        </w:rPr>
      </w:pPr>
      <w:r w:rsidRPr="00A14177">
        <w:rPr>
          <w:color w:val="000000"/>
        </w:rPr>
        <w:t>Classification decisions made under the Classification Act consist of both a</w:t>
      </w:r>
      <w:r w:rsidR="005E3B93">
        <w:rPr>
          <w:color w:val="000000"/>
        </w:rPr>
        <w:t xml:space="preserve"> classification</w:t>
      </w:r>
      <w:r w:rsidRPr="00A14177">
        <w:rPr>
          <w:color w:val="000000"/>
        </w:rPr>
        <w:t xml:space="preserve"> rating</w:t>
      </w:r>
      <w:r w:rsidR="00382F6E">
        <w:rPr>
          <w:color w:val="000000"/>
        </w:rPr>
        <w:t xml:space="preserve"> (</w:t>
      </w:r>
      <w:r w:rsidR="000914B0">
        <w:rPr>
          <w:color w:val="000000"/>
        </w:rPr>
        <w:t>i.e.</w:t>
      </w:r>
      <w:r w:rsidR="00382F6E">
        <w:rPr>
          <w:color w:val="000000"/>
        </w:rPr>
        <w:t xml:space="preserve"> </w:t>
      </w:r>
      <w:r w:rsidR="000914B0">
        <w:rPr>
          <w:color w:val="000000"/>
        </w:rPr>
        <w:t xml:space="preserve">G, </w:t>
      </w:r>
      <w:r w:rsidR="00382F6E">
        <w:rPr>
          <w:color w:val="000000"/>
        </w:rPr>
        <w:t>PG</w:t>
      </w:r>
      <w:r w:rsidR="000914B0">
        <w:rPr>
          <w:color w:val="000000"/>
        </w:rPr>
        <w:t>, M, MA 15+</w:t>
      </w:r>
      <w:r w:rsidR="00382F6E">
        <w:rPr>
          <w:color w:val="000000"/>
        </w:rPr>
        <w:t xml:space="preserve"> or R</w:t>
      </w:r>
      <w:r w:rsidR="009D1B7A">
        <w:rPr>
          <w:color w:val="000000"/>
        </w:rPr>
        <w:t xml:space="preserve"> </w:t>
      </w:r>
      <w:r w:rsidR="00382F6E">
        <w:rPr>
          <w:color w:val="000000"/>
        </w:rPr>
        <w:t>18+ for films and computer games)</w:t>
      </w:r>
      <w:r w:rsidRPr="00A14177">
        <w:rPr>
          <w:color w:val="000000"/>
        </w:rPr>
        <w:t xml:space="preserve"> and</w:t>
      </w:r>
      <w:r w:rsidR="00C931F9">
        <w:rPr>
          <w:color w:val="000000"/>
        </w:rPr>
        <w:t xml:space="preserve"> </w:t>
      </w:r>
      <w:r w:rsidRPr="00A14177">
        <w:rPr>
          <w:color w:val="000000"/>
        </w:rPr>
        <w:t>associated consumer advice</w:t>
      </w:r>
      <w:r w:rsidR="00C05046">
        <w:rPr>
          <w:color w:val="000000"/>
        </w:rPr>
        <w:t xml:space="preserve"> about the content being classified</w:t>
      </w:r>
      <w:r w:rsidRPr="00A14177">
        <w:rPr>
          <w:color w:val="000000"/>
        </w:rPr>
        <w:t xml:space="preserve">. The </w:t>
      </w:r>
      <w:r w:rsidR="00C05046">
        <w:rPr>
          <w:color w:val="000000"/>
        </w:rPr>
        <w:t xml:space="preserve">classification </w:t>
      </w:r>
      <w:r w:rsidRPr="00A14177">
        <w:rPr>
          <w:color w:val="000000"/>
        </w:rPr>
        <w:t>rating provides consumers with an indication of the impact level of the content</w:t>
      </w:r>
      <w:r w:rsidR="00C05046">
        <w:rPr>
          <w:color w:val="000000"/>
        </w:rPr>
        <w:t>, including where any age restrictions apply</w:t>
      </w:r>
      <w:r w:rsidR="00382F6E">
        <w:rPr>
          <w:color w:val="000000"/>
        </w:rPr>
        <w:t xml:space="preserve"> to consumers of the content</w:t>
      </w:r>
      <w:r w:rsidR="00C05046">
        <w:rPr>
          <w:color w:val="000000"/>
        </w:rPr>
        <w:t>,</w:t>
      </w:r>
      <w:r w:rsidRPr="00A14177">
        <w:rPr>
          <w:color w:val="000000"/>
        </w:rPr>
        <w:t xml:space="preserve"> while consumer advice provides more detailed </w:t>
      </w:r>
      <w:r w:rsidR="00382F6E">
        <w:rPr>
          <w:color w:val="000000"/>
        </w:rPr>
        <w:t xml:space="preserve">and descriptive </w:t>
      </w:r>
      <w:r w:rsidRPr="00A14177">
        <w:rPr>
          <w:color w:val="000000"/>
        </w:rPr>
        <w:t xml:space="preserve">information </w:t>
      </w:r>
      <w:r w:rsidR="004F05E7">
        <w:rPr>
          <w:color w:val="000000"/>
        </w:rPr>
        <w:t xml:space="preserve">generally </w:t>
      </w:r>
      <w:r w:rsidR="000914B0">
        <w:rPr>
          <w:color w:val="000000"/>
        </w:rPr>
        <w:t xml:space="preserve">about the most impactful </w:t>
      </w:r>
      <w:r w:rsidRPr="00A14177">
        <w:rPr>
          <w:color w:val="000000"/>
        </w:rPr>
        <w:t>content</w:t>
      </w:r>
      <w:r w:rsidR="00C05046">
        <w:rPr>
          <w:color w:val="000000"/>
        </w:rPr>
        <w:t xml:space="preserve"> to help consumers make informed</w:t>
      </w:r>
      <w:r w:rsidR="00382F6E">
        <w:rPr>
          <w:color w:val="000000"/>
        </w:rPr>
        <w:t xml:space="preserve"> </w:t>
      </w:r>
      <w:r w:rsidR="00C05046">
        <w:rPr>
          <w:color w:val="000000"/>
        </w:rPr>
        <w:t>choices</w:t>
      </w:r>
      <w:r w:rsidRPr="00A14177">
        <w:rPr>
          <w:color w:val="000000"/>
        </w:rPr>
        <w:t>.</w:t>
      </w:r>
      <w:r w:rsidR="00A217DE">
        <w:rPr>
          <w:color w:val="000000"/>
        </w:rPr>
        <w:t xml:space="preserve"> </w:t>
      </w:r>
    </w:p>
    <w:p w14:paraId="031E68E4" w14:textId="674FCB8C" w:rsidR="005E3B93" w:rsidRPr="000C7298" w:rsidRDefault="000575D8" w:rsidP="00A634F3">
      <w:pPr>
        <w:pStyle w:val="NormalWeb"/>
        <w:shd w:val="clear" w:color="auto" w:fill="FFFFFF"/>
        <w:spacing w:before="120" w:beforeAutospacing="0" w:after="120" w:afterAutospacing="0" w:line="253" w:lineRule="atLeast"/>
        <w:rPr>
          <w:color w:val="000000"/>
        </w:rPr>
      </w:pPr>
      <w:r>
        <w:rPr>
          <w:color w:val="000000"/>
          <w:szCs w:val="22"/>
        </w:rPr>
        <w:t xml:space="preserve">Amendments to the Classification Act that commenced on 14 March 2024 </w:t>
      </w:r>
      <w:r w:rsidR="002074CA">
        <w:rPr>
          <w:color w:val="000000"/>
          <w:szCs w:val="22"/>
        </w:rPr>
        <w:t>included, at paragraphs 22CH(1)(b) and 22L(1)(b) respectively</w:t>
      </w:r>
      <w:r>
        <w:rPr>
          <w:color w:val="000000"/>
          <w:szCs w:val="22"/>
        </w:rPr>
        <w:t xml:space="preserve">, expanded powers for the Board to </w:t>
      </w:r>
      <w:r w:rsidR="002629E3">
        <w:rPr>
          <w:color w:val="000000"/>
          <w:szCs w:val="22"/>
        </w:rPr>
        <w:t xml:space="preserve">quality assure and, where necessary, </w:t>
      </w:r>
      <w:r>
        <w:rPr>
          <w:color w:val="000000"/>
          <w:szCs w:val="22"/>
        </w:rPr>
        <w:t>revoke decisions made by accredited persons and approved classification tools, if the Board is of the opinion that:</w:t>
      </w:r>
    </w:p>
    <w:p w14:paraId="40AAB00B" w14:textId="77777777" w:rsidR="005E3B93" w:rsidRPr="00A634F3" w:rsidRDefault="005E3B93" w:rsidP="00A634F3">
      <w:pPr>
        <w:pStyle w:val="NormalWeb"/>
        <w:numPr>
          <w:ilvl w:val="0"/>
          <w:numId w:val="2"/>
        </w:numPr>
        <w:shd w:val="clear" w:color="auto" w:fill="FFFFFF"/>
        <w:spacing w:before="120" w:beforeAutospacing="0" w:after="120" w:afterAutospacing="0" w:line="253" w:lineRule="atLeast"/>
        <w:rPr>
          <w:color w:val="000000"/>
        </w:rPr>
      </w:pPr>
      <w:r w:rsidRPr="000C7298">
        <w:rPr>
          <w:color w:val="000000"/>
        </w:rPr>
        <w:t xml:space="preserve">had the film or computer game been classified by the Board, the Board would have given the film or computer game a different classification; or </w:t>
      </w:r>
    </w:p>
    <w:p w14:paraId="6F307F32" w14:textId="77777777" w:rsidR="005E3B93" w:rsidRPr="00A634F3" w:rsidRDefault="005E3B93" w:rsidP="00A634F3">
      <w:pPr>
        <w:pStyle w:val="NormalWeb"/>
        <w:numPr>
          <w:ilvl w:val="0"/>
          <w:numId w:val="2"/>
        </w:numPr>
        <w:shd w:val="clear" w:color="auto" w:fill="FFFFFF"/>
        <w:spacing w:before="120" w:beforeAutospacing="0" w:after="120" w:afterAutospacing="0" w:line="253" w:lineRule="atLeast"/>
        <w:rPr>
          <w:color w:val="000000"/>
        </w:rPr>
      </w:pPr>
      <w:r w:rsidRPr="000C7298">
        <w:rPr>
          <w:color w:val="000000"/>
        </w:rPr>
        <w:t xml:space="preserve">the consumer advice for the film or computer game is misleading, incorrect or grossly inadequate; or </w:t>
      </w:r>
    </w:p>
    <w:p w14:paraId="328C92E8" w14:textId="77777777" w:rsidR="00A14177" w:rsidRPr="00A634F3" w:rsidRDefault="005E3B93" w:rsidP="00A634F3">
      <w:pPr>
        <w:pStyle w:val="NormalWeb"/>
        <w:numPr>
          <w:ilvl w:val="0"/>
          <w:numId w:val="2"/>
        </w:numPr>
        <w:shd w:val="clear" w:color="auto" w:fill="FFFFFF"/>
        <w:spacing w:before="120" w:beforeAutospacing="0" w:after="120" w:afterAutospacing="0" w:line="253" w:lineRule="atLeast"/>
        <w:rPr>
          <w:color w:val="000000"/>
        </w:rPr>
      </w:pPr>
      <w:r w:rsidRPr="000C7298">
        <w:rPr>
          <w:color w:val="000000"/>
        </w:rPr>
        <w:t>the consumer advice for the film or computer game uses a consumer advice term that is not included in the list determined by the Board under section 12A that was in force at the time the consumer advice was determined</w:t>
      </w:r>
      <w:r w:rsidR="002074CA" w:rsidRPr="000C7298">
        <w:rPr>
          <w:color w:val="000000"/>
        </w:rPr>
        <w:t>.</w:t>
      </w:r>
    </w:p>
    <w:p w14:paraId="55EC9DEE" w14:textId="77777777" w:rsidR="002074CA" w:rsidRPr="002074CA" w:rsidRDefault="002074CA" w:rsidP="002074CA">
      <w:pPr>
        <w:pStyle w:val="NormalWeb"/>
        <w:shd w:val="clear" w:color="auto" w:fill="FFFFFF"/>
        <w:spacing w:before="120" w:beforeAutospacing="0" w:after="120" w:afterAutospacing="0" w:line="253" w:lineRule="atLeast"/>
        <w:rPr>
          <w:color w:val="000000"/>
          <w:szCs w:val="22"/>
        </w:rPr>
      </w:pPr>
      <w:r w:rsidRPr="002074CA">
        <w:rPr>
          <w:color w:val="000000"/>
          <w:szCs w:val="22"/>
        </w:rPr>
        <w:lastRenderedPageBreak/>
        <w:t xml:space="preserve">Details of the instrument are set out in </w:t>
      </w:r>
      <w:r w:rsidRPr="002074CA">
        <w:rPr>
          <w:color w:val="000000"/>
          <w:szCs w:val="22"/>
          <w:u w:val="single"/>
        </w:rPr>
        <w:t>Attachment A</w:t>
      </w:r>
      <w:r w:rsidRPr="002074CA">
        <w:rPr>
          <w:color w:val="000000"/>
          <w:szCs w:val="22"/>
        </w:rPr>
        <w:t>.</w:t>
      </w:r>
    </w:p>
    <w:p w14:paraId="71739085" w14:textId="77777777" w:rsidR="00DF7308" w:rsidRPr="003926D2" w:rsidRDefault="00DF7308" w:rsidP="00DF7308">
      <w:pPr>
        <w:pStyle w:val="NormalWeb"/>
        <w:shd w:val="clear" w:color="auto" w:fill="FFFFFF"/>
        <w:spacing w:before="120" w:beforeAutospacing="0" w:after="120" w:afterAutospacing="0" w:line="253" w:lineRule="atLeast"/>
        <w:rPr>
          <w:rFonts w:ascii="Calibri" w:hAnsi="Calibri" w:cs="Calibri"/>
          <w:color w:val="000000"/>
          <w:sz w:val="22"/>
          <w:szCs w:val="22"/>
        </w:rPr>
      </w:pPr>
      <w:bookmarkStart w:id="1" w:name="_Hlk168648929"/>
      <w:r w:rsidRPr="003926D2">
        <w:rPr>
          <w:b/>
          <w:bCs/>
          <w:color w:val="000000"/>
        </w:rPr>
        <w:t>Consultation</w:t>
      </w:r>
    </w:p>
    <w:p w14:paraId="3EADF5C9" w14:textId="5971FB3A" w:rsidR="008C5B58" w:rsidRDefault="008C5B58" w:rsidP="008C5B58">
      <w:pPr>
        <w:pStyle w:val="NormalWeb"/>
        <w:shd w:val="clear" w:color="auto" w:fill="FFFFFF"/>
        <w:spacing w:before="120" w:beforeAutospacing="0" w:after="120" w:afterAutospacing="0" w:line="253" w:lineRule="atLeast"/>
        <w:rPr>
          <w:color w:val="000000"/>
        </w:rPr>
      </w:pPr>
      <w:r>
        <w:rPr>
          <w:color w:val="000000"/>
        </w:rPr>
        <w:t xml:space="preserve">The development of the list of consumer advice terms contained in this instrument was informed by consultation with industry, the Department and the full membership of the Classification Board, and draws from research on classification usage and attitudes, and community standards, where appropriate. </w:t>
      </w:r>
    </w:p>
    <w:bookmarkEnd w:id="1"/>
    <w:p w14:paraId="741E7EC4" w14:textId="77777777" w:rsidR="00DF7308" w:rsidRPr="003926D2" w:rsidRDefault="00DF7308" w:rsidP="00DF7308">
      <w:pPr>
        <w:pStyle w:val="NormalWeb"/>
        <w:shd w:val="clear" w:color="auto" w:fill="FFFFFF"/>
        <w:spacing w:before="120" w:beforeAutospacing="0" w:after="120" w:afterAutospacing="0" w:line="253" w:lineRule="atLeast"/>
        <w:rPr>
          <w:rFonts w:ascii="Calibri" w:hAnsi="Calibri" w:cs="Calibri"/>
          <w:color w:val="000000"/>
          <w:sz w:val="22"/>
          <w:szCs w:val="22"/>
        </w:rPr>
      </w:pPr>
      <w:r w:rsidRPr="003926D2">
        <w:rPr>
          <w:b/>
          <w:bCs/>
          <w:color w:val="000000"/>
        </w:rPr>
        <w:t>Impact analysis</w:t>
      </w:r>
    </w:p>
    <w:p w14:paraId="50F21C30" w14:textId="2AB8507B" w:rsidR="00DF7308" w:rsidRPr="00685F00" w:rsidRDefault="00685F00" w:rsidP="00685F00">
      <w:pPr>
        <w:shd w:val="clear" w:color="auto" w:fill="FFFFFF"/>
        <w:spacing w:before="120" w:after="120" w:line="253" w:lineRule="atLeas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The Office of Impact Analysis </w:t>
      </w:r>
      <w:r w:rsidRPr="00BE60F5">
        <w:rPr>
          <w:rFonts w:ascii="Times New Roman" w:eastAsia="Times New Roman" w:hAnsi="Times New Roman" w:cs="Times New Roman"/>
          <w:iCs/>
          <w:color w:val="000000"/>
          <w:sz w:val="24"/>
          <w:szCs w:val="24"/>
          <w:lang w:eastAsia="en-AU"/>
        </w:rPr>
        <w:t xml:space="preserve">was consulted in </w:t>
      </w:r>
      <w:r>
        <w:rPr>
          <w:rFonts w:ascii="Times New Roman" w:eastAsia="Times New Roman" w:hAnsi="Times New Roman" w:cs="Times New Roman"/>
          <w:iCs/>
          <w:color w:val="000000"/>
          <w:sz w:val="24"/>
          <w:szCs w:val="24"/>
          <w:lang w:eastAsia="en-AU"/>
        </w:rPr>
        <w:t xml:space="preserve">the </w:t>
      </w:r>
      <w:r w:rsidRPr="00BE60F5">
        <w:rPr>
          <w:rFonts w:ascii="Times New Roman" w:eastAsia="Times New Roman" w:hAnsi="Times New Roman" w:cs="Times New Roman"/>
          <w:iCs/>
          <w:color w:val="000000"/>
          <w:sz w:val="24"/>
          <w:szCs w:val="24"/>
          <w:lang w:eastAsia="en-AU"/>
        </w:rPr>
        <w:t xml:space="preserve">development of the </w:t>
      </w:r>
      <w:r w:rsidR="009454D9">
        <w:rPr>
          <w:rFonts w:ascii="Times New Roman" w:hAnsi="Times New Roman" w:cs="Times New Roman"/>
          <w:i/>
          <w:sz w:val="24"/>
          <w:szCs w:val="24"/>
        </w:rPr>
        <w:t xml:space="preserve">Classification (Publications, Films and Computer Games) Amendment (Industry Self-Classification and Other Measures) Act 2023 </w:t>
      </w:r>
      <w:r w:rsidR="009454D9">
        <w:rPr>
          <w:rFonts w:ascii="Times New Roman" w:hAnsi="Times New Roman" w:cs="Times New Roman"/>
          <w:sz w:val="24"/>
          <w:szCs w:val="24"/>
        </w:rPr>
        <w:t xml:space="preserve">which inserted the power for the Board to determine a list of consumer advice terms, </w:t>
      </w:r>
      <w:r>
        <w:rPr>
          <w:rFonts w:ascii="Times New Roman" w:eastAsia="Times New Roman" w:hAnsi="Times New Roman" w:cs="Times New Roman"/>
          <w:iCs/>
          <w:color w:val="000000"/>
          <w:sz w:val="24"/>
          <w:szCs w:val="24"/>
          <w:lang w:eastAsia="en-AU"/>
        </w:rPr>
        <w:t xml:space="preserve">and </w:t>
      </w:r>
      <w:r>
        <w:rPr>
          <w:rFonts w:ascii="Times New Roman" w:eastAsia="Times New Roman" w:hAnsi="Times New Roman" w:cs="Times New Roman"/>
          <w:color w:val="000000"/>
          <w:sz w:val="24"/>
          <w:szCs w:val="24"/>
          <w:lang w:eastAsia="en-AU"/>
        </w:rPr>
        <w:t>assessed the proposal as having no more than minor regulatory impacts (OBPR22-03305).</w:t>
      </w:r>
    </w:p>
    <w:p w14:paraId="7330485B" w14:textId="77777777" w:rsidR="00DF7308" w:rsidRPr="00D9727F" w:rsidRDefault="00DF7308" w:rsidP="00DF7308">
      <w:pPr>
        <w:pStyle w:val="NormalWeb"/>
        <w:shd w:val="clear" w:color="auto" w:fill="FFFFFF"/>
        <w:spacing w:before="120" w:beforeAutospacing="0" w:after="120" w:afterAutospacing="0" w:line="253" w:lineRule="atLeast"/>
        <w:rPr>
          <w:rFonts w:ascii="Calibri" w:hAnsi="Calibri" w:cs="Calibri"/>
          <w:color w:val="000000"/>
          <w:sz w:val="22"/>
          <w:szCs w:val="22"/>
        </w:rPr>
      </w:pPr>
      <w:r w:rsidRPr="00D9727F">
        <w:rPr>
          <w:b/>
          <w:bCs/>
          <w:color w:val="000000"/>
        </w:rPr>
        <w:t>Commencement and sunsetting arrangements</w:t>
      </w:r>
    </w:p>
    <w:p w14:paraId="1E54D2FB" w14:textId="77777777" w:rsidR="000E5612" w:rsidRPr="00D74D17" w:rsidRDefault="000E5612" w:rsidP="000E5612">
      <w:pPr>
        <w:pStyle w:val="NormalWeb"/>
        <w:shd w:val="clear" w:color="auto" w:fill="FFFFFF"/>
        <w:spacing w:before="0" w:beforeAutospacing="0" w:after="120" w:afterAutospacing="0"/>
        <w:rPr>
          <w:rFonts w:ascii="Calibri" w:hAnsi="Calibri" w:cs="Calibri"/>
          <w:color w:val="000000"/>
          <w:sz w:val="22"/>
          <w:szCs w:val="22"/>
        </w:rPr>
      </w:pPr>
      <w:r>
        <w:rPr>
          <w:color w:val="000000"/>
        </w:rPr>
        <w:t xml:space="preserve">This instrument will commence </w:t>
      </w:r>
      <w:r w:rsidRPr="00D74D17">
        <w:rPr>
          <w:color w:val="000000"/>
        </w:rPr>
        <w:t>the day after the end of the period of 3 months beginning on the day this instrument is registered.</w:t>
      </w:r>
    </w:p>
    <w:p w14:paraId="372EADD8" w14:textId="77777777" w:rsidR="00DF7308" w:rsidRPr="008421C6" w:rsidRDefault="000E5612" w:rsidP="000E5612">
      <w:pPr>
        <w:shd w:val="clear" w:color="auto" w:fill="FFFFFF"/>
        <w:spacing w:line="240" w:lineRule="auto"/>
        <w:rPr>
          <w:rFonts w:ascii="Calibri" w:hAnsi="Calibri" w:cs="Calibri"/>
          <w:color w:val="000000"/>
        </w:rPr>
      </w:pPr>
      <w:r>
        <w:rPr>
          <w:rFonts w:ascii="Times New Roman" w:hAnsi="Times New Roman"/>
          <w:sz w:val="24"/>
          <w:szCs w:val="24"/>
        </w:rPr>
        <w:t>This is</w:t>
      </w:r>
      <w:r w:rsidRPr="005168E5">
        <w:rPr>
          <w:rFonts w:ascii="Times New Roman" w:hAnsi="Times New Roman"/>
          <w:sz w:val="24"/>
          <w:szCs w:val="24"/>
        </w:rPr>
        <w:t xml:space="preserve"> a legislative instrument for the purposes of the </w:t>
      </w:r>
      <w:r w:rsidRPr="005168E5">
        <w:rPr>
          <w:rFonts w:ascii="Times New Roman" w:hAnsi="Times New Roman"/>
          <w:i/>
          <w:iCs/>
          <w:sz w:val="24"/>
          <w:szCs w:val="24"/>
        </w:rPr>
        <w:t>Legislation Act 2003</w:t>
      </w:r>
      <w:r>
        <w:rPr>
          <w:rFonts w:ascii="Times New Roman" w:hAnsi="Times New Roman"/>
          <w:iCs/>
          <w:sz w:val="24"/>
          <w:szCs w:val="24"/>
        </w:rPr>
        <w:t xml:space="preserve"> (Legislation Act). </w:t>
      </w:r>
      <w:r w:rsidRPr="00E32CD7">
        <w:rPr>
          <w:rFonts w:ascii="Times New Roman" w:hAnsi="Times New Roman"/>
          <w:iCs/>
          <w:sz w:val="24"/>
          <w:szCs w:val="24"/>
        </w:rPr>
        <w:t>In accordance with subsections 44(1) and 54(1) of the L</w:t>
      </w:r>
      <w:r>
        <w:rPr>
          <w:rFonts w:ascii="Times New Roman" w:hAnsi="Times New Roman"/>
          <w:iCs/>
          <w:sz w:val="24"/>
          <w:szCs w:val="24"/>
        </w:rPr>
        <w:t xml:space="preserve">egislation Act, it is not subject to disallowance or sunsetting, </w:t>
      </w:r>
      <w:r w:rsidRPr="0033646E">
        <w:rPr>
          <w:rFonts w:ascii="Times New Roman" w:hAnsi="Times New Roman"/>
          <w:iCs/>
          <w:sz w:val="24"/>
          <w:szCs w:val="24"/>
        </w:rPr>
        <w:t xml:space="preserve">because </w:t>
      </w:r>
      <w:r>
        <w:rPr>
          <w:rFonts w:ascii="Times New Roman" w:hAnsi="Times New Roman"/>
          <w:iCs/>
          <w:sz w:val="24"/>
          <w:szCs w:val="24"/>
        </w:rPr>
        <w:t>the Classification Act</w:t>
      </w:r>
      <w:r w:rsidRPr="0033646E">
        <w:rPr>
          <w:rFonts w:ascii="Times New Roman" w:hAnsi="Times New Roman"/>
          <w:iCs/>
          <w:sz w:val="24"/>
          <w:szCs w:val="24"/>
        </w:rPr>
        <w:t xml:space="preserve"> facilitates the operation of an intergovernmental scheme and authorises the instrument to be made</w:t>
      </w:r>
      <w:r w:rsidR="00DF7308" w:rsidRPr="005A6677">
        <w:rPr>
          <w:color w:val="000000"/>
        </w:rPr>
        <w:t>.</w:t>
      </w:r>
    </w:p>
    <w:p w14:paraId="14CFF5F6" w14:textId="77777777" w:rsidR="00DF7308" w:rsidRPr="008421C6" w:rsidRDefault="00DF7308" w:rsidP="00DF7308">
      <w:pPr>
        <w:pStyle w:val="NormalWeb"/>
        <w:shd w:val="clear" w:color="auto" w:fill="FFFFFF"/>
        <w:spacing w:before="120" w:beforeAutospacing="0" w:after="120" w:afterAutospacing="0" w:line="253" w:lineRule="atLeast"/>
        <w:rPr>
          <w:rFonts w:ascii="Calibri" w:hAnsi="Calibri" w:cs="Calibri"/>
          <w:color w:val="000000"/>
          <w:sz w:val="22"/>
          <w:szCs w:val="22"/>
        </w:rPr>
      </w:pPr>
      <w:r w:rsidRPr="008421C6">
        <w:rPr>
          <w:color w:val="000000"/>
        </w:rPr>
        <w:t> </w:t>
      </w:r>
    </w:p>
    <w:p w14:paraId="091BA494" w14:textId="77777777" w:rsidR="00DF7308" w:rsidRPr="008421C6" w:rsidRDefault="00DF7308" w:rsidP="00DF7308">
      <w:pPr>
        <w:pStyle w:val="NormalWeb"/>
        <w:shd w:val="clear" w:color="auto" w:fill="FFFFFF"/>
        <w:spacing w:before="120" w:beforeAutospacing="0" w:after="120" w:afterAutospacing="0" w:line="253" w:lineRule="atLeast"/>
        <w:rPr>
          <w:rFonts w:ascii="Calibri" w:hAnsi="Calibri" w:cs="Calibri"/>
          <w:color w:val="000000"/>
          <w:sz w:val="22"/>
          <w:szCs w:val="22"/>
        </w:rPr>
      </w:pPr>
      <w:r w:rsidRPr="008421C6">
        <w:rPr>
          <w:color w:val="000000"/>
        </w:rPr>
        <w:t> </w:t>
      </w:r>
      <w:bookmarkStart w:id="2" w:name="_GoBack"/>
      <w:bookmarkEnd w:id="2"/>
    </w:p>
    <w:p w14:paraId="04857CD0" w14:textId="77777777" w:rsidR="00DF7308" w:rsidRDefault="00DF7308" w:rsidP="00DF7308">
      <w:pPr>
        <w:pStyle w:val="NormalWeb"/>
        <w:shd w:val="clear" w:color="auto" w:fill="FFFFFF"/>
        <w:spacing w:before="120" w:beforeAutospacing="0" w:after="120" w:afterAutospacing="0" w:line="253" w:lineRule="atLeast"/>
        <w:rPr>
          <w:color w:val="000000"/>
        </w:rPr>
      </w:pPr>
      <w:r w:rsidRPr="008421C6">
        <w:rPr>
          <w:color w:val="000000"/>
        </w:rPr>
        <w:t> </w:t>
      </w:r>
    </w:p>
    <w:p w14:paraId="1011F023" w14:textId="77777777" w:rsidR="00110F84" w:rsidRDefault="00110F84" w:rsidP="00DF7308">
      <w:pPr>
        <w:pStyle w:val="NormalWeb"/>
        <w:shd w:val="clear" w:color="auto" w:fill="FFFFFF"/>
        <w:spacing w:before="120" w:beforeAutospacing="0" w:after="120" w:afterAutospacing="0" w:line="253" w:lineRule="atLeast"/>
        <w:rPr>
          <w:color w:val="000000"/>
        </w:rPr>
      </w:pPr>
    </w:p>
    <w:p w14:paraId="1B362783" w14:textId="77777777" w:rsidR="00110F84" w:rsidRDefault="00110F84" w:rsidP="00DF7308">
      <w:pPr>
        <w:pStyle w:val="NormalWeb"/>
        <w:shd w:val="clear" w:color="auto" w:fill="FFFFFF"/>
        <w:spacing w:before="120" w:beforeAutospacing="0" w:after="120" w:afterAutospacing="0" w:line="253" w:lineRule="atLeast"/>
        <w:rPr>
          <w:color w:val="000000"/>
        </w:rPr>
      </w:pPr>
    </w:p>
    <w:p w14:paraId="07969A4B" w14:textId="77777777" w:rsidR="00110F84" w:rsidRDefault="00110F84" w:rsidP="00DF7308">
      <w:pPr>
        <w:pStyle w:val="NormalWeb"/>
        <w:shd w:val="clear" w:color="auto" w:fill="FFFFFF"/>
        <w:spacing w:before="120" w:beforeAutospacing="0" w:after="120" w:afterAutospacing="0" w:line="253" w:lineRule="atLeast"/>
        <w:rPr>
          <w:color w:val="000000"/>
        </w:rPr>
      </w:pPr>
    </w:p>
    <w:p w14:paraId="37A9F096" w14:textId="77777777" w:rsidR="00110F84" w:rsidRDefault="00110F84" w:rsidP="00DF7308">
      <w:pPr>
        <w:pStyle w:val="NormalWeb"/>
        <w:shd w:val="clear" w:color="auto" w:fill="FFFFFF"/>
        <w:spacing w:before="120" w:beforeAutospacing="0" w:after="120" w:afterAutospacing="0" w:line="253" w:lineRule="atLeast"/>
        <w:rPr>
          <w:color w:val="000000"/>
        </w:rPr>
      </w:pPr>
    </w:p>
    <w:p w14:paraId="0D7F6CF5" w14:textId="77777777" w:rsidR="00110F84" w:rsidRDefault="00110F84" w:rsidP="00DF7308">
      <w:pPr>
        <w:pStyle w:val="NormalWeb"/>
        <w:shd w:val="clear" w:color="auto" w:fill="FFFFFF"/>
        <w:spacing w:before="120" w:beforeAutospacing="0" w:after="120" w:afterAutospacing="0" w:line="253" w:lineRule="atLeast"/>
        <w:rPr>
          <w:color w:val="000000"/>
        </w:rPr>
      </w:pPr>
    </w:p>
    <w:p w14:paraId="6C83AAE6" w14:textId="77777777" w:rsidR="00110F84" w:rsidRDefault="00110F84" w:rsidP="00DF7308">
      <w:pPr>
        <w:pStyle w:val="NormalWeb"/>
        <w:shd w:val="clear" w:color="auto" w:fill="FFFFFF"/>
        <w:spacing w:before="120" w:beforeAutospacing="0" w:after="120" w:afterAutospacing="0" w:line="253" w:lineRule="atLeast"/>
        <w:rPr>
          <w:color w:val="000000"/>
        </w:rPr>
      </w:pPr>
    </w:p>
    <w:p w14:paraId="124026BA" w14:textId="77777777" w:rsidR="00110F84" w:rsidRDefault="00110F84" w:rsidP="00DF7308">
      <w:pPr>
        <w:pStyle w:val="NormalWeb"/>
        <w:shd w:val="clear" w:color="auto" w:fill="FFFFFF"/>
        <w:spacing w:before="120" w:beforeAutospacing="0" w:after="120" w:afterAutospacing="0" w:line="253" w:lineRule="atLeast"/>
        <w:rPr>
          <w:color w:val="000000"/>
        </w:rPr>
      </w:pPr>
    </w:p>
    <w:p w14:paraId="421A7A13" w14:textId="77777777" w:rsidR="00110F84" w:rsidRPr="008421C6" w:rsidRDefault="00110F84" w:rsidP="00DF7308">
      <w:pPr>
        <w:pStyle w:val="NormalWeb"/>
        <w:shd w:val="clear" w:color="auto" w:fill="FFFFFF"/>
        <w:spacing w:before="120" w:beforeAutospacing="0" w:after="120" w:afterAutospacing="0" w:line="253" w:lineRule="atLeast"/>
        <w:rPr>
          <w:color w:val="000000"/>
        </w:rPr>
      </w:pPr>
    </w:p>
    <w:p w14:paraId="0CC9EFD7" w14:textId="77777777" w:rsidR="008421C6" w:rsidRPr="009C0523" w:rsidRDefault="008421C6" w:rsidP="00DF7308">
      <w:pPr>
        <w:pStyle w:val="NormalWeb"/>
        <w:shd w:val="clear" w:color="auto" w:fill="FFFFFF"/>
        <w:spacing w:before="120" w:beforeAutospacing="0" w:after="120" w:afterAutospacing="0" w:line="253" w:lineRule="atLeast"/>
        <w:rPr>
          <w:rFonts w:ascii="Calibri" w:hAnsi="Calibri" w:cs="Calibri"/>
          <w:color w:val="000000"/>
          <w:sz w:val="22"/>
          <w:szCs w:val="22"/>
        </w:rPr>
      </w:pPr>
    </w:p>
    <w:p w14:paraId="3A02C2C7" w14:textId="77777777" w:rsidR="000E5612" w:rsidRDefault="000E5612">
      <w:pPr>
        <w:rPr>
          <w:rFonts w:ascii="Calibri" w:eastAsia="Times New Roman" w:hAnsi="Calibri" w:cs="Calibri"/>
          <w:color w:val="000000"/>
          <w:lang w:eastAsia="en-AU"/>
        </w:rPr>
      </w:pPr>
      <w:r>
        <w:rPr>
          <w:rFonts w:ascii="Calibri" w:hAnsi="Calibri" w:cs="Calibri"/>
          <w:color w:val="000000"/>
        </w:rPr>
        <w:br w:type="page"/>
      </w:r>
    </w:p>
    <w:p w14:paraId="22425ABE" w14:textId="77777777" w:rsidR="00DF7308" w:rsidRPr="009C0523" w:rsidRDefault="00DF7308" w:rsidP="00DF7308">
      <w:pPr>
        <w:pStyle w:val="NormalWeb"/>
        <w:shd w:val="clear" w:color="auto" w:fill="FFFFFF"/>
        <w:spacing w:before="0" w:beforeAutospacing="0" w:after="0" w:afterAutospacing="0" w:line="253" w:lineRule="atLeast"/>
        <w:jc w:val="right"/>
        <w:rPr>
          <w:rFonts w:ascii="Calibri" w:hAnsi="Calibri" w:cs="Calibri"/>
          <w:color w:val="000000"/>
          <w:sz w:val="22"/>
          <w:szCs w:val="22"/>
        </w:rPr>
      </w:pPr>
      <w:r w:rsidRPr="009C0523">
        <w:rPr>
          <w:b/>
          <w:bCs/>
          <w:color w:val="000000"/>
        </w:rPr>
        <w:lastRenderedPageBreak/>
        <w:t>Attachment A</w:t>
      </w:r>
    </w:p>
    <w:p w14:paraId="669FE7DD" w14:textId="77777777" w:rsidR="00DF7308" w:rsidRPr="009C0523" w:rsidRDefault="00DF7308" w:rsidP="00DF7308">
      <w:pPr>
        <w:pStyle w:val="NormalWeb"/>
        <w:shd w:val="clear" w:color="auto" w:fill="FFFFFF"/>
        <w:spacing w:before="0" w:beforeAutospacing="0" w:after="0" w:afterAutospacing="0" w:line="253" w:lineRule="atLeast"/>
        <w:rPr>
          <w:rFonts w:ascii="Calibri" w:hAnsi="Calibri" w:cs="Calibri"/>
          <w:color w:val="000000"/>
          <w:sz w:val="22"/>
          <w:szCs w:val="22"/>
        </w:rPr>
      </w:pPr>
      <w:r w:rsidRPr="009C0523">
        <w:rPr>
          <w:color w:val="000000"/>
        </w:rPr>
        <w:t> </w:t>
      </w:r>
    </w:p>
    <w:p w14:paraId="1F8EF602" w14:textId="77777777" w:rsidR="00DF7308" w:rsidRPr="009C0523" w:rsidRDefault="00DF7308" w:rsidP="00DF7308">
      <w:pPr>
        <w:pStyle w:val="NormalWeb"/>
        <w:shd w:val="clear" w:color="auto" w:fill="FFFFFF"/>
        <w:spacing w:before="0" w:beforeAutospacing="0" w:after="0" w:afterAutospacing="0" w:line="253" w:lineRule="atLeast"/>
        <w:rPr>
          <w:rFonts w:ascii="Calibri" w:hAnsi="Calibri" w:cs="Calibri"/>
          <w:color w:val="000000"/>
          <w:sz w:val="22"/>
          <w:szCs w:val="22"/>
        </w:rPr>
      </w:pPr>
      <w:r w:rsidRPr="009C0523">
        <w:rPr>
          <w:color w:val="000000"/>
        </w:rPr>
        <w:t> </w:t>
      </w:r>
    </w:p>
    <w:p w14:paraId="4A8073B5" w14:textId="77777777" w:rsidR="009C0523" w:rsidRPr="00AE2ECB" w:rsidRDefault="00DF7308" w:rsidP="009C0523">
      <w:pPr>
        <w:pStyle w:val="NormalWeb"/>
        <w:shd w:val="clear" w:color="auto" w:fill="FFFFFF"/>
        <w:spacing w:before="120" w:beforeAutospacing="0" w:after="120" w:afterAutospacing="0" w:line="276" w:lineRule="atLeast"/>
        <w:jc w:val="center"/>
        <w:rPr>
          <w:rFonts w:ascii="Calibri" w:hAnsi="Calibri" w:cs="Calibri"/>
          <w:color w:val="000000"/>
          <w:sz w:val="22"/>
          <w:szCs w:val="22"/>
        </w:rPr>
      </w:pPr>
      <w:r w:rsidRPr="009C0523">
        <w:rPr>
          <w:b/>
          <w:bCs/>
          <w:color w:val="000000"/>
        </w:rPr>
        <w:t>Details of the </w:t>
      </w:r>
      <w:r w:rsidR="009C0523" w:rsidRPr="00DF7308">
        <w:rPr>
          <w:b/>
          <w:bCs/>
          <w:i/>
          <w:iCs/>
          <w:color w:val="000000"/>
        </w:rPr>
        <w:t>Classification (Publications, Films and Computer Games) (Consumer Advice Terms) Determination 2024</w:t>
      </w:r>
      <w:r w:rsidR="009C0523" w:rsidRPr="00DF7308">
        <w:rPr>
          <w:color w:val="000000"/>
        </w:rPr>
        <w:t> </w:t>
      </w:r>
    </w:p>
    <w:p w14:paraId="3CE3BD72" w14:textId="77777777" w:rsidR="00DF7308" w:rsidRPr="00AE2ECB" w:rsidRDefault="00DF7308" w:rsidP="00DF7308">
      <w:pPr>
        <w:pStyle w:val="NormalWeb"/>
        <w:shd w:val="clear" w:color="auto" w:fill="FFFFFF"/>
        <w:spacing w:before="120" w:beforeAutospacing="0" w:after="120" w:afterAutospacing="0" w:line="276" w:lineRule="atLeast"/>
        <w:rPr>
          <w:rFonts w:ascii="Calibri" w:hAnsi="Calibri" w:cs="Calibri"/>
          <w:color w:val="000000"/>
          <w:sz w:val="22"/>
          <w:szCs w:val="22"/>
        </w:rPr>
      </w:pPr>
    </w:p>
    <w:p w14:paraId="07E79E53" w14:textId="77777777" w:rsidR="00DF7308" w:rsidRPr="00D74D17" w:rsidRDefault="00DF7308" w:rsidP="00DF7308">
      <w:pPr>
        <w:pStyle w:val="NormalWeb"/>
        <w:shd w:val="clear" w:color="auto" w:fill="FFFFFF"/>
        <w:spacing w:before="120" w:beforeAutospacing="0" w:after="120" w:afterAutospacing="0" w:line="276" w:lineRule="atLeast"/>
        <w:rPr>
          <w:rFonts w:ascii="Calibri" w:hAnsi="Calibri" w:cs="Calibri"/>
          <w:color w:val="000000"/>
          <w:sz w:val="22"/>
          <w:szCs w:val="22"/>
        </w:rPr>
      </w:pPr>
      <w:r w:rsidRPr="00D74D17">
        <w:rPr>
          <w:b/>
          <w:bCs/>
          <w:color w:val="000000"/>
        </w:rPr>
        <w:t> </w:t>
      </w:r>
    </w:p>
    <w:p w14:paraId="5BB19CCF" w14:textId="77777777" w:rsidR="00DF7308" w:rsidRPr="00AE2ECB" w:rsidRDefault="00DF7308" w:rsidP="00DF7308">
      <w:pPr>
        <w:pStyle w:val="NormalWeb"/>
        <w:shd w:val="clear" w:color="auto" w:fill="FFFFFF"/>
        <w:spacing w:before="0" w:beforeAutospacing="0" w:after="0" w:afterAutospacing="0"/>
        <w:rPr>
          <w:rFonts w:ascii="Calibri" w:hAnsi="Calibri" w:cs="Calibri"/>
          <w:color w:val="000000"/>
        </w:rPr>
      </w:pPr>
      <w:r w:rsidRPr="002629E3">
        <w:rPr>
          <w:bCs/>
          <w:color w:val="000000"/>
          <w:u w:val="single"/>
        </w:rPr>
        <w:t>Section 1 – Name</w:t>
      </w:r>
    </w:p>
    <w:p w14:paraId="47D9960D" w14:textId="77777777" w:rsidR="00DF7308" w:rsidRPr="00AE2ECB" w:rsidRDefault="00DF7308" w:rsidP="00DF7308">
      <w:pPr>
        <w:pStyle w:val="NormalWeb"/>
        <w:shd w:val="clear" w:color="auto" w:fill="FFFFFF"/>
        <w:spacing w:before="0" w:beforeAutospacing="0" w:after="0" w:afterAutospacing="0"/>
        <w:rPr>
          <w:rFonts w:ascii="Calibri" w:hAnsi="Calibri" w:cs="Calibri"/>
          <w:color w:val="000000"/>
          <w:sz w:val="22"/>
          <w:szCs w:val="22"/>
        </w:rPr>
      </w:pPr>
    </w:p>
    <w:p w14:paraId="015E5D4C" w14:textId="59AFA6D9" w:rsidR="00DF7308" w:rsidRPr="00AE2ECB" w:rsidRDefault="00DF7308" w:rsidP="00DF7308">
      <w:pPr>
        <w:pStyle w:val="NormalWeb"/>
        <w:shd w:val="clear" w:color="auto" w:fill="FFFFFF"/>
        <w:spacing w:before="0" w:beforeAutospacing="0" w:after="0" w:afterAutospacing="0"/>
        <w:rPr>
          <w:rFonts w:ascii="Calibri" w:hAnsi="Calibri" w:cs="Calibri"/>
          <w:color w:val="000000"/>
        </w:rPr>
      </w:pPr>
      <w:r w:rsidRPr="00D74D17">
        <w:rPr>
          <w:color w:val="000000"/>
        </w:rPr>
        <w:t>This section provides that the name of the instrument is the </w:t>
      </w:r>
      <w:r w:rsidR="00D74D17">
        <w:rPr>
          <w:i/>
        </w:rPr>
        <w:t>Classification (Publications, Films and Computer Games) (Consumer Advice Terms) Determination 2024</w:t>
      </w:r>
      <w:r w:rsidR="00265146">
        <w:rPr>
          <w:i/>
        </w:rPr>
        <w:t>.</w:t>
      </w:r>
    </w:p>
    <w:p w14:paraId="1C2DE7A8" w14:textId="77777777" w:rsidR="00DF7308" w:rsidRPr="00D74D17" w:rsidRDefault="00DF7308" w:rsidP="00D74D17">
      <w:pPr>
        <w:pStyle w:val="NormalWeb"/>
        <w:shd w:val="clear" w:color="auto" w:fill="FFFFFF"/>
        <w:spacing w:before="0" w:beforeAutospacing="0" w:after="0" w:afterAutospacing="0"/>
        <w:rPr>
          <w:rFonts w:ascii="Calibri" w:hAnsi="Calibri" w:cs="Calibri"/>
          <w:color w:val="000000"/>
          <w:sz w:val="22"/>
          <w:szCs w:val="22"/>
        </w:rPr>
      </w:pPr>
      <w:r w:rsidRPr="00D74D17">
        <w:rPr>
          <w:rFonts w:ascii="Calibri" w:hAnsi="Calibri" w:cs="Calibri"/>
          <w:color w:val="000000"/>
          <w:sz w:val="22"/>
          <w:szCs w:val="22"/>
        </w:rPr>
        <w:t> </w:t>
      </w:r>
    </w:p>
    <w:p w14:paraId="281CD09B" w14:textId="77777777" w:rsidR="00DF7308" w:rsidRPr="002629E3" w:rsidRDefault="00DF7308" w:rsidP="00D74D17">
      <w:pPr>
        <w:pStyle w:val="NormalWeb"/>
        <w:shd w:val="clear" w:color="auto" w:fill="FFFFFF"/>
        <w:spacing w:before="0" w:beforeAutospacing="0" w:after="120" w:afterAutospacing="0"/>
        <w:rPr>
          <w:rFonts w:ascii="Calibri" w:hAnsi="Calibri" w:cs="Calibri"/>
          <w:color w:val="000000"/>
          <w:u w:val="single"/>
        </w:rPr>
      </w:pPr>
      <w:r w:rsidRPr="002629E3">
        <w:rPr>
          <w:bCs/>
          <w:color w:val="000000"/>
          <w:u w:val="single"/>
        </w:rPr>
        <w:t>Section 2 – Commencement</w:t>
      </w:r>
    </w:p>
    <w:p w14:paraId="747B8E9A" w14:textId="77777777" w:rsidR="002629E3" w:rsidRDefault="002629E3" w:rsidP="002629E3">
      <w:pPr>
        <w:pStyle w:val="NormalWeb"/>
        <w:shd w:val="clear" w:color="auto" w:fill="FFFFFF"/>
        <w:spacing w:before="0" w:beforeAutospacing="0" w:after="0" w:afterAutospacing="0"/>
        <w:rPr>
          <w:color w:val="000000"/>
        </w:rPr>
      </w:pPr>
    </w:p>
    <w:p w14:paraId="431AACA8" w14:textId="77777777" w:rsidR="00D74D17" w:rsidRPr="00D74D17" w:rsidRDefault="00DF7308" w:rsidP="002629E3">
      <w:pPr>
        <w:pStyle w:val="NormalWeb"/>
        <w:shd w:val="clear" w:color="auto" w:fill="FFFFFF"/>
        <w:spacing w:before="0" w:beforeAutospacing="0" w:after="0" w:afterAutospacing="0"/>
        <w:rPr>
          <w:rFonts w:ascii="Calibri" w:hAnsi="Calibri" w:cs="Calibri"/>
          <w:color w:val="000000"/>
          <w:sz w:val="22"/>
          <w:szCs w:val="22"/>
        </w:rPr>
      </w:pPr>
      <w:r w:rsidRPr="00D74D17">
        <w:rPr>
          <w:color w:val="000000"/>
        </w:rPr>
        <w:t xml:space="preserve">This section provides that the instrument </w:t>
      </w:r>
      <w:r w:rsidR="00D74D17" w:rsidRPr="00D74D17">
        <w:rPr>
          <w:color w:val="000000"/>
        </w:rPr>
        <w:t>commences the day after the end of the period of 3 months beginning on the day this instrument is registered.</w:t>
      </w:r>
    </w:p>
    <w:p w14:paraId="715E9141" w14:textId="77777777" w:rsidR="002629E3" w:rsidRDefault="002629E3" w:rsidP="002629E3">
      <w:pPr>
        <w:pStyle w:val="NormalWeb"/>
        <w:shd w:val="clear" w:color="auto" w:fill="FFFFFF"/>
        <w:spacing w:before="0" w:beforeAutospacing="0" w:after="0" w:afterAutospacing="0"/>
        <w:rPr>
          <w:b/>
          <w:bCs/>
          <w:color w:val="000000"/>
        </w:rPr>
      </w:pPr>
    </w:p>
    <w:p w14:paraId="53F75DDA" w14:textId="77777777" w:rsidR="00DF7308" w:rsidRPr="002629E3" w:rsidRDefault="00DF7308" w:rsidP="00D74D17">
      <w:pPr>
        <w:pStyle w:val="NormalWeb"/>
        <w:shd w:val="clear" w:color="auto" w:fill="FFFFFF"/>
        <w:spacing w:before="0" w:beforeAutospacing="0" w:after="120" w:afterAutospacing="0"/>
        <w:rPr>
          <w:rFonts w:ascii="Calibri" w:hAnsi="Calibri" w:cs="Calibri"/>
          <w:color w:val="000000"/>
          <w:u w:val="single"/>
        </w:rPr>
      </w:pPr>
      <w:r w:rsidRPr="002629E3">
        <w:rPr>
          <w:bCs/>
          <w:color w:val="000000"/>
          <w:u w:val="single"/>
        </w:rPr>
        <w:t>Section 3 – Authority</w:t>
      </w:r>
    </w:p>
    <w:p w14:paraId="53D85C1F" w14:textId="77777777" w:rsidR="002629E3" w:rsidRDefault="002629E3" w:rsidP="002629E3">
      <w:pPr>
        <w:pStyle w:val="NormalWeb"/>
        <w:shd w:val="clear" w:color="auto" w:fill="FFFFFF"/>
        <w:spacing w:before="0" w:beforeAutospacing="0" w:after="0" w:afterAutospacing="0"/>
        <w:rPr>
          <w:color w:val="000000"/>
        </w:rPr>
      </w:pPr>
    </w:p>
    <w:p w14:paraId="2E52E8A1" w14:textId="7BF44C62" w:rsidR="00DF7308" w:rsidRPr="00D74D17" w:rsidRDefault="00DF7308" w:rsidP="00D74D17">
      <w:pPr>
        <w:pStyle w:val="NormalWeb"/>
        <w:shd w:val="clear" w:color="auto" w:fill="FFFFFF"/>
        <w:spacing w:before="0" w:beforeAutospacing="0" w:after="120" w:afterAutospacing="0"/>
        <w:rPr>
          <w:rFonts w:ascii="Calibri" w:hAnsi="Calibri" w:cs="Calibri"/>
          <w:color w:val="000000"/>
        </w:rPr>
      </w:pPr>
      <w:r w:rsidRPr="00D74D17">
        <w:rPr>
          <w:color w:val="000000"/>
        </w:rPr>
        <w:t>This section states that the instrument is made under section 12</w:t>
      </w:r>
      <w:r w:rsidR="00D74D17" w:rsidRPr="00D74D17">
        <w:rPr>
          <w:color w:val="000000"/>
        </w:rPr>
        <w:t>A</w:t>
      </w:r>
      <w:r w:rsidRPr="00D74D17">
        <w:rPr>
          <w:color w:val="000000"/>
        </w:rPr>
        <w:t xml:space="preserve"> of the </w:t>
      </w:r>
      <w:r w:rsidRPr="00D74D17">
        <w:rPr>
          <w:i/>
          <w:iCs/>
          <w:color w:val="000000"/>
        </w:rPr>
        <w:t>Classification (Publications, Films and Computer Games) Act 1995</w:t>
      </w:r>
      <w:r w:rsidR="002629E3">
        <w:rPr>
          <w:i/>
          <w:iCs/>
          <w:color w:val="000000"/>
        </w:rPr>
        <w:t xml:space="preserve"> </w:t>
      </w:r>
      <w:r w:rsidR="002629E3">
        <w:rPr>
          <w:iCs/>
          <w:color w:val="000000"/>
        </w:rPr>
        <w:t>(Classification Act)</w:t>
      </w:r>
      <w:r w:rsidRPr="00D74D17">
        <w:rPr>
          <w:i/>
          <w:iCs/>
          <w:color w:val="000000"/>
        </w:rPr>
        <w:t>.</w:t>
      </w:r>
    </w:p>
    <w:p w14:paraId="3DB33A63" w14:textId="77777777" w:rsidR="002629E3" w:rsidRDefault="002629E3" w:rsidP="002629E3">
      <w:pPr>
        <w:pStyle w:val="NormalWeb"/>
        <w:shd w:val="clear" w:color="auto" w:fill="FFFFFF"/>
        <w:spacing w:before="0" w:beforeAutospacing="0" w:after="0" w:afterAutospacing="0"/>
        <w:rPr>
          <w:b/>
          <w:bCs/>
          <w:color w:val="000000"/>
        </w:rPr>
      </w:pPr>
    </w:p>
    <w:p w14:paraId="1FD3AFE6" w14:textId="77777777" w:rsidR="00DF7308" w:rsidRPr="002629E3" w:rsidRDefault="00DF7308" w:rsidP="002629E3">
      <w:pPr>
        <w:pStyle w:val="NormalWeb"/>
        <w:shd w:val="clear" w:color="auto" w:fill="FFFFFF"/>
        <w:spacing w:before="0" w:beforeAutospacing="0" w:after="0" w:afterAutospacing="0"/>
        <w:rPr>
          <w:rFonts w:ascii="Calibri" w:hAnsi="Calibri" w:cs="Calibri"/>
          <w:color w:val="000000"/>
          <w:u w:val="single"/>
        </w:rPr>
      </w:pPr>
      <w:r w:rsidRPr="002629E3">
        <w:rPr>
          <w:bCs/>
          <w:color w:val="000000"/>
          <w:u w:val="single"/>
        </w:rPr>
        <w:t>Section 4 – Definitions</w:t>
      </w:r>
    </w:p>
    <w:p w14:paraId="170FCC6B" w14:textId="77777777" w:rsidR="002629E3" w:rsidRPr="00AE2ECB" w:rsidRDefault="002629E3" w:rsidP="002629E3">
      <w:pPr>
        <w:pStyle w:val="NormalWeb"/>
        <w:shd w:val="clear" w:color="auto" w:fill="FFFFFF"/>
        <w:spacing w:before="0" w:beforeAutospacing="0" w:after="0" w:afterAutospacing="0" w:line="276" w:lineRule="atLeast"/>
        <w:rPr>
          <w:color w:val="000000"/>
        </w:rPr>
      </w:pPr>
    </w:p>
    <w:p w14:paraId="5421F1BF" w14:textId="77777777" w:rsidR="00D74D17" w:rsidRPr="00D74D17" w:rsidRDefault="00DF7308" w:rsidP="002629E3">
      <w:pPr>
        <w:pStyle w:val="NormalWeb"/>
        <w:shd w:val="clear" w:color="auto" w:fill="FFFFFF"/>
        <w:spacing w:before="0" w:beforeAutospacing="0" w:after="0" w:afterAutospacing="0" w:line="276" w:lineRule="atLeast"/>
        <w:rPr>
          <w:color w:val="000000"/>
        </w:rPr>
      </w:pPr>
      <w:r w:rsidRPr="00D74D17">
        <w:rPr>
          <w:color w:val="000000"/>
        </w:rPr>
        <w:t xml:space="preserve">This section includes definitions used in the instrument and includes a note directing readers to some of the expressions used that are defined in the </w:t>
      </w:r>
      <w:r w:rsidR="002629E3">
        <w:rPr>
          <w:color w:val="000000"/>
        </w:rPr>
        <w:t xml:space="preserve">Classification </w:t>
      </w:r>
      <w:r w:rsidRPr="00D74D17">
        <w:rPr>
          <w:color w:val="000000"/>
        </w:rPr>
        <w:t>Act.</w:t>
      </w:r>
    </w:p>
    <w:p w14:paraId="3544142A" w14:textId="77777777" w:rsidR="00DF7308" w:rsidRPr="00D74D17" w:rsidRDefault="00DF7308" w:rsidP="002629E3">
      <w:pPr>
        <w:pStyle w:val="NormalWeb"/>
        <w:shd w:val="clear" w:color="auto" w:fill="FFFFFF"/>
        <w:spacing w:before="0" w:beforeAutospacing="0" w:after="0" w:afterAutospacing="0"/>
        <w:rPr>
          <w:rFonts w:ascii="Calibri" w:hAnsi="Calibri" w:cs="Calibri"/>
          <w:color w:val="000000"/>
        </w:rPr>
      </w:pPr>
      <w:r w:rsidRPr="00D74D17">
        <w:rPr>
          <w:b/>
          <w:bCs/>
          <w:color w:val="000000"/>
        </w:rPr>
        <w:t> </w:t>
      </w:r>
    </w:p>
    <w:p w14:paraId="0FC658B1" w14:textId="77777777" w:rsidR="002D3376" w:rsidRDefault="002D3376" w:rsidP="002629E3">
      <w:pPr>
        <w:pStyle w:val="NormalWeb"/>
        <w:shd w:val="clear" w:color="auto" w:fill="FFFFFF"/>
        <w:spacing w:before="0" w:beforeAutospacing="0" w:after="0" w:afterAutospacing="0"/>
        <w:rPr>
          <w:bCs/>
          <w:color w:val="000000"/>
          <w:u w:val="single"/>
        </w:rPr>
      </w:pPr>
      <w:r>
        <w:rPr>
          <w:bCs/>
          <w:color w:val="000000"/>
          <w:u w:val="single"/>
        </w:rPr>
        <w:t>Sections 5 and 6 - Schedules</w:t>
      </w:r>
    </w:p>
    <w:p w14:paraId="47453213" w14:textId="77777777" w:rsidR="002D3376" w:rsidRPr="00AE2ECB" w:rsidRDefault="002D3376" w:rsidP="002629E3">
      <w:pPr>
        <w:pStyle w:val="NormalWeb"/>
        <w:shd w:val="clear" w:color="auto" w:fill="FFFFFF"/>
        <w:spacing w:before="0" w:beforeAutospacing="0" w:after="0" w:afterAutospacing="0"/>
        <w:rPr>
          <w:bCs/>
          <w:color w:val="000000"/>
        </w:rPr>
      </w:pPr>
    </w:p>
    <w:p w14:paraId="01A710CC" w14:textId="76243204" w:rsidR="00265146" w:rsidRDefault="00265146" w:rsidP="002629E3">
      <w:pPr>
        <w:pStyle w:val="NormalWeb"/>
        <w:shd w:val="clear" w:color="auto" w:fill="FFFFFF"/>
        <w:spacing w:before="0" w:beforeAutospacing="0" w:after="0" w:afterAutospacing="0"/>
        <w:rPr>
          <w:bCs/>
          <w:color w:val="000000"/>
        </w:rPr>
      </w:pPr>
      <w:r>
        <w:rPr>
          <w:bCs/>
          <w:color w:val="000000"/>
        </w:rPr>
        <w:t xml:space="preserve">Section 5 provides that the list of consumer advice terms to be used in determining consumer advice for a film is set out in Schedule 1. </w:t>
      </w:r>
    </w:p>
    <w:p w14:paraId="7AAFFAAB" w14:textId="77777777" w:rsidR="00265146" w:rsidRDefault="00265146" w:rsidP="002629E3">
      <w:pPr>
        <w:pStyle w:val="NormalWeb"/>
        <w:shd w:val="clear" w:color="auto" w:fill="FFFFFF"/>
        <w:spacing w:before="0" w:beforeAutospacing="0" w:after="0" w:afterAutospacing="0"/>
        <w:rPr>
          <w:bCs/>
          <w:color w:val="000000"/>
        </w:rPr>
      </w:pPr>
    </w:p>
    <w:p w14:paraId="3DA8EFC6" w14:textId="150F2B10" w:rsidR="00265146" w:rsidRDefault="00265146" w:rsidP="00265146">
      <w:pPr>
        <w:pStyle w:val="NormalWeb"/>
        <w:shd w:val="clear" w:color="auto" w:fill="FFFFFF"/>
        <w:spacing w:before="0" w:beforeAutospacing="0" w:after="0" w:afterAutospacing="0"/>
        <w:rPr>
          <w:bCs/>
          <w:color w:val="000000"/>
        </w:rPr>
      </w:pPr>
      <w:r>
        <w:rPr>
          <w:bCs/>
          <w:color w:val="000000"/>
        </w:rPr>
        <w:t xml:space="preserve">Section 6 provides that the list of consumer advice terms to be used in determining consumer advice for a computer game is set out in Schedule 1. </w:t>
      </w:r>
    </w:p>
    <w:p w14:paraId="207B34AF" w14:textId="77777777" w:rsidR="002D3376" w:rsidRPr="00AE2ECB" w:rsidRDefault="002D3376" w:rsidP="002629E3">
      <w:pPr>
        <w:pStyle w:val="NormalWeb"/>
        <w:shd w:val="clear" w:color="auto" w:fill="FFFFFF"/>
        <w:spacing w:before="0" w:beforeAutospacing="0" w:after="0" w:afterAutospacing="0"/>
        <w:rPr>
          <w:bCs/>
          <w:color w:val="000000"/>
        </w:rPr>
      </w:pPr>
    </w:p>
    <w:p w14:paraId="31A0ED4D" w14:textId="77777777" w:rsidR="00DF7308" w:rsidRPr="002629E3" w:rsidRDefault="00DF7308" w:rsidP="002629E3">
      <w:pPr>
        <w:pStyle w:val="NormalWeb"/>
        <w:shd w:val="clear" w:color="auto" w:fill="FFFFFF"/>
        <w:spacing w:before="0" w:beforeAutospacing="0" w:after="0" w:afterAutospacing="0"/>
        <w:rPr>
          <w:rFonts w:ascii="Calibri" w:hAnsi="Calibri" w:cs="Calibri"/>
          <w:color w:val="000000"/>
          <w:u w:val="single"/>
        </w:rPr>
      </w:pPr>
      <w:r w:rsidRPr="002629E3">
        <w:rPr>
          <w:bCs/>
          <w:color w:val="000000"/>
          <w:u w:val="single"/>
        </w:rPr>
        <w:t xml:space="preserve">Schedule 1 – </w:t>
      </w:r>
      <w:r w:rsidR="00D74D17" w:rsidRPr="002629E3">
        <w:rPr>
          <w:bCs/>
          <w:color w:val="000000"/>
          <w:u w:val="single"/>
        </w:rPr>
        <w:t>Consumer advice terms for films</w:t>
      </w:r>
    </w:p>
    <w:p w14:paraId="05BC60A4" w14:textId="77777777" w:rsidR="002629E3" w:rsidRDefault="002629E3" w:rsidP="002629E3">
      <w:pPr>
        <w:pStyle w:val="NormalWeb"/>
        <w:shd w:val="clear" w:color="auto" w:fill="FFFFFF"/>
        <w:spacing w:before="0" w:beforeAutospacing="0" w:after="0" w:afterAutospacing="0" w:line="276" w:lineRule="atLeast"/>
        <w:rPr>
          <w:color w:val="000000"/>
        </w:rPr>
      </w:pPr>
    </w:p>
    <w:p w14:paraId="26D439DD" w14:textId="38AB9FA5" w:rsidR="00DF7308" w:rsidRDefault="00DF7308" w:rsidP="002629E3">
      <w:pPr>
        <w:pStyle w:val="NormalWeb"/>
        <w:shd w:val="clear" w:color="auto" w:fill="FFFFFF"/>
        <w:spacing w:before="0" w:beforeAutospacing="0" w:after="0" w:afterAutospacing="0" w:line="276" w:lineRule="atLeast"/>
        <w:rPr>
          <w:color w:val="000000"/>
        </w:rPr>
      </w:pPr>
      <w:r w:rsidRPr="00110F84">
        <w:rPr>
          <w:color w:val="000000"/>
        </w:rPr>
        <w:t xml:space="preserve">The </w:t>
      </w:r>
      <w:r w:rsidR="00D74D17" w:rsidRPr="00110F84">
        <w:rPr>
          <w:color w:val="000000"/>
        </w:rPr>
        <w:t xml:space="preserve">consumer advice terms for films </w:t>
      </w:r>
      <w:r w:rsidRPr="00110F84">
        <w:rPr>
          <w:color w:val="000000"/>
        </w:rPr>
        <w:t>are specified in Schedule 1 to the instrument</w:t>
      </w:r>
      <w:r w:rsidR="00D74D17" w:rsidRPr="00110F84">
        <w:rPr>
          <w:color w:val="000000"/>
        </w:rPr>
        <w:t>.</w:t>
      </w:r>
    </w:p>
    <w:p w14:paraId="2B183D15" w14:textId="5BEC14AF" w:rsidR="00265146" w:rsidRDefault="00265146" w:rsidP="002629E3">
      <w:pPr>
        <w:pStyle w:val="NormalWeb"/>
        <w:shd w:val="clear" w:color="auto" w:fill="FFFFFF"/>
        <w:spacing w:before="0" w:beforeAutospacing="0" w:after="0" w:afterAutospacing="0" w:line="276" w:lineRule="atLeast"/>
        <w:rPr>
          <w:rFonts w:ascii="Calibri" w:hAnsi="Calibri" w:cs="Calibri"/>
          <w:color w:val="000000"/>
          <w:sz w:val="22"/>
          <w:szCs w:val="22"/>
        </w:rPr>
      </w:pPr>
    </w:p>
    <w:p w14:paraId="0A2BDF22" w14:textId="73DE58C5" w:rsidR="00340BAB" w:rsidRPr="00340BAB" w:rsidRDefault="00340BAB" w:rsidP="00340BAB">
      <w:pPr>
        <w:pStyle w:val="NormalWeb"/>
        <w:shd w:val="clear" w:color="auto" w:fill="FFFFFF"/>
        <w:spacing w:before="0" w:beforeAutospacing="0" w:after="0" w:afterAutospacing="0"/>
        <w:rPr>
          <w:bCs/>
          <w:color w:val="000000"/>
        </w:rPr>
      </w:pPr>
      <w:r w:rsidRPr="00340BAB">
        <w:rPr>
          <w:bCs/>
          <w:color w:val="000000"/>
        </w:rPr>
        <w:t>For each classification rating for films (G, PG, M, MA 15+ and R 18+) there is a table that specifies the classifiable element (first column) and the corresponding consumer advice terms (second column) that may be applied in respect of the particular classifiable element.</w:t>
      </w:r>
    </w:p>
    <w:p w14:paraId="501BDA5E" w14:textId="77777777" w:rsidR="00340BAB" w:rsidRPr="00340BAB" w:rsidRDefault="00340BAB" w:rsidP="00340BAB">
      <w:pPr>
        <w:pStyle w:val="NormalWeb"/>
        <w:shd w:val="clear" w:color="auto" w:fill="FFFFFF"/>
        <w:spacing w:before="0" w:beforeAutospacing="0" w:after="0" w:afterAutospacing="0"/>
        <w:rPr>
          <w:bCs/>
          <w:color w:val="000000"/>
        </w:rPr>
      </w:pPr>
    </w:p>
    <w:p w14:paraId="579518C5" w14:textId="7914E9B3" w:rsidR="00340BAB" w:rsidRPr="00340BAB" w:rsidRDefault="00340BAB" w:rsidP="00340BAB">
      <w:pPr>
        <w:pStyle w:val="NormalWeb"/>
        <w:shd w:val="clear" w:color="auto" w:fill="FFFFFF"/>
        <w:spacing w:before="0" w:beforeAutospacing="0" w:after="0" w:afterAutospacing="0"/>
        <w:rPr>
          <w:bCs/>
          <w:color w:val="000000"/>
        </w:rPr>
      </w:pPr>
      <w:r w:rsidRPr="00340BAB">
        <w:rPr>
          <w:bCs/>
          <w:color w:val="000000"/>
        </w:rPr>
        <w:t>It is noted that where a film does not include any classifiable element, the consumer advice term that must be used is ‘</w:t>
      </w:r>
      <w:r w:rsidR="00322EAB">
        <w:rPr>
          <w:bCs/>
          <w:color w:val="000000"/>
        </w:rPr>
        <w:t>G</w:t>
      </w:r>
      <w:r w:rsidRPr="00340BAB">
        <w:rPr>
          <w:bCs/>
          <w:color w:val="000000"/>
        </w:rPr>
        <w:t>eneral’.</w:t>
      </w:r>
      <w:r w:rsidR="006D11BE">
        <w:rPr>
          <w:bCs/>
          <w:color w:val="000000"/>
        </w:rPr>
        <w:t xml:space="preserve">  </w:t>
      </w:r>
      <w:r w:rsidRPr="00340BAB">
        <w:rPr>
          <w:bCs/>
          <w:color w:val="000000"/>
        </w:rPr>
        <w:t xml:space="preserve"> </w:t>
      </w:r>
    </w:p>
    <w:p w14:paraId="36BC954C" w14:textId="77777777" w:rsidR="00DF7308" w:rsidRPr="00340BAB" w:rsidRDefault="00DF7308" w:rsidP="00340BAB">
      <w:pPr>
        <w:pStyle w:val="NormalWeb"/>
        <w:shd w:val="clear" w:color="auto" w:fill="FFFFFF"/>
        <w:spacing w:before="0" w:beforeAutospacing="0" w:after="0" w:afterAutospacing="0"/>
        <w:rPr>
          <w:bCs/>
          <w:color w:val="000000"/>
        </w:rPr>
      </w:pPr>
      <w:r w:rsidRPr="00340BAB">
        <w:rPr>
          <w:bCs/>
          <w:color w:val="000000"/>
        </w:rPr>
        <w:t> </w:t>
      </w:r>
    </w:p>
    <w:p w14:paraId="78EA4BDC" w14:textId="77777777" w:rsidR="006D11BE" w:rsidRPr="00AE2ECB" w:rsidRDefault="006D11BE" w:rsidP="002629E3">
      <w:pPr>
        <w:pStyle w:val="NormalWeb"/>
        <w:shd w:val="clear" w:color="auto" w:fill="FFFFFF"/>
        <w:spacing w:before="0" w:beforeAutospacing="0" w:after="0" w:afterAutospacing="0" w:line="253" w:lineRule="atLeast"/>
        <w:rPr>
          <w:bCs/>
          <w:color w:val="000000"/>
        </w:rPr>
      </w:pPr>
    </w:p>
    <w:p w14:paraId="7BB85F6B" w14:textId="36626C87" w:rsidR="00D74D17" w:rsidRPr="002629E3" w:rsidRDefault="00D74D17" w:rsidP="002629E3">
      <w:pPr>
        <w:pStyle w:val="NormalWeb"/>
        <w:shd w:val="clear" w:color="auto" w:fill="FFFFFF"/>
        <w:spacing w:before="0" w:beforeAutospacing="0" w:after="0" w:afterAutospacing="0" w:line="253" w:lineRule="atLeast"/>
        <w:rPr>
          <w:rFonts w:ascii="Calibri" w:hAnsi="Calibri" w:cs="Calibri"/>
          <w:color w:val="000000"/>
          <w:u w:val="single"/>
        </w:rPr>
      </w:pPr>
      <w:r w:rsidRPr="002629E3">
        <w:rPr>
          <w:bCs/>
          <w:color w:val="000000"/>
          <w:u w:val="single"/>
        </w:rPr>
        <w:lastRenderedPageBreak/>
        <w:t>Schedule 2 – Consumer advice terms for computer games</w:t>
      </w:r>
    </w:p>
    <w:p w14:paraId="6B3191C4" w14:textId="77777777" w:rsidR="002629E3" w:rsidRDefault="002629E3" w:rsidP="002629E3">
      <w:pPr>
        <w:pStyle w:val="NormalWeb"/>
        <w:shd w:val="clear" w:color="auto" w:fill="FFFFFF"/>
        <w:spacing w:before="0" w:beforeAutospacing="0" w:after="0" w:afterAutospacing="0" w:line="276" w:lineRule="atLeast"/>
        <w:rPr>
          <w:color w:val="000000"/>
        </w:rPr>
      </w:pPr>
    </w:p>
    <w:p w14:paraId="67B1FCD1" w14:textId="77777777" w:rsidR="00110F84" w:rsidRPr="00340BAB" w:rsidRDefault="00110F84" w:rsidP="00340BAB">
      <w:pPr>
        <w:pStyle w:val="NormalWeb"/>
        <w:shd w:val="clear" w:color="auto" w:fill="FFFFFF"/>
        <w:spacing w:before="0" w:beforeAutospacing="0" w:after="0" w:afterAutospacing="0"/>
        <w:rPr>
          <w:bCs/>
          <w:color w:val="000000"/>
        </w:rPr>
      </w:pPr>
      <w:r w:rsidRPr="00340BAB">
        <w:rPr>
          <w:bCs/>
          <w:color w:val="000000"/>
        </w:rPr>
        <w:t>The consumer advice terms for computer games are specified in Schedule 2 to the instrument.</w:t>
      </w:r>
    </w:p>
    <w:p w14:paraId="323CDE6E" w14:textId="218B056F" w:rsidR="002629E3" w:rsidRPr="00340BAB" w:rsidRDefault="002629E3" w:rsidP="00340BAB">
      <w:pPr>
        <w:pStyle w:val="NormalWeb"/>
        <w:shd w:val="clear" w:color="auto" w:fill="FFFFFF"/>
        <w:spacing w:before="0" w:beforeAutospacing="0" w:after="0" w:afterAutospacing="0"/>
        <w:rPr>
          <w:bCs/>
          <w:color w:val="000000"/>
        </w:rPr>
      </w:pPr>
    </w:p>
    <w:p w14:paraId="03F5D064" w14:textId="50B39CC0" w:rsidR="00340BAB" w:rsidRPr="00340BAB" w:rsidRDefault="00340BAB" w:rsidP="00340BAB">
      <w:pPr>
        <w:pStyle w:val="NormalWeb"/>
        <w:shd w:val="clear" w:color="auto" w:fill="FFFFFF"/>
        <w:spacing w:before="0" w:beforeAutospacing="0" w:after="0" w:afterAutospacing="0"/>
        <w:rPr>
          <w:bCs/>
          <w:color w:val="000000"/>
        </w:rPr>
      </w:pPr>
      <w:r w:rsidRPr="00340BAB">
        <w:rPr>
          <w:bCs/>
          <w:color w:val="000000"/>
        </w:rPr>
        <w:t>For each classification rating for computer games (G, PG, M, MA 15+ and R 18+) there is a table that specifies the classifiable element (first column) and the corresponding consumer advice terms (second column) that may be applied in respect of the particular classifiable element.</w:t>
      </w:r>
    </w:p>
    <w:p w14:paraId="08482E6D" w14:textId="77777777" w:rsidR="00340BAB" w:rsidRPr="00340BAB" w:rsidRDefault="00340BAB" w:rsidP="00340BAB">
      <w:pPr>
        <w:pStyle w:val="NormalWeb"/>
        <w:shd w:val="clear" w:color="auto" w:fill="FFFFFF"/>
        <w:spacing w:before="0" w:beforeAutospacing="0" w:after="0" w:afterAutospacing="0"/>
        <w:rPr>
          <w:bCs/>
          <w:color w:val="000000"/>
        </w:rPr>
      </w:pPr>
    </w:p>
    <w:p w14:paraId="5429B183" w14:textId="32566859" w:rsidR="00340BAB" w:rsidRPr="00340BAB" w:rsidRDefault="00340BAB" w:rsidP="00340BAB">
      <w:pPr>
        <w:pStyle w:val="NormalWeb"/>
        <w:shd w:val="clear" w:color="auto" w:fill="FFFFFF"/>
        <w:spacing w:before="0" w:beforeAutospacing="0" w:after="0" w:afterAutospacing="0"/>
        <w:rPr>
          <w:bCs/>
          <w:color w:val="000000"/>
        </w:rPr>
      </w:pPr>
      <w:r w:rsidRPr="00340BAB">
        <w:rPr>
          <w:bCs/>
          <w:color w:val="000000"/>
        </w:rPr>
        <w:t>It is noted that where a computer game does not include any classifiable element, the consumer advice term that must be used is ‘</w:t>
      </w:r>
      <w:r w:rsidR="00322EAB">
        <w:rPr>
          <w:bCs/>
          <w:color w:val="000000"/>
        </w:rPr>
        <w:t>G</w:t>
      </w:r>
      <w:r w:rsidRPr="00340BAB">
        <w:rPr>
          <w:bCs/>
          <w:color w:val="000000"/>
        </w:rPr>
        <w:t>eneral’.</w:t>
      </w:r>
      <w:r w:rsidR="006D11BE">
        <w:rPr>
          <w:bCs/>
          <w:color w:val="000000"/>
        </w:rPr>
        <w:t xml:space="preserve">  </w:t>
      </w:r>
      <w:r w:rsidRPr="00340BAB">
        <w:rPr>
          <w:bCs/>
          <w:color w:val="000000"/>
        </w:rPr>
        <w:t xml:space="preserve"> </w:t>
      </w:r>
    </w:p>
    <w:p w14:paraId="6D5C2B4B" w14:textId="77777777" w:rsidR="00340BAB" w:rsidRDefault="00340BAB" w:rsidP="002629E3">
      <w:pPr>
        <w:pStyle w:val="NormalWeb"/>
        <w:shd w:val="clear" w:color="auto" w:fill="FFFFFF"/>
        <w:spacing w:before="0" w:beforeAutospacing="0" w:after="0" w:afterAutospacing="0" w:line="276" w:lineRule="atLeast"/>
        <w:rPr>
          <w:color w:val="000000"/>
        </w:rPr>
      </w:pPr>
    </w:p>
    <w:p w14:paraId="52E24D61" w14:textId="7B341BAA" w:rsidR="004E1E19" w:rsidRDefault="00110F84" w:rsidP="00D74D17">
      <w:pPr>
        <w:pStyle w:val="NormalWeb"/>
        <w:shd w:val="clear" w:color="auto" w:fill="FFFFFF"/>
        <w:spacing w:before="120" w:beforeAutospacing="0" w:after="120" w:afterAutospacing="0" w:line="276" w:lineRule="atLeast"/>
        <w:rPr>
          <w:color w:val="000000"/>
        </w:rPr>
      </w:pPr>
      <w:r w:rsidRPr="00110F84">
        <w:rPr>
          <w:color w:val="000000"/>
        </w:rPr>
        <w:t>In addition to the list of consumer advice terms for each classification rating</w:t>
      </w:r>
      <w:r w:rsidR="00340BAB">
        <w:rPr>
          <w:color w:val="000000"/>
        </w:rPr>
        <w:t xml:space="preserve"> for computer games</w:t>
      </w:r>
      <w:r w:rsidRPr="00110F84">
        <w:rPr>
          <w:color w:val="000000"/>
        </w:rPr>
        <w:t xml:space="preserve">, </w:t>
      </w:r>
      <w:r w:rsidR="002629E3">
        <w:rPr>
          <w:color w:val="000000"/>
        </w:rPr>
        <w:t>T</w:t>
      </w:r>
      <w:r>
        <w:rPr>
          <w:color w:val="000000"/>
        </w:rPr>
        <w:t xml:space="preserve">able 6 provides </w:t>
      </w:r>
      <w:r w:rsidRPr="00110F84">
        <w:rPr>
          <w:color w:val="000000"/>
        </w:rPr>
        <w:t xml:space="preserve">consumer advice terms for </w:t>
      </w:r>
      <w:r w:rsidR="006D11BE">
        <w:rPr>
          <w:color w:val="000000"/>
        </w:rPr>
        <w:t xml:space="preserve">computer </w:t>
      </w:r>
      <w:r w:rsidRPr="00110F84">
        <w:rPr>
          <w:color w:val="000000"/>
        </w:rPr>
        <w:t>games containing online interactivity</w:t>
      </w:r>
      <w:r w:rsidR="006D11BE">
        <w:rPr>
          <w:color w:val="000000"/>
        </w:rPr>
        <w:t xml:space="preserve"> </w:t>
      </w:r>
      <w:r w:rsidR="00607BFB">
        <w:rPr>
          <w:color w:val="000000"/>
        </w:rPr>
        <w:t>and in-game purchases</w:t>
      </w:r>
      <w:r w:rsidR="00340BAB">
        <w:rPr>
          <w:color w:val="000000"/>
        </w:rPr>
        <w:t xml:space="preserve">. Where this content appears in a </w:t>
      </w:r>
      <w:r w:rsidR="00B9771A">
        <w:rPr>
          <w:color w:val="000000"/>
        </w:rPr>
        <w:t xml:space="preserve">computer </w:t>
      </w:r>
      <w:r w:rsidR="00340BAB">
        <w:rPr>
          <w:color w:val="000000"/>
        </w:rPr>
        <w:t>game, these consumer advice terms</w:t>
      </w:r>
      <w:r w:rsidRPr="00110F84">
        <w:rPr>
          <w:color w:val="000000"/>
        </w:rPr>
        <w:t xml:space="preserve"> are to be included regardless of the </w:t>
      </w:r>
      <w:r w:rsidR="00B9771A">
        <w:rPr>
          <w:color w:val="000000"/>
        </w:rPr>
        <w:t xml:space="preserve">computer </w:t>
      </w:r>
      <w:r w:rsidRPr="00110F84">
        <w:rPr>
          <w:color w:val="000000"/>
        </w:rPr>
        <w:t>game’s classification.</w:t>
      </w:r>
      <w:r w:rsidR="00983FCC">
        <w:rPr>
          <w:color w:val="000000"/>
        </w:rPr>
        <w:t xml:space="preserve"> </w:t>
      </w:r>
    </w:p>
    <w:p w14:paraId="1E7E59F7" w14:textId="77777777" w:rsidR="004E1E19" w:rsidRDefault="004E1E19" w:rsidP="006D11BE">
      <w:pPr>
        <w:pStyle w:val="NormalWeb"/>
        <w:shd w:val="clear" w:color="auto" w:fill="FFFFFF"/>
        <w:spacing w:before="0" w:beforeAutospacing="0" w:after="0" w:afterAutospacing="0" w:line="276" w:lineRule="atLeast"/>
        <w:rPr>
          <w:color w:val="000000"/>
        </w:rPr>
      </w:pPr>
    </w:p>
    <w:p w14:paraId="642DE924" w14:textId="61E3F17D" w:rsidR="00110F84" w:rsidRPr="00AE2ECB" w:rsidRDefault="004E1E19" w:rsidP="00D74D17">
      <w:pPr>
        <w:pStyle w:val="NormalWeb"/>
        <w:shd w:val="clear" w:color="auto" w:fill="FFFFFF"/>
        <w:spacing w:before="120" w:beforeAutospacing="0" w:after="120" w:afterAutospacing="0" w:line="276" w:lineRule="atLeast"/>
        <w:rPr>
          <w:color w:val="000000"/>
        </w:rPr>
      </w:pPr>
      <w:r>
        <w:rPr>
          <w:color w:val="000000"/>
        </w:rPr>
        <w:t xml:space="preserve">Computer </w:t>
      </w:r>
      <w:r w:rsidR="00322EAB">
        <w:rPr>
          <w:color w:val="000000"/>
        </w:rPr>
        <w:t>g</w:t>
      </w:r>
      <w:r>
        <w:rPr>
          <w:color w:val="000000"/>
        </w:rPr>
        <w:t>ames that contain i</w:t>
      </w:r>
      <w:r w:rsidR="00983FCC">
        <w:rPr>
          <w:color w:val="000000"/>
        </w:rPr>
        <w:t>n-game purchases linked to elements of chance, such as paid loot boxes, require a minimum classification of M</w:t>
      </w:r>
      <w:r>
        <w:rPr>
          <w:color w:val="000000"/>
        </w:rPr>
        <w:t xml:space="preserve"> and will require a consumer advice of </w:t>
      </w:r>
      <w:r w:rsidR="00322EAB">
        <w:rPr>
          <w:color w:val="000000"/>
        </w:rPr>
        <w:t>‘</w:t>
      </w:r>
      <w:r>
        <w:rPr>
          <w:color w:val="000000"/>
        </w:rPr>
        <w:t>Chance-based in-game purchases</w:t>
      </w:r>
      <w:r w:rsidR="00322EAB">
        <w:rPr>
          <w:color w:val="000000"/>
        </w:rPr>
        <w:t>’</w:t>
      </w:r>
      <w:r w:rsidR="00FA6FEE">
        <w:rPr>
          <w:color w:val="000000"/>
        </w:rPr>
        <w:t xml:space="preserve"> or ‘Chance-based and in-game purchases’</w:t>
      </w:r>
      <w:r w:rsidR="00983FCC">
        <w:rPr>
          <w:color w:val="000000"/>
        </w:rPr>
        <w:t>. Computer games that contain simulated gambling,</w:t>
      </w:r>
      <w:r w:rsidR="006D11BE">
        <w:rPr>
          <w:color w:val="000000"/>
        </w:rPr>
        <w:t xml:space="preserve"> </w:t>
      </w:r>
      <w:r w:rsidR="00983FCC" w:rsidRPr="00983FCC">
        <w:rPr>
          <w:color w:val="000000"/>
        </w:rPr>
        <w:t>will be legally restricted to adults, with a mandatory minimum classification of R18+</w:t>
      </w:r>
      <w:r>
        <w:rPr>
          <w:color w:val="000000"/>
        </w:rPr>
        <w:t xml:space="preserve"> </w:t>
      </w:r>
      <w:r w:rsidR="00C43759">
        <w:rPr>
          <w:color w:val="000000"/>
        </w:rPr>
        <w:t>a</w:t>
      </w:r>
      <w:r>
        <w:rPr>
          <w:color w:val="000000"/>
        </w:rPr>
        <w:t xml:space="preserve">nd require a consumer advice of </w:t>
      </w:r>
      <w:r w:rsidR="00322EAB">
        <w:rPr>
          <w:color w:val="000000"/>
        </w:rPr>
        <w:t>‘</w:t>
      </w:r>
      <w:r>
        <w:rPr>
          <w:color w:val="000000"/>
        </w:rPr>
        <w:t>High impact simulated gambling</w:t>
      </w:r>
      <w:r w:rsidR="00322EAB">
        <w:rPr>
          <w:color w:val="000000"/>
        </w:rPr>
        <w:t>’</w:t>
      </w:r>
      <w:r>
        <w:rPr>
          <w:color w:val="000000"/>
        </w:rPr>
        <w:t>.</w:t>
      </w:r>
    </w:p>
    <w:p w14:paraId="5055F959" w14:textId="77777777" w:rsidR="00E81E0C" w:rsidRDefault="00AE2ECB"/>
    <w:sectPr w:rsidR="00E81E0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9599D" w14:textId="77777777" w:rsidR="00412317" w:rsidRDefault="00412317" w:rsidP="00412317">
      <w:pPr>
        <w:spacing w:after="0" w:line="240" w:lineRule="auto"/>
      </w:pPr>
      <w:r>
        <w:separator/>
      </w:r>
    </w:p>
  </w:endnote>
  <w:endnote w:type="continuationSeparator" w:id="0">
    <w:p w14:paraId="68FBC31F" w14:textId="77777777" w:rsidR="00412317" w:rsidRDefault="00412317" w:rsidP="00412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AF591" w14:textId="77777777" w:rsidR="00412317" w:rsidRDefault="00412317" w:rsidP="00412317">
      <w:pPr>
        <w:spacing w:after="0" w:line="240" w:lineRule="auto"/>
      </w:pPr>
      <w:r>
        <w:separator/>
      </w:r>
    </w:p>
  </w:footnote>
  <w:footnote w:type="continuationSeparator" w:id="0">
    <w:p w14:paraId="2BE0BBD3" w14:textId="77777777" w:rsidR="00412317" w:rsidRDefault="00412317" w:rsidP="004123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09E4"/>
    <w:multiLevelType w:val="hybridMultilevel"/>
    <w:tmpl w:val="C1324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E8A12A4"/>
    <w:multiLevelType w:val="hybridMultilevel"/>
    <w:tmpl w:val="81901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17E4A9D"/>
    <w:multiLevelType w:val="hybridMultilevel"/>
    <w:tmpl w:val="75A6E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8F4E14"/>
    <w:multiLevelType w:val="hybridMultilevel"/>
    <w:tmpl w:val="A32429B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308"/>
    <w:rsid w:val="000575D8"/>
    <w:rsid w:val="000914B0"/>
    <w:rsid w:val="000C7298"/>
    <w:rsid w:val="000E44D9"/>
    <w:rsid w:val="000E5612"/>
    <w:rsid w:val="000F3CB1"/>
    <w:rsid w:val="00105ADD"/>
    <w:rsid w:val="00110F84"/>
    <w:rsid w:val="00194EBB"/>
    <w:rsid w:val="002074CA"/>
    <w:rsid w:val="002629E3"/>
    <w:rsid w:val="00265146"/>
    <w:rsid w:val="002D3376"/>
    <w:rsid w:val="00322EAB"/>
    <w:rsid w:val="00340BAB"/>
    <w:rsid w:val="00382F6E"/>
    <w:rsid w:val="003926D2"/>
    <w:rsid w:val="00412317"/>
    <w:rsid w:val="004B70EB"/>
    <w:rsid w:val="004D4003"/>
    <w:rsid w:val="004D5ED8"/>
    <w:rsid w:val="004E1E19"/>
    <w:rsid w:val="004F05E7"/>
    <w:rsid w:val="005355D8"/>
    <w:rsid w:val="0054711C"/>
    <w:rsid w:val="00582A9B"/>
    <w:rsid w:val="005A6677"/>
    <w:rsid w:val="005D53DC"/>
    <w:rsid w:val="005E3B93"/>
    <w:rsid w:val="005F0215"/>
    <w:rsid w:val="00607BFB"/>
    <w:rsid w:val="00685F00"/>
    <w:rsid w:val="006C5C82"/>
    <w:rsid w:val="006D11BE"/>
    <w:rsid w:val="00743C43"/>
    <w:rsid w:val="008421C6"/>
    <w:rsid w:val="00847A00"/>
    <w:rsid w:val="008C5B58"/>
    <w:rsid w:val="009454D9"/>
    <w:rsid w:val="00983FCC"/>
    <w:rsid w:val="009B132E"/>
    <w:rsid w:val="009C0523"/>
    <w:rsid w:val="009D1B7A"/>
    <w:rsid w:val="009D1C54"/>
    <w:rsid w:val="00A14177"/>
    <w:rsid w:val="00A217DE"/>
    <w:rsid w:val="00A510F9"/>
    <w:rsid w:val="00A634F3"/>
    <w:rsid w:val="00AE2ECB"/>
    <w:rsid w:val="00B9771A"/>
    <w:rsid w:val="00C05046"/>
    <w:rsid w:val="00C43759"/>
    <w:rsid w:val="00C65D00"/>
    <w:rsid w:val="00C66B8B"/>
    <w:rsid w:val="00C86D63"/>
    <w:rsid w:val="00C931F9"/>
    <w:rsid w:val="00CD31DC"/>
    <w:rsid w:val="00D74D17"/>
    <w:rsid w:val="00D9727F"/>
    <w:rsid w:val="00DC4724"/>
    <w:rsid w:val="00DF0597"/>
    <w:rsid w:val="00DF7308"/>
    <w:rsid w:val="00E06EBE"/>
    <w:rsid w:val="00E678FF"/>
    <w:rsid w:val="00EB12CA"/>
    <w:rsid w:val="00ED796C"/>
    <w:rsid w:val="00F524E7"/>
    <w:rsid w:val="00F746F5"/>
    <w:rsid w:val="00FA6F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B78A16"/>
  <w15:chartTrackingRefBased/>
  <w15:docId w15:val="{A8ECA5BC-BF32-4D43-AC98-56898A1D8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F730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paragraph">
    <w:name w:val="listparagraph"/>
    <w:basedOn w:val="Normal"/>
    <w:rsid w:val="00DF730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5A6677"/>
    <w:rPr>
      <w:sz w:val="16"/>
      <w:szCs w:val="16"/>
    </w:rPr>
  </w:style>
  <w:style w:type="paragraph" w:styleId="CommentText">
    <w:name w:val="annotation text"/>
    <w:basedOn w:val="Normal"/>
    <w:link w:val="CommentTextChar"/>
    <w:uiPriority w:val="99"/>
    <w:semiHidden/>
    <w:unhideWhenUsed/>
    <w:rsid w:val="005A6677"/>
    <w:pPr>
      <w:spacing w:line="240" w:lineRule="auto"/>
    </w:pPr>
    <w:rPr>
      <w:sz w:val="20"/>
      <w:szCs w:val="20"/>
    </w:rPr>
  </w:style>
  <w:style w:type="character" w:customStyle="1" w:styleId="CommentTextChar">
    <w:name w:val="Comment Text Char"/>
    <w:basedOn w:val="DefaultParagraphFont"/>
    <w:link w:val="CommentText"/>
    <w:uiPriority w:val="99"/>
    <w:semiHidden/>
    <w:rsid w:val="005A6677"/>
    <w:rPr>
      <w:sz w:val="20"/>
      <w:szCs w:val="20"/>
    </w:rPr>
  </w:style>
  <w:style w:type="paragraph" w:styleId="CommentSubject">
    <w:name w:val="annotation subject"/>
    <w:basedOn w:val="CommentText"/>
    <w:next w:val="CommentText"/>
    <w:link w:val="CommentSubjectChar"/>
    <w:uiPriority w:val="99"/>
    <w:semiHidden/>
    <w:unhideWhenUsed/>
    <w:rsid w:val="005A6677"/>
    <w:rPr>
      <w:b/>
      <w:bCs/>
    </w:rPr>
  </w:style>
  <w:style w:type="character" w:customStyle="1" w:styleId="CommentSubjectChar">
    <w:name w:val="Comment Subject Char"/>
    <w:basedOn w:val="CommentTextChar"/>
    <w:link w:val="CommentSubject"/>
    <w:uiPriority w:val="99"/>
    <w:semiHidden/>
    <w:rsid w:val="005A6677"/>
    <w:rPr>
      <w:b/>
      <w:bCs/>
      <w:sz w:val="20"/>
      <w:szCs w:val="20"/>
    </w:rPr>
  </w:style>
  <w:style w:type="paragraph" w:styleId="BalloonText">
    <w:name w:val="Balloon Text"/>
    <w:basedOn w:val="Normal"/>
    <w:link w:val="BalloonTextChar"/>
    <w:uiPriority w:val="99"/>
    <w:semiHidden/>
    <w:unhideWhenUsed/>
    <w:rsid w:val="005A66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677"/>
    <w:rPr>
      <w:rFonts w:ascii="Segoe UI" w:hAnsi="Segoe UI" w:cs="Segoe UI"/>
      <w:sz w:val="18"/>
      <w:szCs w:val="18"/>
    </w:rPr>
  </w:style>
  <w:style w:type="character" w:styleId="Hyperlink">
    <w:name w:val="Hyperlink"/>
    <w:basedOn w:val="DefaultParagraphFont"/>
    <w:uiPriority w:val="99"/>
    <w:unhideWhenUsed/>
    <w:rsid w:val="009454D9"/>
    <w:rPr>
      <w:color w:val="0563C1" w:themeColor="hyperlink"/>
      <w:u w:val="single"/>
    </w:rPr>
  </w:style>
  <w:style w:type="character" w:styleId="UnresolvedMention">
    <w:name w:val="Unresolved Mention"/>
    <w:basedOn w:val="DefaultParagraphFont"/>
    <w:uiPriority w:val="99"/>
    <w:semiHidden/>
    <w:unhideWhenUsed/>
    <w:rsid w:val="009454D9"/>
    <w:rPr>
      <w:color w:val="605E5C"/>
      <w:shd w:val="clear" w:color="auto" w:fill="E1DFDD"/>
    </w:rPr>
  </w:style>
  <w:style w:type="paragraph" w:styleId="Header">
    <w:name w:val="header"/>
    <w:basedOn w:val="Normal"/>
    <w:link w:val="HeaderChar"/>
    <w:uiPriority w:val="99"/>
    <w:unhideWhenUsed/>
    <w:rsid w:val="004123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2317"/>
  </w:style>
  <w:style w:type="paragraph" w:styleId="Footer">
    <w:name w:val="footer"/>
    <w:basedOn w:val="Normal"/>
    <w:link w:val="FooterChar"/>
    <w:uiPriority w:val="99"/>
    <w:unhideWhenUsed/>
    <w:rsid w:val="004123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2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02863">
      <w:bodyDiv w:val="1"/>
      <w:marLeft w:val="0"/>
      <w:marRight w:val="0"/>
      <w:marTop w:val="0"/>
      <w:marBottom w:val="0"/>
      <w:divBdr>
        <w:top w:val="none" w:sz="0" w:space="0" w:color="auto"/>
        <w:left w:val="none" w:sz="0" w:space="0" w:color="auto"/>
        <w:bottom w:val="none" w:sz="0" w:space="0" w:color="auto"/>
        <w:right w:val="none" w:sz="0" w:space="0" w:color="auto"/>
      </w:divBdr>
      <w:divsChild>
        <w:div w:id="1245148928">
          <w:marLeft w:val="360"/>
          <w:marRight w:val="0"/>
          <w:marTop w:val="120"/>
          <w:marBottom w:val="0"/>
          <w:divBdr>
            <w:top w:val="none" w:sz="0" w:space="0" w:color="auto"/>
            <w:left w:val="none" w:sz="0" w:space="0" w:color="auto"/>
            <w:bottom w:val="none" w:sz="0" w:space="0" w:color="auto"/>
            <w:right w:val="none" w:sz="0" w:space="0" w:color="auto"/>
          </w:divBdr>
        </w:div>
        <w:div w:id="1437284163">
          <w:marLeft w:val="360"/>
          <w:marRight w:val="0"/>
          <w:marTop w:val="0"/>
          <w:marBottom w:val="120"/>
          <w:divBdr>
            <w:top w:val="none" w:sz="0" w:space="0" w:color="auto"/>
            <w:left w:val="none" w:sz="0" w:space="0" w:color="auto"/>
            <w:bottom w:val="none" w:sz="0" w:space="0" w:color="auto"/>
            <w:right w:val="none" w:sz="0" w:space="0" w:color="auto"/>
          </w:divBdr>
        </w:div>
        <w:div w:id="329255908">
          <w:marLeft w:val="360"/>
          <w:marRight w:val="0"/>
          <w:marTop w:val="120"/>
          <w:marBottom w:val="0"/>
          <w:divBdr>
            <w:top w:val="none" w:sz="0" w:space="0" w:color="auto"/>
            <w:left w:val="none" w:sz="0" w:space="0" w:color="auto"/>
            <w:bottom w:val="none" w:sz="0" w:space="0" w:color="auto"/>
            <w:right w:val="none" w:sz="0" w:space="0" w:color="auto"/>
          </w:divBdr>
        </w:div>
        <w:div w:id="1209302368">
          <w:marLeft w:val="360"/>
          <w:marRight w:val="0"/>
          <w:marTop w:val="0"/>
          <w:marBottom w:val="120"/>
          <w:divBdr>
            <w:top w:val="none" w:sz="0" w:space="0" w:color="auto"/>
            <w:left w:val="none" w:sz="0" w:space="0" w:color="auto"/>
            <w:bottom w:val="none" w:sz="0" w:space="0" w:color="auto"/>
            <w:right w:val="none" w:sz="0" w:space="0" w:color="auto"/>
          </w:divBdr>
        </w:div>
      </w:divsChild>
    </w:div>
    <w:div w:id="59526144">
      <w:bodyDiv w:val="1"/>
      <w:marLeft w:val="0"/>
      <w:marRight w:val="0"/>
      <w:marTop w:val="0"/>
      <w:marBottom w:val="0"/>
      <w:divBdr>
        <w:top w:val="none" w:sz="0" w:space="0" w:color="auto"/>
        <w:left w:val="none" w:sz="0" w:space="0" w:color="auto"/>
        <w:bottom w:val="none" w:sz="0" w:space="0" w:color="auto"/>
        <w:right w:val="none" w:sz="0" w:space="0" w:color="auto"/>
      </w:divBdr>
    </w:div>
    <w:div w:id="1246844347">
      <w:bodyDiv w:val="1"/>
      <w:marLeft w:val="0"/>
      <w:marRight w:val="0"/>
      <w:marTop w:val="0"/>
      <w:marBottom w:val="0"/>
      <w:divBdr>
        <w:top w:val="none" w:sz="0" w:space="0" w:color="auto"/>
        <w:left w:val="none" w:sz="0" w:space="0" w:color="auto"/>
        <w:bottom w:val="none" w:sz="0" w:space="0" w:color="auto"/>
        <w:right w:val="none" w:sz="0" w:space="0" w:color="auto"/>
      </w:divBdr>
      <w:divsChild>
        <w:div w:id="499320951">
          <w:marLeft w:val="0"/>
          <w:marRight w:val="0"/>
          <w:marTop w:val="0"/>
          <w:marBottom w:val="0"/>
          <w:divBdr>
            <w:top w:val="none" w:sz="0" w:space="0" w:color="auto"/>
            <w:left w:val="none" w:sz="0" w:space="0" w:color="auto"/>
            <w:bottom w:val="none" w:sz="0" w:space="0" w:color="auto"/>
            <w:right w:val="none" w:sz="0" w:space="0" w:color="auto"/>
          </w:divBdr>
          <w:divsChild>
            <w:div w:id="180481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32058">
      <w:bodyDiv w:val="1"/>
      <w:marLeft w:val="0"/>
      <w:marRight w:val="0"/>
      <w:marTop w:val="0"/>
      <w:marBottom w:val="0"/>
      <w:divBdr>
        <w:top w:val="none" w:sz="0" w:space="0" w:color="auto"/>
        <w:left w:val="none" w:sz="0" w:space="0" w:color="auto"/>
        <w:bottom w:val="none" w:sz="0" w:space="0" w:color="auto"/>
        <w:right w:val="none" w:sz="0" w:space="0" w:color="auto"/>
      </w:divBdr>
    </w:div>
    <w:div w:id="169622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1066</Words>
  <Characters>6078</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 Alexander</dc:creator>
  <cp:keywords/>
  <dc:description/>
  <cp:lastModifiedBy>MACKENZIE, Tom</cp:lastModifiedBy>
  <cp:revision>2</cp:revision>
  <dcterms:created xsi:type="dcterms:W3CDTF">2024-07-25T00:55:00Z</dcterms:created>
  <dcterms:modified xsi:type="dcterms:W3CDTF">2024-07-25T00:55:00Z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0x01010090E814B380E74B41B976DEF5EB851DCD</vt:lpwstr>
  </property>
</Properties>
</file>