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26CA" w14:textId="77777777" w:rsidR="00FB640B" w:rsidRPr="008B24C8" w:rsidRDefault="0057002B" w:rsidP="00BB0CF2">
      <w:pPr>
        <w:pStyle w:val="ESTitleHeader"/>
      </w:pPr>
      <w:bookmarkStart w:id="0" w:name="_GoBack"/>
      <w:bookmarkEnd w:id="0"/>
      <w:r w:rsidRPr="008B24C8">
        <w:t>EXPLANATORY STATEMENT</w:t>
      </w:r>
    </w:p>
    <w:p w14:paraId="44ADEA27" w14:textId="77777777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AF75F0">
        <w:t>Minister for Immigration, Citizenship and Multicultural Affairs</w:t>
      </w:r>
    </w:p>
    <w:p w14:paraId="5EFCB1AF" w14:textId="77777777" w:rsidR="0057002B" w:rsidRPr="008B24C8" w:rsidRDefault="00AF75F0" w:rsidP="00BB0CF2">
      <w:pPr>
        <w:pStyle w:val="ESTitleEnablingLegislation"/>
      </w:pPr>
      <w:r>
        <w:t>Migration Regulations 1994</w:t>
      </w:r>
    </w:p>
    <w:p w14:paraId="1F396669" w14:textId="76576863" w:rsidR="0057002B" w:rsidRPr="008B24C8" w:rsidRDefault="00AF75F0" w:rsidP="00BB0CF2">
      <w:pPr>
        <w:pStyle w:val="ESTitleInstrumentName"/>
      </w:pPr>
      <w:r>
        <w:t>Migration (Arrangements for Bridging visa applications) Amendment Instrument</w:t>
      </w:r>
      <w:r w:rsidR="00E46328">
        <w:t xml:space="preserve"> (LIN 24/045</w:t>
      </w:r>
      <w:r w:rsidR="008A0BB3">
        <w:t>)</w:t>
      </w:r>
      <w:r w:rsidR="00E46328">
        <w:t xml:space="preserve"> 2024</w:t>
      </w:r>
    </w:p>
    <w:p w14:paraId="781A89D5" w14:textId="7F5DFAFF" w:rsidR="0057002B" w:rsidRPr="008B24C8" w:rsidRDefault="0057002B" w:rsidP="002D167E">
      <w:pPr>
        <w:pStyle w:val="ESPara"/>
      </w:pPr>
      <w:r w:rsidRPr="008B24C8">
        <w:t>The inst</w:t>
      </w:r>
      <w:r w:rsidR="00AF75F0">
        <w:t xml:space="preserve">rument, </w:t>
      </w:r>
      <w:r w:rsidR="00F769A7">
        <w:t>d</w:t>
      </w:r>
      <w:r w:rsidR="00E46328">
        <w:t>epartmental reference LIN 24/045</w:t>
      </w:r>
      <w:r w:rsidR="00AF75F0">
        <w:t>, is made under subregulation 2.07(5)</w:t>
      </w:r>
      <w:r w:rsidRPr="008B24C8">
        <w:t xml:space="preserve"> of the </w:t>
      </w:r>
      <w:r w:rsidRPr="008B24C8">
        <w:rPr>
          <w:i/>
        </w:rPr>
        <w:t>Migration Regulations 1994</w:t>
      </w:r>
      <w:r w:rsidR="00AF75F0">
        <w:t xml:space="preserve"> (the </w:t>
      </w:r>
      <w:r w:rsidR="009C2525">
        <w:t xml:space="preserve">Migration </w:t>
      </w:r>
      <w:r w:rsidR="00AF75F0">
        <w:t>Regulations)</w:t>
      </w:r>
      <w:r w:rsidRPr="008B24C8">
        <w:t xml:space="preserve">.  </w:t>
      </w:r>
    </w:p>
    <w:p w14:paraId="2D26995B" w14:textId="63A812A0" w:rsidR="00EA12C9" w:rsidRPr="008B24C8" w:rsidRDefault="00EA12C9" w:rsidP="002D167E">
      <w:pPr>
        <w:pStyle w:val="ESPara"/>
      </w:pPr>
      <w:r w:rsidRPr="008B24C8">
        <w:t>The instrument</w:t>
      </w:r>
      <w:r w:rsidR="00AF75F0">
        <w:t xml:space="preserve"> amends</w:t>
      </w:r>
      <w:r w:rsidRPr="008B24C8">
        <w:t xml:space="preserve"> </w:t>
      </w:r>
      <w:r w:rsidR="00AF75F0" w:rsidRPr="00AF75F0">
        <w:rPr>
          <w:i/>
        </w:rPr>
        <w:t>Migration (Arrangements for Bridging visa applications) Instrument (LIN</w:t>
      </w:r>
      <w:r w:rsidR="00AA5961">
        <w:rPr>
          <w:i/>
        </w:rPr>
        <w:t> </w:t>
      </w:r>
      <w:r w:rsidR="00AF75F0" w:rsidRPr="00AF75F0">
        <w:rPr>
          <w:i/>
        </w:rPr>
        <w:t>21/045) 2021</w:t>
      </w:r>
      <w:r w:rsidR="00AF75F0">
        <w:t xml:space="preserve"> (F2023C00227) (LIN 21/045)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="00BD598E" w:rsidRPr="008B24C8">
        <w:rPr>
          <w:i/>
        </w:rPr>
        <w:t xml:space="preserve"> </w:t>
      </w:r>
      <w:r w:rsidR="00BD598E" w:rsidRPr="008B24C8">
        <w:t>(the Acts Interpretation Act)</w:t>
      </w:r>
      <w:r w:rsidRPr="008B24C8">
        <w:t xml:space="preserve">.  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AF75F0">
        <w:t xml:space="preserve">. </w:t>
      </w:r>
      <w:r w:rsidR="00AA5961">
        <w:t xml:space="preserve"> </w:t>
      </w:r>
    </w:p>
    <w:p w14:paraId="3CD5FDF8" w14:textId="54D08061" w:rsidR="00BD598E" w:rsidRPr="008B24C8" w:rsidRDefault="00AF75F0" w:rsidP="002D167E">
      <w:pPr>
        <w:pStyle w:val="ESPara"/>
      </w:pPr>
      <w:r>
        <w:t>The instrument commences on the day after it is registered</w:t>
      </w:r>
      <w:r w:rsidR="00F769A7">
        <w:t xml:space="preserve">. It </w:t>
      </w:r>
      <w:r w:rsidR="00AA4557">
        <w:t>i</w:t>
      </w:r>
      <w:r w:rsidR="00BD598E" w:rsidRPr="008B24C8">
        <w:t xml:space="preserve">s a </w:t>
      </w:r>
      <w:r w:rsidR="00AA4557"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BD598E" w:rsidRPr="008B24C8">
        <w:t xml:space="preserve">.  </w:t>
      </w:r>
    </w:p>
    <w:p w14:paraId="787CD8A0" w14:textId="77777777" w:rsidR="00EA12C9" w:rsidRPr="007C4F40" w:rsidRDefault="00BD598E" w:rsidP="00100DFC">
      <w:pPr>
        <w:pStyle w:val="ESHeading"/>
      </w:pPr>
      <w:r w:rsidRPr="007C4F40">
        <w:t>Purpose</w:t>
      </w:r>
    </w:p>
    <w:p w14:paraId="23D6DA7F" w14:textId="77777777" w:rsidR="007471CB" w:rsidRDefault="007471CB" w:rsidP="001A1663">
      <w:pPr>
        <w:pStyle w:val="ESPara"/>
      </w:pPr>
      <w:r>
        <w:t>Subregulation 2.07(5) of the Migration Regulations provides that if an item of Schedule 1 to the Migration Regulations prescribes criteria or requirements by reference to a legislative instrument made under subregulation 2.07(5), the Minister may specify:</w:t>
      </w:r>
    </w:p>
    <w:p w14:paraId="0488EFB7" w14:textId="77777777" w:rsidR="007471CB" w:rsidRDefault="007471CB" w:rsidP="007471CB">
      <w:pPr>
        <w:pStyle w:val="ESSubparaList"/>
      </w:pPr>
      <w:r>
        <w:t>An approved form for making an application for a visa of a specified class;</w:t>
      </w:r>
    </w:p>
    <w:p w14:paraId="1460EE17" w14:textId="77777777" w:rsidR="007471CB" w:rsidRDefault="007471CB" w:rsidP="007471CB">
      <w:pPr>
        <w:pStyle w:val="ESSubparaList"/>
      </w:pPr>
      <w:r>
        <w:t>The way in which an application for a visa of a specified class must be made;</w:t>
      </w:r>
    </w:p>
    <w:p w14:paraId="659A9B14" w14:textId="77777777" w:rsidR="007471CB" w:rsidRDefault="007471CB" w:rsidP="007471CB">
      <w:pPr>
        <w:pStyle w:val="ESSubparaList"/>
      </w:pPr>
      <w:r>
        <w:t>The place at which an application for a visa of a specified class must be made;</w:t>
      </w:r>
    </w:p>
    <w:p w14:paraId="773C4D57" w14:textId="77777777" w:rsidR="007471CB" w:rsidRDefault="007471CB" w:rsidP="007471CB">
      <w:pPr>
        <w:pStyle w:val="ESSubparaList"/>
      </w:pPr>
      <w:r>
        <w:t>Any other matter.</w:t>
      </w:r>
    </w:p>
    <w:p w14:paraId="3F804ED3" w14:textId="4BE7F6C2" w:rsidR="0005720A" w:rsidRDefault="004D52FB" w:rsidP="001A1663">
      <w:pPr>
        <w:pStyle w:val="ESSubparaHeader"/>
        <w:keepNext w:val="0"/>
      </w:pPr>
      <w:r>
        <w:t>The purpose</w:t>
      </w:r>
      <w:r w:rsidR="008B60BD">
        <w:t xml:space="preserve"> </w:t>
      </w:r>
      <w:r>
        <w:t xml:space="preserve">of this instrument </w:t>
      </w:r>
      <w:r w:rsidR="00DC0FE8">
        <w:t>is</w:t>
      </w:r>
      <w:r>
        <w:t xml:space="preserve"> to </w:t>
      </w:r>
      <w:r w:rsidR="007471CB">
        <w:t>amend</w:t>
      </w:r>
      <w:r>
        <w:t xml:space="preserve"> </w:t>
      </w:r>
      <w:r w:rsidR="00992816">
        <w:t>LIN</w:t>
      </w:r>
      <w:r w:rsidR="00AA5961">
        <w:t> </w:t>
      </w:r>
      <w:r w:rsidR="00DC0FE8">
        <w:t>21/045</w:t>
      </w:r>
      <w:r w:rsidR="00992816">
        <w:t xml:space="preserve"> to </w:t>
      </w:r>
      <w:r w:rsidR="00CB2AE0">
        <w:t>provide that an application</w:t>
      </w:r>
      <w:r w:rsidR="00992816">
        <w:t xml:space="preserve"> for a Bridging D (Class WD)</w:t>
      </w:r>
      <w:r w:rsidR="006D3E97">
        <w:t xml:space="preserve"> visa</w:t>
      </w:r>
      <w:r w:rsidR="00076066">
        <w:t xml:space="preserve"> (BVD)</w:t>
      </w:r>
      <w:r w:rsidR="00CB2AE0">
        <w:t xml:space="preserve"> using paper form 1007 </w:t>
      </w:r>
      <w:r w:rsidR="00213F64">
        <w:t xml:space="preserve">and an application for a Bridging E (Class WE) visa (BVE) using paper form 1008 </w:t>
      </w:r>
      <w:r w:rsidR="00CB2AE0">
        <w:t xml:space="preserve">must </w:t>
      </w:r>
      <w:r w:rsidR="00992816">
        <w:t>not be made</w:t>
      </w:r>
      <w:r w:rsidR="006F1E68">
        <w:t xml:space="preserve"> </w:t>
      </w:r>
      <w:r w:rsidR="00992816">
        <w:t xml:space="preserve">by any electronic means, including by fax or email. </w:t>
      </w:r>
    </w:p>
    <w:p w14:paraId="1D59EBAE" w14:textId="1258E82F" w:rsidR="00EF78ED" w:rsidRDefault="00F12317" w:rsidP="001A1663">
      <w:pPr>
        <w:pStyle w:val="ESSubparaHeader"/>
        <w:keepNext w:val="0"/>
      </w:pPr>
      <w:r>
        <w:t>Paper</w:t>
      </w:r>
      <w:r w:rsidR="00EF78ED">
        <w:t xml:space="preserve"> form 1005 for a </w:t>
      </w:r>
      <w:r w:rsidR="006D3E97">
        <w:t>BVE</w:t>
      </w:r>
      <w:r w:rsidR="00EF78ED">
        <w:t xml:space="preserve"> </w:t>
      </w:r>
      <w:r w:rsidR="00ED7B82">
        <w:t>i</w:t>
      </w:r>
      <w:r>
        <w:t>s</w:t>
      </w:r>
      <w:r w:rsidR="00ED7B82">
        <w:t xml:space="preserve"> </w:t>
      </w:r>
      <w:r>
        <w:t>removed from Schedule 1</w:t>
      </w:r>
      <w:r w:rsidR="00D87497">
        <w:t xml:space="preserve"> to LIN 21/045</w:t>
      </w:r>
      <w:r>
        <w:t xml:space="preserve"> to streamline form options for </w:t>
      </w:r>
      <w:r w:rsidR="00ED7B82">
        <w:t>BVE</w:t>
      </w:r>
      <w:r>
        <w:t>s</w:t>
      </w:r>
      <w:r w:rsidR="001A1663">
        <w:t>.</w:t>
      </w:r>
      <w:r>
        <w:t xml:space="preserve"> </w:t>
      </w:r>
    </w:p>
    <w:p w14:paraId="1DB32577" w14:textId="77777777" w:rsidR="00F12317" w:rsidRPr="007C4F40" w:rsidRDefault="00F12317" w:rsidP="001A1663">
      <w:pPr>
        <w:pStyle w:val="ESHeading"/>
        <w:keepNext w:val="0"/>
      </w:pPr>
      <w:r>
        <w:t>Consultation</w:t>
      </w:r>
    </w:p>
    <w:p w14:paraId="7CB102FE" w14:textId="27648B2A" w:rsidR="003A0BCD" w:rsidRDefault="007C4F40" w:rsidP="001A1663">
      <w:pPr>
        <w:pStyle w:val="ESSubparaHeader"/>
        <w:keepNext w:val="0"/>
      </w:pPr>
      <w:r>
        <w:t xml:space="preserve">No consultation was </w:t>
      </w:r>
      <w:r w:rsidR="008B5F62">
        <w:t>undertaken in relation to</w:t>
      </w:r>
      <w:r>
        <w:t xml:space="preserve"> this instrument. This is because it concerns matters of an administrative nature. </w:t>
      </w:r>
    </w:p>
    <w:p w14:paraId="2DCCD664" w14:textId="397C071E" w:rsidR="003A0BCD" w:rsidRDefault="007C4F40" w:rsidP="001A1663">
      <w:pPr>
        <w:pStyle w:val="ESSubparaHeader"/>
        <w:keepNext w:val="0"/>
      </w:pPr>
      <w:r>
        <w:t xml:space="preserve">The Office of Impact Analysis (OIA) was consulted </w:t>
      </w:r>
      <w:r w:rsidR="00646B83">
        <w:t xml:space="preserve">and considered that the instrument dealt with matters of a minor or machinery nature and no impact analysis was required. The OIA reference number is </w:t>
      </w:r>
      <w:r w:rsidR="008E10D3">
        <w:t xml:space="preserve">OBPR22-03227.  </w:t>
      </w:r>
    </w:p>
    <w:p w14:paraId="6DE31D04" w14:textId="77777777" w:rsidR="00AF6A92" w:rsidRPr="007C4F40" w:rsidRDefault="00AF6A92" w:rsidP="001A1663">
      <w:pPr>
        <w:pStyle w:val="ESHeading"/>
        <w:keepNext w:val="0"/>
      </w:pPr>
      <w:r w:rsidRPr="007C4F40">
        <w:lastRenderedPageBreak/>
        <w:t>Details of the instrument</w:t>
      </w:r>
    </w:p>
    <w:p w14:paraId="3CDD2401" w14:textId="77777777" w:rsidR="00AF6A92" w:rsidRPr="007C4F40" w:rsidRDefault="00AF6A92" w:rsidP="001A1663">
      <w:pPr>
        <w:pStyle w:val="ESSubparaHeader"/>
        <w:keepNext w:val="0"/>
      </w:pPr>
      <w:r w:rsidRPr="007C4F40">
        <w:t xml:space="preserve">Section 1 sets out the name of the instrument. </w:t>
      </w:r>
    </w:p>
    <w:p w14:paraId="0ABB1674" w14:textId="77777777" w:rsidR="00AF6A92" w:rsidRPr="007C4F40" w:rsidRDefault="00AF6A92" w:rsidP="001A1663">
      <w:pPr>
        <w:pStyle w:val="ESSubparaHeader"/>
        <w:keepNext w:val="0"/>
      </w:pPr>
      <w:r w:rsidRPr="007C4F40">
        <w:t>Section</w:t>
      </w:r>
      <w:r w:rsidR="00710E84" w:rsidRPr="007C4F40">
        <w:t xml:space="preserve"> 2</w:t>
      </w:r>
      <w:r w:rsidRPr="007C4F40">
        <w:t xml:space="preserve"> provides that the instrument commences </w:t>
      </w:r>
      <w:r w:rsidR="00710E84" w:rsidRPr="007C4F40">
        <w:t xml:space="preserve">the day after registration. </w:t>
      </w:r>
    </w:p>
    <w:p w14:paraId="46591CAF" w14:textId="6912391F" w:rsidR="00710E84" w:rsidRDefault="00710E84" w:rsidP="001A1663">
      <w:pPr>
        <w:pStyle w:val="ESSubparaHeader"/>
        <w:keepNext w:val="0"/>
      </w:pPr>
      <w:r w:rsidRPr="007C4F40">
        <w:t xml:space="preserve">Section 3 provides </w:t>
      </w:r>
      <w:r w:rsidR="00D87497">
        <w:t>that</w:t>
      </w:r>
      <w:r w:rsidR="003C0A63">
        <w:t xml:space="preserve"> the instrument </w:t>
      </w:r>
      <w:r w:rsidR="00F63C84">
        <w:t xml:space="preserve">is </w:t>
      </w:r>
      <w:r w:rsidR="003C0A63">
        <w:t>made under</w:t>
      </w:r>
      <w:r w:rsidR="00F63C84">
        <w:t xml:space="preserve"> subregulation 2.07(5) of the </w:t>
      </w:r>
      <w:r w:rsidR="00F63C84" w:rsidRPr="00F63C84">
        <w:rPr>
          <w:i/>
        </w:rPr>
        <w:t>Migration Regulations 1994</w:t>
      </w:r>
      <w:r w:rsidR="00F63C84">
        <w:t xml:space="preserve"> (the </w:t>
      </w:r>
      <w:r w:rsidR="00A21F2A">
        <w:t xml:space="preserve">Migration </w:t>
      </w:r>
      <w:r w:rsidR="00F63C84">
        <w:t>Regulations).</w:t>
      </w:r>
      <w:r w:rsidRPr="007C4F40">
        <w:t xml:space="preserve"> </w:t>
      </w:r>
    </w:p>
    <w:p w14:paraId="6AE86D4D" w14:textId="3471A01C" w:rsidR="00F63C84" w:rsidRPr="00F63C84" w:rsidRDefault="00B64AD8" w:rsidP="00F63C84">
      <w:pPr>
        <w:pStyle w:val="ESSubparaHeader"/>
      </w:pPr>
      <w:r>
        <w:t>Section 4 provides</w:t>
      </w:r>
      <w:r w:rsidR="00F63C84">
        <w:t xml:space="preserve"> what the following Schedules will amend or repeal.</w:t>
      </w:r>
    </w:p>
    <w:p w14:paraId="749F07A1" w14:textId="550C0F27" w:rsidR="00CC704C" w:rsidRDefault="00B64AD8" w:rsidP="00CC704C">
      <w:pPr>
        <w:pStyle w:val="ESSubparaHeader"/>
        <w:keepNext w:val="0"/>
      </w:pPr>
      <w:r>
        <w:t>Item 1 of Schedule 1 to the instrument inserts subsection 4(7) after subsection 4(6) of LIN 21/0</w:t>
      </w:r>
      <w:r w:rsidR="009316AD">
        <w:t xml:space="preserve">45. The new subsection specifies that form 866 is </w:t>
      </w:r>
      <w:r w:rsidR="00D87497">
        <w:t xml:space="preserve">an approved form for </w:t>
      </w:r>
      <w:r w:rsidR="009316AD">
        <w:t xml:space="preserve">an application for a BVE except where the applicant is the holder of a Subclass 785 (Temporary Protection) visa or a Subclass 790 (Safe Haven Enterprise) visa. </w:t>
      </w:r>
    </w:p>
    <w:p w14:paraId="21A23865" w14:textId="37EABDD6" w:rsidR="00CC704C" w:rsidRPr="00CC704C" w:rsidRDefault="00CC704C" w:rsidP="00CC704C">
      <w:pPr>
        <w:pStyle w:val="ESSubparaHeader"/>
      </w:pPr>
      <w:r>
        <w:t xml:space="preserve">Item 2 of Schedule 2 to the instrument </w:t>
      </w:r>
      <w:r w:rsidR="00691A7C">
        <w:t xml:space="preserve">substitutes the note after section 5 of LIN 21/045 </w:t>
      </w:r>
      <w:r w:rsidR="00D87497">
        <w:t xml:space="preserve">so as to insert </w:t>
      </w:r>
      <w:r w:rsidR="00691A7C">
        <w:t xml:space="preserve">an additional note. </w:t>
      </w:r>
      <w:r w:rsidR="00D87497">
        <w:t xml:space="preserve">Note 1 is identical to the previous note, and states that regulation 2.10C of the Migration Regulations provides for the time of making an internet application. </w:t>
      </w:r>
      <w:r w:rsidR="00691A7C">
        <w:t xml:space="preserve">Note 2 is inserted to clarify that no conflict exists between subregulation 2.10(3) of the </w:t>
      </w:r>
      <w:r w:rsidR="00A21F2A">
        <w:t xml:space="preserve">Migration </w:t>
      </w:r>
      <w:r w:rsidR="00691A7C">
        <w:t>Regulations</w:t>
      </w:r>
      <w:r w:rsidR="00691A7C" w:rsidRPr="00691A7C">
        <w:t xml:space="preserve"> </w:t>
      </w:r>
      <w:r w:rsidR="00691A7C">
        <w:t xml:space="preserve">where an unlawful non-citizen may submit a </w:t>
      </w:r>
      <w:r w:rsidR="00D87497">
        <w:t>bridging visa (</w:t>
      </w:r>
      <w:r w:rsidR="00691A7C">
        <w:t>BV</w:t>
      </w:r>
      <w:r w:rsidR="00D87497">
        <w:t>)</w:t>
      </w:r>
      <w:r w:rsidR="00691A7C">
        <w:t xml:space="preserve"> application directly to an officer, if located</w:t>
      </w:r>
      <w:r w:rsidR="00D87497">
        <w:t>;</w:t>
      </w:r>
      <w:r w:rsidR="00691A7C">
        <w:t xml:space="preserve"> and LIN 21/045, where the instrument provides applicants for a BV must submit application in a certain way. However, an applicant is not prevented from making an application in the way allowed for </w:t>
      </w:r>
      <w:r w:rsidR="00D87497">
        <w:t xml:space="preserve">under </w:t>
      </w:r>
      <w:r w:rsidR="00691A7C">
        <w:t xml:space="preserve">subregulation 2.10(3) of the </w:t>
      </w:r>
      <w:r w:rsidR="00A21F2A">
        <w:t xml:space="preserve">Migration </w:t>
      </w:r>
      <w:r w:rsidR="00691A7C">
        <w:t xml:space="preserve">Regulations. </w:t>
      </w:r>
    </w:p>
    <w:p w14:paraId="63AE366C" w14:textId="1ED86DC4" w:rsidR="00710E84" w:rsidRDefault="00710E84" w:rsidP="001A1663">
      <w:pPr>
        <w:pStyle w:val="ESSubparaHeader"/>
        <w:keepNext w:val="0"/>
      </w:pPr>
      <w:r w:rsidRPr="007C4F40">
        <w:t>I</w:t>
      </w:r>
      <w:r w:rsidR="00822340">
        <w:t>tem 3</w:t>
      </w:r>
      <w:r w:rsidRPr="007C4F40">
        <w:t xml:space="preserve"> of Schedule 1 to the in</w:t>
      </w:r>
      <w:r w:rsidR="00804C52" w:rsidRPr="007C4F40">
        <w:t>strument substitutes section 6</w:t>
      </w:r>
      <w:r w:rsidR="0039225E" w:rsidRPr="007C4F40">
        <w:t xml:space="preserve"> of LIN 21/045</w:t>
      </w:r>
      <w:r w:rsidR="009C7B3B">
        <w:t xml:space="preserve">. New </w:t>
      </w:r>
      <w:r w:rsidR="00822340">
        <w:t>paragraph 6(a</w:t>
      </w:r>
      <w:r w:rsidR="009C7B3B">
        <w:t xml:space="preserve">) provides that an application for a BVD using paper form 1007 must not be made by any electronic means, including </w:t>
      </w:r>
      <w:r w:rsidR="00C51DEF">
        <w:t>fax or email</w:t>
      </w:r>
      <w:r w:rsidR="009C7B3B">
        <w:t>. New</w:t>
      </w:r>
      <w:r w:rsidR="00804C52" w:rsidRPr="007C4F40">
        <w:t xml:space="preserve"> </w:t>
      </w:r>
      <w:r w:rsidR="00822340">
        <w:t>paragraph</w:t>
      </w:r>
      <w:r w:rsidR="00804C52" w:rsidRPr="007C4F40">
        <w:t xml:space="preserve"> 6(</w:t>
      </w:r>
      <w:r w:rsidR="00822340">
        <w:t>b</w:t>
      </w:r>
      <w:r w:rsidR="00804C52" w:rsidRPr="007C4F40">
        <w:t xml:space="preserve">) </w:t>
      </w:r>
      <w:r w:rsidR="009C7B3B">
        <w:t xml:space="preserve">provides that a BVD application using paper form 1007 may only be made </w:t>
      </w:r>
      <w:r w:rsidR="001A063C">
        <w:t xml:space="preserve">in person at an interview with an officer of Immigration, but not in immigration clearance (subparagraph 6(b)(i)), or by post to an office of Immigration in Australia (subparagraph 6(b)(ii)). </w:t>
      </w:r>
    </w:p>
    <w:p w14:paraId="1298E7BB" w14:textId="77777777" w:rsidR="005D0122" w:rsidRDefault="00822340" w:rsidP="00822340">
      <w:pPr>
        <w:pStyle w:val="ESSubparaHeader"/>
      </w:pPr>
      <w:r>
        <w:t xml:space="preserve">Item 4 of Schedule 1 to the instrument inserts section 7 after section 6 of LIN 21/045. New </w:t>
      </w:r>
      <w:r w:rsidR="00C51DEF">
        <w:t>paragraph 7(a) provides that an application for a BVE using paper form 1008 must not be made by any electronic means, including by fax or email. New paragraph 7(b) provides that a BVE application using paper form 1008 may only be made</w:t>
      </w:r>
      <w:r w:rsidR="005D0122">
        <w:t xml:space="preserve"> by one of the three following methods. </w:t>
      </w:r>
    </w:p>
    <w:p w14:paraId="72902215" w14:textId="14009AFD" w:rsidR="005D0122" w:rsidRDefault="00C51DEF" w:rsidP="00123914">
      <w:pPr>
        <w:pStyle w:val="ESSubparaList"/>
      </w:pPr>
      <w:r>
        <w:t xml:space="preserve"> for an applicant in immigration detention – by hand to an officer of Immigration (subparagraph 7(b)(i)), or </w:t>
      </w:r>
    </w:p>
    <w:p w14:paraId="0B8E5104" w14:textId="77777777" w:rsidR="005D0122" w:rsidRDefault="00C51DEF" w:rsidP="00123914">
      <w:pPr>
        <w:pStyle w:val="ESSubparaList"/>
      </w:pPr>
      <w:r>
        <w:t xml:space="preserve">in person at an interview with an officer of Immigration, but not in immigration clearance (subparagraph 7(b)(ii)), or </w:t>
      </w:r>
    </w:p>
    <w:p w14:paraId="2835A5E1" w14:textId="45E26658" w:rsidR="005D0122" w:rsidRDefault="00C51DEF" w:rsidP="00123914">
      <w:pPr>
        <w:pStyle w:val="ESSubparaList"/>
      </w:pPr>
      <w:r>
        <w:t>by post to an office of Immigration in Australia</w:t>
      </w:r>
      <w:r w:rsidR="00942CFB">
        <w:t xml:space="preserve"> (subparagraph 7(b)(iii))</w:t>
      </w:r>
      <w:r>
        <w:t xml:space="preserve">. </w:t>
      </w:r>
    </w:p>
    <w:p w14:paraId="57A4174B" w14:textId="7646918E" w:rsidR="00822340" w:rsidRPr="00822340" w:rsidRDefault="00C51DEF">
      <w:pPr>
        <w:pStyle w:val="ESSubparaHeader"/>
      </w:pPr>
      <w:r>
        <w:t xml:space="preserve">A note is inserted to </w:t>
      </w:r>
      <w:r w:rsidR="005D0122">
        <w:t xml:space="preserve">clarify that while subparagraph 7(b)(i) is limited to applicants in immigration detention, it is not intended to limit the methods available to an applicant in immigration detention. </w:t>
      </w:r>
      <w:r w:rsidR="005D0122">
        <w:lastRenderedPageBreak/>
        <w:t xml:space="preserve">Accordingly, the note states that </w:t>
      </w:r>
      <w:r>
        <w:t xml:space="preserve">subparagraphs 7(b)(ii) and (iii) apply to any applicant, including an applicant in immigration detention. </w:t>
      </w:r>
    </w:p>
    <w:p w14:paraId="2D6AA6B3" w14:textId="23436168" w:rsidR="00915032" w:rsidRPr="007C4F40" w:rsidRDefault="0044731D" w:rsidP="001A1663">
      <w:pPr>
        <w:pStyle w:val="ESSubparaHeader"/>
        <w:keepNext w:val="0"/>
      </w:pPr>
      <w:r w:rsidRPr="007C4F40">
        <w:t xml:space="preserve">Item </w:t>
      </w:r>
      <w:r w:rsidR="00822340">
        <w:t>5</w:t>
      </w:r>
      <w:r w:rsidR="00076066" w:rsidRPr="007C4F40">
        <w:t xml:space="preserve"> </w:t>
      </w:r>
      <w:r w:rsidRPr="007C4F40">
        <w:t xml:space="preserve">of Schedule 1 </w:t>
      </w:r>
      <w:r w:rsidR="00076066" w:rsidRPr="007C4F40">
        <w:t xml:space="preserve">to the instrument </w:t>
      </w:r>
      <w:r w:rsidRPr="007C4F40">
        <w:t>amends</w:t>
      </w:r>
      <w:r w:rsidR="009C7B3B">
        <w:t xml:space="preserve"> item 5 of</w:t>
      </w:r>
      <w:r w:rsidRPr="007C4F40">
        <w:t xml:space="preserve"> the table in Schedule 1</w:t>
      </w:r>
      <w:r w:rsidR="00C51DEF">
        <w:t xml:space="preserve"> to LIN </w:t>
      </w:r>
      <w:r w:rsidR="009C7B3B">
        <w:t>21/045</w:t>
      </w:r>
      <w:r w:rsidRPr="007C4F40">
        <w:t xml:space="preserve"> by removing paper form 1005</w:t>
      </w:r>
      <w:r w:rsidR="009C7B3B">
        <w:t xml:space="preserve"> as an approved form for an application for a BVE</w:t>
      </w:r>
      <w:r w:rsidRPr="007C4F40">
        <w:t xml:space="preserve">. </w:t>
      </w:r>
    </w:p>
    <w:p w14:paraId="637CDAEC" w14:textId="342BF1C8" w:rsidR="0039225E" w:rsidRPr="007C4F40" w:rsidRDefault="0039225E" w:rsidP="001A1663">
      <w:pPr>
        <w:pStyle w:val="ESHeading"/>
        <w:keepNext w:val="0"/>
      </w:pPr>
      <w:r w:rsidRPr="007C4F40">
        <w:t xml:space="preserve">Parliamentary scrutiny etc. </w:t>
      </w:r>
    </w:p>
    <w:p w14:paraId="47E784D9" w14:textId="674193AF" w:rsidR="0039225E" w:rsidRDefault="0039225E" w:rsidP="001A1663">
      <w:pPr>
        <w:pStyle w:val="ESSubparaHeader"/>
        <w:keepNext w:val="0"/>
      </w:pPr>
      <w:r w:rsidRPr="007C4F40">
        <w:t xml:space="preserve">The instrument is exempt from disallowance under section 42 of the Legislation Act. This is because it is an instrument made under </w:t>
      </w:r>
      <w:r>
        <w:t xml:space="preserve">subregulation 2.07(5) of the </w:t>
      </w:r>
      <w:r w:rsidR="00A21F2A">
        <w:t xml:space="preserve">Migration </w:t>
      </w:r>
      <w:r>
        <w:t>Regulations</w:t>
      </w:r>
      <w:r w:rsidR="00A21F2A">
        <w:t>. A legislative instrument made under Part 2 of the Migration Regulations</w:t>
      </w:r>
      <w:r>
        <w:t xml:space="preserve"> is exempt from disallowance under paragraph (b) of item 20 in section 10 of the </w:t>
      </w:r>
      <w:r w:rsidRPr="005E7129">
        <w:rPr>
          <w:i/>
        </w:rPr>
        <w:t>Legislation (Exemptions and Other Matters) Regulation 2015</w:t>
      </w:r>
      <w:r>
        <w:t xml:space="preserve">. </w:t>
      </w:r>
    </w:p>
    <w:p w14:paraId="1EC4A375" w14:textId="56499215" w:rsidR="0039225E" w:rsidRPr="0039225E" w:rsidRDefault="0039225E" w:rsidP="001A1663">
      <w:pPr>
        <w:pStyle w:val="ESSubparaHeader"/>
        <w:keepNext w:val="0"/>
      </w:pPr>
      <w:r>
        <w:t>The instrument was made by a delegate of the Minister, in accordance with subregulat</w:t>
      </w:r>
      <w:r w:rsidR="005E7129">
        <w:t xml:space="preserve">ion 2.07(5) of the </w:t>
      </w:r>
      <w:r w:rsidR="00A21F2A">
        <w:t xml:space="preserve">Migration </w:t>
      </w:r>
      <w:r w:rsidR="005E7129">
        <w:t>Regulations.</w:t>
      </w:r>
    </w:p>
    <w:sectPr w:rsidR="0039225E" w:rsidRPr="0039225E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A042B0B0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F0"/>
    <w:rsid w:val="00002B4E"/>
    <w:rsid w:val="0004002A"/>
    <w:rsid w:val="0005720A"/>
    <w:rsid w:val="00061952"/>
    <w:rsid w:val="00076066"/>
    <w:rsid w:val="0008311A"/>
    <w:rsid w:val="000D014F"/>
    <w:rsid w:val="000F54E9"/>
    <w:rsid w:val="00100DFC"/>
    <w:rsid w:val="00123914"/>
    <w:rsid w:val="00133FAE"/>
    <w:rsid w:val="00171795"/>
    <w:rsid w:val="0019164E"/>
    <w:rsid w:val="001A063C"/>
    <w:rsid w:val="001A1663"/>
    <w:rsid w:val="00213F64"/>
    <w:rsid w:val="002402E0"/>
    <w:rsid w:val="00255802"/>
    <w:rsid w:val="00262BB1"/>
    <w:rsid w:val="002D167E"/>
    <w:rsid w:val="00301E47"/>
    <w:rsid w:val="003263F8"/>
    <w:rsid w:val="00337A67"/>
    <w:rsid w:val="0039225E"/>
    <w:rsid w:val="003A0BCD"/>
    <w:rsid w:val="003A7788"/>
    <w:rsid w:val="003C0A63"/>
    <w:rsid w:val="003D0146"/>
    <w:rsid w:val="003D1905"/>
    <w:rsid w:val="003F0874"/>
    <w:rsid w:val="003F772C"/>
    <w:rsid w:val="0044731D"/>
    <w:rsid w:val="00457D4A"/>
    <w:rsid w:val="00464080"/>
    <w:rsid w:val="004D52FB"/>
    <w:rsid w:val="004F5CE4"/>
    <w:rsid w:val="00560B24"/>
    <w:rsid w:val="0057002B"/>
    <w:rsid w:val="005A3733"/>
    <w:rsid w:val="005D0122"/>
    <w:rsid w:val="005E7129"/>
    <w:rsid w:val="0060415E"/>
    <w:rsid w:val="00604E06"/>
    <w:rsid w:val="00646B83"/>
    <w:rsid w:val="00691A7C"/>
    <w:rsid w:val="006D3E97"/>
    <w:rsid w:val="006F1E68"/>
    <w:rsid w:val="006F3920"/>
    <w:rsid w:val="00710E84"/>
    <w:rsid w:val="007471CB"/>
    <w:rsid w:val="00761D29"/>
    <w:rsid w:val="007C4F40"/>
    <w:rsid w:val="007E4691"/>
    <w:rsid w:val="00804C52"/>
    <w:rsid w:val="00822340"/>
    <w:rsid w:val="0088407D"/>
    <w:rsid w:val="00886B6D"/>
    <w:rsid w:val="008A0BB3"/>
    <w:rsid w:val="008B24C8"/>
    <w:rsid w:val="008B5F62"/>
    <w:rsid w:val="008B60BD"/>
    <w:rsid w:val="008E10D3"/>
    <w:rsid w:val="008E2CA0"/>
    <w:rsid w:val="008E3E41"/>
    <w:rsid w:val="00915032"/>
    <w:rsid w:val="009316AD"/>
    <w:rsid w:val="00942CFB"/>
    <w:rsid w:val="009521EA"/>
    <w:rsid w:val="00992816"/>
    <w:rsid w:val="009B4F9D"/>
    <w:rsid w:val="009C2525"/>
    <w:rsid w:val="009C7B3B"/>
    <w:rsid w:val="00A21F2A"/>
    <w:rsid w:val="00AA4557"/>
    <w:rsid w:val="00AA4F77"/>
    <w:rsid w:val="00AA5961"/>
    <w:rsid w:val="00AF3044"/>
    <w:rsid w:val="00AF6A92"/>
    <w:rsid w:val="00AF75F0"/>
    <w:rsid w:val="00B445D9"/>
    <w:rsid w:val="00B46555"/>
    <w:rsid w:val="00B64AD8"/>
    <w:rsid w:val="00B65A06"/>
    <w:rsid w:val="00B75478"/>
    <w:rsid w:val="00BB0CF2"/>
    <w:rsid w:val="00BC6CD8"/>
    <w:rsid w:val="00BD598E"/>
    <w:rsid w:val="00BE3E7F"/>
    <w:rsid w:val="00C51DEF"/>
    <w:rsid w:val="00C81A5E"/>
    <w:rsid w:val="00C930F2"/>
    <w:rsid w:val="00CB2AE0"/>
    <w:rsid w:val="00CC704C"/>
    <w:rsid w:val="00CC7F62"/>
    <w:rsid w:val="00D15ED7"/>
    <w:rsid w:val="00D40E1E"/>
    <w:rsid w:val="00D80B4C"/>
    <w:rsid w:val="00D87497"/>
    <w:rsid w:val="00DC0FE8"/>
    <w:rsid w:val="00DD4D5C"/>
    <w:rsid w:val="00E03DCC"/>
    <w:rsid w:val="00E03E2A"/>
    <w:rsid w:val="00E45FE2"/>
    <w:rsid w:val="00E46328"/>
    <w:rsid w:val="00E47B18"/>
    <w:rsid w:val="00EA12C9"/>
    <w:rsid w:val="00EC69B6"/>
    <w:rsid w:val="00ED7B82"/>
    <w:rsid w:val="00EF0797"/>
    <w:rsid w:val="00EF78ED"/>
    <w:rsid w:val="00F12317"/>
    <w:rsid w:val="00F63C84"/>
    <w:rsid w:val="00F769A7"/>
    <w:rsid w:val="00FE0FEE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A5C9"/>
  <w15:chartTrackingRefBased/>
  <w15:docId w15:val="{6B62E19D-7814-4F7F-AD88-7EF53DA4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A5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9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9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739A7C7-2DFC-42D6-9835-1884C105EB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E4C60E786924C419742FB85ED3F3284" ma:contentTypeVersion="" ma:contentTypeDescription="PDMS Document Site Content Type" ma:contentTypeScope="" ma:versionID="aaab9add38c253dcd186f9d6ae074d50">
  <xsd:schema xmlns:xsd="http://www.w3.org/2001/XMLSchema" xmlns:xs="http://www.w3.org/2001/XMLSchema" xmlns:p="http://schemas.microsoft.com/office/2006/metadata/properties" xmlns:ns2="2739A7C7-2DFC-42D6-9835-1884C105EBAA" targetNamespace="http://schemas.microsoft.com/office/2006/metadata/properties" ma:root="true" ma:fieldsID="4d822438c1d2f82f0a5907d1b7698340" ns2:_="">
    <xsd:import namespace="2739A7C7-2DFC-42D6-9835-1884C105EBA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9A7C7-2DFC-42D6-9835-1884C105EBA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30C3-CA8C-4D5F-A349-958B0AD2C62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739A7C7-2DFC-42D6-9835-1884C105EBA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6AD130-F08B-4D18-8B3F-0F432F34C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EDE88-B557-40C4-8869-E1FBE62C4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9A7C7-2DFC-42D6-9835-1884C105E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6E696-38EE-42C0-BF05-F0C79855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Gideon SUA</dc:creator>
  <cp:keywords/>
  <dc:description/>
  <cp:lastModifiedBy>Gideon SUA</cp:lastModifiedBy>
  <cp:revision>2</cp:revision>
  <dcterms:created xsi:type="dcterms:W3CDTF">2024-07-30T01:22:00Z</dcterms:created>
  <dcterms:modified xsi:type="dcterms:W3CDTF">2024-07-30T01:22:00Z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0x010100266966F133664895A6EE3632470D45F5009E4C60E786924C419742FB85ED3F3284</vt:lpwstr>
  </property>
</Properties>
</file>