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1F64" w14:textId="121F28AD" w:rsidR="002436BD" w:rsidRPr="00564008" w:rsidRDefault="007B5912" w:rsidP="75515248">
      <w:pPr>
        <w:pStyle w:val="Heading"/>
        <w:spacing w:after="240"/>
        <w:jc w:val="center"/>
        <w:rPr>
          <w:rFonts w:ascii="Times New Roman" w:hAnsi="Times New Roman"/>
          <w:sz w:val="24"/>
          <w:szCs w:val="24"/>
        </w:rPr>
      </w:pPr>
      <w:r w:rsidRPr="75515248">
        <w:rPr>
          <w:rFonts w:ascii="Times New Roman" w:hAnsi="Times New Roman"/>
          <w:sz w:val="24"/>
          <w:szCs w:val="24"/>
        </w:rPr>
        <w:t>Superannuation (</w:t>
      </w:r>
      <w:r w:rsidR="00EA09EA" w:rsidRPr="75515248">
        <w:rPr>
          <w:rFonts w:ascii="Times New Roman" w:hAnsi="Times New Roman"/>
          <w:sz w:val="24"/>
          <w:szCs w:val="24"/>
        </w:rPr>
        <w:t xml:space="preserve">prudential standard) </w:t>
      </w:r>
      <w:r w:rsidR="002436BD" w:rsidRPr="00564008">
        <w:rPr>
          <w:rFonts w:ascii="Times New Roman" w:hAnsi="Times New Roman"/>
          <w:sz w:val="24"/>
          <w:szCs w:val="24"/>
        </w:rPr>
        <w:t>determination No.</w:t>
      </w:r>
      <w:r w:rsidR="0034479C">
        <w:rPr>
          <w:rFonts w:ascii="Times New Roman" w:hAnsi="Times New Roman"/>
          <w:sz w:val="24"/>
          <w:szCs w:val="24"/>
        </w:rPr>
        <w:t xml:space="preserve"> </w:t>
      </w:r>
      <w:r w:rsidR="00665986">
        <w:rPr>
          <w:rFonts w:ascii="Times New Roman" w:hAnsi="Times New Roman"/>
          <w:sz w:val="24"/>
          <w:szCs w:val="24"/>
        </w:rPr>
        <w:t>5</w:t>
      </w:r>
      <w:r w:rsidR="0034479C">
        <w:rPr>
          <w:rFonts w:ascii="Times New Roman" w:hAnsi="Times New Roman"/>
          <w:sz w:val="24"/>
          <w:szCs w:val="24"/>
        </w:rPr>
        <w:t xml:space="preserve"> </w:t>
      </w:r>
      <w:r w:rsidR="002436BD" w:rsidRPr="00564008">
        <w:rPr>
          <w:rFonts w:ascii="Times New Roman" w:hAnsi="Times New Roman"/>
          <w:sz w:val="24"/>
          <w:szCs w:val="24"/>
        </w:rPr>
        <w:t>of 20</w:t>
      </w:r>
      <w:r w:rsidR="001D0A56" w:rsidRPr="00564008">
        <w:rPr>
          <w:rFonts w:ascii="Times New Roman" w:hAnsi="Times New Roman"/>
          <w:sz w:val="24"/>
          <w:szCs w:val="24"/>
        </w:rPr>
        <w:t>2</w:t>
      </w:r>
      <w:r w:rsidR="2E405026" w:rsidRPr="00564008">
        <w:rPr>
          <w:rFonts w:ascii="Times New Roman" w:hAnsi="Times New Roman"/>
          <w:sz w:val="24"/>
          <w:szCs w:val="24"/>
        </w:rPr>
        <w:t>4</w:t>
      </w:r>
    </w:p>
    <w:p w14:paraId="31A3EA7D" w14:textId="77777777" w:rsidR="002436BD" w:rsidRPr="00564008" w:rsidRDefault="002436BD" w:rsidP="008E5D4C">
      <w:pPr>
        <w:pStyle w:val="Heading"/>
        <w:tabs>
          <w:tab w:val="left" w:pos="360"/>
        </w:tabs>
        <w:spacing w:after="240"/>
        <w:jc w:val="center"/>
        <w:rPr>
          <w:rFonts w:ascii="Times New Roman" w:hAnsi="Times New Roman"/>
          <w:sz w:val="24"/>
          <w:szCs w:val="24"/>
          <w:u w:val="single"/>
        </w:rPr>
      </w:pPr>
      <w:bookmarkStart w:id="0" w:name="bkInstrumentSubTitle"/>
      <w:bookmarkEnd w:id="0"/>
      <w:r w:rsidRPr="00564008">
        <w:rPr>
          <w:rFonts w:ascii="Times New Roman" w:hAnsi="Times New Roman"/>
          <w:sz w:val="24"/>
          <w:szCs w:val="24"/>
          <w:u w:val="single"/>
        </w:rPr>
        <w:t>EXPLANATORY STATEMENT</w:t>
      </w:r>
    </w:p>
    <w:p w14:paraId="786788DC" w14:textId="77777777" w:rsidR="002436BD" w:rsidRPr="00564008" w:rsidRDefault="002436BD" w:rsidP="008E5D4C">
      <w:pPr>
        <w:pStyle w:val="Heading"/>
        <w:spacing w:after="240"/>
        <w:jc w:val="center"/>
        <w:rPr>
          <w:rFonts w:ascii="Times New Roman" w:hAnsi="Times New Roman"/>
          <w:sz w:val="24"/>
          <w:szCs w:val="24"/>
        </w:rPr>
      </w:pPr>
      <w:r w:rsidRPr="00564008">
        <w:rPr>
          <w:rFonts w:ascii="Times New Roman" w:hAnsi="Times New Roman"/>
          <w:sz w:val="24"/>
          <w:szCs w:val="24"/>
        </w:rPr>
        <w:t>Prepared by the Australian Prudential Regulation Authority (APRA)</w:t>
      </w:r>
    </w:p>
    <w:p w14:paraId="36FA5CC1" w14:textId="664E3979" w:rsidR="002436BD" w:rsidRPr="00564008" w:rsidRDefault="005B66C7" w:rsidP="008E5D4C">
      <w:pPr>
        <w:pStyle w:val="Heading"/>
        <w:tabs>
          <w:tab w:val="left" w:pos="360"/>
        </w:tabs>
        <w:spacing w:after="240"/>
        <w:jc w:val="center"/>
        <w:rPr>
          <w:rFonts w:ascii="Times New Roman" w:hAnsi="Times New Roman"/>
          <w:b w:val="0"/>
          <w:color w:val="000000"/>
          <w:sz w:val="24"/>
          <w:szCs w:val="24"/>
        </w:rPr>
      </w:pPr>
      <w:r w:rsidRPr="00564008">
        <w:rPr>
          <w:rFonts w:ascii="Times New Roman" w:hAnsi="Times New Roman"/>
          <w:b w:val="0"/>
          <w:i/>
          <w:sz w:val="24"/>
          <w:szCs w:val="24"/>
        </w:rPr>
        <w:t>Superannuation Industry (Supervision) Act 1993</w:t>
      </w:r>
      <w:r w:rsidRPr="00564008">
        <w:rPr>
          <w:rFonts w:ascii="Times New Roman" w:hAnsi="Times New Roman"/>
          <w:b w:val="0"/>
          <w:sz w:val="24"/>
          <w:szCs w:val="24"/>
        </w:rPr>
        <w:t xml:space="preserve"> </w:t>
      </w:r>
      <w:r w:rsidR="00970F70">
        <w:rPr>
          <w:rFonts w:ascii="Times New Roman" w:hAnsi="Times New Roman"/>
          <w:b w:val="0"/>
          <w:sz w:val="24"/>
          <w:szCs w:val="24"/>
        </w:rPr>
        <w:t>sub</w:t>
      </w:r>
      <w:r w:rsidR="002436BD" w:rsidRPr="00564008">
        <w:rPr>
          <w:rFonts w:ascii="Times New Roman" w:hAnsi="Times New Roman"/>
          <w:b w:val="0"/>
          <w:color w:val="000000"/>
          <w:sz w:val="24"/>
          <w:szCs w:val="24"/>
        </w:rPr>
        <w:t xml:space="preserve">section </w:t>
      </w:r>
      <w:r w:rsidRPr="00564008">
        <w:rPr>
          <w:rFonts w:ascii="Times New Roman" w:hAnsi="Times New Roman"/>
          <w:b w:val="0"/>
          <w:color w:val="000000"/>
          <w:sz w:val="24"/>
          <w:szCs w:val="24"/>
        </w:rPr>
        <w:t>34</w:t>
      </w:r>
      <w:proofErr w:type="gramStart"/>
      <w:r w:rsidRPr="00564008">
        <w:rPr>
          <w:rFonts w:ascii="Times New Roman" w:hAnsi="Times New Roman"/>
          <w:b w:val="0"/>
          <w:color w:val="000000"/>
          <w:sz w:val="24"/>
          <w:szCs w:val="24"/>
        </w:rPr>
        <w:t>C</w:t>
      </w:r>
      <w:r w:rsidR="001C1FD2">
        <w:rPr>
          <w:rFonts w:ascii="Times New Roman" w:hAnsi="Times New Roman"/>
          <w:b w:val="0"/>
          <w:color w:val="000000"/>
          <w:sz w:val="24"/>
          <w:szCs w:val="24"/>
        </w:rPr>
        <w:t>(</w:t>
      </w:r>
      <w:proofErr w:type="gramEnd"/>
      <w:r w:rsidR="001C1FD2">
        <w:rPr>
          <w:rFonts w:ascii="Times New Roman" w:hAnsi="Times New Roman"/>
          <w:b w:val="0"/>
          <w:color w:val="000000"/>
          <w:sz w:val="24"/>
          <w:szCs w:val="24"/>
        </w:rPr>
        <w:t xml:space="preserve">1) and </w:t>
      </w:r>
      <w:r w:rsidRPr="00564008">
        <w:rPr>
          <w:rFonts w:ascii="Times New Roman" w:hAnsi="Times New Roman"/>
          <w:b w:val="0"/>
          <w:color w:val="000000"/>
          <w:sz w:val="24"/>
          <w:szCs w:val="24"/>
        </w:rPr>
        <w:t>(6)</w:t>
      </w:r>
    </w:p>
    <w:p w14:paraId="16CB3414" w14:textId="77777777" w:rsidR="00336521" w:rsidRPr="00564008" w:rsidRDefault="00336521" w:rsidP="00336521">
      <w:pPr>
        <w:widowControl w:val="0"/>
        <w:spacing w:after="240"/>
        <w:jc w:val="both"/>
        <w:rPr>
          <w:rFonts w:ascii="Times New Roman" w:hAnsi="Times New Roman"/>
          <w:sz w:val="24"/>
          <w:szCs w:val="24"/>
        </w:rPr>
      </w:pPr>
      <w:bookmarkStart w:id="1" w:name="bkAct"/>
      <w:bookmarkStart w:id="2" w:name="bkExplanatory"/>
      <w:bookmarkEnd w:id="1"/>
      <w:bookmarkEnd w:id="2"/>
      <w:r w:rsidRPr="00564008">
        <w:rPr>
          <w:rFonts w:ascii="Times New Roman" w:hAnsi="Times New Roman"/>
          <w:sz w:val="24"/>
          <w:szCs w:val="24"/>
        </w:rPr>
        <w:t>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1) of the </w:t>
      </w:r>
      <w:r w:rsidRPr="00564008">
        <w:rPr>
          <w:rFonts w:ascii="Times New Roman" w:hAnsi="Times New Roman"/>
          <w:i/>
          <w:sz w:val="24"/>
          <w:szCs w:val="24"/>
        </w:rPr>
        <w:t>Superannuation Industry (Supervision) Act 1993</w:t>
      </w:r>
      <w:r w:rsidRPr="00564008">
        <w:rPr>
          <w:rFonts w:ascii="Times New Roman" w:hAnsi="Times New Roman"/>
          <w:sz w:val="24"/>
          <w:szCs w:val="24"/>
        </w:rPr>
        <w:t xml:space="preserve"> (the Act), APRA has the power to determine standards (prudential standards), in writing, in relation to prudential matters to be complied with by all RSE licensees of registrable superannuation entities (RSEs). 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6) of the Act, APRA may, in writing, vary or revoke a prudential standard. </w:t>
      </w:r>
    </w:p>
    <w:p w14:paraId="0C99AC66" w14:textId="5014BF5C" w:rsidR="00336521" w:rsidRDefault="00336521" w:rsidP="00336521">
      <w:pPr>
        <w:pStyle w:val="NormalWeb"/>
        <w:rPr>
          <w:rFonts w:ascii="Times New Roman" w:hAnsi="Times New Roman"/>
          <w:sz w:val="24"/>
          <w:szCs w:val="24"/>
        </w:rPr>
      </w:pPr>
      <w:r w:rsidRPr="0001028A">
        <w:rPr>
          <w:rFonts w:ascii="Times New Roman" w:hAnsi="Times New Roman"/>
          <w:sz w:val="24"/>
          <w:szCs w:val="24"/>
        </w:rPr>
        <w:t xml:space="preserve">On </w:t>
      </w:r>
      <w:r w:rsidR="00FC6644">
        <w:rPr>
          <w:rFonts w:ascii="Times New Roman" w:hAnsi="Times New Roman"/>
          <w:sz w:val="24"/>
          <w:szCs w:val="24"/>
        </w:rPr>
        <w:t>29</w:t>
      </w:r>
      <w:r w:rsidRPr="0001028A">
        <w:rPr>
          <w:rFonts w:ascii="Times New Roman" w:hAnsi="Times New Roman"/>
          <w:sz w:val="24"/>
          <w:szCs w:val="24"/>
        </w:rPr>
        <w:t xml:space="preserve"> </w:t>
      </w:r>
      <w:r w:rsidR="00332183">
        <w:rPr>
          <w:rFonts w:ascii="Times New Roman" w:hAnsi="Times New Roman"/>
          <w:sz w:val="24"/>
          <w:szCs w:val="24"/>
        </w:rPr>
        <w:t>July</w:t>
      </w:r>
      <w:r w:rsidRPr="0001028A">
        <w:rPr>
          <w:rFonts w:ascii="Times New Roman" w:hAnsi="Times New Roman"/>
          <w:sz w:val="24"/>
          <w:szCs w:val="24"/>
        </w:rPr>
        <w:t xml:space="preserve"> 2024, APRA made Superannuation (prudential standard) determination No.</w:t>
      </w:r>
      <w:r>
        <w:rPr>
          <w:rFonts w:ascii="Times New Roman" w:hAnsi="Times New Roman"/>
          <w:sz w:val="24"/>
          <w:szCs w:val="24"/>
        </w:rPr>
        <w:t xml:space="preserve"> </w:t>
      </w:r>
      <w:r w:rsidR="001D4A5F">
        <w:rPr>
          <w:rFonts w:ascii="Times New Roman" w:hAnsi="Times New Roman"/>
          <w:sz w:val="24"/>
          <w:szCs w:val="24"/>
        </w:rPr>
        <w:t>5</w:t>
      </w:r>
      <w:r>
        <w:rPr>
          <w:rFonts w:ascii="Times New Roman" w:hAnsi="Times New Roman"/>
          <w:sz w:val="24"/>
          <w:szCs w:val="24"/>
        </w:rPr>
        <w:t xml:space="preserve"> </w:t>
      </w:r>
      <w:r w:rsidRPr="0001028A">
        <w:rPr>
          <w:rFonts w:ascii="Times New Roman" w:hAnsi="Times New Roman"/>
          <w:sz w:val="24"/>
          <w:szCs w:val="24"/>
        </w:rPr>
        <w:t xml:space="preserve">of 2024 (the </w:t>
      </w:r>
      <w:r>
        <w:rPr>
          <w:rFonts w:ascii="Times New Roman" w:hAnsi="Times New Roman"/>
          <w:sz w:val="24"/>
          <w:szCs w:val="24"/>
        </w:rPr>
        <w:t>i</w:t>
      </w:r>
      <w:r w:rsidRPr="0001028A">
        <w:rPr>
          <w:rFonts w:ascii="Times New Roman" w:hAnsi="Times New Roman"/>
          <w:sz w:val="24"/>
          <w:szCs w:val="24"/>
        </w:rPr>
        <w:t xml:space="preserve">nstrument), which revokes </w:t>
      </w:r>
      <w:r w:rsidRPr="0001028A">
        <w:rPr>
          <w:rFonts w:ascii="Times New Roman" w:hAnsi="Times New Roman"/>
          <w:i/>
          <w:sz w:val="24"/>
          <w:szCs w:val="24"/>
        </w:rPr>
        <w:t xml:space="preserve">Prudential Standard SPS </w:t>
      </w:r>
      <w:r w:rsidR="001D4A5F">
        <w:rPr>
          <w:rFonts w:ascii="Times New Roman" w:hAnsi="Times New Roman"/>
          <w:i/>
          <w:sz w:val="24"/>
          <w:szCs w:val="24"/>
        </w:rPr>
        <w:t xml:space="preserve">515 Strategic Planning and Member Outcomes </w:t>
      </w:r>
      <w:r w:rsidRPr="0001028A">
        <w:rPr>
          <w:rFonts w:ascii="Times New Roman" w:hAnsi="Times New Roman"/>
          <w:sz w:val="24"/>
          <w:szCs w:val="24"/>
        </w:rPr>
        <w:t xml:space="preserve">made under </w:t>
      </w:r>
      <w:r w:rsidRPr="00690851">
        <w:rPr>
          <w:rFonts w:ascii="Times New Roman" w:hAnsi="Times New Roman"/>
          <w:i/>
          <w:sz w:val="24"/>
          <w:szCs w:val="24"/>
        </w:rPr>
        <w:t xml:space="preserve">Superannuation (prudential standard) determination No. </w:t>
      </w:r>
      <w:r w:rsidR="00332183" w:rsidRPr="00690851">
        <w:rPr>
          <w:rFonts w:ascii="Times New Roman" w:hAnsi="Times New Roman"/>
          <w:i/>
          <w:sz w:val="24"/>
          <w:szCs w:val="24"/>
        </w:rPr>
        <w:t>2</w:t>
      </w:r>
      <w:r w:rsidRPr="00690851">
        <w:rPr>
          <w:rFonts w:ascii="Times New Roman" w:hAnsi="Times New Roman"/>
          <w:i/>
          <w:sz w:val="24"/>
          <w:szCs w:val="24"/>
        </w:rPr>
        <w:t xml:space="preserve"> of </w:t>
      </w:r>
      <w:proofErr w:type="gramStart"/>
      <w:r w:rsidRPr="00690851">
        <w:rPr>
          <w:rFonts w:ascii="Times New Roman" w:hAnsi="Times New Roman"/>
          <w:i/>
          <w:sz w:val="24"/>
          <w:szCs w:val="24"/>
        </w:rPr>
        <w:t>20</w:t>
      </w:r>
      <w:r w:rsidR="001D4A5F" w:rsidRPr="00690851">
        <w:rPr>
          <w:rFonts w:ascii="Times New Roman" w:hAnsi="Times New Roman"/>
          <w:i/>
          <w:sz w:val="24"/>
          <w:szCs w:val="24"/>
        </w:rPr>
        <w:t>19</w:t>
      </w:r>
      <w:r w:rsidR="0063156B">
        <w:rPr>
          <w:rFonts w:ascii="Times New Roman" w:hAnsi="Times New Roman"/>
          <w:sz w:val="24"/>
          <w:szCs w:val="24"/>
        </w:rPr>
        <w:t>,</w:t>
      </w:r>
      <w:r w:rsidRPr="0001028A">
        <w:rPr>
          <w:rFonts w:ascii="Times New Roman" w:hAnsi="Times New Roman"/>
          <w:sz w:val="24"/>
          <w:szCs w:val="24"/>
        </w:rPr>
        <w:t xml:space="preserve"> and</w:t>
      </w:r>
      <w:proofErr w:type="gramEnd"/>
      <w:r w:rsidRPr="0001028A">
        <w:rPr>
          <w:rFonts w:ascii="Times New Roman" w:hAnsi="Times New Roman"/>
          <w:sz w:val="24"/>
          <w:szCs w:val="24"/>
        </w:rPr>
        <w:t xml:space="preserve"> determines a new </w:t>
      </w:r>
      <w:r w:rsidRPr="0001028A">
        <w:rPr>
          <w:rFonts w:ascii="Times New Roman" w:hAnsi="Times New Roman"/>
          <w:i/>
          <w:sz w:val="24"/>
          <w:szCs w:val="24"/>
        </w:rPr>
        <w:t xml:space="preserve">Prudential Standard SPS </w:t>
      </w:r>
      <w:r w:rsidR="001D4A5F">
        <w:rPr>
          <w:rFonts w:ascii="Times New Roman" w:hAnsi="Times New Roman"/>
          <w:i/>
          <w:sz w:val="24"/>
          <w:szCs w:val="24"/>
        </w:rPr>
        <w:t xml:space="preserve">515 Strategic Planning and Member Outcomes </w:t>
      </w:r>
      <w:r w:rsidRPr="0001028A">
        <w:rPr>
          <w:rFonts w:ascii="Times New Roman" w:hAnsi="Times New Roman"/>
          <w:sz w:val="24"/>
          <w:szCs w:val="24"/>
        </w:rPr>
        <w:t xml:space="preserve">(SPS </w:t>
      </w:r>
      <w:r w:rsidR="001D4A5F">
        <w:rPr>
          <w:rFonts w:ascii="Times New Roman" w:hAnsi="Times New Roman"/>
          <w:sz w:val="24"/>
          <w:szCs w:val="24"/>
        </w:rPr>
        <w:t>515</w:t>
      </w:r>
      <w:r w:rsidRPr="0001028A">
        <w:rPr>
          <w:rFonts w:ascii="Times New Roman" w:hAnsi="Times New Roman"/>
          <w:sz w:val="24"/>
          <w:szCs w:val="24"/>
        </w:rPr>
        <w:t>)</w:t>
      </w:r>
      <w:r>
        <w:rPr>
          <w:rFonts w:ascii="Times New Roman" w:hAnsi="Times New Roman"/>
          <w:sz w:val="24"/>
          <w:szCs w:val="24"/>
        </w:rPr>
        <w:t>.</w:t>
      </w:r>
    </w:p>
    <w:p w14:paraId="2F02BAF6" w14:textId="417368BC" w:rsidR="00336521" w:rsidRPr="00564008" w:rsidRDefault="00336521" w:rsidP="00336521">
      <w:pPr>
        <w:shd w:val="clear" w:color="auto" w:fill="FFFFFF" w:themeFill="background1"/>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The instrument commences on </w:t>
      </w:r>
      <w:r w:rsidR="001D4A5F">
        <w:rPr>
          <w:rFonts w:ascii="Times New Roman" w:hAnsi="Times New Roman"/>
          <w:sz w:val="24"/>
          <w:szCs w:val="24"/>
        </w:rPr>
        <w:t>1 July 2025</w:t>
      </w:r>
      <w:r>
        <w:rPr>
          <w:rFonts w:ascii="Times New Roman" w:hAnsi="Times New Roman"/>
          <w:sz w:val="24"/>
          <w:szCs w:val="24"/>
        </w:rPr>
        <w:t>.</w:t>
      </w:r>
    </w:p>
    <w:p w14:paraId="2820799D" w14:textId="77777777" w:rsidR="002436BD" w:rsidRPr="00564008" w:rsidRDefault="002436BD" w:rsidP="00796A67">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Background</w:t>
      </w:r>
    </w:p>
    <w:p w14:paraId="31A58FEF" w14:textId="77777777" w:rsidR="00F05CDD" w:rsidRDefault="00F05CDD" w:rsidP="00F05CDD">
      <w:pPr>
        <w:shd w:val="clear" w:color="auto" w:fill="FFFFFF"/>
        <w:spacing w:before="100" w:beforeAutospacing="1" w:after="100" w:afterAutospacing="1"/>
        <w:jc w:val="both"/>
        <w:rPr>
          <w:rFonts w:ascii="Times New Roman" w:hAnsi="Times New Roman"/>
          <w:sz w:val="24"/>
          <w:szCs w:val="24"/>
        </w:rPr>
      </w:pPr>
      <w:bookmarkStart w:id="3" w:name="bkBackground"/>
      <w:bookmarkEnd w:id="3"/>
      <w:r>
        <w:rPr>
          <w:rFonts w:ascii="Times New Roman" w:hAnsi="Times New Roman"/>
          <w:sz w:val="24"/>
          <w:szCs w:val="24"/>
        </w:rPr>
        <w:t>A</w:t>
      </w:r>
      <w:r w:rsidRPr="00F3769C">
        <w:rPr>
          <w:rFonts w:ascii="Times New Roman" w:hAnsi="Times New Roman"/>
          <w:sz w:val="24"/>
          <w:szCs w:val="24"/>
        </w:rPr>
        <w:t xml:space="preserve">PRA’s mandate is to ensure the safety and soundness of prudentially regulated financial institutions so that they can meet their financial promises to depositors, policyholders and fund members within a stable, efficient and competitive financial system. </w:t>
      </w:r>
    </w:p>
    <w:p w14:paraId="378F7F51" w14:textId="77777777" w:rsidR="00F05CDD" w:rsidRDefault="00F05CDD" w:rsidP="00BD0868">
      <w:pPr>
        <w:rPr>
          <w:rFonts w:ascii="Times New Roman" w:hAnsi="Times New Roman"/>
          <w:sz w:val="24"/>
          <w:szCs w:val="24"/>
        </w:rPr>
      </w:pPr>
      <w:r w:rsidRPr="00F3769C">
        <w:rPr>
          <w:rFonts w:ascii="Times New Roman" w:hAnsi="Times New Roman"/>
          <w:sz w:val="24"/>
          <w:szCs w:val="24"/>
        </w:rPr>
        <w:t xml:space="preserve">APRA carries out this mandate through a multi-layered prudential framework that encompasses licensing and supervision of institutions. APRA is empowered under the </w:t>
      </w:r>
      <w:r>
        <w:rPr>
          <w:rFonts w:ascii="Times New Roman" w:hAnsi="Times New Roman"/>
          <w:sz w:val="24"/>
          <w:szCs w:val="24"/>
        </w:rPr>
        <w:t>Act</w:t>
      </w:r>
      <w:r w:rsidRPr="00F3769C">
        <w:rPr>
          <w:rFonts w:ascii="Times New Roman" w:hAnsi="Times New Roman"/>
          <w:sz w:val="24"/>
          <w:szCs w:val="24"/>
        </w:rPr>
        <w:t xml:space="preserve"> to issue legally binding prudential standards that set out specific prudential requirements with which APRA-regulated institutions in </w:t>
      </w:r>
      <w:r>
        <w:rPr>
          <w:rFonts w:ascii="Times New Roman" w:hAnsi="Times New Roman"/>
          <w:sz w:val="24"/>
          <w:szCs w:val="24"/>
        </w:rPr>
        <w:t>the superannuation</w:t>
      </w:r>
      <w:r w:rsidRPr="00F3769C">
        <w:rPr>
          <w:rFonts w:ascii="Times New Roman" w:hAnsi="Times New Roman"/>
          <w:sz w:val="24"/>
          <w:szCs w:val="24"/>
        </w:rPr>
        <w:t xml:space="preserve"> industry must comply. These standards are supported by prudential practice guides which clarify APRA’s expectations </w:t>
      </w:r>
      <w:r>
        <w:rPr>
          <w:rFonts w:ascii="Times New Roman" w:hAnsi="Times New Roman"/>
          <w:sz w:val="24"/>
          <w:szCs w:val="24"/>
        </w:rPr>
        <w:t xml:space="preserve">in respect of the </w:t>
      </w:r>
      <w:r w:rsidRPr="00F3769C">
        <w:rPr>
          <w:rFonts w:ascii="Times New Roman" w:hAnsi="Times New Roman"/>
          <w:sz w:val="24"/>
          <w:szCs w:val="24"/>
        </w:rPr>
        <w:t>prudential requirements.</w:t>
      </w:r>
    </w:p>
    <w:p w14:paraId="171428CF" w14:textId="77777777" w:rsidR="00F05CDD" w:rsidRDefault="00F05CDD" w:rsidP="00F05CDD">
      <w:pPr>
        <w:jc w:val="both"/>
        <w:rPr>
          <w:rFonts w:ascii="Times New Roman" w:hAnsi="Times New Roman"/>
          <w:sz w:val="24"/>
          <w:szCs w:val="24"/>
        </w:rPr>
      </w:pPr>
    </w:p>
    <w:p w14:paraId="7B6E53A1" w14:textId="01174CAA" w:rsidR="00F05CDD" w:rsidRDefault="00F05CDD" w:rsidP="00F05CDD">
      <w:pPr>
        <w:jc w:val="both"/>
        <w:rPr>
          <w:rFonts w:ascii="Times New Roman" w:hAnsi="Times New Roman"/>
          <w:sz w:val="24"/>
          <w:szCs w:val="24"/>
        </w:rPr>
      </w:pPr>
      <w:r w:rsidRPr="0058468C">
        <w:rPr>
          <w:rFonts w:ascii="Times New Roman" w:hAnsi="Times New Roman"/>
          <w:sz w:val="24"/>
          <w:szCs w:val="24"/>
        </w:rPr>
        <w:t xml:space="preserve">SPS </w:t>
      </w:r>
      <w:r w:rsidR="0011408F">
        <w:rPr>
          <w:rFonts w:ascii="Times New Roman" w:hAnsi="Times New Roman"/>
          <w:sz w:val="24"/>
          <w:szCs w:val="24"/>
        </w:rPr>
        <w:t xml:space="preserve">515 </w:t>
      </w:r>
      <w:r>
        <w:rPr>
          <w:rFonts w:ascii="Times New Roman" w:hAnsi="Times New Roman"/>
          <w:sz w:val="24"/>
          <w:szCs w:val="24"/>
        </w:rPr>
        <w:t xml:space="preserve">sets out requirements to ensure that </w:t>
      </w:r>
      <w:r w:rsidR="0011408F">
        <w:rPr>
          <w:rFonts w:ascii="Times New Roman" w:hAnsi="Times New Roman"/>
          <w:sz w:val="24"/>
          <w:szCs w:val="24"/>
        </w:rPr>
        <w:t xml:space="preserve">RSE licensees </w:t>
      </w:r>
      <w:r w:rsidR="0011408F" w:rsidRPr="0011408F">
        <w:rPr>
          <w:rFonts w:ascii="Times New Roman" w:hAnsi="Times New Roman"/>
          <w:sz w:val="24"/>
          <w:szCs w:val="24"/>
        </w:rPr>
        <w:t xml:space="preserve">manage </w:t>
      </w:r>
      <w:r w:rsidR="0011408F">
        <w:rPr>
          <w:rFonts w:ascii="Times New Roman" w:hAnsi="Times New Roman"/>
          <w:sz w:val="24"/>
          <w:szCs w:val="24"/>
        </w:rPr>
        <w:t xml:space="preserve">their </w:t>
      </w:r>
      <w:r w:rsidR="0011408F" w:rsidRPr="0011408F">
        <w:rPr>
          <w:rFonts w:ascii="Times New Roman" w:hAnsi="Times New Roman"/>
          <w:sz w:val="24"/>
          <w:szCs w:val="24"/>
        </w:rPr>
        <w:t xml:space="preserve">business operations in a sound and prudent manner to achieve the outcomes </w:t>
      </w:r>
      <w:r w:rsidR="000D7600">
        <w:rPr>
          <w:rFonts w:ascii="Times New Roman" w:hAnsi="Times New Roman"/>
          <w:sz w:val="24"/>
          <w:szCs w:val="24"/>
        </w:rPr>
        <w:t xml:space="preserve">RSE </w:t>
      </w:r>
      <w:r w:rsidR="009E1E06">
        <w:rPr>
          <w:rFonts w:ascii="Times New Roman" w:hAnsi="Times New Roman"/>
          <w:sz w:val="24"/>
          <w:szCs w:val="24"/>
        </w:rPr>
        <w:t xml:space="preserve">licensees </w:t>
      </w:r>
      <w:r w:rsidR="0011408F" w:rsidRPr="0011408F">
        <w:rPr>
          <w:rFonts w:ascii="Times New Roman" w:hAnsi="Times New Roman"/>
          <w:sz w:val="24"/>
          <w:szCs w:val="24"/>
        </w:rPr>
        <w:t xml:space="preserve">seek for beneficiaries. </w:t>
      </w:r>
      <w:r w:rsidR="009C3039">
        <w:rPr>
          <w:rFonts w:ascii="Times New Roman" w:hAnsi="Times New Roman"/>
          <w:sz w:val="24"/>
          <w:szCs w:val="24"/>
        </w:rPr>
        <w:t>To support the achievement of outcomes for members</w:t>
      </w:r>
      <w:r w:rsidR="009A4E66">
        <w:rPr>
          <w:rFonts w:ascii="Times New Roman" w:hAnsi="Times New Roman"/>
          <w:sz w:val="24"/>
          <w:szCs w:val="24"/>
        </w:rPr>
        <w:t>,</w:t>
      </w:r>
      <w:r w:rsidR="009C3039">
        <w:rPr>
          <w:rFonts w:ascii="Times New Roman" w:hAnsi="Times New Roman"/>
          <w:sz w:val="24"/>
          <w:szCs w:val="24"/>
        </w:rPr>
        <w:t xml:space="preserve"> RSE licensees are required to set </w:t>
      </w:r>
      <w:r w:rsidR="0011408F" w:rsidRPr="0011408F">
        <w:rPr>
          <w:rFonts w:ascii="Times New Roman" w:hAnsi="Times New Roman"/>
          <w:sz w:val="24"/>
          <w:szCs w:val="24"/>
        </w:rPr>
        <w:t xml:space="preserve">strategic objectives, conduct business planning, </w:t>
      </w:r>
      <w:r w:rsidR="009C3039">
        <w:rPr>
          <w:rFonts w:ascii="Times New Roman" w:hAnsi="Times New Roman"/>
          <w:sz w:val="24"/>
          <w:szCs w:val="24"/>
        </w:rPr>
        <w:t xml:space="preserve">appropriately manage </w:t>
      </w:r>
      <w:r w:rsidR="0011408F" w:rsidRPr="0011408F">
        <w:rPr>
          <w:rFonts w:ascii="Times New Roman" w:hAnsi="Times New Roman"/>
          <w:sz w:val="24"/>
          <w:szCs w:val="24"/>
        </w:rPr>
        <w:t>financial resource</w:t>
      </w:r>
      <w:r w:rsidR="009C3039">
        <w:rPr>
          <w:rFonts w:ascii="Times New Roman" w:hAnsi="Times New Roman"/>
          <w:sz w:val="24"/>
          <w:szCs w:val="24"/>
        </w:rPr>
        <w:t>s including reserves and expenditure</w:t>
      </w:r>
      <w:r w:rsidR="0063156B">
        <w:rPr>
          <w:rFonts w:ascii="Times New Roman" w:hAnsi="Times New Roman"/>
          <w:sz w:val="24"/>
          <w:szCs w:val="24"/>
        </w:rPr>
        <w:t>,</w:t>
      </w:r>
      <w:r w:rsidR="009C3039">
        <w:rPr>
          <w:rFonts w:ascii="Times New Roman" w:hAnsi="Times New Roman"/>
          <w:sz w:val="24"/>
          <w:szCs w:val="24"/>
        </w:rPr>
        <w:t xml:space="preserve"> and monitor </w:t>
      </w:r>
      <w:r w:rsidR="0011408F" w:rsidRPr="0011408F">
        <w:rPr>
          <w:rFonts w:ascii="Times New Roman" w:hAnsi="Times New Roman"/>
          <w:sz w:val="24"/>
          <w:szCs w:val="24"/>
        </w:rPr>
        <w:t>performance</w:t>
      </w:r>
      <w:r w:rsidR="009C3039">
        <w:rPr>
          <w:rFonts w:ascii="Times New Roman" w:hAnsi="Times New Roman"/>
          <w:sz w:val="24"/>
          <w:szCs w:val="24"/>
        </w:rPr>
        <w:t>. SPS 515 also includes</w:t>
      </w:r>
      <w:r w:rsidR="0011408F" w:rsidRPr="0011408F">
        <w:rPr>
          <w:rFonts w:ascii="Times New Roman" w:hAnsi="Times New Roman"/>
          <w:sz w:val="24"/>
          <w:szCs w:val="24"/>
        </w:rPr>
        <w:t xml:space="preserve"> </w:t>
      </w:r>
      <w:r w:rsidR="0011408F">
        <w:rPr>
          <w:rFonts w:ascii="Times New Roman" w:hAnsi="Times New Roman"/>
          <w:sz w:val="24"/>
          <w:szCs w:val="24"/>
        </w:rPr>
        <w:t xml:space="preserve">requirements to support the legislated </w:t>
      </w:r>
      <w:r w:rsidR="0011408F" w:rsidRPr="0011408F">
        <w:rPr>
          <w:rFonts w:ascii="Times New Roman" w:hAnsi="Times New Roman"/>
          <w:sz w:val="24"/>
          <w:szCs w:val="24"/>
        </w:rPr>
        <w:t xml:space="preserve">outcomes assessment and </w:t>
      </w:r>
      <w:r w:rsidR="009C3039">
        <w:rPr>
          <w:rFonts w:ascii="Times New Roman" w:hAnsi="Times New Roman"/>
          <w:sz w:val="24"/>
          <w:szCs w:val="24"/>
        </w:rPr>
        <w:t>requirements for RSE licensee</w:t>
      </w:r>
      <w:r w:rsidR="00691D30">
        <w:rPr>
          <w:rFonts w:ascii="Times New Roman" w:hAnsi="Times New Roman"/>
          <w:sz w:val="24"/>
          <w:szCs w:val="24"/>
        </w:rPr>
        <w:t>s</w:t>
      </w:r>
      <w:r w:rsidR="009C3039">
        <w:rPr>
          <w:rFonts w:ascii="Times New Roman" w:hAnsi="Times New Roman"/>
          <w:sz w:val="24"/>
          <w:szCs w:val="24"/>
        </w:rPr>
        <w:t xml:space="preserve"> to appropriately manage and plan for the </w:t>
      </w:r>
      <w:r w:rsidR="0011408F" w:rsidRPr="0011408F">
        <w:rPr>
          <w:rFonts w:ascii="Times New Roman" w:hAnsi="Times New Roman"/>
          <w:sz w:val="24"/>
          <w:szCs w:val="24"/>
        </w:rPr>
        <w:t xml:space="preserve">transfer </w:t>
      </w:r>
      <w:r w:rsidR="009C3039">
        <w:rPr>
          <w:rFonts w:ascii="Times New Roman" w:hAnsi="Times New Roman"/>
          <w:sz w:val="24"/>
          <w:szCs w:val="24"/>
        </w:rPr>
        <w:t>of members to another RSE should this need arise</w:t>
      </w:r>
      <w:r w:rsidR="0011408F" w:rsidRPr="0011408F">
        <w:rPr>
          <w:rFonts w:ascii="Times New Roman" w:hAnsi="Times New Roman"/>
          <w:sz w:val="24"/>
          <w:szCs w:val="24"/>
        </w:rPr>
        <w:t>.</w:t>
      </w:r>
    </w:p>
    <w:p w14:paraId="528B3DCD" w14:textId="77777777" w:rsidR="00F05CDD" w:rsidRDefault="00F05CDD" w:rsidP="00F05CDD">
      <w:pPr>
        <w:jc w:val="both"/>
        <w:rPr>
          <w:rFonts w:ascii="Times New Roman" w:hAnsi="Times New Roman"/>
          <w:sz w:val="24"/>
          <w:szCs w:val="24"/>
        </w:rPr>
      </w:pPr>
    </w:p>
    <w:p w14:paraId="7A5BD642" w14:textId="468C9464" w:rsidR="00B84419" w:rsidRPr="002B59A1" w:rsidRDefault="00B71240" w:rsidP="00B84419">
      <w:pPr>
        <w:jc w:val="both"/>
        <w:rPr>
          <w:rFonts w:ascii="Times New Roman" w:hAnsi="Times New Roman"/>
          <w:sz w:val="24"/>
          <w:szCs w:val="24"/>
        </w:rPr>
      </w:pPr>
      <w:r w:rsidRPr="002B59A1">
        <w:rPr>
          <w:rFonts w:ascii="Times New Roman" w:hAnsi="Times New Roman"/>
          <w:sz w:val="24"/>
          <w:szCs w:val="24"/>
        </w:rPr>
        <w:t xml:space="preserve">In </w:t>
      </w:r>
      <w:r w:rsidR="00C07FE6" w:rsidRPr="002B59A1">
        <w:rPr>
          <w:rFonts w:ascii="Times New Roman" w:hAnsi="Times New Roman"/>
          <w:sz w:val="24"/>
          <w:szCs w:val="24"/>
        </w:rPr>
        <w:t>June 2021</w:t>
      </w:r>
      <w:r w:rsidR="00B84419" w:rsidRPr="002B59A1">
        <w:rPr>
          <w:rFonts w:ascii="Times New Roman" w:hAnsi="Times New Roman"/>
          <w:sz w:val="24"/>
          <w:szCs w:val="24"/>
        </w:rPr>
        <w:t>, legislative reforms</w:t>
      </w:r>
      <w:r w:rsidR="00B84419" w:rsidRPr="002B59A1">
        <w:rPr>
          <w:rStyle w:val="FootnoteReference"/>
          <w:rFonts w:ascii="Times New Roman" w:hAnsi="Times New Roman"/>
          <w:sz w:val="24"/>
          <w:szCs w:val="24"/>
        </w:rPr>
        <w:footnoteReference w:id="2"/>
      </w:r>
      <w:r w:rsidR="00B84419" w:rsidRPr="002B59A1">
        <w:rPr>
          <w:rFonts w:ascii="Times New Roman" w:hAnsi="Times New Roman"/>
          <w:sz w:val="24"/>
          <w:szCs w:val="24"/>
        </w:rPr>
        <w:t xml:space="preserve"> were passed to </w:t>
      </w:r>
      <w:r w:rsidRPr="002B59A1">
        <w:rPr>
          <w:rFonts w:ascii="Times New Roman" w:hAnsi="Times New Roman"/>
          <w:sz w:val="24"/>
          <w:szCs w:val="24"/>
        </w:rPr>
        <w:t xml:space="preserve">amend </w:t>
      </w:r>
      <w:r w:rsidR="0047436A" w:rsidRPr="002B59A1">
        <w:rPr>
          <w:rFonts w:ascii="Times New Roman" w:hAnsi="Times New Roman"/>
          <w:sz w:val="24"/>
          <w:szCs w:val="24"/>
        </w:rPr>
        <w:t xml:space="preserve">the Act to include the best financial </w:t>
      </w:r>
      <w:proofErr w:type="gramStart"/>
      <w:r w:rsidR="0047436A" w:rsidRPr="002B59A1">
        <w:rPr>
          <w:rFonts w:ascii="Times New Roman" w:hAnsi="Times New Roman"/>
          <w:sz w:val="24"/>
          <w:szCs w:val="24"/>
        </w:rPr>
        <w:t>interests</w:t>
      </w:r>
      <w:proofErr w:type="gramEnd"/>
      <w:r w:rsidR="0047436A" w:rsidRPr="002B59A1">
        <w:rPr>
          <w:rFonts w:ascii="Times New Roman" w:hAnsi="Times New Roman"/>
          <w:sz w:val="24"/>
          <w:szCs w:val="24"/>
        </w:rPr>
        <w:t xml:space="preserve"> duty.</w:t>
      </w:r>
      <w:r w:rsidR="00B84419" w:rsidRPr="002B59A1">
        <w:rPr>
          <w:rFonts w:ascii="Times New Roman" w:hAnsi="Times New Roman"/>
          <w:sz w:val="24"/>
          <w:szCs w:val="24"/>
        </w:rPr>
        <w:t xml:space="preserve"> </w:t>
      </w:r>
    </w:p>
    <w:p w14:paraId="44F4901E" w14:textId="04A5F996" w:rsidR="00084905" w:rsidRDefault="00084905" w:rsidP="00B84419">
      <w:pPr>
        <w:jc w:val="both"/>
        <w:rPr>
          <w:rFonts w:ascii="Times New Roman" w:hAnsi="Times New Roman"/>
          <w:sz w:val="24"/>
          <w:szCs w:val="24"/>
        </w:rPr>
      </w:pPr>
      <w:r w:rsidRPr="002B59A1">
        <w:rPr>
          <w:rFonts w:ascii="Times New Roman" w:hAnsi="Times New Roman"/>
          <w:sz w:val="24"/>
          <w:szCs w:val="24"/>
        </w:rPr>
        <w:lastRenderedPageBreak/>
        <w:t xml:space="preserve">In </w:t>
      </w:r>
      <w:r w:rsidR="005B48AD" w:rsidRPr="002B59A1">
        <w:rPr>
          <w:rFonts w:ascii="Times New Roman" w:hAnsi="Times New Roman"/>
          <w:sz w:val="24"/>
          <w:szCs w:val="24"/>
        </w:rPr>
        <w:t xml:space="preserve">February </w:t>
      </w:r>
      <w:r w:rsidR="001F50CB" w:rsidRPr="002B59A1">
        <w:rPr>
          <w:rFonts w:ascii="Times New Roman" w:hAnsi="Times New Roman"/>
          <w:sz w:val="24"/>
          <w:szCs w:val="24"/>
        </w:rPr>
        <w:t>2</w:t>
      </w:r>
      <w:r w:rsidRPr="002B59A1">
        <w:rPr>
          <w:rFonts w:ascii="Times New Roman" w:hAnsi="Times New Roman"/>
          <w:sz w:val="24"/>
          <w:szCs w:val="24"/>
        </w:rPr>
        <w:t>022</w:t>
      </w:r>
      <w:r w:rsidR="00A269F7">
        <w:rPr>
          <w:rFonts w:ascii="Times New Roman" w:hAnsi="Times New Roman"/>
          <w:sz w:val="24"/>
          <w:szCs w:val="24"/>
        </w:rPr>
        <w:t>,</w:t>
      </w:r>
      <w:r w:rsidRPr="002B59A1">
        <w:rPr>
          <w:rFonts w:ascii="Times New Roman" w:hAnsi="Times New Roman"/>
          <w:sz w:val="24"/>
          <w:szCs w:val="24"/>
        </w:rPr>
        <w:t xml:space="preserve"> legislative reforms</w:t>
      </w:r>
      <w:r w:rsidRPr="002B59A1">
        <w:rPr>
          <w:rStyle w:val="FootnoteReference"/>
          <w:rFonts w:ascii="Times New Roman" w:hAnsi="Times New Roman"/>
          <w:sz w:val="24"/>
          <w:szCs w:val="24"/>
        </w:rPr>
        <w:footnoteReference w:id="3"/>
      </w:r>
      <w:r w:rsidRPr="002B59A1">
        <w:rPr>
          <w:rFonts w:ascii="Times New Roman" w:hAnsi="Times New Roman"/>
          <w:sz w:val="24"/>
          <w:szCs w:val="24"/>
        </w:rPr>
        <w:t xml:space="preserve"> were passe</w:t>
      </w:r>
      <w:r w:rsidR="00332183" w:rsidRPr="002B59A1">
        <w:rPr>
          <w:rFonts w:ascii="Times New Roman" w:hAnsi="Times New Roman"/>
          <w:sz w:val="24"/>
          <w:szCs w:val="24"/>
        </w:rPr>
        <w:t>d</w:t>
      </w:r>
      <w:r w:rsidR="009A4E66">
        <w:rPr>
          <w:rFonts w:ascii="Times New Roman" w:hAnsi="Times New Roman"/>
          <w:sz w:val="24"/>
          <w:szCs w:val="24"/>
        </w:rPr>
        <w:t xml:space="preserve"> to</w:t>
      </w:r>
      <w:r w:rsidRPr="002B59A1">
        <w:rPr>
          <w:rFonts w:ascii="Times New Roman" w:hAnsi="Times New Roman"/>
          <w:sz w:val="24"/>
          <w:szCs w:val="24"/>
        </w:rPr>
        <w:t xml:space="preserve"> amend </w:t>
      </w:r>
      <w:r w:rsidR="009B660C" w:rsidRPr="002B59A1">
        <w:rPr>
          <w:rFonts w:ascii="Times New Roman" w:hAnsi="Times New Roman"/>
          <w:sz w:val="24"/>
          <w:szCs w:val="24"/>
        </w:rPr>
        <w:t xml:space="preserve">the Act to include </w:t>
      </w:r>
      <w:r w:rsidR="00561C29" w:rsidRPr="002B59A1">
        <w:rPr>
          <w:rFonts w:ascii="Times New Roman" w:hAnsi="Times New Roman"/>
          <w:sz w:val="24"/>
          <w:szCs w:val="24"/>
        </w:rPr>
        <w:t>the</w:t>
      </w:r>
      <w:r w:rsidRPr="002B59A1">
        <w:rPr>
          <w:rFonts w:ascii="Times New Roman" w:hAnsi="Times New Roman"/>
          <w:sz w:val="24"/>
          <w:szCs w:val="24"/>
        </w:rPr>
        <w:t xml:space="preserve"> retirement income covenant</w:t>
      </w:r>
      <w:r w:rsidR="00561C29">
        <w:rPr>
          <w:rFonts w:ascii="Times New Roman" w:hAnsi="Times New Roman"/>
          <w:sz w:val="24"/>
          <w:szCs w:val="24"/>
        </w:rPr>
        <w:t>.</w:t>
      </w:r>
    </w:p>
    <w:p w14:paraId="30379657" w14:textId="77777777" w:rsidR="00B84419" w:rsidRDefault="00B84419" w:rsidP="00B84419">
      <w:pPr>
        <w:jc w:val="both"/>
        <w:rPr>
          <w:rFonts w:ascii="Times New Roman" w:hAnsi="Times New Roman"/>
          <w:sz w:val="24"/>
          <w:szCs w:val="24"/>
        </w:rPr>
      </w:pPr>
    </w:p>
    <w:p w14:paraId="680726B5" w14:textId="53AE5E31" w:rsidR="0079611F" w:rsidRDefault="00B84419" w:rsidP="0079611F">
      <w:pPr>
        <w:jc w:val="both"/>
        <w:rPr>
          <w:rFonts w:ascii="Times New Roman" w:hAnsi="Times New Roman"/>
          <w:sz w:val="24"/>
          <w:szCs w:val="24"/>
        </w:rPr>
      </w:pPr>
      <w:r>
        <w:rPr>
          <w:rFonts w:ascii="Times New Roman" w:hAnsi="Times New Roman"/>
          <w:sz w:val="24"/>
          <w:szCs w:val="24"/>
        </w:rPr>
        <w:t xml:space="preserve">SPS </w:t>
      </w:r>
      <w:r w:rsidR="00332183">
        <w:rPr>
          <w:rFonts w:ascii="Times New Roman" w:hAnsi="Times New Roman"/>
          <w:sz w:val="24"/>
          <w:szCs w:val="24"/>
        </w:rPr>
        <w:t>515</w:t>
      </w:r>
      <w:r w:rsidRPr="00226B52">
        <w:rPr>
          <w:rFonts w:ascii="Times New Roman" w:hAnsi="Times New Roman"/>
          <w:sz w:val="24"/>
          <w:szCs w:val="24"/>
        </w:rPr>
        <w:t xml:space="preserve"> align</w:t>
      </w:r>
      <w:r w:rsidR="005636AC">
        <w:rPr>
          <w:rFonts w:ascii="Times New Roman" w:hAnsi="Times New Roman"/>
          <w:sz w:val="24"/>
          <w:szCs w:val="24"/>
        </w:rPr>
        <w:t>s</w:t>
      </w:r>
      <w:r w:rsidRPr="00226B52">
        <w:rPr>
          <w:rFonts w:ascii="Times New Roman" w:hAnsi="Times New Roman"/>
          <w:sz w:val="24"/>
          <w:szCs w:val="24"/>
        </w:rPr>
        <w:t xml:space="preserve"> with the</w:t>
      </w:r>
      <w:r w:rsidR="0063156B">
        <w:rPr>
          <w:rFonts w:ascii="Times New Roman" w:hAnsi="Times New Roman"/>
          <w:sz w:val="24"/>
          <w:szCs w:val="24"/>
        </w:rPr>
        <w:t xml:space="preserve">se </w:t>
      </w:r>
      <w:r w:rsidRPr="00226B52">
        <w:rPr>
          <w:rFonts w:ascii="Times New Roman" w:hAnsi="Times New Roman"/>
          <w:sz w:val="24"/>
          <w:szCs w:val="24"/>
        </w:rPr>
        <w:t xml:space="preserve">legislative </w:t>
      </w:r>
      <w:r w:rsidR="00D07E90">
        <w:rPr>
          <w:rFonts w:ascii="Times New Roman" w:hAnsi="Times New Roman"/>
          <w:sz w:val="24"/>
          <w:szCs w:val="24"/>
        </w:rPr>
        <w:t>reforms</w:t>
      </w:r>
      <w:r w:rsidR="00691638">
        <w:rPr>
          <w:rFonts w:ascii="Times New Roman" w:hAnsi="Times New Roman"/>
          <w:sz w:val="24"/>
          <w:szCs w:val="24"/>
        </w:rPr>
        <w:t xml:space="preserve"> </w:t>
      </w:r>
      <w:proofErr w:type="gramStart"/>
      <w:r w:rsidR="005636AC">
        <w:rPr>
          <w:rFonts w:ascii="Times New Roman" w:hAnsi="Times New Roman"/>
          <w:sz w:val="24"/>
          <w:szCs w:val="24"/>
        </w:rPr>
        <w:t>and also</w:t>
      </w:r>
      <w:proofErr w:type="gramEnd"/>
      <w:r w:rsidR="00F808EA">
        <w:rPr>
          <w:rFonts w:ascii="Times New Roman" w:hAnsi="Times New Roman"/>
          <w:sz w:val="24"/>
          <w:szCs w:val="24"/>
        </w:rPr>
        <w:t xml:space="preserve"> uplift</w:t>
      </w:r>
      <w:r w:rsidR="005636AC">
        <w:rPr>
          <w:rFonts w:ascii="Times New Roman" w:hAnsi="Times New Roman"/>
          <w:sz w:val="24"/>
          <w:szCs w:val="24"/>
        </w:rPr>
        <w:t>s</w:t>
      </w:r>
      <w:r w:rsidR="00F808EA">
        <w:rPr>
          <w:rFonts w:ascii="Times New Roman" w:hAnsi="Times New Roman"/>
          <w:sz w:val="24"/>
          <w:szCs w:val="24"/>
        </w:rPr>
        <w:t xml:space="preserve"> </w:t>
      </w:r>
      <w:r w:rsidR="00691638">
        <w:rPr>
          <w:rFonts w:ascii="Times New Roman" w:hAnsi="Times New Roman"/>
          <w:sz w:val="24"/>
          <w:szCs w:val="24"/>
        </w:rPr>
        <w:t xml:space="preserve">industry practice in a number of areas </w:t>
      </w:r>
      <w:r w:rsidR="00F808EA">
        <w:rPr>
          <w:rFonts w:ascii="Times New Roman" w:hAnsi="Times New Roman"/>
          <w:sz w:val="24"/>
          <w:szCs w:val="24"/>
        </w:rPr>
        <w:t>in response to changes in the operating environment. These enhancements are aimed at improving RSE licensees</w:t>
      </w:r>
      <w:r w:rsidR="009E1E06">
        <w:rPr>
          <w:rFonts w:ascii="Times New Roman" w:hAnsi="Times New Roman"/>
          <w:sz w:val="24"/>
          <w:szCs w:val="24"/>
        </w:rPr>
        <w:t>’</w:t>
      </w:r>
      <w:r w:rsidR="00F808EA">
        <w:rPr>
          <w:rFonts w:ascii="Times New Roman" w:hAnsi="Times New Roman"/>
          <w:sz w:val="24"/>
          <w:szCs w:val="24"/>
        </w:rPr>
        <w:t xml:space="preserve"> </w:t>
      </w:r>
      <w:r w:rsidR="00691638">
        <w:rPr>
          <w:rFonts w:ascii="Times New Roman" w:hAnsi="Times New Roman"/>
          <w:sz w:val="24"/>
          <w:szCs w:val="24"/>
        </w:rPr>
        <w:t xml:space="preserve">management of financial resources, </w:t>
      </w:r>
      <w:r w:rsidR="00F808EA">
        <w:rPr>
          <w:rFonts w:ascii="Times New Roman" w:hAnsi="Times New Roman"/>
          <w:sz w:val="24"/>
          <w:szCs w:val="24"/>
        </w:rPr>
        <w:t>managing risks relating to transferring members across funds and supporting the implementation of the retirement income covenant</w:t>
      </w:r>
      <w:r w:rsidR="00084905">
        <w:rPr>
          <w:rFonts w:ascii="Times New Roman" w:hAnsi="Times New Roman"/>
          <w:sz w:val="24"/>
          <w:szCs w:val="24"/>
        </w:rPr>
        <w:t>.</w:t>
      </w:r>
      <w:r w:rsidR="00F808EA">
        <w:rPr>
          <w:rFonts w:ascii="Times New Roman" w:hAnsi="Times New Roman"/>
          <w:sz w:val="24"/>
          <w:szCs w:val="24"/>
        </w:rPr>
        <w:t xml:space="preserve"> </w:t>
      </w:r>
      <w:r w:rsidR="0079611F">
        <w:rPr>
          <w:rFonts w:ascii="Times New Roman" w:hAnsi="Times New Roman"/>
          <w:sz w:val="24"/>
          <w:szCs w:val="24"/>
        </w:rPr>
        <w:t>As compared to the previous version of the standard, SPS 515 requires:</w:t>
      </w:r>
    </w:p>
    <w:p w14:paraId="108FF9D7" w14:textId="051FBCF3" w:rsidR="0079611F" w:rsidRPr="0079611F" w:rsidRDefault="0079611F" w:rsidP="009500F5">
      <w:pPr>
        <w:jc w:val="both"/>
        <w:rPr>
          <w:rFonts w:ascii="Times New Roman" w:hAnsi="Times New Roman"/>
          <w:sz w:val="24"/>
          <w:szCs w:val="24"/>
        </w:rPr>
      </w:pPr>
    </w:p>
    <w:p w14:paraId="7E705B7C" w14:textId="7C149928" w:rsidR="0079611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 xml:space="preserve">an RSE licensee to </w:t>
      </w:r>
      <w:r w:rsidR="00BA3C0F">
        <w:rPr>
          <w:rFonts w:ascii="Times New Roman" w:hAnsi="Times New Roman"/>
          <w:b w:val="0"/>
          <w:sz w:val="24"/>
          <w:szCs w:val="24"/>
        </w:rPr>
        <w:t>set</w:t>
      </w:r>
      <w:r>
        <w:rPr>
          <w:rFonts w:ascii="Times New Roman" w:hAnsi="Times New Roman"/>
          <w:b w:val="0"/>
          <w:sz w:val="24"/>
          <w:szCs w:val="24"/>
        </w:rPr>
        <w:t xml:space="preserve"> strategic objectives </w:t>
      </w:r>
      <w:r w:rsidR="00BA3C0F">
        <w:rPr>
          <w:rFonts w:ascii="Times New Roman" w:hAnsi="Times New Roman"/>
          <w:b w:val="0"/>
          <w:sz w:val="24"/>
          <w:szCs w:val="24"/>
        </w:rPr>
        <w:t xml:space="preserve">that support </w:t>
      </w:r>
      <w:r>
        <w:rPr>
          <w:rFonts w:ascii="Times New Roman" w:hAnsi="Times New Roman"/>
          <w:b w:val="0"/>
          <w:sz w:val="24"/>
          <w:szCs w:val="24"/>
        </w:rPr>
        <w:t xml:space="preserve">the outcomes it seeks to achieve for </w:t>
      </w:r>
      <w:proofErr w:type="gramStart"/>
      <w:r>
        <w:rPr>
          <w:rFonts w:ascii="Times New Roman" w:hAnsi="Times New Roman"/>
          <w:b w:val="0"/>
          <w:sz w:val="24"/>
          <w:szCs w:val="24"/>
        </w:rPr>
        <w:t>members;</w:t>
      </w:r>
      <w:proofErr w:type="gramEnd"/>
    </w:p>
    <w:p w14:paraId="6D9E206F" w14:textId="086EE14B" w:rsidR="00BA3C0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 xml:space="preserve">funding and costing of key initiatives to be included within an RSE licensee’s business </w:t>
      </w:r>
      <w:proofErr w:type="gramStart"/>
      <w:r>
        <w:rPr>
          <w:rFonts w:ascii="Times New Roman" w:hAnsi="Times New Roman"/>
          <w:b w:val="0"/>
          <w:sz w:val="24"/>
          <w:szCs w:val="24"/>
        </w:rPr>
        <w:t>plan</w:t>
      </w:r>
      <w:r w:rsidR="00EF62C6">
        <w:rPr>
          <w:rFonts w:ascii="Times New Roman" w:hAnsi="Times New Roman"/>
          <w:b w:val="0"/>
          <w:sz w:val="24"/>
          <w:szCs w:val="24"/>
        </w:rPr>
        <w:t>;</w:t>
      </w:r>
      <w:proofErr w:type="gramEnd"/>
      <w:r>
        <w:rPr>
          <w:rFonts w:ascii="Times New Roman" w:hAnsi="Times New Roman"/>
          <w:b w:val="0"/>
          <w:sz w:val="24"/>
          <w:szCs w:val="24"/>
        </w:rPr>
        <w:t xml:space="preserve">  </w:t>
      </w:r>
    </w:p>
    <w:p w14:paraId="37728E99" w14:textId="5D9A61DD" w:rsidR="0079611F" w:rsidRDefault="00BA0E02"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an RSE licensee to ensure that its</w:t>
      </w:r>
      <w:r w:rsidR="0079611F">
        <w:rPr>
          <w:rFonts w:ascii="Times New Roman" w:hAnsi="Times New Roman"/>
          <w:b w:val="0"/>
          <w:sz w:val="24"/>
          <w:szCs w:val="24"/>
        </w:rPr>
        <w:t xml:space="preserve"> retirement income strategy</w:t>
      </w:r>
      <w:r>
        <w:rPr>
          <w:rFonts w:ascii="Times New Roman" w:hAnsi="Times New Roman"/>
          <w:b w:val="0"/>
          <w:sz w:val="24"/>
          <w:szCs w:val="24"/>
        </w:rPr>
        <w:t xml:space="preserve"> is subject to review</w:t>
      </w:r>
      <w:r w:rsidR="007E2490">
        <w:rPr>
          <w:rFonts w:ascii="Times New Roman" w:hAnsi="Times New Roman"/>
          <w:b w:val="0"/>
          <w:sz w:val="24"/>
          <w:szCs w:val="24"/>
        </w:rPr>
        <w:t xml:space="preserve"> at least every three </w:t>
      </w:r>
      <w:proofErr w:type="gramStart"/>
      <w:r w:rsidR="007E2490">
        <w:rPr>
          <w:rFonts w:ascii="Times New Roman" w:hAnsi="Times New Roman"/>
          <w:b w:val="0"/>
          <w:sz w:val="24"/>
          <w:szCs w:val="24"/>
        </w:rPr>
        <w:t>years</w:t>
      </w:r>
      <w:r w:rsidR="0079611F">
        <w:rPr>
          <w:rFonts w:ascii="Times New Roman" w:hAnsi="Times New Roman"/>
          <w:b w:val="0"/>
          <w:sz w:val="24"/>
          <w:szCs w:val="24"/>
        </w:rPr>
        <w:t>;</w:t>
      </w:r>
      <w:proofErr w:type="gramEnd"/>
    </w:p>
    <w:p w14:paraId="40D54272" w14:textId="5B1B9D17" w:rsidR="0079611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 xml:space="preserve">uplifts to </w:t>
      </w:r>
      <w:r w:rsidR="00EF62C6">
        <w:rPr>
          <w:rFonts w:ascii="Times New Roman" w:hAnsi="Times New Roman"/>
          <w:b w:val="0"/>
          <w:sz w:val="24"/>
          <w:szCs w:val="24"/>
        </w:rPr>
        <w:t xml:space="preserve">RSE licensees’ </w:t>
      </w:r>
      <w:r>
        <w:rPr>
          <w:rFonts w:ascii="Times New Roman" w:hAnsi="Times New Roman"/>
          <w:b w:val="0"/>
          <w:sz w:val="24"/>
          <w:szCs w:val="24"/>
        </w:rPr>
        <w:t>financial resource management</w:t>
      </w:r>
      <w:r w:rsidR="00EF62C6">
        <w:rPr>
          <w:rFonts w:ascii="Times New Roman" w:hAnsi="Times New Roman"/>
          <w:b w:val="0"/>
          <w:sz w:val="24"/>
          <w:szCs w:val="24"/>
        </w:rPr>
        <w:t>,</w:t>
      </w:r>
      <w:r>
        <w:rPr>
          <w:rFonts w:ascii="Times New Roman" w:hAnsi="Times New Roman"/>
          <w:b w:val="0"/>
          <w:sz w:val="24"/>
          <w:szCs w:val="24"/>
        </w:rPr>
        <w:t xml:space="preserve"> including fee setting principles, expenditure management and reserving </w:t>
      </w:r>
      <w:proofErr w:type="gramStart"/>
      <w:r>
        <w:rPr>
          <w:rFonts w:ascii="Times New Roman" w:hAnsi="Times New Roman"/>
          <w:b w:val="0"/>
          <w:sz w:val="24"/>
          <w:szCs w:val="24"/>
        </w:rPr>
        <w:t>practices;</w:t>
      </w:r>
      <w:proofErr w:type="gramEnd"/>
    </w:p>
    <w:p w14:paraId="5062F876" w14:textId="2579D3C8" w:rsidR="0079611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monitoring of performance</w:t>
      </w:r>
      <w:r w:rsidR="00A55FCF">
        <w:rPr>
          <w:rFonts w:ascii="Times New Roman" w:hAnsi="Times New Roman"/>
          <w:b w:val="0"/>
          <w:sz w:val="24"/>
          <w:szCs w:val="24"/>
        </w:rPr>
        <w:t xml:space="preserve"> indicators and</w:t>
      </w:r>
      <w:r>
        <w:rPr>
          <w:rFonts w:ascii="Times New Roman" w:hAnsi="Times New Roman"/>
          <w:b w:val="0"/>
          <w:sz w:val="24"/>
          <w:szCs w:val="24"/>
        </w:rPr>
        <w:t xml:space="preserve"> triggers to drive a timely response where outcomes </w:t>
      </w:r>
      <w:r w:rsidR="00A55FCF">
        <w:rPr>
          <w:rFonts w:ascii="Times New Roman" w:hAnsi="Times New Roman"/>
          <w:b w:val="0"/>
          <w:sz w:val="24"/>
          <w:szCs w:val="24"/>
        </w:rPr>
        <w:t xml:space="preserve">are not being or unlikely to </w:t>
      </w:r>
      <w:r>
        <w:rPr>
          <w:rFonts w:ascii="Times New Roman" w:hAnsi="Times New Roman"/>
          <w:b w:val="0"/>
          <w:sz w:val="24"/>
          <w:szCs w:val="24"/>
        </w:rPr>
        <w:t>be</w:t>
      </w:r>
      <w:r w:rsidR="00A269F7">
        <w:rPr>
          <w:rFonts w:ascii="Times New Roman" w:hAnsi="Times New Roman"/>
          <w:b w:val="0"/>
          <w:sz w:val="24"/>
          <w:szCs w:val="24"/>
        </w:rPr>
        <w:t xml:space="preserve"> </w:t>
      </w:r>
      <w:proofErr w:type="gramStart"/>
      <w:r>
        <w:rPr>
          <w:rFonts w:ascii="Times New Roman" w:hAnsi="Times New Roman"/>
          <w:b w:val="0"/>
          <w:sz w:val="24"/>
          <w:szCs w:val="24"/>
        </w:rPr>
        <w:t>achieved;</w:t>
      </w:r>
      <w:proofErr w:type="gramEnd"/>
    </w:p>
    <w:p w14:paraId="7FE2BA07" w14:textId="1BB5B7F0" w:rsidR="0079611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the business performance review to clearly</w:t>
      </w:r>
      <w:r w:rsidR="005F53DA">
        <w:rPr>
          <w:rFonts w:ascii="Times New Roman" w:hAnsi="Times New Roman"/>
          <w:b w:val="0"/>
          <w:sz w:val="24"/>
          <w:szCs w:val="24"/>
        </w:rPr>
        <w:t xml:space="preserve"> assess and demonstrate the outcomes achieved for beneficiaries and whether</w:t>
      </w:r>
      <w:r>
        <w:rPr>
          <w:rFonts w:ascii="Times New Roman" w:hAnsi="Times New Roman"/>
          <w:b w:val="0"/>
          <w:sz w:val="24"/>
          <w:szCs w:val="24"/>
        </w:rPr>
        <w:t xml:space="preserve"> strategic objectives </w:t>
      </w:r>
      <w:r w:rsidR="005F53DA">
        <w:rPr>
          <w:rFonts w:ascii="Times New Roman" w:hAnsi="Times New Roman"/>
          <w:b w:val="0"/>
          <w:sz w:val="24"/>
          <w:szCs w:val="24"/>
        </w:rPr>
        <w:t>are being met, with results of the business performance review to be considered by the RSE Licensee when setting strategic objectives</w:t>
      </w:r>
      <w:r>
        <w:rPr>
          <w:rFonts w:ascii="Times New Roman" w:hAnsi="Times New Roman"/>
          <w:b w:val="0"/>
          <w:sz w:val="24"/>
          <w:szCs w:val="24"/>
        </w:rPr>
        <w:t>;</w:t>
      </w:r>
      <w:r w:rsidR="00A27B74">
        <w:rPr>
          <w:rFonts w:ascii="Times New Roman" w:hAnsi="Times New Roman"/>
          <w:b w:val="0"/>
          <w:sz w:val="24"/>
          <w:szCs w:val="24"/>
        </w:rPr>
        <w:t xml:space="preserve"> and</w:t>
      </w:r>
    </w:p>
    <w:p w14:paraId="186D2B09" w14:textId="77777777" w:rsidR="0079611F" w:rsidRDefault="0079611F" w:rsidP="0079611F">
      <w:pPr>
        <w:pStyle w:val="Heading"/>
        <w:numPr>
          <w:ilvl w:val="0"/>
          <w:numId w:val="12"/>
        </w:numPr>
        <w:tabs>
          <w:tab w:val="left" w:pos="360"/>
        </w:tabs>
        <w:spacing w:after="120"/>
        <w:ind w:left="714" w:hanging="357"/>
        <w:rPr>
          <w:rFonts w:ascii="Times New Roman" w:hAnsi="Times New Roman"/>
          <w:b w:val="0"/>
          <w:sz w:val="24"/>
          <w:szCs w:val="24"/>
        </w:rPr>
      </w:pPr>
      <w:r>
        <w:rPr>
          <w:rFonts w:ascii="Times New Roman" w:hAnsi="Times New Roman"/>
          <w:b w:val="0"/>
          <w:sz w:val="24"/>
          <w:szCs w:val="24"/>
        </w:rPr>
        <w:t>measures to support the management of risks when planning for and undertaking a transfer of members.</w:t>
      </w:r>
    </w:p>
    <w:p w14:paraId="249930E7" w14:textId="77777777" w:rsidR="009443B7" w:rsidRDefault="009443B7" w:rsidP="009443B7">
      <w:pPr>
        <w:jc w:val="both"/>
        <w:rPr>
          <w:rFonts w:ascii="Times New Roman" w:hAnsi="Times New Roman"/>
          <w:sz w:val="24"/>
          <w:szCs w:val="24"/>
        </w:rPr>
      </w:pPr>
    </w:p>
    <w:p w14:paraId="2DB5EAF5" w14:textId="4D0413F1" w:rsidR="00373992" w:rsidRPr="00564008" w:rsidRDefault="002436BD" w:rsidP="00373992">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 xml:space="preserve">Purpose </w:t>
      </w:r>
      <w:r w:rsidR="00DF524E" w:rsidRPr="00564008">
        <w:rPr>
          <w:rFonts w:ascii="Times New Roman" w:hAnsi="Times New Roman"/>
          <w:sz w:val="24"/>
          <w:szCs w:val="24"/>
        </w:rPr>
        <w:t xml:space="preserve">and operation </w:t>
      </w:r>
      <w:r w:rsidRPr="00564008">
        <w:rPr>
          <w:rFonts w:ascii="Times New Roman" w:hAnsi="Times New Roman"/>
          <w:sz w:val="24"/>
          <w:szCs w:val="24"/>
        </w:rPr>
        <w:t>of the instrument</w:t>
      </w:r>
      <w:bookmarkStart w:id="4" w:name="bkPurpose"/>
      <w:bookmarkEnd w:id="4"/>
    </w:p>
    <w:p w14:paraId="4B0DF31A" w14:textId="7BC39C90" w:rsidR="008D4E04" w:rsidRDefault="008D4E04" w:rsidP="008D4E04">
      <w:pPr>
        <w:jc w:val="both"/>
        <w:rPr>
          <w:rFonts w:ascii="Times New Roman" w:hAnsi="Times New Roman"/>
          <w:sz w:val="24"/>
          <w:szCs w:val="24"/>
        </w:rPr>
      </w:pPr>
      <w:r w:rsidRPr="00BC1E70">
        <w:rPr>
          <w:rFonts w:ascii="Times New Roman" w:hAnsi="Times New Roman"/>
          <w:sz w:val="24"/>
          <w:szCs w:val="24"/>
        </w:rPr>
        <w:t>The purpose of</w:t>
      </w:r>
      <w:r>
        <w:rPr>
          <w:rFonts w:ascii="Times New Roman" w:hAnsi="Times New Roman"/>
          <w:sz w:val="24"/>
          <w:szCs w:val="24"/>
        </w:rPr>
        <w:t xml:space="preserve"> this instrument </w:t>
      </w:r>
      <w:r w:rsidRPr="00BC1E70">
        <w:rPr>
          <w:rFonts w:ascii="Times New Roman" w:hAnsi="Times New Roman"/>
          <w:sz w:val="24"/>
          <w:szCs w:val="24"/>
        </w:rPr>
        <w:t>is to revoke</w:t>
      </w:r>
      <w:r w:rsidR="009E1E06">
        <w:rPr>
          <w:rFonts w:ascii="Times New Roman" w:hAnsi="Times New Roman"/>
          <w:sz w:val="24"/>
          <w:szCs w:val="24"/>
        </w:rPr>
        <w:t xml:space="preserve"> the</w:t>
      </w:r>
      <w:r w:rsidRPr="00BC1E70">
        <w:rPr>
          <w:rFonts w:ascii="Times New Roman" w:hAnsi="Times New Roman"/>
          <w:sz w:val="24"/>
          <w:szCs w:val="24"/>
        </w:rPr>
        <w:t xml:space="preserve"> </w:t>
      </w:r>
      <w:r>
        <w:rPr>
          <w:rFonts w:ascii="Times New Roman" w:hAnsi="Times New Roman"/>
          <w:sz w:val="24"/>
          <w:szCs w:val="24"/>
        </w:rPr>
        <w:t xml:space="preserve">previous </w:t>
      </w:r>
      <w:r w:rsidR="009E1E06">
        <w:rPr>
          <w:rFonts w:ascii="Times New Roman" w:hAnsi="Times New Roman"/>
          <w:sz w:val="24"/>
          <w:szCs w:val="24"/>
        </w:rPr>
        <w:t>version of the standard</w:t>
      </w:r>
      <w:r w:rsidR="00B71240">
        <w:rPr>
          <w:rFonts w:ascii="Times New Roman" w:hAnsi="Times New Roman"/>
          <w:sz w:val="24"/>
          <w:szCs w:val="24"/>
        </w:rPr>
        <w:t xml:space="preserve"> </w:t>
      </w:r>
      <w:r>
        <w:rPr>
          <w:rFonts w:ascii="Times New Roman" w:hAnsi="Times New Roman"/>
          <w:sz w:val="24"/>
          <w:szCs w:val="24"/>
        </w:rPr>
        <w:t xml:space="preserve">and to replace it with a new version. </w:t>
      </w:r>
    </w:p>
    <w:p w14:paraId="71340981" w14:textId="77777777" w:rsidR="008D4E04" w:rsidRDefault="008D4E04" w:rsidP="008D4E04">
      <w:pPr>
        <w:jc w:val="both"/>
        <w:rPr>
          <w:rFonts w:ascii="Times New Roman" w:hAnsi="Times New Roman"/>
          <w:sz w:val="24"/>
          <w:szCs w:val="24"/>
        </w:rPr>
      </w:pPr>
    </w:p>
    <w:p w14:paraId="7D3FD170" w14:textId="66657EBA" w:rsidR="006803B7" w:rsidRDefault="006803B7" w:rsidP="006803B7">
      <w:pPr>
        <w:jc w:val="both"/>
        <w:rPr>
          <w:rFonts w:ascii="Times New Roman" w:hAnsi="Times New Roman"/>
          <w:sz w:val="24"/>
          <w:szCs w:val="24"/>
        </w:rPr>
      </w:pPr>
      <w:r>
        <w:rPr>
          <w:rFonts w:ascii="Times New Roman" w:hAnsi="Times New Roman"/>
          <w:sz w:val="24"/>
          <w:szCs w:val="24"/>
        </w:rPr>
        <w:t xml:space="preserve">The key requirements of SPS </w:t>
      </w:r>
      <w:r w:rsidR="00B71240">
        <w:rPr>
          <w:rFonts w:ascii="Times New Roman" w:hAnsi="Times New Roman"/>
          <w:sz w:val="24"/>
          <w:szCs w:val="24"/>
        </w:rPr>
        <w:t xml:space="preserve">515 </w:t>
      </w:r>
      <w:r>
        <w:rPr>
          <w:rFonts w:ascii="Times New Roman" w:hAnsi="Times New Roman"/>
          <w:sz w:val="24"/>
          <w:szCs w:val="24"/>
        </w:rPr>
        <w:t xml:space="preserve">are set out below: </w:t>
      </w:r>
    </w:p>
    <w:p w14:paraId="1452C1E2" w14:textId="77777777" w:rsidR="006803B7" w:rsidRDefault="006803B7" w:rsidP="006803B7">
      <w:pPr>
        <w:jc w:val="both"/>
        <w:rPr>
          <w:rFonts w:ascii="Times New Roman" w:hAnsi="Times New Roman"/>
          <w:sz w:val="24"/>
          <w:szCs w:val="24"/>
        </w:rPr>
      </w:pPr>
    </w:p>
    <w:p w14:paraId="45E4A8E2" w14:textId="5E44D6C5" w:rsidR="006803B7" w:rsidRPr="006B52CC" w:rsidRDefault="00B71240" w:rsidP="006803B7">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Strategic objectives</w:t>
      </w:r>
      <w:r w:rsidR="006803B7">
        <w:rPr>
          <w:rFonts w:ascii="Times New Roman" w:hAnsi="Times New Roman" w:cs="Times New Roman"/>
          <w:i/>
          <w:sz w:val="24"/>
          <w:szCs w:val="24"/>
        </w:rPr>
        <w:t xml:space="preserve"> </w:t>
      </w:r>
    </w:p>
    <w:p w14:paraId="702FBF43" w14:textId="3D81F450" w:rsidR="006803B7" w:rsidRDefault="006803B7" w:rsidP="006803B7">
      <w:pPr>
        <w:pStyle w:val="List"/>
        <w:numPr>
          <w:ilvl w:val="1"/>
          <w:numId w:val="0"/>
        </w:numPr>
        <w:ind w:left="425"/>
        <w:rPr>
          <w:rFonts w:ascii="Times New Roman" w:hAnsi="Times New Roman" w:cs="Times New Roman"/>
          <w:sz w:val="24"/>
          <w:szCs w:val="24"/>
        </w:rPr>
      </w:pPr>
      <w:r>
        <w:rPr>
          <w:rFonts w:ascii="Times New Roman" w:hAnsi="Times New Roman" w:cs="Times New Roman"/>
          <w:sz w:val="24"/>
          <w:szCs w:val="24"/>
        </w:rPr>
        <w:t>P</w:t>
      </w:r>
      <w:r w:rsidRPr="006B52CC">
        <w:rPr>
          <w:rFonts w:ascii="Times New Roman" w:hAnsi="Times New Roman" w:cs="Times New Roman"/>
          <w:sz w:val="24"/>
          <w:szCs w:val="24"/>
        </w:rPr>
        <w:t xml:space="preserve">aragraphs </w:t>
      </w:r>
      <w:r>
        <w:rPr>
          <w:rFonts w:ascii="Times New Roman" w:hAnsi="Times New Roman" w:cs="Times New Roman"/>
          <w:sz w:val="24"/>
          <w:szCs w:val="24"/>
        </w:rPr>
        <w:t>8-1</w:t>
      </w:r>
      <w:r w:rsidR="00B71240">
        <w:rPr>
          <w:rFonts w:ascii="Times New Roman" w:hAnsi="Times New Roman" w:cs="Times New Roman"/>
          <w:sz w:val="24"/>
          <w:szCs w:val="24"/>
        </w:rPr>
        <w:t>0</w:t>
      </w:r>
      <w:r w:rsidR="00332183">
        <w:rPr>
          <w:rFonts w:ascii="Times New Roman" w:hAnsi="Times New Roman" w:cs="Times New Roman"/>
          <w:sz w:val="24"/>
          <w:szCs w:val="24"/>
        </w:rPr>
        <w:t xml:space="preserve"> outline requirements</w:t>
      </w:r>
      <w:r w:rsidR="0075071F">
        <w:rPr>
          <w:rFonts w:ascii="Times New Roman" w:hAnsi="Times New Roman" w:cs="Times New Roman"/>
          <w:sz w:val="24"/>
          <w:szCs w:val="24"/>
        </w:rPr>
        <w:t xml:space="preserve"> for RSE licensees to set strategic objectives to support the achievement of outcomes sought for members and set out factors RSE licensees must consider when setting strategic objectives.</w:t>
      </w:r>
    </w:p>
    <w:p w14:paraId="355C7528" w14:textId="078D248E" w:rsidR="006803B7" w:rsidRDefault="00B71240" w:rsidP="006803B7">
      <w:pPr>
        <w:pStyle w:val="List"/>
        <w:numPr>
          <w:ilvl w:val="1"/>
          <w:numId w:val="11"/>
        </w:numPr>
        <w:rPr>
          <w:rFonts w:ascii="Times New Roman" w:hAnsi="Times New Roman" w:cs="Times New Roman"/>
          <w:i/>
          <w:sz w:val="24"/>
          <w:szCs w:val="24"/>
        </w:rPr>
      </w:pPr>
      <w:r>
        <w:rPr>
          <w:rFonts w:ascii="Times New Roman" w:hAnsi="Times New Roman" w:cs="Times New Roman"/>
          <w:i/>
          <w:sz w:val="24"/>
          <w:szCs w:val="24"/>
        </w:rPr>
        <w:t xml:space="preserve">Business plan </w:t>
      </w:r>
      <w:r w:rsidR="006803B7">
        <w:rPr>
          <w:rFonts w:ascii="Times New Roman" w:hAnsi="Times New Roman" w:cs="Times New Roman"/>
          <w:i/>
          <w:sz w:val="24"/>
          <w:szCs w:val="24"/>
        </w:rPr>
        <w:t xml:space="preserve"> </w:t>
      </w:r>
    </w:p>
    <w:p w14:paraId="3707516E" w14:textId="18D68B99" w:rsidR="006803B7" w:rsidRDefault="006803B7" w:rsidP="006803B7">
      <w:pPr>
        <w:pStyle w:val="List"/>
        <w:tabs>
          <w:tab w:val="clear" w:pos="425"/>
        </w:tabs>
        <w:ind w:firstLine="0"/>
        <w:rPr>
          <w:rFonts w:ascii="Times New Roman" w:hAnsi="Times New Roman"/>
          <w:sz w:val="24"/>
          <w:szCs w:val="24"/>
        </w:rPr>
      </w:pPr>
      <w:r w:rsidRPr="00A23802">
        <w:rPr>
          <w:rFonts w:ascii="Times New Roman" w:hAnsi="Times New Roman"/>
          <w:sz w:val="24"/>
          <w:szCs w:val="24"/>
        </w:rPr>
        <w:lastRenderedPageBreak/>
        <w:t xml:space="preserve">Paragraphs </w:t>
      </w:r>
      <w:r w:rsidR="00B71240">
        <w:rPr>
          <w:rFonts w:ascii="Times New Roman" w:hAnsi="Times New Roman"/>
          <w:sz w:val="24"/>
          <w:szCs w:val="24"/>
        </w:rPr>
        <w:t>11-14</w:t>
      </w:r>
      <w:r>
        <w:rPr>
          <w:rFonts w:ascii="Times New Roman" w:hAnsi="Times New Roman"/>
          <w:sz w:val="24"/>
          <w:szCs w:val="24"/>
        </w:rPr>
        <w:t xml:space="preserve"> </w:t>
      </w:r>
      <w:r w:rsidR="00DD1839">
        <w:rPr>
          <w:rFonts w:ascii="Times New Roman" w:hAnsi="Times New Roman"/>
          <w:sz w:val="24"/>
          <w:szCs w:val="24"/>
        </w:rPr>
        <w:t>require an RSE licensee to create and maintain a business plan and specif</w:t>
      </w:r>
      <w:r w:rsidR="00577984">
        <w:rPr>
          <w:rFonts w:ascii="Times New Roman" w:hAnsi="Times New Roman"/>
          <w:sz w:val="24"/>
          <w:szCs w:val="24"/>
        </w:rPr>
        <w:t>y</w:t>
      </w:r>
      <w:r w:rsidR="00DD1839">
        <w:rPr>
          <w:rFonts w:ascii="Times New Roman" w:hAnsi="Times New Roman"/>
          <w:sz w:val="24"/>
          <w:szCs w:val="24"/>
        </w:rPr>
        <w:t xml:space="preserve"> minimum inclusions for the </w:t>
      </w:r>
      <w:r w:rsidR="00AD1873">
        <w:rPr>
          <w:rFonts w:ascii="Times New Roman" w:hAnsi="Times New Roman"/>
          <w:sz w:val="24"/>
          <w:szCs w:val="24"/>
        </w:rPr>
        <w:t>business plan</w:t>
      </w:r>
      <w:r w:rsidR="00577984">
        <w:rPr>
          <w:rFonts w:ascii="Times New Roman" w:hAnsi="Times New Roman"/>
          <w:sz w:val="24"/>
          <w:szCs w:val="24"/>
        </w:rPr>
        <w:t>,</w:t>
      </w:r>
      <w:r w:rsidR="00AD1873">
        <w:rPr>
          <w:rFonts w:ascii="Times New Roman" w:hAnsi="Times New Roman"/>
          <w:sz w:val="24"/>
          <w:szCs w:val="24"/>
        </w:rPr>
        <w:t xml:space="preserve"> as well as </w:t>
      </w:r>
      <w:r w:rsidR="00577984">
        <w:rPr>
          <w:rFonts w:ascii="Times New Roman" w:hAnsi="Times New Roman"/>
          <w:sz w:val="24"/>
          <w:szCs w:val="24"/>
        </w:rPr>
        <w:t xml:space="preserve">a </w:t>
      </w:r>
      <w:r w:rsidR="00AD1873">
        <w:rPr>
          <w:rFonts w:ascii="Times New Roman" w:hAnsi="Times New Roman"/>
          <w:sz w:val="24"/>
          <w:szCs w:val="24"/>
        </w:rPr>
        <w:t>requirement for the business plan to be reviewed and updated annually.</w:t>
      </w:r>
    </w:p>
    <w:p w14:paraId="2ECBB0E5" w14:textId="5367C000" w:rsidR="006803B7" w:rsidRPr="002B59A1" w:rsidRDefault="0079611F" w:rsidP="006803B7">
      <w:pPr>
        <w:pStyle w:val="List"/>
        <w:tabs>
          <w:tab w:val="clear" w:pos="425"/>
        </w:tabs>
        <w:ind w:firstLine="0"/>
        <w:rPr>
          <w:rFonts w:ascii="Times New Roman" w:hAnsi="Times New Roman"/>
          <w:sz w:val="24"/>
          <w:szCs w:val="24"/>
        </w:rPr>
      </w:pPr>
      <w:r>
        <w:rPr>
          <w:rFonts w:ascii="Times New Roman" w:hAnsi="Times New Roman"/>
          <w:sz w:val="24"/>
          <w:szCs w:val="24"/>
        </w:rPr>
        <w:t>F</w:t>
      </w:r>
      <w:r w:rsidR="00762B09" w:rsidRPr="002B59A1">
        <w:rPr>
          <w:rFonts w:ascii="Times New Roman" w:hAnsi="Times New Roman"/>
          <w:sz w:val="24"/>
          <w:szCs w:val="24"/>
        </w:rPr>
        <w:t xml:space="preserve">or each key initiative </w:t>
      </w:r>
      <w:r w:rsidR="004C5635" w:rsidRPr="002B59A1">
        <w:rPr>
          <w:rFonts w:ascii="Times New Roman" w:hAnsi="Times New Roman"/>
          <w:sz w:val="24"/>
          <w:szCs w:val="24"/>
        </w:rPr>
        <w:t xml:space="preserve">that </w:t>
      </w:r>
      <w:r w:rsidR="00762B09" w:rsidRPr="002B59A1">
        <w:rPr>
          <w:rFonts w:ascii="Times New Roman" w:hAnsi="Times New Roman"/>
          <w:sz w:val="24"/>
          <w:szCs w:val="24"/>
        </w:rPr>
        <w:t>the RSE licensee will undertake</w:t>
      </w:r>
      <w:r w:rsidR="00B905AE" w:rsidRPr="002B59A1">
        <w:rPr>
          <w:rFonts w:ascii="Times New Roman" w:hAnsi="Times New Roman"/>
          <w:sz w:val="24"/>
          <w:szCs w:val="24"/>
        </w:rPr>
        <w:t xml:space="preserve"> to achieve its strategic objectives,</w:t>
      </w:r>
      <w:r>
        <w:rPr>
          <w:rFonts w:ascii="Times New Roman" w:hAnsi="Times New Roman"/>
          <w:sz w:val="24"/>
          <w:szCs w:val="24"/>
        </w:rPr>
        <w:t xml:space="preserve"> the business plan must specify</w:t>
      </w:r>
      <w:r w:rsidR="00B905AE" w:rsidRPr="002B59A1">
        <w:rPr>
          <w:rFonts w:ascii="Times New Roman" w:hAnsi="Times New Roman"/>
          <w:sz w:val="24"/>
          <w:szCs w:val="24"/>
        </w:rPr>
        <w:t xml:space="preserve"> </w:t>
      </w:r>
      <w:r w:rsidR="007F2F25" w:rsidRPr="002B59A1">
        <w:rPr>
          <w:rFonts w:ascii="Times New Roman" w:hAnsi="Times New Roman"/>
          <w:sz w:val="24"/>
          <w:szCs w:val="24"/>
        </w:rPr>
        <w:t>the expected cost</w:t>
      </w:r>
      <w:r w:rsidR="00545342" w:rsidRPr="002B59A1">
        <w:rPr>
          <w:rFonts w:ascii="Times New Roman" w:hAnsi="Times New Roman"/>
          <w:sz w:val="24"/>
          <w:szCs w:val="24"/>
        </w:rPr>
        <w:t>, how it will be funded and the expected results of the initiative</w:t>
      </w:r>
      <w:r w:rsidR="004477D6" w:rsidRPr="002B59A1">
        <w:rPr>
          <w:rFonts w:ascii="Times New Roman" w:hAnsi="Times New Roman"/>
          <w:sz w:val="24"/>
          <w:szCs w:val="24"/>
        </w:rPr>
        <w:t xml:space="preserve">. </w:t>
      </w:r>
      <w:r w:rsidR="005115C6" w:rsidRPr="002B59A1">
        <w:rPr>
          <w:rFonts w:ascii="Times New Roman" w:hAnsi="Times New Roman"/>
          <w:sz w:val="24"/>
          <w:szCs w:val="24"/>
        </w:rPr>
        <w:t>Where</w:t>
      </w:r>
      <w:r w:rsidR="00E213C1" w:rsidRPr="002B59A1">
        <w:rPr>
          <w:rFonts w:ascii="Times New Roman" w:hAnsi="Times New Roman"/>
          <w:sz w:val="24"/>
          <w:szCs w:val="24"/>
        </w:rPr>
        <w:t xml:space="preserve"> an RSE licensee has decided to undertake a transfer of </w:t>
      </w:r>
      <w:r w:rsidR="007A1051" w:rsidRPr="002B59A1">
        <w:rPr>
          <w:rFonts w:ascii="Times New Roman" w:hAnsi="Times New Roman"/>
          <w:sz w:val="24"/>
          <w:szCs w:val="24"/>
        </w:rPr>
        <w:t xml:space="preserve">beneficiaries, remedial action or other recovery of exit activities, </w:t>
      </w:r>
      <w:r w:rsidR="002B282F" w:rsidRPr="002B59A1">
        <w:rPr>
          <w:rFonts w:ascii="Times New Roman" w:hAnsi="Times New Roman"/>
          <w:sz w:val="24"/>
          <w:szCs w:val="24"/>
        </w:rPr>
        <w:t xml:space="preserve">the business plan </w:t>
      </w:r>
      <w:r>
        <w:rPr>
          <w:rFonts w:ascii="Times New Roman" w:hAnsi="Times New Roman"/>
          <w:sz w:val="24"/>
          <w:szCs w:val="24"/>
        </w:rPr>
        <w:t>must</w:t>
      </w:r>
      <w:r w:rsidR="00A27B74">
        <w:rPr>
          <w:rFonts w:ascii="Times New Roman" w:hAnsi="Times New Roman"/>
          <w:sz w:val="24"/>
          <w:szCs w:val="24"/>
        </w:rPr>
        <w:t xml:space="preserve"> </w:t>
      </w:r>
      <w:r w:rsidR="002B282F" w:rsidRPr="002B59A1">
        <w:rPr>
          <w:rFonts w:ascii="Times New Roman" w:hAnsi="Times New Roman"/>
          <w:sz w:val="24"/>
          <w:szCs w:val="24"/>
        </w:rPr>
        <w:t xml:space="preserve">include how </w:t>
      </w:r>
      <w:r w:rsidR="0004011E" w:rsidRPr="002B59A1">
        <w:rPr>
          <w:rFonts w:ascii="Times New Roman" w:hAnsi="Times New Roman"/>
          <w:sz w:val="24"/>
          <w:szCs w:val="24"/>
        </w:rPr>
        <w:t>th</w:t>
      </w:r>
      <w:r w:rsidR="00E63B83" w:rsidRPr="002B59A1">
        <w:rPr>
          <w:rFonts w:ascii="Times New Roman" w:hAnsi="Times New Roman"/>
          <w:sz w:val="24"/>
          <w:szCs w:val="24"/>
        </w:rPr>
        <w:t>at</w:t>
      </w:r>
      <w:r w:rsidR="0004011E" w:rsidRPr="002B59A1">
        <w:rPr>
          <w:rFonts w:ascii="Times New Roman" w:hAnsi="Times New Roman"/>
          <w:sz w:val="24"/>
          <w:szCs w:val="24"/>
        </w:rPr>
        <w:t xml:space="preserve"> decision will be implemented</w:t>
      </w:r>
      <w:r w:rsidR="00E63B83" w:rsidRPr="002B59A1">
        <w:rPr>
          <w:rFonts w:ascii="Times New Roman" w:hAnsi="Times New Roman"/>
          <w:sz w:val="24"/>
          <w:szCs w:val="24"/>
        </w:rPr>
        <w:t>.</w:t>
      </w:r>
    </w:p>
    <w:p w14:paraId="574E030D" w14:textId="09EE9248" w:rsidR="006803B7" w:rsidRPr="002B59A1" w:rsidRDefault="00B71240"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 xml:space="preserve">Financial resource management </w:t>
      </w:r>
      <w:r w:rsidR="006803B7" w:rsidRPr="002B59A1">
        <w:rPr>
          <w:rFonts w:ascii="Times New Roman" w:hAnsi="Times New Roman" w:cs="Times New Roman"/>
          <w:i/>
          <w:sz w:val="24"/>
          <w:szCs w:val="24"/>
        </w:rPr>
        <w:t xml:space="preserve"> </w:t>
      </w:r>
    </w:p>
    <w:p w14:paraId="66D7FCF6" w14:textId="3FEC6594" w:rsidR="006803B7" w:rsidRPr="002B59A1" w:rsidRDefault="006803B7" w:rsidP="0058057C">
      <w:pPr>
        <w:pStyle w:val="List"/>
        <w:tabs>
          <w:tab w:val="clear" w:pos="425"/>
        </w:tabs>
        <w:ind w:firstLine="0"/>
        <w:jc w:val="left"/>
        <w:rPr>
          <w:rFonts w:ascii="Times New Roman" w:hAnsi="Times New Roman" w:cs="Times New Roman"/>
          <w:sz w:val="24"/>
          <w:szCs w:val="24"/>
        </w:rPr>
      </w:pPr>
      <w:r w:rsidRPr="002B59A1">
        <w:rPr>
          <w:rFonts w:ascii="Times New Roman" w:hAnsi="Times New Roman" w:cs="Times New Roman"/>
          <w:sz w:val="24"/>
          <w:szCs w:val="24"/>
        </w:rPr>
        <w:t>Paragraphs 15-2</w:t>
      </w:r>
      <w:r w:rsidR="00B71240" w:rsidRPr="002B59A1">
        <w:rPr>
          <w:rFonts w:ascii="Times New Roman" w:hAnsi="Times New Roman" w:cs="Times New Roman"/>
          <w:sz w:val="24"/>
          <w:szCs w:val="24"/>
        </w:rPr>
        <w:t>2</w:t>
      </w:r>
      <w:r w:rsidRPr="002B59A1">
        <w:rPr>
          <w:rFonts w:ascii="Times New Roman" w:hAnsi="Times New Roman" w:cs="Times New Roman"/>
          <w:sz w:val="24"/>
          <w:szCs w:val="24"/>
        </w:rPr>
        <w:t xml:space="preserve"> set out requirements for an RSE licensee </w:t>
      </w:r>
      <w:r w:rsidR="00D23692" w:rsidRPr="002B59A1">
        <w:rPr>
          <w:rFonts w:ascii="Times New Roman" w:hAnsi="Times New Roman" w:cs="Times New Roman"/>
          <w:sz w:val="24"/>
          <w:szCs w:val="24"/>
        </w:rPr>
        <w:t xml:space="preserve">regarding </w:t>
      </w:r>
      <w:r w:rsidR="00B3529B" w:rsidRPr="002B59A1">
        <w:rPr>
          <w:rFonts w:ascii="Times New Roman" w:hAnsi="Times New Roman" w:cs="Times New Roman"/>
          <w:sz w:val="24"/>
          <w:szCs w:val="24"/>
        </w:rPr>
        <w:t xml:space="preserve">its management of financial resources </w:t>
      </w:r>
      <w:r w:rsidR="005F68C6" w:rsidRPr="002B59A1">
        <w:rPr>
          <w:rFonts w:ascii="Times New Roman" w:hAnsi="Times New Roman" w:cs="Times New Roman"/>
          <w:sz w:val="24"/>
          <w:szCs w:val="24"/>
        </w:rPr>
        <w:t>to support</w:t>
      </w:r>
      <w:r w:rsidR="00C2005E" w:rsidRPr="002B59A1">
        <w:rPr>
          <w:rFonts w:ascii="Times New Roman" w:hAnsi="Times New Roman" w:cs="Times New Roman"/>
          <w:sz w:val="24"/>
          <w:szCs w:val="24"/>
        </w:rPr>
        <w:t xml:space="preserve"> achieving outcomes for beneficiaries</w:t>
      </w:r>
      <w:r w:rsidR="00200A92">
        <w:rPr>
          <w:rFonts w:ascii="Times New Roman" w:hAnsi="Times New Roman" w:cs="Times New Roman"/>
          <w:sz w:val="24"/>
          <w:szCs w:val="24"/>
        </w:rPr>
        <w:t xml:space="preserve">. These paragraphs include requirements relating to: </w:t>
      </w:r>
    </w:p>
    <w:p w14:paraId="272B7E5D" w14:textId="2AE8261E" w:rsidR="00200A92" w:rsidRDefault="00200A92" w:rsidP="006803B7">
      <w:pPr>
        <w:pStyle w:val="List"/>
        <w:tabs>
          <w:tab w:val="clear" w:pos="425"/>
        </w:tabs>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E707F" w:rsidRPr="002B59A1">
        <w:rPr>
          <w:rFonts w:ascii="Times New Roman" w:hAnsi="Times New Roman" w:cs="Times New Roman"/>
          <w:sz w:val="24"/>
          <w:szCs w:val="24"/>
        </w:rPr>
        <w:t xml:space="preserve">prudent and transparent fee </w:t>
      </w:r>
      <w:proofErr w:type="gramStart"/>
      <w:r w:rsidR="00CE707F" w:rsidRPr="002B59A1">
        <w:rPr>
          <w:rFonts w:ascii="Times New Roman" w:hAnsi="Times New Roman" w:cs="Times New Roman"/>
          <w:sz w:val="24"/>
          <w:szCs w:val="24"/>
        </w:rPr>
        <w:t>setting</w:t>
      </w:r>
      <w:r>
        <w:rPr>
          <w:rFonts w:ascii="Times New Roman" w:hAnsi="Times New Roman" w:cs="Times New Roman"/>
          <w:sz w:val="24"/>
          <w:szCs w:val="24"/>
        </w:rPr>
        <w:t>;</w:t>
      </w:r>
      <w:proofErr w:type="gramEnd"/>
    </w:p>
    <w:p w14:paraId="79FBC387" w14:textId="39A9869B" w:rsidR="00200A92" w:rsidRDefault="00EA57FE" w:rsidP="0022601F">
      <w:pPr>
        <w:pStyle w:val="List"/>
        <w:tabs>
          <w:tab w:val="clear" w:pos="425"/>
        </w:tabs>
        <w:ind w:left="720" w:hanging="295"/>
        <w:rPr>
          <w:rFonts w:ascii="Times New Roman" w:hAnsi="Times New Roman" w:cs="Times New Roman"/>
          <w:sz w:val="24"/>
          <w:szCs w:val="24"/>
        </w:rPr>
      </w:pPr>
      <w:r w:rsidRPr="002B59A1">
        <w:rPr>
          <w:rFonts w:ascii="Times New Roman" w:hAnsi="Times New Roman" w:cs="Times New Roman"/>
          <w:sz w:val="24"/>
          <w:szCs w:val="24"/>
        </w:rPr>
        <w:t xml:space="preserve"> </w:t>
      </w:r>
      <w:r w:rsidR="00200A92">
        <w:rPr>
          <w:rFonts w:ascii="Times New Roman" w:hAnsi="Times New Roman" w:cs="Times New Roman"/>
          <w:sz w:val="24"/>
          <w:szCs w:val="24"/>
        </w:rPr>
        <w:t>-</w:t>
      </w:r>
      <w:r w:rsidR="00200A92">
        <w:rPr>
          <w:rFonts w:ascii="Times New Roman" w:hAnsi="Times New Roman" w:cs="Times New Roman"/>
          <w:sz w:val="24"/>
          <w:szCs w:val="24"/>
        </w:rPr>
        <w:tab/>
      </w:r>
      <w:r w:rsidR="00CD20AA" w:rsidRPr="002B59A1">
        <w:rPr>
          <w:rFonts w:ascii="Times New Roman" w:hAnsi="Times New Roman" w:cs="Times New Roman"/>
          <w:sz w:val="24"/>
          <w:szCs w:val="24"/>
        </w:rPr>
        <w:t>the</w:t>
      </w:r>
      <w:r w:rsidR="00200A92">
        <w:rPr>
          <w:rFonts w:ascii="Times New Roman" w:hAnsi="Times New Roman" w:cs="Times New Roman"/>
          <w:sz w:val="24"/>
          <w:szCs w:val="24"/>
        </w:rPr>
        <w:t xml:space="preserve"> demonstration of the</w:t>
      </w:r>
      <w:r w:rsidR="00CD20AA" w:rsidRPr="002B59A1">
        <w:rPr>
          <w:rFonts w:ascii="Times New Roman" w:hAnsi="Times New Roman" w:cs="Times New Roman"/>
          <w:sz w:val="24"/>
          <w:szCs w:val="24"/>
        </w:rPr>
        <w:t xml:space="preserve"> need </w:t>
      </w:r>
      <w:r w:rsidR="00200A92">
        <w:rPr>
          <w:rFonts w:ascii="Times New Roman" w:hAnsi="Times New Roman" w:cs="Times New Roman"/>
          <w:sz w:val="24"/>
          <w:szCs w:val="24"/>
        </w:rPr>
        <w:t xml:space="preserve">for, </w:t>
      </w:r>
      <w:r w:rsidR="00CD20AA" w:rsidRPr="002B59A1">
        <w:rPr>
          <w:rFonts w:ascii="Times New Roman" w:hAnsi="Times New Roman" w:cs="Times New Roman"/>
          <w:sz w:val="24"/>
          <w:szCs w:val="24"/>
        </w:rPr>
        <w:t>and purpose of</w:t>
      </w:r>
      <w:r w:rsidR="00200A92">
        <w:rPr>
          <w:rFonts w:ascii="Times New Roman" w:hAnsi="Times New Roman" w:cs="Times New Roman"/>
          <w:sz w:val="24"/>
          <w:szCs w:val="24"/>
        </w:rPr>
        <w:t>,</w:t>
      </w:r>
      <w:r w:rsidR="00CD20AA" w:rsidRPr="002B59A1">
        <w:rPr>
          <w:rFonts w:ascii="Times New Roman" w:hAnsi="Times New Roman" w:cs="Times New Roman"/>
          <w:sz w:val="24"/>
          <w:szCs w:val="24"/>
        </w:rPr>
        <w:t xml:space="preserve"> each </w:t>
      </w:r>
      <w:r w:rsidR="00C13747" w:rsidRPr="002B59A1">
        <w:rPr>
          <w:rFonts w:ascii="Times New Roman" w:hAnsi="Times New Roman" w:cs="Times New Roman"/>
          <w:sz w:val="24"/>
          <w:szCs w:val="24"/>
        </w:rPr>
        <w:t>reserv</w:t>
      </w:r>
      <w:r w:rsidR="00CD20AA" w:rsidRPr="002B59A1">
        <w:rPr>
          <w:rFonts w:ascii="Times New Roman" w:hAnsi="Times New Roman" w:cs="Times New Roman"/>
          <w:sz w:val="24"/>
          <w:szCs w:val="24"/>
        </w:rPr>
        <w:t>e</w:t>
      </w:r>
      <w:r w:rsidR="00C13747" w:rsidRPr="002B59A1">
        <w:rPr>
          <w:rFonts w:ascii="Times New Roman" w:hAnsi="Times New Roman" w:cs="Times New Roman"/>
          <w:sz w:val="24"/>
          <w:szCs w:val="24"/>
        </w:rPr>
        <w:t xml:space="preserve"> in the RSE licensee’s business operations</w:t>
      </w:r>
      <w:r w:rsidR="00200A92">
        <w:rPr>
          <w:rFonts w:ascii="Times New Roman" w:hAnsi="Times New Roman" w:cs="Times New Roman"/>
          <w:sz w:val="24"/>
          <w:szCs w:val="24"/>
        </w:rPr>
        <w:t xml:space="preserve"> as well as regular review of each </w:t>
      </w:r>
      <w:proofErr w:type="gramStart"/>
      <w:r w:rsidR="00200A92">
        <w:rPr>
          <w:rFonts w:ascii="Times New Roman" w:hAnsi="Times New Roman" w:cs="Times New Roman"/>
          <w:sz w:val="24"/>
          <w:szCs w:val="24"/>
        </w:rPr>
        <w:t>reserve;</w:t>
      </w:r>
      <w:proofErr w:type="gramEnd"/>
    </w:p>
    <w:p w14:paraId="211025D8" w14:textId="371A60EA" w:rsidR="00200A92" w:rsidRDefault="00200A92" w:rsidP="0022601F">
      <w:pPr>
        <w:pStyle w:val="List"/>
        <w:tabs>
          <w:tab w:val="clear" w:pos="425"/>
        </w:tabs>
        <w:ind w:left="720" w:hanging="295"/>
        <w:rPr>
          <w:rFonts w:ascii="Times New Roman" w:eastAsia="Times" w:hAnsi="Times New Roman" w:cs="Times New Roman"/>
          <w:sz w:val="24"/>
          <w:szCs w:val="24"/>
        </w:rPr>
      </w:pPr>
      <w:r>
        <w:rPr>
          <w:rFonts w:ascii="Times New Roman" w:hAnsi="Times New Roman" w:cs="Times New Roman"/>
          <w:sz w:val="24"/>
          <w:szCs w:val="24"/>
        </w:rPr>
        <w:t>-</w:t>
      </w:r>
      <w:r w:rsidR="00495901" w:rsidRPr="002B59A1">
        <w:rPr>
          <w:rFonts w:ascii="Times New Roman" w:hAnsi="Times New Roman" w:cs="Times New Roman"/>
          <w:sz w:val="24"/>
          <w:szCs w:val="24"/>
        </w:rPr>
        <w:t xml:space="preserve"> </w:t>
      </w:r>
      <w:r>
        <w:rPr>
          <w:rFonts w:ascii="Times New Roman" w:hAnsi="Times New Roman" w:cs="Times New Roman"/>
          <w:sz w:val="24"/>
          <w:szCs w:val="24"/>
        </w:rPr>
        <w:tab/>
      </w:r>
      <w:r w:rsidR="00495901" w:rsidRPr="002B59A1">
        <w:rPr>
          <w:rFonts w:ascii="Times New Roman" w:eastAsia="Times" w:hAnsi="Times New Roman" w:cs="Times New Roman"/>
          <w:sz w:val="24"/>
          <w:szCs w:val="24"/>
        </w:rPr>
        <w:t>controls to ensure prudent management of financial resources held at the trustee company level</w:t>
      </w:r>
      <w:r>
        <w:rPr>
          <w:rFonts w:ascii="Times New Roman" w:eastAsia="Times" w:hAnsi="Times New Roman" w:cs="Times New Roman"/>
          <w:sz w:val="24"/>
          <w:szCs w:val="24"/>
        </w:rPr>
        <w:t xml:space="preserve">; </w:t>
      </w:r>
      <w:r w:rsidR="009C4566" w:rsidRPr="002B59A1">
        <w:rPr>
          <w:rFonts w:ascii="Times New Roman" w:eastAsia="Times" w:hAnsi="Times New Roman" w:cs="Times New Roman"/>
          <w:sz w:val="24"/>
          <w:szCs w:val="24"/>
        </w:rPr>
        <w:t>and</w:t>
      </w:r>
    </w:p>
    <w:p w14:paraId="07105126" w14:textId="0A04B4AC" w:rsidR="006803B7" w:rsidRPr="002B59A1" w:rsidRDefault="00200A92" w:rsidP="006803B7">
      <w:pPr>
        <w:pStyle w:val="List"/>
        <w:tabs>
          <w:tab w:val="clear" w:pos="42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9C4566" w:rsidRPr="002B59A1">
        <w:rPr>
          <w:rFonts w:ascii="Times New Roman" w:eastAsia="Times" w:hAnsi="Times New Roman" w:cs="Times New Roman"/>
          <w:sz w:val="24"/>
          <w:szCs w:val="24"/>
        </w:rPr>
        <w:t xml:space="preserve"> </w:t>
      </w:r>
      <w:r>
        <w:rPr>
          <w:rFonts w:ascii="Times New Roman" w:eastAsia="Times" w:hAnsi="Times New Roman" w:cs="Times New Roman"/>
          <w:sz w:val="24"/>
          <w:szCs w:val="24"/>
        </w:rPr>
        <w:tab/>
        <w:t>the</w:t>
      </w:r>
      <w:r w:rsidRPr="002B59A1">
        <w:rPr>
          <w:rFonts w:ascii="Times New Roman" w:eastAsia="Times" w:hAnsi="Times New Roman" w:cs="Times New Roman"/>
          <w:sz w:val="24"/>
          <w:szCs w:val="24"/>
        </w:rPr>
        <w:t xml:space="preserve"> </w:t>
      </w:r>
      <w:r w:rsidR="00C50AF0" w:rsidRPr="002B59A1">
        <w:rPr>
          <w:rFonts w:ascii="Times New Roman" w:eastAsia="Times" w:hAnsi="Times New Roman" w:cs="Times New Roman"/>
          <w:sz w:val="24"/>
          <w:szCs w:val="24"/>
        </w:rPr>
        <w:t xml:space="preserve">positive demonstration of </w:t>
      </w:r>
      <w:r w:rsidR="003E798B" w:rsidRPr="002B59A1">
        <w:rPr>
          <w:rFonts w:ascii="Times New Roman" w:eastAsia="Times" w:hAnsi="Times New Roman" w:cs="Times New Roman"/>
          <w:sz w:val="24"/>
          <w:szCs w:val="24"/>
        </w:rPr>
        <w:t xml:space="preserve">factors </w:t>
      </w:r>
      <w:r w:rsidR="00664F17" w:rsidRPr="002B59A1">
        <w:rPr>
          <w:rFonts w:ascii="Times New Roman" w:eastAsia="Times" w:hAnsi="Times New Roman" w:cs="Times New Roman"/>
          <w:sz w:val="24"/>
          <w:szCs w:val="24"/>
        </w:rPr>
        <w:t xml:space="preserve">relating to </w:t>
      </w:r>
      <w:r w:rsidR="0008694B" w:rsidRPr="002B59A1">
        <w:rPr>
          <w:rFonts w:ascii="Times New Roman" w:eastAsia="Times" w:hAnsi="Times New Roman" w:cs="Times New Roman"/>
          <w:sz w:val="24"/>
          <w:szCs w:val="24"/>
        </w:rPr>
        <w:t>expenditure</w:t>
      </w:r>
      <w:r w:rsidR="00664F17" w:rsidRPr="002B59A1">
        <w:rPr>
          <w:rFonts w:ascii="Times New Roman" w:eastAsia="Times" w:hAnsi="Times New Roman" w:cs="Times New Roman"/>
          <w:sz w:val="24"/>
          <w:szCs w:val="24"/>
        </w:rPr>
        <w:t xml:space="preserve"> decisions.</w:t>
      </w:r>
      <w:r w:rsidR="0008694B" w:rsidRPr="002B59A1">
        <w:rPr>
          <w:rFonts w:ascii="Times New Roman" w:eastAsia="Times" w:hAnsi="Times New Roman" w:cs="Times New Roman"/>
          <w:sz w:val="24"/>
          <w:szCs w:val="24"/>
        </w:rPr>
        <w:t xml:space="preserve"> </w:t>
      </w:r>
      <w:r w:rsidR="00173FC8" w:rsidRPr="002B59A1">
        <w:rPr>
          <w:rFonts w:ascii="Times New Roman" w:eastAsia="Times" w:hAnsi="Times New Roman" w:cs="Times New Roman"/>
          <w:sz w:val="24"/>
          <w:szCs w:val="24"/>
        </w:rPr>
        <w:t xml:space="preserve"> </w:t>
      </w:r>
      <w:r w:rsidR="00090114" w:rsidRPr="002B59A1">
        <w:rPr>
          <w:rFonts w:ascii="Times New Roman" w:hAnsi="Times New Roman" w:cs="Times New Roman"/>
          <w:sz w:val="24"/>
          <w:szCs w:val="24"/>
        </w:rPr>
        <w:t xml:space="preserve"> </w:t>
      </w:r>
      <w:r w:rsidR="006747A5" w:rsidRPr="002B59A1">
        <w:rPr>
          <w:rFonts w:ascii="Times New Roman" w:hAnsi="Times New Roman" w:cs="Times New Roman"/>
          <w:sz w:val="24"/>
          <w:szCs w:val="24"/>
        </w:rPr>
        <w:t xml:space="preserve"> </w:t>
      </w:r>
      <w:r w:rsidR="00EA57FE" w:rsidRPr="002B59A1">
        <w:rPr>
          <w:rFonts w:ascii="Times New Roman" w:hAnsi="Times New Roman" w:cs="Times New Roman"/>
          <w:sz w:val="24"/>
          <w:szCs w:val="24"/>
        </w:rPr>
        <w:t xml:space="preserve"> </w:t>
      </w:r>
      <w:r w:rsidR="00CD20AA" w:rsidRPr="002B59A1">
        <w:rPr>
          <w:rFonts w:ascii="Times New Roman" w:hAnsi="Times New Roman" w:cs="Times New Roman"/>
          <w:sz w:val="24"/>
          <w:szCs w:val="24"/>
        </w:rPr>
        <w:t xml:space="preserve"> </w:t>
      </w:r>
    </w:p>
    <w:p w14:paraId="1805C1E0" w14:textId="0B4FB1B4" w:rsidR="006803B7" w:rsidRPr="002B59A1" w:rsidRDefault="00B71240"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Monitoring</w:t>
      </w:r>
      <w:r w:rsidR="006803B7" w:rsidRPr="002B59A1">
        <w:rPr>
          <w:rFonts w:ascii="Times New Roman" w:hAnsi="Times New Roman" w:cs="Times New Roman"/>
          <w:i/>
          <w:sz w:val="24"/>
          <w:szCs w:val="24"/>
        </w:rPr>
        <w:t xml:space="preserve"> </w:t>
      </w:r>
    </w:p>
    <w:p w14:paraId="6A1D064E" w14:textId="77777777" w:rsidR="005251AD" w:rsidDel="000E4700" w:rsidRDefault="006803B7" w:rsidP="000E4700">
      <w:pPr>
        <w:pStyle w:val="List"/>
        <w:tabs>
          <w:tab w:val="clear" w:pos="425"/>
        </w:tabs>
        <w:ind w:firstLine="0"/>
        <w:rPr>
          <w:rFonts w:ascii="Times New Roman" w:eastAsia="Calibri" w:hAnsi="Times New Roman"/>
          <w:sz w:val="24"/>
          <w:szCs w:val="24"/>
        </w:rPr>
      </w:pPr>
      <w:r w:rsidRPr="002B59A1">
        <w:rPr>
          <w:rFonts w:ascii="Times New Roman" w:hAnsi="Times New Roman"/>
          <w:sz w:val="24"/>
          <w:szCs w:val="24"/>
        </w:rPr>
        <w:t>Paragraphs 2</w:t>
      </w:r>
      <w:r w:rsidR="00B71240" w:rsidRPr="002B59A1">
        <w:rPr>
          <w:rFonts w:ascii="Times New Roman" w:hAnsi="Times New Roman"/>
          <w:sz w:val="24"/>
          <w:szCs w:val="24"/>
        </w:rPr>
        <w:t>3</w:t>
      </w:r>
      <w:r w:rsidRPr="002B59A1">
        <w:rPr>
          <w:rFonts w:ascii="Times New Roman" w:hAnsi="Times New Roman"/>
          <w:sz w:val="24"/>
          <w:szCs w:val="24"/>
        </w:rPr>
        <w:t>-2</w:t>
      </w:r>
      <w:r w:rsidR="00B71240" w:rsidRPr="002B59A1">
        <w:rPr>
          <w:rFonts w:ascii="Times New Roman" w:hAnsi="Times New Roman"/>
          <w:sz w:val="24"/>
          <w:szCs w:val="24"/>
        </w:rPr>
        <w:t xml:space="preserve">4 </w:t>
      </w:r>
      <w:r w:rsidRPr="002B59A1">
        <w:rPr>
          <w:rFonts w:ascii="Times New Roman" w:hAnsi="Times New Roman"/>
          <w:sz w:val="24"/>
          <w:szCs w:val="24"/>
        </w:rPr>
        <w:t>set out requirements for</w:t>
      </w:r>
      <w:bookmarkStart w:id="5" w:name="_Ref144971992"/>
      <w:r w:rsidR="00936B32" w:rsidRPr="002B59A1">
        <w:rPr>
          <w:rFonts w:ascii="Times New Roman" w:hAnsi="Times New Roman"/>
          <w:sz w:val="24"/>
          <w:szCs w:val="24"/>
        </w:rPr>
        <w:t xml:space="preserve"> </w:t>
      </w:r>
      <w:r w:rsidR="00836B02" w:rsidRPr="002B59A1">
        <w:rPr>
          <w:rFonts w:ascii="Times New Roman" w:eastAsia="Calibri" w:hAnsi="Times New Roman"/>
          <w:sz w:val="24"/>
          <w:szCs w:val="24"/>
        </w:rPr>
        <w:t>a</w:t>
      </w:r>
      <w:r w:rsidR="005251AD" w:rsidRPr="002B59A1">
        <w:rPr>
          <w:rFonts w:ascii="Times New Roman" w:eastAsia="Calibri" w:hAnsi="Times New Roman"/>
          <w:sz w:val="24"/>
          <w:szCs w:val="24"/>
        </w:rPr>
        <w:t xml:space="preserve">n RSE licensee </w:t>
      </w:r>
      <w:r w:rsidR="00836B02" w:rsidRPr="002B59A1">
        <w:rPr>
          <w:rFonts w:ascii="Times New Roman" w:eastAsia="Calibri" w:hAnsi="Times New Roman"/>
          <w:sz w:val="24"/>
          <w:szCs w:val="24"/>
        </w:rPr>
        <w:t xml:space="preserve">to </w:t>
      </w:r>
      <w:r w:rsidR="005251AD" w:rsidRPr="002B59A1">
        <w:rPr>
          <w:rFonts w:ascii="Times New Roman" w:eastAsia="Calibri" w:hAnsi="Times New Roman"/>
          <w:sz w:val="24"/>
          <w:szCs w:val="24"/>
        </w:rPr>
        <w:t>monitor progress against its strategic objectives and the business plan to prompt remedial action or transfer planning where expected outcomes sought for beneficiaries are not being, or are unlikely to be, achieved</w:t>
      </w:r>
      <w:r w:rsidR="00836B02" w:rsidRPr="002B59A1">
        <w:rPr>
          <w:rFonts w:ascii="Times New Roman" w:eastAsia="Calibri" w:hAnsi="Times New Roman"/>
          <w:sz w:val="24"/>
          <w:szCs w:val="24"/>
        </w:rPr>
        <w:t>.</w:t>
      </w:r>
      <w:bookmarkStart w:id="6" w:name="_Ref144971996"/>
      <w:bookmarkEnd w:id="5"/>
      <w:r w:rsidR="0079407C" w:rsidRPr="002B59A1">
        <w:rPr>
          <w:rFonts w:ascii="Times New Roman" w:eastAsia="Calibri" w:hAnsi="Times New Roman"/>
          <w:sz w:val="24"/>
          <w:szCs w:val="24"/>
        </w:rPr>
        <w:t xml:space="preserve"> </w:t>
      </w:r>
      <w:bookmarkEnd w:id="6"/>
    </w:p>
    <w:p w14:paraId="5422F7B4" w14:textId="2A4BE416" w:rsidR="000E4700" w:rsidRPr="002B59A1" w:rsidRDefault="00200A92" w:rsidP="000E4700">
      <w:pPr>
        <w:pStyle w:val="List"/>
        <w:tabs>
          <w:tab w:val="clear" w:pos="425"/>
        </w:tabs>
        <w:ind w:firstLine="0"/>
        <w:rPr>
          <w:rFonts w:ascii="Times New Roman" w:hAnsi="Times New Roman" w:cs="Times New Roman"/>
          <w:sz w:val="24"/>
          <w:szCs w:val="24"/>
        </w:rPr>
      </w:pPr>
      <w:r>
        <w:rPr>
          <w:rFonts w:ascii="Times New Roman" w:hAnsi="Times New Roman" w:cs="Times New Roman"/>
          <w:sz w:val="24"/>
          <w:szCs w:val="24"/>
        </w:rPr>
        <w:t>An</w:t>
      </w:r>
      <w:r w:rsidR="000E4700" w:rsidRPr="002B59A1">
        <w:rPr>
          <w:rFonts w:ascii="Times New Roman" w:hAnsi="Times New Roman" w:cs="Times New Roman"/>
          <w:sz w:val="24"/>
          <w:szCs w:val="24"/>
        </w:rPr>
        <w:t xml:space="preserve"> </w:t>
      </w:r>
      <w:r w:rsidR="000E4700" w:rsidRPr="002B59A1">
        <w:rPr>
          <w:rFonts w:ascii="Times New Roman" w:eastAsia="Times New Roman" w:hAnsi="Times New Roman" w:cs="Times New Roman"/>
          <w:sz w:val="24"/>
          <w:szCs w:val="24"/>
        </w:rPr>
        <w:t xml:space="preserve">RSE licensee </w:t>
      </w:r>
      <w:r>
        <w:rPr>
          <w:rFonts w:ascii="Times New Roman" w:eastAsia="Times New Roman" w:hAnsi="Times New Roman" w:cs="Times New Roman"/>
          <w:sz w:val="24"/>
          <w:szCs w:val="24"/>
        </w:rPr>
        <w:t>must</w:t>
      </w:r>
      <w:r w:rsidR="000E4700" w:rsidRPr="002B59A1">
        <w:rPr>
          <w:rFonts w:ascii="Times New Roman" w:eastAsia="Times New Roman" w:hAnsi="Times New Roman" w:cs="Times New Roman"/>
          <w:sz w:val="24"/>
          <w:szCs w:val="24"/>
        </w:rPr>
        <w:t xml:space="preserve"> set triggers</w:t>
      </w:r>
      <w:r w:rsidR="000E4700" w:rsidRPr="002B59A1" w:rsidDel="00A25770">
        <w:rPr>
          <w:rFonts w:ascii="Times New Roman" w:eastAsia="Times New Roman" w:hAnsi="Times New Roman" w:cs="Times New Roman"/>
          <w:sz w:val="24"/>
          <w:szCs w:val="24"/>
        </w:rPr>
        <w:t xml:space="preserve"> </w:t>
      </w:r>
      <w:r w:rsidR="00944519">
        <w:rPr>
          <w:rFonts w:ascii="Times New Roman" w:eastAsia="Times New Roman" w:hAnsi="Times New Roman" w:cs="Times New Roman"/>
          <w:sz w:val="24"/>
          <w:szCs w:val="24"/>
        </w:rPr>
        <w:t>for</w:t>
      </w:r>
      <w:r w:rsidR="000E4700" w:rsidRPr="002B59A1">
        <w:rPr>
          <w:rFonts w:ascii="Times New Roman" w:eastAsia="Times New Roman" w:hAnsi="Times New Roman" w:cs="Times New Roman"/>
          <w:sz w:val="24"/>
          <w:szCs w:val="24"/>
        </w:rPr>
        <w:t xml:space="preserve"> taking action to improve outcomes for beneficiaries or to commence preparation for a transfer of beneficiaries. These</w:t>
      </w:r>
      <w:r w:rsidR="000E4700" w:rsidRPr="002B59A1" w:rsidDel="00A25770">
        <w:rPr>
          <w:rFonts w:ascii="Times New Roman" w:eastAsia="Times New Roman" w:hAnsi="Times New Roman" w:cs="Times New Roman"/>
          <w:sz w:val="24"/>
          <w:szCs w:val="24"/>
        </w:rPr>
        <w:t xml:space="preserve"> </w:t>
      </w:r>
      <w:r w:rsidR="000E4700" w:rsidRPr="002B59A1">
        <w:rPr>
          <w:rFonts w:ascii="Times New Roman" w:eastAsia="Times New Roman" w:hAnsi="Times New Roman" w:cs="Times New Roman"/>
          <w:sz w:val="24"/>
          <w:szCs w:val="24"/>
        </w:rPr>
        <w:t>triggers</w:t>
      </w:r>
      <w:r w:rsidR="000E4700" w:rsidRPr="002B59A1" w:rsidDel="00A25770">
        <w:rPr>
          <w:rFonts w:ascii="Times New Roman" w:eastAsia="Times New Roman" w:hAnsi="Times New Roman" w:cs="Times New Roman"/>
          <w:sz w:val="24"/>
          <w:szCs w:val="24"/>
        </w:rPr>
        <w:t xml:space="preserve"> </w:t>
      </w:r>
      <w:r w:rsidR="000E4700" w:rsidRPr="002B59A1">
        <w:rPr>
          <w:rFonts w:ascii="Times New Roman" w:eastAsia="Times New Roman" w:hAnsi="Times New Roman" w:cs="Times New Roman"/>
          <w:sz w:val="24"/>
          <w:szCs w:val="24"/>
        </w:rPr>
        <w:t xml:space="preserve">must, at a minimum, include failing or expecting to fail the legislated annual performance assessment in </w:t>
      </w:r>
      <w:r w:rsidR="00970F70">
        <w:rPr>
          <w:rFonts w:ascii="Times New Roman" w:eastAsia="Times New Roman" w:hAnsi="Times New Roman" w:cs="Times New Roman"/>
          <w:sz w:val="24"/>
          <w:szCs w:val="24"/>
        </w:rPr>
        <w:t>sub</w:t>
      </w:r>
      <w:r w:rsidR="000E4700" w:rsidRPr="002B59A1">
        <w:rPr>
          <w:rFonts w:ascii="Times New Roman" w:eastAsia="Times New Roman" w:hAnsi="Times New Roman" w:cs="Times New Roman"/>
          <w:sz w:val="24"/>
          <w:szCs w:val="24"/>
        </w:rPr>
        <w:t>section 60</w:t>
      </w:r>
      <w:proofErr w:type="gramStart"/>
      <w:r w:rsidR="000E4700" w:rsidRPr="002B59A1">
        <w:rPr>
          <w:rFonts w:ascii="Times New Roman" w:eastAsia="Times New Roman" w:hAnsi="Times New Roman" w:cs="Times New Roman"/>
          <w:sz w:val="24"/>
          <w:szCs w:val="24"/>
        </w:rPr>
        <w:t>C(</w:t>
      </w:r>
      <w:proofErr w:type="gramEnd"/>
      <w:r w:rsidR="000E4700" w:rsidRPr="002B59A1">
        <w:rPr>
          <w:rFonts w:ascii="Times New Roman" w:eastAsia="Times New Roman" w:hAnsi="Times New Roman" w:cs="Times New Roman"/>
          <w:sz w:val="24"/>
          <w:szCs w:val="24"/>
        </w:rPr>
        <w:t>2) of the Act</w:t>
      </w:r>
      <w:r w:rsidR="000E4700" w:rsidRPr="002B59A1">
        <w:rPr>
          <w:rFonts w:ascii="Times New Roman" w:hAnsi="Times New Roman" w:cs="Times New Roman"/>
          <w:sz w:val="24"/>
          <w:szCs w:val="24"/>
        </w:rPr>
        <w:t>.</w:t>
      </w:r>
    </w:p>
    <w:p w14:paraId="39A1FA9A" w14:textId="7C8A68D9" w:rsidR="006803B7" w:rsidRPr="002B59A1" w:rsidRDefault="00B71240"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Business performance review</w:t>
      </w:r>
    </w:p>
    <w:p w14:paraId="1617B5BF" w14:textId="28FA3F6F" w:rsidR="006803B7" w:rsidRPr="002B59A1" w:rsidRDefault="006803B7" w:rsidP="006803B7">
      <w:pPr>
        <w:pStyle w:val="List"/>
        <w:tabs>
          <w:tab w:val="clear" w:pos="425"/>
        </w:tabs>
        <w:ind w:firstLine="0"/>
        <w:rPr>
          <w:rFonts w:ascii="Times New Roman" w:hAnsi="Times New Roman" w:cs="Times New Roman"/>
          <w:sz w:val="24"/>
          <w:szCs w:val="24"/>
        </w:rPr>
      </w:pPr>
      <w:r w:rsidRPr="002B59A1">
        <w:rPr>
          <w:rFonts w:ascii="Times New Roman" w:hAnsi="Times New Roman" w:cs="Times New Roman"/>
          <w:sz w:val="24"/>
          <w:szCs w:val="24"/>
        </w:rPr>
        <w:t>Paragraphs 2</w:t>
      </w:r>
      <w:r w:rsidR="00BD1D17" w:rsidRPr="002B59A1">
        <w:rPr>
          <w:rFonts w:ascii="Times New Roman" w:hAnsi="Times New Roman" w:cs="Times New Roman"/>
          <w:sz w:val="24"/>
          <w:szCs w:val="24"/>
        </w:rPr>
        <w:t>5</w:t>
      </w:r>
      <w:r w:rsidRPr="002B59A1">
        <w:rPr>
          <w:rFonts w:ascii="Times New Roman" w:hAnsi="Times New Roman" w:cs="Times New Roman"/>
          <w:sz w:val="24"/>
          <w:szCs w:val="24"/>
        </w:rPr>
        <w:t>-2</w:t>
      </w:r>
      <w:r w:rsidR="00BD1D17" w:rsidRPr="002B59A1">
        <w:rPr>
          <w:rFonts w:ascii="Times New Roman" w:hAnsi="Times New Roman" w:cs="Times New Roman"/>
          <w:sz w:val="24"/>
          <w:szCs w:val="24"/>
        </w:rPr>
        <w:t>6</w:t>
      </w:r>
      <w:r w:rsidRPr="002B59A1">
        <w:rPr>
          <w:rFonts w:ascii="Times New Roman" w:hAnsi="Times New Roman" w:cs="Times New Roman"/>
          <w:sz w:val="24"/>
          <w:szCs w:val="24"/>
        </w:rPr>
        <w:t xml:space="preserve"> set out requirements for an RSE licensee to</w:t>
      </w:r>
      <w:r w:rsidR="0067763A" w:rsidRPr="002B59A1">
        <w:rPr>
          <w:rFonts w:ascii="Times New Roman" w:hAnsi="Times New Roman" w:cs="Times New Roman"/>
          <w:sz w:val="24"/>
          <w:szCs w:val="24"/>
        </w:rPr>
        <w:t xml:space="preserve"> annually </w:t>
      </w:r>
      <w:r w:rsidR="00E15500" w:rsidRPr="002B59A1">
        <w:rPr>
          <w:rFonts w:ascii="Times New Roman" w:hAnsi="Times New Roman" w:cs="Times New Roman"/>
          <w:sz w:val="24"/>
          <w:szCs w:val="24"/>
        </w:rPr>
        <w:t>review its performance in achieving its strategic objectives, informed by the monitoring of key performance indicators and triggers. The results of the review must be used to improve the RSE licensee’s business operations for the benefit of beneficiaries.</w:t>
      </w:r>
    </w:p>
    <w:p w14:paraId="26A42506" w14:textId="6CDFABC0" w:rsidR="006803B7" w:rsidRPr="002B59A1" w:rsidRDefault="0079611F" w:rsidP="006803B7">
      <w:pPr>
        <w:pStyle w:val="List"/>
        <w:tabs>
          <w:tab w:val="clear" w:pos="425"/>
        </w:tabs>
        <w:ind w:firstLine="0"/>
        <w:rPr>
          <w:rFonts w:ascii="Times New Roman" w:hAnsi="Times New Roman" w:cs="Times New Roman"/>
          <w:sz w:val="24"/>
          <w:szCs w:val="24"/>
        </w:rPr>
      </w:pPr>
      <w:r>
        <w:rPr>
          <w:rFonts w:ascii="Times New Roman" w:hAnsi="Times New Roman" w:cs="Times New Roman"/>
          <w:sz w:val="24"/>
          <w:szCs w:val="24"/>
        </w:rPr>
        <w:t>T</w:t>
      </w:r>
      <w:r w:rsidR="00E31603" w:rsidRPr="002B59A1">
        <w:rPr>
          <w:rFonts w:ascii="Times New Roman" w:hAnsi="Times New Roman" w:cs="Times New Roman"/>
          <w:sz w:val="24"/>
          <w:szCs w:val="24"/>
        </w:rPr>
        <w:t xml:space="preserve">he </w:t>
      </w:r>
      <w:r w:rsidR="00B72BD9" w:rsidRPr="002B59A1">
        <w:rPr>
          <w:rFonts w:ascii="Times New Roman" w:hAnsi="Times New Roman" w:cs="Times New Roman"/>
          <w:sz w:val="24"/>
          <w:szCs w:val="24"/>
        </w:rPr>
        <w:t xml:space="preserve">minimum </w:t>
      </w:r>
      <w:r w:rsidR="00584EB4" w:rsidRPr="002B59A1">
        <w:rPr>
          <w:rFonts w:ascii="Times New Roman" w:hAnsi="Times New Roman" w:cs="Times New Roman"/>
          <w:sz w:val="24"/>
          <w:szCs w:val="24"/>
        </w:rPr>
        <w:t xml:space="preserve">factors </w:t>
      </w:r>
      <w:r w:rsidR="00272350" w:rsidRPr="002B59A1">
        <w:rPr>
          <w:rFonts w:ascii="Times New Roman" w:hAnsi="Times New Roman" w:cs="Times New Roman"/>
          <w:sz w:val="24"/>
          <w:szCs w:val="24"/>
        </w:rPr>
        <w:t>that</w:t>
      </w:r>
      <w:r w:rsidR="00B72BD9" w:rsidRPr="002B59A1">
        <w:rPr>
          <w:rFonts w:ascii="Times New Roman" w:hAnsi="Times New Roman" w:cs="Times New Roman"/>
          <w:sz w:val="24"/>
          <w:szCs w:val="24"/>
        </w:rPr>
        <w:t xml:space="preserve"> the business performance review</w:t>
      </w:r>
      <w:r w:rsidR="00584EB4" w:rsidRPr="002B59A1">
        <w:rPr>
          <w:rFonts w:ascii="Times New Roman" w:hAnsi="Times New Roman" w:cs="Times New Roman"/>
          <w:sz w:val="24"/>
          <w:szCs w:val="24"/>
        </w:rPr>
        <w:t xml:space="preserve"> </w:t>
      </w:r>
      <w:r w:rsidR="00272350" w:rsidRPr="002B59A1">
        <w:rPr>
          <w:rFonts w:ascii="Times New Roman" w:hAnsi="Times New Roman" w:cs="Times New Roman"/>
          <w:sz w:val="24"/>
          <w:szCs w:val="24"/>
        </w:rPr>
        <w:t>must</w:t>
      </w:r>
      <w:r w:rsidR="00584EB4" w:rsidRPr="002B59A1">
        <w:rPr>
          <w:rFonts w:ascii="Times New Roman" w:hAnsi="Times New Roman" w:cs="Times New Roman"/>
          <w:sz w:val="24"/>
          <w:szCs w:val="24"/>
        </w:rPr>
        <w:t xml:space="preserve"> assess and demonstrate</w:t>
      </w:r>
      <w:r w:rsidR="00E31603" w:rsidRPr="002B59A1">
        <w:rPr>
          <w:rFonts w:ascii="Times New Roman" w:hAnsi="Times New Roman" w:cs="Times New Roman"/>
          <w:sz w:val="24"/>
          <w:szCs w:val="24"/>
        </w:rPr>
        <w:t xml:space="preserve"> includ</w:t>
      </w:r>
      <w:r>
        <w:rPr>
          <w:rFonts w:ascii="Times New Roman" w:hAnsi="Times New Roman" w:cs="Times New Roman"/>
          <w:sz w:val="24"/>
          <w:szCs w:val="24"/>
        </w:rPr>
        <w:t xml:space="preserve">e </w:t>
      </w:r>
      <w:r w:rsidR="00E31603" w:rsidRPr="002B59A1">
        <w:rPr>
          <w:rFonts w:ascii="Times New Roman" w:hAnsi="Times New Roman" w:cs="Times New Roman"/>
          <w:sz w:val="24"/>
          <w:szCs w:val="24"/>
        </w:rPr>
        <w:t xml:space="preserve">whether </w:t>
      </w:r>
      <w:r w:rsidR="00F43F82" w:rsidRPr="002B59A1">
        <w:rPr>
          <w:rFonts w:ascii="Times New Roman" w:hAnsi="Times New Roman" w:cs="Times New Roman"/>
          <w:sz w:val="24"/>
          <w:szCs w:val="24"/>
        </w:rPr>
        <w:t>an RSE licensee’s strategic objectives are being met</w:t>
      </w:r>
      <w:r w:rsidR="00752942" w:rsidRPr="002B59A1">
        <w:rPr>
          <w:rFonts w:ascii="Times New Roman" w:hAnsi="Times New Roman" w:cs="Times New Roman"/>
          <w:sz w:val="24"/>
          <w:szCs w:val="24"/>
        </w:rPr>
        <w:t xml:space="preserve"> and an explanation of what has driven this assessment</w:t>
      </w:r>
      <w:r w:rsidR="005E48B2" w:rsidRPr="002B59A1">
        <w:rPr>
          <w:rFonts w:ascii="Times New Roman" w:hAnsi="Times New Roman" w:cs="Times New Roman"/>
          <w:sz w:val="24"/>
          <w:szCs w:val="24"/>
        </w:rPr>
        <w:t>.</w:t>
      </w:r>
      <w:r w:rsidR="00584EB4" w:rsidRPr="002B59A1">
        <w:rPr>
          <w:rFonts w:ascii="Times New Roman" w:hAnsi="Times New Roman" w:cs="Times New Roman"/>
          <w:sz w:val="24"/>
          <w:szCs w:val="24"/>
        </w:rPr>
        <w:t xml:space="preserve"> </w:t>
      </w:r>
    </w:p>
    <w:p w14:paraId="022D1958" w14:textId="7B1E7358" w:rsidR="006803B7" w:rsidRPr="002B59A1" w:rsidRDefault="00BD1D17"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Annual outcomes assessment</w:t>
      </w:r>
    </w:p>
    <w:p w14:paraId="0E328643" w14:textId="4E5DCFFD" w:rsidR="007F5973" w:rsidRPr="002B59A1" w:rsidRDefault="006803B7" w:rsidP="002B59A1">
      <w:pPr>
        <w:pStyle w:val="List"/>
        <w:tabs>
          <w:tab w:val="clear" w:pos="425"/>
        </w:tabs>
        <w:ind w:firstLine="0"/>
        <w:rPr>
          <w:rFonts w:ascii="Times New Roman" w:hAnsi="Times New Roman" w:cs="Times New Roman"/>
          <w:i/>
          <w:sz w:val="24"/>
          <w:szCs w:val="24"/>
        </w:rPr>
      </w:pPr>
      <w:r w:rsidRPr="002B59A1">
        <w:rPr>
          <w:rFonts w:ascii="Times New Roman" w:hAnsi="Times New Roman" w:cs="Times New Roman"/>
          <w:sz w:val="24"/>
          <w:szCs w:val="24"/>
        </w:rPr>
        <w:lastRenderedPageBreak/>
        <w:t>Paragraphs 2</w:t>
      </w:r>
      <w:r w:rsidR="00BD1D17" w:rsidRPr="002B59A1">
        <w:rPr>
          <w:rFonts w:ascii="Times New Roman" w:hAnsi="Times New Roman" w:cs="Times New Roman"/>
          <w:sz w:val="24"/>
          <w:szCs w:val="24"/>
        </w:rPr>
        <w:t>7</w:t>
      </w:r>
      <w:r w:rsidRPr="002B59A1">
        <w:rPr>
          <w:rFonts w:ascii="Times New Roman" w:hAnsi="Times New Roman" w:cs="Times New Roman"/>
          <w:sz w:val="24"/>
          <w:szCs w:val="24"/>
        </w:rPr>
        <w:t>-</w:t>
      </w:r>
      <w:r w:rsidR="00BD1D17" w:rsidRPr="002B59A1">
        <w:rPr>
          <w:rFonts w:ascii="Times New Roman" w:hAnsi="Times New Roman" w:cs="Times New Roman"/>
          <w:sz w:val="24"/>
          <w:szCs w:val="24"/>
        </w:rPr>
        <w:t>29</w:t>
      </w:r>
      <w:r w:rsidRPr="002B59A1">
        <w:rPr>
          <w:rFonts w:ascii="Times New Roman" w:hAnsi="Times New Roman" w:cs="Times New Roman"/>
          <w:sz w:val="24"/>
          <w:szCs w:val="24"/>
        </w:rPr>
        <w:t xml:space="preserve"> set out </w:t>
      </w:r>
      <w:r w:rsidR="00F73086" w:rsidRPr="002B59A1">
        <w:rPr>
          <w:rFonts w:ascii="Times New Roman" w:hAnsi="Times New Roman" w:cs="Times New Roman"/>
          <w:sz w:val="24"/>
          <w:szCs w:val="24"/>
        </w:rPr>
        <w:t xml:space="preserve">minimum </w:t>
      </w:r>
      <w:r w:rsidRPr="002B59A1">
        <w:rPr>
          <w:rFonts w:ascii="Times New Roman" w:hAnsi="Times New Roman" w:cs="Times New Roman"/>
          <w:sz w:val="24"/>
          <w:szCs w:val="24"/>
        </w:rPr>
        <w:t xml:space="preserve">requirements for an RSE licensee </w:t>
      </w:r>
      <w:r w:rsidR="00616B3D" w:rsidRPr="002B59A1">
        <w:rPr>
          <w:rFonts w:ascii="Times New Roman" w:hAnsi="Times New Roman" w:cs="Times New Roman"/>
          <w:sz w:val="24"/>
          <w:szCs w:val="24"/>
        </w:rPr>
        <w:t>in relation to</w:t>
      </w:r>
      <w:r w:rsidR="00CD17CA" w:rsidRPr="002B59A1">
        <w:rPr>
          <w:rFonts w:ascii="Times New Roman" w:hAnsi="Times New Roman" w:cs="Times New Roman"/>
          <w:sz w:val="24"/>
          <w:szCs w:val="24"/>
        </w:rPr>
        <w:t xml:space="preserve"> document</w:t>
      </w:r>
      <w:r w:rsidR="009D3CFF" w:rsidRPr="002B59A1">
        <w:rPr>
          <w:rFonts w:ascii="Times New Roman" w:hAnsi="Times New Roman" w:cs="Times New Roman"/>
          <w:sz w:val="24"/>
          <w:szCs w:val="24"/>
        </w:rPr>
        <w:t>ing</w:t>
      </w:r>
      <w:r w:rsidR="00A96241" w:rsidRPr="002B59A1">
        <w:rPr>
          <w:rFonts w:ascii="Times New Roman" w:hAnsi="Times New Roman" w:cs="Times New Roman"/>
          <w:sz w:val="24"/>
          <w:szCs w:val="24"/>
        </w:rPr>
        <w:t xml:space="preserve"> the methodology</w:t>
      </w:r>
      <w:r w:rsidR="00EE0770" w:rsidRPr="002B59A1">
        <w:rPr>
          <w:rFonts w:ascii="Times New Roman" w:hAnsi="Times New Roman" w:cs="Times New Roman"/>
          <w:sz w:val="24"/>
          <w:szCs w:val="24"/>
        </w:rPr>
        <w:t xml:space="preserve"> applied in undertaking annual outcomes assessment</w:t>
      </w:r>
      <w:r w:rsidR="004118E7" w:rsidRPr="002B59A1">
        <w:rPr>
          <w:rFonts w:ascii="Times New Roman" w:hAnsi="Times New Roman" w:cs="Times New Roman"/>
          <w:sz w:val="24"/>
          <w:szCs w:val="24"/>
        </w:rPr>
        <w:t xml:space="preserve"> under </w:t>
      </w:r>
      <w:r w:rsidR="00970F70">
        <w:rPr>
          <w:rFonts w:ascii="Times New Roman" w:hAnsi="Times New Roman" w:cs="Times New Roman"/>
          <w:sz w:val="24"/>
          <w:szCs w:val="24"/>
        </w:rPr>
        <w:t>sub</w:t>
      </w:r>
      <w:r w:rsidR="004118E7" w:rsidRPr="002B59A1">
        <w:rPr>
          <w:rFonts w:ascii="Times New Roman" w:hAnsi="Times New Roman" w:cs="Times New Roman"/>
          <w:sz w:val="24"/>
          <w:szCs w:val="24"/>
        </w:rPr>
        <w:t>section 5</w:t>
      </w:r>
      <w:r w:rsidR="00635941">
        <w:rPr>
          <w:rFonts w:ascii="Times New Roman" w:hAnsi="Times New Roman" w:cs="Times New Roman"/>
          <w:sz w:val="24"/>
          <w:szCs w:val="24"/>
        </w:rPr>
        <w:t>2</w:t>
      </w:r>
      <w:r w:rsidR="004118E7" w:rsidRPr="002B59A1">
        <w:rPr>
          <w:rFonts w:ascii="Times New Roman" w:hAnsi="Times New Roman" w:cs="Times New Roman"/>
          <w:sz w:val="24"/>
          <w:szCs w:val="24"/>
        </w:rPr>
        <w:t>(9) of the Act</w:t>
      </w:r>
      <w:r w:rsidR="00D0644D" w:rsidRPr="002B59A1">
        <w:rPr>
          <w:rFonts w:ascii="Times New Roman" w:hAnsi="Times New Roman" w:cs="Times New Roman"/>
          <w:sz w:val="24"/>
          <w:szCs w:val="24"/>
        </w:rPr>
        <w:t>.</w:t>
      </w:r>
      <w:r w:rsidR="00EE0770" w:rsidRPr="002B59A1">
        <w:rPr>
          <w:rFonts w:ascii="Times New Roman" w:hAnsi="Times New Roman" w:cs="Times New Roman"/>
          <w:sz w:val="24"/>
          <w:szCs w:val="24"/>
        </w:rPr>
        <w:t xml:space="preserve"> </w:t>
      </w:r>
    </w:p>
    <w:p w14:paraId="40472FA0" w14:textId="58E96E1F" w:rsidR="006803B7" w:rsidRPr="002B59A1" w:rsidRDefault="00BD1D17"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Remedial actions and transfer planning</w:t>
      </w:r>
    </w:p>
    <w:p w14:paraId="05FAF68E" w14:textId="0AFA00FD" w:rsidR="006803B7" w:rsidRPr="002B59A1" w:rsidRDefault="00BD1D17" w:rsidP="006803B7">
      <w:pPr>
        <w:pStyle w:val="List"/>
        <w:tabs>
          <w:tab w:val="clear" w:pos="425"/>
        </w:tabs>
        <w:ind w:firstLine="0"/>
        <w:rPr>
          <w:rFonts w:ascii="Times New Roman" w:hAnsi="Times New Roman" w:cs="Times New Roman"/>
          <w:sz w:val="24"/>
          <w:szCs w:val="24"/>
        </w:rPr>
      </w:pPr>
      <w:r w:rsidRPr="002B59A1">
        <w:rPr>
          <w:rFonts w:ascii="Times New Roman" w:hAnsi="Times New Roman" w:cs="Times New Roman"/>
          <w:sz w:val="24"/>
          <w:szCs w:val="24"/>
        </w:rPr>
        <w:t>Paragraphs 30-32</w:t>
      </w:r>
      <w:r w:rsidR="00EB27C7" w:rsidRPr="002B59A1">
        <w:rPr>
          <w:rFonts w:ascii="Times New Roman" w:hAnsi="Times New Roman" w:cs="Times New Roman"/>
          <w:sz w:val="24"/>
          <w:szCs w:val="24"/>
        </w:rPr>
        <w:t xml:space="preserve"> set out the requirements</w:t>
      </w:r>
      <w:r w:rsidR="00AA5654" w:rsidRPr="002B59A1">
        <w:rPr>
          <w:rFonts w:ascii="Times New Roman" w:hAnsi="Times New Roman" w:cs="Times New Roman"/>
          <w:sz w:val="24"/>
          <w:szCs w:val="24"/>
        </w:rPr>
        <w:t xml:space="preserve"> for an RSE licensee to demonstrate how it </w:t>
      </w:r>
      <w:r w:rsidR="00ED03D4" w:rsidRPr="002B59A1">
        <w:rPr>
          <w:rFonts w:ascii="Times New Roman" w:hAnsi="Times New Roman" w:cs="Times New Roman"/>
          <w:sz w:val="24"/>
          <w:szCs w:val="24"/>
        </w:rPr>
        <w:t>is taking timely remedial action where</w:t>
      </w:r>
      <w:r w:rsidR="00BF3438">
        <w:rPr>
          <w:rFonts w:ascii="Times New Roman" w:hAnsi="Times New Roman" w:cs="Times New Roman"/>
          <w:sz w:val="24"/>
          <w:szCs w:val="24"/>
        </w:rPr>
        <w:t xml:space="preserve"> the</w:t>
      </w:r>
      <w:r w:rsidR="00ED03D4" w:rsidRPr="002B59A1">
        <w:rPr>
          <w:rFonts w:ascii="Times New Roman" w:hAnsi="Times New Roman" w:cs="Times New Roman"/>
          <w:sz w:val="24"/>
          <w:szCs w:val="24"/>
        </w:rPr>
        <w:t xml:space="preserve"> expected outcomes </w:t>
      </w:r>
      <w:r w:rsidR="00685B07" w:rsidRPr="002B59A1">
        <w:rPr>
          <w:rFonts w:ascii="Times New Roman" w:hAnsi="Times New Roman" w:cs="Times New Roman"/>
          <w:sz w:val="24"/>
          <w:szCs w:val="24"/>
        </w:rPr>
        <w:t>it seeks for beneficiaries are not being achieved</w:t>
      </w:r>
      <w:r w:rsidR="00D30558" w:rsidRPr="002B59A1">
        <w:rPr>
          <w:rFonts w:ascii="Times New Roman" w:hAnsi="Times New Roman" w:cs="Times New Roman"/>
          <w:sz w:val="24"/>
          <w:szCs w:val="24"/>
        </w:rPr>
        <w:t>, including where relevant monitoring triggers</w:t>
      </w:r>
      <w:r w:rsidR="004C661C" w:rsidRPr="002B59A1">
        <w:rPr>
          <w:rFonts w:ascii="Times New Roman" w:hAnsi="Times New Roman" w:cs="Times New Roman"/>
          <w:sz w:val="24"/>
          <w:szCs w:val="24"/>
        </w:rPr>
        <w:t xml:space="preserve"> have been met.</w:t>
      </w:r>
    </w:p>
    <w:p w14:paraId="07D14882" w14:textId="1ED32861" w:rsidR="006803B7" w:rsidRPr="002B59A1" w:rsidRDefault="00D07E90" w:rsidP="006803B7">
      <w:pPr>
        <w:pStyle w:val="List"/>
        <w:tabs>
          <w:tab w:val="clear" w:pos="425"/>
        </w:tabs>
        <w:ind w:firstLine="0"/>
        <w:rPr>
          <w:rFonts w:ascii="Times New Roman" w:hAnsi="Times New Roman" w:cs="Times New Roman"/>
          <w:sz w:val="24"/>
          <w:szCs w:val="24"/>
        </w:rPr>
      </w:pPr>
      <w:r>
        <w:rPr>
          <w:rFonts w:ascii="Times New Roman" w:hAnsi="Times New Roman" w:cs="Times New Roman"/>
          <w:sz w:val="24"/>
          <w:szCs w:val="24"/>
        </w:rPr>
        <w:t>An</w:t>
      </w:r>
      <w:r w:rsidR="007D56FE" w:rsidRPr="002B59A1">
        <w:rPr>
          <w:rFonts w:ascii="Times New Roman" w:hAnsi="Times New Roman" w:cs="Times New Roman"/>
          <w:sz w:val="24"/>
          <w:szCs w:val="24"/>
        </w:rPr>
        <w:t xml:space="preserve"> RSE licensee </w:t>
      </w:r>
      <w:r>
        <w:rPr>
          <w:rFonts w:ascii="Times New Roman" w:hAnsi="Times New Roman" w:cs="Times New Roman"/>
          <w:sz w:val="24"/>
          <w:szCs w:val="24"/>
        </w:rPr>
        <w:t>must</w:t>
      </w:r>
      <w:r w:rsidR="007D56FE" w:rsidRPr="002B59A1">
        <w:rPr>
          <w:rFonts w:ascii="Times New Roman" w:hAnsi="Times New Roman" w:cs="Times New Roman"/>
          <w:sz w:val="24"/>
          <w:szCs w:val="24"/>
        </w:rPr>
        <w:t xml:space="preserve"> take appropriate and timely steps</w:t>
      </w:r>
      <w:r w:rsidR="000D63B1" w:rsidRPr="002B59A1">
        <w:rPr>
          <w:rFonts w:ascii="Times New Roman" w:hAnsi="Times New Roman" w:cs="Times New Roman"/>
          <w:sz w:val="24"/>
          <w:szCs w:val="24"/>
        </w:rPr>
        <w:t xml:space="preserve"> to prepare for circumstances that may nec</w:t>
      </w:r>
      <w:r w:rsidR="00404D64" w:rsidRPr="002B59A1">
        <w:rPr>
          <w:rFonts w:ascii="Times New Roman" w:hAnsi="Times New Roman" w:cs="Times New Roman"/>
          <w:sz w:val="24"/>
          <w:szCs w:val="24"/>
        </w:rPr>
        <w:t>essitate a transfer o</w:t>
      </w:r>
      <w:r w:rsidR="00BF3438">
        <w:rPr>
          <w:rFonts w:ascii="Times New Roman" w:hAnsi="Times New Roman" w:cs="Times New Roman"/>
          <w:sz w:val="24"/>
          <w:szCs w:val="24"/>
        </w:rPr>
        <w:t>f</w:t>
      </w:r>
      <w:r w:rsidR="00404D64" w:rsidRPr="002B59A1">
        <w:rPr>
          <w:rFonts w:ascii="Times New Roman" w:hAnsi="Times New Roman" w:cs="Times New Roman"/>
          <w:sz w:val="24"/>
          <w:szCs w:val="24"/>
        </w:rPr>
        <w:t xml:space="preserve"> beneficiaries out of, or into</w:t>
      </w:r>
      <w:r w:rsidR="00BF3438">
        <w:rPr>
          <w:rFonts w:ascii="Times New Roman" w:hAnsi="Times New Roman" w:cs="Times New Roman"/>
          <w:sz w:val="24"/>
          <w:szCs w:val="24"/>
        </w:rPr>
        <w:t>,</w:t>
      </w:r>
      <w:r w:rsidR="00404D64" w:rsidRPr="002B59A1">
        <w:rPr>
          <w:rFonts w:ascii="Times New Roman" w:hAnsi="Times New Roman" w:cs="Times New Roman"/>
          <w:sz w:val="24"/>
          <w:szCs w:val="24"/>
        </w:rPr>
        <w:t xml:space="preserve"> its RSE(s).</w:t>
      </w:r>
      <w:r w:rsidR="004E6735" w:rsidRPr="002B59A1">
        <w:rPr>
          <w:rFonts w:ascii="Times New Roman" w:hAnsi="Times New Roman" w:cs="Times New Roman"/>
          <w:sz w:val="24"/>
          <w:szCs w:val="24"/>
        </w:rPr>
        <w:t xml:space="preserve"> </w:t>
      </w:r>
      <w:r w:rsidR="00970F70">
        <w:rPr>
          <w:rFonts w:ascii="Times New Roman" w:hAnsi="Times New Roman" w:cs="Times New Roman"/>
          <w:sz w:val="24"/>
          <w:szCs w:val="24"/>
        </w:rPr>
        <w:t>W</w:t>
      </w:r>
      <w:r w:rsidR="005F6F2B" w:rsidRPr="002B59A1">
        <w:rPr>
          <w:rFonts w:ascii="Times New Roman" w:hAnsi="Times New Roman" w:cs="Times New Roman"/>
          <w:sz w:val="24"/>
          <w:szCs w:val="24"/>
        </w:rPr>
        <w:t xml:space="preserve">here </w:t>
      </w:r>
      <w:r w:rsidR="004E6735" w:rsidRPr="002B59A1">
        <w:rPr>
          <w:rFonts w:ascii="Times New Roman" w:eastAsia="Calibri" w:hAnsi="Times New Roman" w:cs="Times New Roman"/>
          <w:sz w:val="24"/>
          <w:szCs w:val="24"/>
        </w:rPr>
        <w:t xml:space="preserve">an RSE licensee has received a determination from APRA that one or more of its products has not met the requirements of the legislated annual performance assessment under </w:t>
      </w:r>
      <w:r w:rsidR="00970F70">
        <w:rPr>
          <w:rFonts w:ascii="Times New Roman" w:eastAsia="Calibri" w:hAnsi="Times New Roman" w:cs="Times New Roman"/>
          <w:sz w:val="24"/>
          <w:szCs w:val="24"/>
        </w:rPr>
        <w:t>sub</w:t>
      </w:r>
      <w:r w:rsidR="004E6735" w:rsidRPr="002B59A1">
        <w:rPr>
          <w:rFonts w:ascii="Times New Roman" w:eastAsia="Calibri" w:hAnsi="Times New Roman" w:cs="Times New Roman"/>
          <w:sz w:val="24"/>
          <w:szCs w:val="24"/>
        </w:rPr>
        <w:t>section 60</w:t>
      </w:r>
      <w:proofErr w:type="gramStart"/>
      <w:r w:rsidR="004E6735" w:rsidRPr="002B59A1">
        <w:rPr>
          <w:rFonts w:ascii="Times New Roman" w:eastAsia="Calibri" w:hAnsi="Times New Roman" w:cs="Times New Roman"/>
          <w:sz w:val="24"/>
          <w:szCs w:val="24"/>
        </w:rPr>
        <w:t>D(</w:t>
      </w:r>
      <w:proofErr w:type="gramEnd"/>
      <w:r w:rsidR="004E6735" w:rsidRPr="002B59A1">
        <w:rPr>
          <w:rFonts w:ascii="Times New Roman" w:eastAsia="Calibri" w:hAnsi="Times New Roman" w:cs="Times New Roman"/>
          <w:sz w:val="24"/>
          <w:szCs w:val="24"/>
        </w:rPr>
        <w:t xml:space="preserve">1) of the Act, </w:t>
      </w:r>
      <w:r w:rsidR="0075239E" w:rsidRPr="002B59A1">
        <w:rPr>
          <w:rFonts w:ascii="Times New Roman" w:eastAsia="Calibri" w:hAnsi="Times New Roman" w:cs="Times New Roman"/>
          <w:sz w:val="24"/>
          <w:szCs w:val="24"/>
        </w:rPr>
        <w:t xml:space="preserve"> </w:t>
      </w:r>
      <w:r w:rsidR="004E6735" w:rsidRPr="002B59A1">
        <w:rPr>
          <w:rFonts w:ascii="Times New Roman" w:eastAsia="Calibri" w:hAnsi="Times New Roman" w:cs="Times New Roman"/>
          <w:sz w:val="24"/>
          <w:szCs w:val="24"/>
        </w:rPr>
        <w:t xml:space="preserve">the RSE licensee </w:t>
      </w:r>
      <w:r w:rsidR="00970F70">
        <w:rPr>
          <w:rFonts w:ascii="Times New Roman" w:eastAsia="Calibri" w:hAnsi="Times New Roman" w:cs="Times New Roman"/>
          <w:sz w:val="24"/>
          <w:szCs w:val="24"/>
        </w:rPr>
        <w:t xml:space="preserve">is required </w:t>
      </w:r>
      <w:r w:rsidR="0075239E" w:rsidRPr="002B59A1">
        <w:rPr>
          <w:rFonts w:ascii="Times New Roman" w:eastAsia="Calibri" w:hAnsi="Times New Roman" w:cs="Times New Roman"/>
          <w:sz w:val="24"/>
          <w:szCs w:val="24"/>
        </w:rPr>
        <w:t xml:space="preserve">to </w:t>
      </w:r>
      <w:r w:rsidR="004E6735" w:rsidRPr="002B59A1">
        <w:rPr>
          <w:rFonts w:ascii="Times New Roman" w:eastAsia="Calibri" w:hAnsi="Times New Roman" w:cs="Times New Roman"/>
          <w:sz w:val="24"/>
          <w:szCs w:val="24"/>
        </w:rPr>
        <w:t>document its plan for responding to this determination in a timely manner.</w:t>
      </w:r>
    </w:p>
    <w:p w14:paraId="02D74912" w14:textId="32E63E3D" w:rsidR="006803B7" w:rsidRPr="002B59A1" w:rsidRDefault="00BD1D17" w:rsidP="006803B7">
      <w:pPr>
        <w:pStyle w:val="List"/>
        <w:numPr>
          <w:ilvl w:val="1"/>
          <w:numId w:val="11"/>
        </w:numPr>
        <w:rPr>
          <w:rFonts w:ascii="Times New Roman" w:hAnsi="Times New Roman" w:cs="Times New Roman"/>
          <w:i/>
          <w:sz w:val="24"/>
          <w:szCs w:val="24"/>
        </w:rPr>
      </w:pPr>
      <w:r w:rsidRPr="002B59A1">
        <w:rPr>
          <w:rFonts w:ascii="Times New Roman" w:hAnsi="Times New Roman" w:cs="Times New Roman"/>
          <w:i/>
          <w:sz w:val="24"/>
          <w:szCs w:val="24"/>
        </w:rPr>
        <w:t>Transfer of MySuper product assets</w:t>
      </w:r>
    </w:p>
    <w:p w14:paraId="10204E56" w14:textId="2CBD0B45" w:rsidR="000F0C86" w:rsidRPr="002B59A1" w:rsidRDefault="000F0C86" w:rsidP="002B59A1">
      <w:pPr>
        <w:pStyle w:val="BodyText1"/>
        <w:tabs>
          <w:tab w:val="clear" w:pos="567"/>
        </w:tabs>
        <w:ind w:left="426" w:firstLine="0"/>
        <w:rPr>
          <w:rFonts w:ascii="Times New Roman" w:hAnsi="Times New Roman"/>
          <w:sz w:val="24"/>
          <w:szCs w:val="24"/>
        </w:rPr>
      </w:pPr>
      <w:bookmarkStart w:id="7" w:name="_Ref144971827"/>
      <w:r w:rsidRPr="002B59A1">
        <w:rPr>
          <w:rFonts w:ascii="Times New Roman" w:hAnsi="Times New Roman"/>
          <w:sz w:val="24"/>
          <w:szCs w:val="24"/>
        </w:rPr>
        <w:t>Paragraphs 33</w:t>
      </w:r>
      <w:r w:rsidR="00970F70">
        <w:rPr>
          <w:rFonts w:ascii="Times New Roman" w:hAnsi="Times New Roman"/>
          <w:sz w:val="24"/>
          <w:szCs w:val="24"/>
        </w:rPr>
        <w:t>-</w:t>
      </w:r>
      <w:r w:rsidRPr="002B59A1">
        <w:rPr>
          <w:rFonts w:ascii="Times New Roman" w:hAnsi="Times New Roman"/>
          <w:sz w:val="24"/>
          <w:szCs w:val="24"/>
        </w:rPr>
        <w:t xml:space="preserve">43 </w:t>
      </w:r>
      <w:r w:rsidR="00AD3CA2" w:rsidRPr="002B59A1">
        <w:rPr>
          <w:rFonts w:ascii="Times New Roman" w:hAnsi="Times New Roman"/>
          <w:sz w:val="24"/>
          <w:szCs w:val="24"/>
        </w:rPr>
        <w:t xml:space="preserve">set out requirements </w:t>
      </w:r>
      <w:r w:rsidR="007022EA" w:rsidRPr="002B59A1">
        <w:rPr>
          <w:rFonts w:ascii="Times New Roman" w:hAnsi="Times New Roman"/>
          <w:sz w:val="24"/>
          <w:szCs w:val="24"/>
        </w:rPr>
        <w:t>t</w:t>
      </w:r>
      <w:r w:rsidR="0015143F">
        <w:rPr>
          <w:rFonts w:ascii="Times New Roman" w:hAnsi="Times New Roman"/>
          <w:sz w:val="24"/>
          <w:szCs w:val="24"/>
        </w:rPr>
        <w:t>hat</w:t>
      </w:r>
      <w:r w:rsidR="007022EA" w:rsidRPr="002B59A1">
        <w:rPr>
          <w:rFonts w:ascii="Times New Roman" w:hAnsi="Times New Roman"/>
          <w:sz w:val="24"/>
          <w:szCs w:val="24"/>
        </w:rPr>
        <w:t xml:space="preserve"> </w:t>
      </w:r>
      <w:r w:rsidR="00962696" w:rsidRPr="002B59A1">
        <w:rPr>
          <w:rFonts w:ascii="Times New Roman" w:hAnsi="Times New Roman"/>
          <w:sz w:val="24"/>
          <w:szCs w:val="24"/>
        </w:rPr>
        <w:t>apply</w:t>
      </w:r>
      <w:r w:rsidR="007022EA" w:rsidRPr="002B59A1">
        <w:rPr>
          <w:rFonts w:ascii="Times New Roman" w:hAnsi="Times New Roman"/>
          <w:sz w:val="24"/>
          <w:szCs w:val="24"/>
        </w:rPr>
        <w:t xml:space="preserve"> in </w:t>
      </w:r>
      <w:r w:rsidR="00962696" w:rsidRPr="002B59A1">
        <w:rPr>
          <w:rFonts w:ascii="Times New Roman" w:hAnsi="Times New Roman"/>
          <w:sz w:val="24"/>
          <w:szCs w:val="24"/>
        </w:rPr>
        <w:t xml:space="preserve">circumstances </w:t>
      </w:r>
      <w:r w:rsidR="008F2425" w:rsidRPr="002B59A1">
        <w:rPr>
          <w:rFonts w:ascii="Times New Roman" w:hAnsi="Times New Roman"/>
          <w:sz w:val="24"/>
          <w:szCs w:val="24"/>
        </w:rPr>
        <w:t xml:space="preserve">where </w:t>
      </w:r>
      <w:r w:rsidRPr="002B59A1">
        <w:rPr>
          <w:rFonts w:ascii="Times New Roman" w:hAnsi="Times New Roman"/>
          <w:sz w:val="24"/>
          <w:szCs w:val="24"/>
        </w:rPr>
        <w:t>an authority of an RSE licensee to offer a class of beneficial interests in a regulated superannuation fund as a MySuper product is cancelled, or if APRA notifies an RSE licensee that its authority to offer a MySuper product may be cancelled, by APRA under subsection 29</w:t>
      </w:r>
      <w:proofErr w:type="gramStart"/>
      <w:r w:rsidRPr="002B59A1">
        <w:rPr>
          <w:rFonts w:ascii="Times New Roman" w:hAnsi="Times New Roman"/>
          <w:sz w:val="24"/>
          <w:szCs w:val="24"/>
        </w:rPr>
        <w:t>U(</w:t>
      </w:r>
      <w:proofErr w:type="gramEnd"/>
      <w:r w:rsidRPr="002B59A1">
        <w:rPr>
          <w:rFonts w:ascii="Times New Roman" w:hAnsi="Times New Roman"/>
          <w:sz w:val="24"/>
          <w:szCs w:val="24"/>
        </w:rPr>
        <w:t>1) of the Act.</w:t>
      </w:r>
      <w:bookmarkEnd w:id="7"/>
      <w:r w:rsidR="009E6A4B" w:rsidRPr="002B59A1">
        <w:rPr>
          <w:rFonts w:ascii="Times New Roman" w:hAnsi="Times New Roman"/>
          <w:sz w:val="24"/>
          <w:szCs w:val="24"/>
        </w:rPr>
        <w:t xml:space="preserve"> </w:t>
      </w:r>
    </w:p>
    <w:p w14:paraId="666EB4B4" w14:textId="29FEBDC3" w:rsidR="008F2425" w:rsidRPr="002B59A1" w:rsidRDefault="00D07E90" w:rsidP="002B59A1">
      <w:pPr>
        <w:pStyle w:val="BodyText1"/>
        <w:tabs>
          <w:tab w:val="clear" w:pos="567"/>
        </w:tabs>
        <w:ind w:left="426" w:firstLine="0"/>
        <w:rPr>
          <w:rFonts w:ascii="Times New Roman" w:hAnsi="Times New Roman"/>
          <w:sz w:val="24"/>
          <w:szCs w:val="24"/>
        </w:rPr>
      </w:pPr>
      <w:r>
        <w:rPr>
          <w:rFonts w:ascii="Times New Roman" w:hAnsi="Times New Roman"/>
          <w:sz w:val="24"/>
          <w:szCs w:val="24"/>
        </w:rPr>
        <w:t>The</w:t>
      </w:r>
      <w:r w:rsidR="00DD5436" w:rsidRPr="002B59A1">
        <w:rPr>
          <w:rFonts w:ascii="Times New Roman" w:hAnsi="Times New Roman"/>
          <w:sz w:val="24"/>
          <w:szCs w:val="24"/>
        </w:rPr>
        <w:t xml:space="preserve"> </w:t>
      </w:r>
      <w:r w:rsidR="00FC51A2" w:rsidRPr="002B59A1">
        <w:rPr>
          <w:rFonts w:ascii="Times New Roman" w:hAnsi="Times New Roman"/>
          <w:sz w:val="24"/>
          <w:szCs w:val="24"/>
        </w:rPr>
        <w:t>Board</w:t>
      </w:r>
      <w:r>
        <w:rPr>
          <w:rFonts w:ascii="Times New Roman" w:hAnsi="Times New Roman"/>
          <w:sz w:val="24"/>
          <w:szCs w:val="24"/>
        </w:rPr>
        <w:t xml:space="preserve"> is</w:t>
      </w:r>
      <w:r w:rsidR="00FC51A2" w:rsidRPr="002B59A1">
        <w:rPr>
          <w:rFonts w:ascii="Times New Roman" w:hAnsi="Times New Roman"/>
          <w:sz w:val="24"/>
          <w:szCs w:val="24"/>
        </w:rPr>
        <w:t xml:space="preserve"> accountab</w:t>
      </w:r>
      <w:r>
        <w:rPr>
          <w:rFonts w:ascii="Times New Roman" w:hAnsi="Times New Roman"/>
          <w:sz w:val="24"/>
          <w:szCs w:val="24"/>
        </w:rPr>
        <w:t>le</w:t>
      </w:r>
      <w:r w:rsidR="00DD5436" w:rsidRPr="002B59A1">
        <w:rPr>
          <w:rFonts w:ascii="Times New Roman" w:hAnsi="Times New Roman"/>
          <w:sz w:val="24"/>
          <w:szCs w:val="24"/>
        </w:rPr>
        <w:t xml:space="preserve"> for </w:t>
      </w:r>
      <w:r w:rsidR="00725290" w:rsidRPr="002B59A1">
        <w:rPr>
          <w:rFonts w:ascii="Times New Roman" w:hAnsi="Times New Roman"/>
          <w:sz w:val="24"/>
          <w:szCs w:val="24"/>
        </w:rPr>
        <w:t xml:space="preserve">the </w:t>
      </w:r>
      <w:r w:rsidR="00FE12D9" w:rsidRPr="002B59A1">
        <w:rPr>
          <w:rFonts w:ascii="Times New Roman" w:hAnsi="Times New Roman"/>
          <w:sz w:val="24"/>
          <w:szCs w:val="24"/>
        </w:rPr>
        <w:t>transfer</w:t>
      </w:r>
      <w:r w:rsidR="00A328F2" w:rsidRPr="002B59A1">
        <w:rPr>
          <w:rFonts w:ascii="Times New Roman" w:hAnsi="Times New Roman"/>
          <w:sz w:val="24"/>
          <w:szCs w:val="24"/>
        </w:rPr>
        <w:t xml:space="preserve"> of affected MySuper assets</w:t>
      </w:r>
      <w:r w:rsidR="00725290" w:rsidRPr="002B59A1">
        <w:rPr>
          <w:rFonts w:ascii="Times New Roman" w:hAnsi="Times New Roman"/>
          <w:sz w:val="24"/>
          <w:szCs w:val="24"/>
        </w:rPr>
        <w:t xml:space="preserve"> within the legislative timeframe</w:t>
      </w:r>
      <w:r w:rsidR="00383ED7" w:rsidRPr="002B59A1">
        <w:rPr>
          <w:rFonts w:ascii="Times New Roman" w:hAnsi="Times New Roman"/>
          <w:sz w:val="24"/>
          <w:szCs w:val="24"/>
        </w:rPr>
        <w:t xml:space="preserve"> following the cancellation of an authority to offer a MySuper product.</w:t>
      </w:r>
      <w:r w:rsidR="0044525C" w:rsidRPr="002B59A1">
        <w:rPr>
          <w:rFonts w:ascii="Times New Roman" w:hAnsi="Times New Roman"/>
          <w:sz w:val="24"/>
          <w:szCs w:val="24"/>
        </w:rPr>
        <w:t xml:space="preserve"> </w:t>
      </w:r>
      <w:r w:rsidR="00ED5FF1">
        <w:rPr>
          <w:rFonts w:ascii="Times New Roman" w:hAnsi="Times New Roman"/>
          <w:sz w:val="24"/>
          <w:szCs w:val="24"/>
        </w:rPr>
        <w:t>W</w:t>
      </w:r>
      <w:r w:rsidR="00ED5FF1" w:rsidRPr="002B59A1">
        <w:rPr>
          <w:rFonts w:ascii="Times New Roman" w:hAnsi="Times New Roman"/>
          <w:sz w:val="24"/>
          <w:szCs w:val="24"/>
        </w:rPr>
        <w:t xml:space="preserve">here APRA notifies an RSE licensee that its authority to offer a MySuper product </w:t>
      </w:r>
      <w:r w:rsidR="00ED5FF1" w:rsidRPr="00D07E90">
        <w:rPr>
          <w:rFonts w:ascii="Times New Roman" w:hAnsi="Times New Roman"/>
          <w:sz w:val="24"/>
          <w:szCs w:val="24"/>
        </w:rPr>
        <w:t>may</w:t>
      </w:r>
      <w:r w:rsidR="00ED5FF1" w:rsidRPr="002B59A1">
        <w:rPr>
          <w:rFonts w:ascii="Times New Roman" w:hAnsi="Times New Roman"/>
          <w:sz w:val="24"/>
          <w:szCs w:val="24"/>
        </w:rPr>
        <w:t xml:space="preserve"> be cancelled by APRA</w:t>
      </w:r>
      <w:r w:rsidR="00ED5FF1">
        <w:rPr>
          <w:rFonts w:ascii="Times New Roman" w:hAnsi="Times New Roman"/>
          <w:sz w:val="24"/>
          <w:szCs w:val="24"/>
        </w:rPr>
        <w:t>, an</w:t>
      </w:r>
      <w:r w:rsidR="00ED5FF1" w:rsidRPr="002B59A1">
        <w:rPr>
          <w:rFonts w:ascii="Times New Roman" w:hAnsi="Times New Roman"/>
          <w:sz w:val="24"/>
          <w:szCs w:val="24"/>
        </w:rPr>
        <w:t xml:space="preserve"> </w:t>
      </w:r>
      <w:r w:rsidR="00762FDE" w:rsidRPr="002B59A1">
        <w:rPr>
          <w:rFonts w:ascii="Times New Roman" w:hAnsi="Times New Roman"/>
          <w:sz w:val="24"/>
          <w:szCs w:val="24"/>
        </w:rPr>
        <w:t xml:space="preserve">RSE licensee </w:t>
      </w:r>
      <w:r w:rsidR="00901A57">
        <w:rPr>
          <w:rFonts w:ascii="Times New Roman" w:hAnsi="Times New Roman"/>
          <w:sz w:val="24"/>
          <w:szCs w:val="24"/>
        </w:rPr>
        <w:t xml:space="preserve">is required </w:t>
      </w:r>
      <w:r w:rsidR="00ED5FF1">
        <w:rPr>
          <w:rFonts w:ascii="Times New Roman" w:hAnsi="Times New Roman"/>
          <w:sz w:val="24"/>
          <w:szCs w:val="24"/>
        </w:rPr>
        <w:t>to</w:t>
      </w:r>
      <w:r w:rsidR="009605DA" w:rsidRPr="002B59A1">
        <w:rPr>
          <w:rFonts w:ascii="Times New Roman" w:hAnsi="Times New Roman"/>
          <w:sz w:val="24"/>
          <w:szCs w:val="24"/>
        </w:rPr>
        <w:t xml:space="preserve"> plan for</w:t>
      </w:r>
      <w:r w:rsidR="00762FDE" w:rsidRPr="002B59A1">
        <w:rPr>
          <w:rFonts w:ascii="Times New Roman" w:hAnsi="Times New Roman"/>
          <w:sz w:val="24"/>
          <w:szCs w:val="24"/>
        </w:rPr>
        <w:t xml:space="preserve"> </w:t>
      </w:r>
      <w:r w:rsidR="009605DA" w:rsidRPr="002B59A1">
        <w:rPr>
          <w:rFonts w:ascii="Times New Roman" w:hAnsi="Times New Roman"/>
          <w:sz w:val="24"/>
          <w:szCs w:val="24"/>
        </w:rPr>
        <w:t>a transfer of MySuper assets</w:t>
      </w:r>
      <w:r w:rsidR="00B87CC8" w:rsidRPr="002B59A1">
        <w:rPr>
          <w:rFonts w:ascii="Times New Roman" w:hAnsi="Times New Roman"/>
          <w:sz w:val="24"/>
          <w:szCs w:val="24"/>
        </w:rPr>
        <w:t>.</w:t>
      </w:r>
    </w:p>
    <w:p w14:paraId="0086F92E" w14:textId="7599B2D8" w:rsidR="001C2878" w:rsidRPr="003D5B23" w:rsidRDefault="00BD1D17" w:rsidP="002B59A1">
      <w:pPr>
        <w:pStyle w:val="List"/>
        <w:tabs>
          <w:tab w:val="clear" w:pos="425"/>
        </w:tabs>
        <w:ind w:left="0" w:firstLine="0"/>
        <w:rPr>
          <w:rFonts w:ascii="Times New Roman" w:hAnsi="Times New Roman"/>
          <w:b/>
          <w:i/>
          <w:sz w:val="24"/>
          <w:szCs w:val="24"/>
          <w:highlight w:val="yellow"/>
        </w:rPr>
      </w:pPr>
      <w:r w:rsidRPr="008F2425">
        <w:rPr>
          <w:rFonts w:ascii="Times New Roman" w:hAnsi="Times New Roman" w:cs="Times New Roman"/>
          <w:sz w:val="24"/>
          <w:szCs w:val="24"/>
        </w:rPr>
        <w:t xml:space="preserve"> </w:t>
      </w:r>
      <w:r w:rsidR="001C2878" w:rsidRPr="009E00D1">
        <w:rPr>
          <w:rFonts w:ascii="Times New Roman" w:hAnsi="Times New Roman"/>
          <w:b/>
          <w:i/>
          <w:sz w:val="24"/>
          <w:szCs w:val="24"/>
        </w:rPr>
        <w:t>Exercise of discretion by APRA</w:t>
      </w:r>
    </w:p>
    <w:p w14:paraId="5F44BA23" w14:textId="45EC5914" w:rsidR="00B87FEF" w:rsidRPr="00602C94" w:rsidRDefault="00B87FEF" w:rsidP="00B87FEF">
      <w:pPr>
        <w:spacing w:before="100" w:beforeAutospacing="1" w:after="100" w:afterAutospacing="1"/>
        <w:jc w:val="both"/>
        <w:rPr>
          <w:rFonts w:ascii="Times New Roman" w:hAnsi="Times New Roman"/>
          <w:sz w:val="24"/>
          <w:szCs w:val="24"/>
        </w:rPr>
      </w:pPr>
      <w:r w:rsidRPr="00C3285C">
        <w:rPr>
          <w:rFonts w:ascii="Times New Roman" w:hAnsi="Times New Roman"/>
          <w:sz w:val="24"/>
          <w:szCs w:val="24"/>
        </w:rPr>
        <w:t xml:space="preserve">The prudential standards provide for APRA to exercise various discretions. Decisions made by APRA </w:t>
      </w:r>
      <w:r w:rsidR="002B1434" w:rsidRPr="00B3528A">
        <w:rPr>
          <w:rFonts w:ascii="Times New Roman" w:hAnsi="Times New Roman"/>
          <w:sz w:val="24"/>
          <w:szCs w:val="24"/>
        </w:rPr>
        <w:t xml:space="preserve">in </w:t>
      </w:r>
      <w:r w:rsidRPr="00C3285C">
        <w:rPr>
          <w:rFonts w:ascii="Times New Roman" w:hAnsi="Times New Roman"/>
          <w:sz w:val="24"/>
          <w:szCs w:val="24"/>
        </w:rPr>
        <w:t>exercising those discretions are not subject to merits review. This is because these decisions are preliminary decisions that may facilitate or lead to substantive decisions which are subject to merits review.</w:t>
      </w:r>
      <w:r w:rsidRPr="00602C94">
        <w:rPr>
          <w:rFonts w:ascii="Times New Roman" w:hAnsi="Times New Roman"/>
          <w:sz w:val="24"/>
          <w:szCs w:val="24"/>
        </w:rPr>
        <w:t xml:space="preserve"> </w:t>
      </w:r>
    </w:p>
    <w:p w14:paraId="6AA5C8BF" w14:textId="717245D6" w:rsidR="00B87FEF" w:rsidRPr="00602C94" w:rsidRDefault="00B87FEF" w:rsidP="00B87FEF">
      <w:pPr>
        <w:spacing w:before="100" w:beforeAutospacing="1" w:after="100" w:afterAutospacing="1"/>
        <w:jc w:val="both"/>
        <w:rPr>
          <w:rFonts w:ascii="Times New Roman" w:hAnsi="Times New Roman"/>
          <w:sz w:val="24"/>
          <w:szCs w:val="24"/>
        </w:rPr>
      </w:pPr>
      <w:r w:rsidRPr="00602C94">
        <w:rPr>
          <w:rFonts w:ascii="Times New Roman" w:hAnsi="Times New Roman"/>
          <w:sz w:val="24"/>
          <w:szCs w:val="24"/>
        </w:rPr>
        <w:t>Under the Act, it is a condition on all RSE licences that the RSE licensee must comply with the RSE licensee law, which includes prudential standards. However</w:t>
      </w:r>
      <w:r>
        <w:rPr>
          <w:rFonts w:ascii="Times New Roman" w:hAnsi="Times New Roman"/>
          <w:sz w:val="24"/>
          <w:szCs w:val="24"/>
        </w:rPr>
        <w:t>,</w:t>
      </w:r>
      <w:r w:rsidRPr="00602C94">
        <w:rPr>
          <w:rFonts w:ascii="Times New Roman" w:hAnsi="Times New Roman"/>
          <w:sz w:val="24"/>
          <w:szCs w:val="24"/>
        </w:rPr>
        <w:t xml:space="preserve"> there are no penalties prescribed for breach of </w:t>
      </w:r>
      <w:r>
        <w:rPr>
          <w:rFonts w:ascii="Times New Roman" w:hAnsi="Times New Roman"/>
          <w:sz w:val="24"/>
          <w:szCs w:val="24"/>
        </w:rPr>
        <w:t xml:space="preserve">the prudential standards under </w:t>
      </w:r>
      <w:r w:rsidRPr="00602C94">
        <w:rPr>
          <w:rFonts w:ascii="Times New Roman" w:hAnsi="Times New Roman"/>
          <w:sz w:val="24"/>
          <w:szCs w:val="24"/>
        </w:rPr>
        <w:t>the</w:t>
      </w:r>
      <w:r>
        <w:rPr>
          <w:rFonts w:ascii="Times New Roman" w:hAnsi="Times New Roman"/>
          <w:sz w:val="24"/>
          <w:szCs w:val="24"/>
        </w:rPr>
        <w:t xml:space="preserve"> Act. Instead, an RSE licensee’s</w:t>
      </w:r>
      <w:r w:rsidRPr="00602C94">
        <w:rPr>
          <w:rFonts w:ascii="Times New Roman" w:hAnsi="Times New Roman"/>
          <w:sz w:val="24"/>
          <w:szCs w:val="24"/>
        </w:rPr>
        <w:t xml:space="preserve"> breach of </w:t>
      </w:r>
      <w:r>
        <w:rPr>
          <w:rFonts w:ascii="Times New Roman" w:hAnsi="Times New Roman"/>
          <w:sz w:val="24"/>
          <w:szCs w:val="24"/>
        </w:rPr>
        <w:t>an</w:t>
      </w:r>
      <w:r w:rsidRPr="00602C94">
        <w:rPr>
          <w:rFonts w:ascii="Times New Roman" w:hAnsi="Times New Roman"/>
          <w:sz w:val="24"/>
          <w:szCs w:val="24"/>
        </w:rPr>
        <w:t xml:space="preserve"> RSE lice</w:t>
      </w:r>
      <w:r>
        <w:rPr>
          <w:rFonts w:ascii="Times New Roman" w:hAnsi="Times New Roman"/>
          <w:sz w:val="24"/>
          <w:szCs w:val="24"/>
        </w:rPr>
        <w:t>nce condition is grounds for</w:t>
      </w:r>
      <w:r w:rsidRPr="00602C94">
        <w:rPr>
          <w:rFonts w:ascii="Times New Roman" w:hAnsi="Times New Roman"/>
          <w:sz w:val="24"/>
          <w:szCs w:val="24"/>
        </w:rPr>
        <w:t xml:space="preserve"> APRA to make further, subst</w:t>
      </w:r>
      <w:r>
        <w:rPr>
          <w:rFonts w:ascii="Times New Roman" w:hAnsi="Times New Roman"/>
          <w:sz w:val="24"/>
          <w:szCs w:val="24"/>
        </w:rPr>
        <w:t>antive decisions under the Act in relation to the RSE licensee</w:t>
      </w:r>
      <w:r w:rsidRPr="00602C94">
        <w:rPr>
          <w:rFonts w:ascii="Times New Roman" w:hAnsi="Times New Roman"/>
          <w:sz w:val="24"/>
          <w:szCs w:val="24"/>
        </w:rPr>
        <w:t xml:space="preserve">. Those decisions </w:t>
      </w:r>
      <w:proofErr w:type="gramStart"/>
      <w:r w:rsidRPr="00602C94">
        <w:rPr>
          <w:rFonts w:ascii="Times New Roman" w:hAnsi="Times New Roman"/>
          <w:sz w:val="24"/>
          <w:szCs w:val="24"/>
        </w:rPr>
        <w:t>are, as the case may be</w:t>
      </w:r>
      <w:proofErr w:type="gramEnd"/>
      <w:r w:rsidRPr="00602C94">
        <w:rPr>
          <w:rFonts w:ascii="Times New Roman" w:hAnsi="Times New Roman"/>
          <w:sz w:val="24"/>
          <w:szCs w:val="24"/>
        </w:rPr>
        <w:t>:</w:t>
      </w:r>
    </w:p>
    <w:p w14:paraId="2B73F87B" w14:textId="0149A38E" w:rsidR="00E7799D" w:rsidRDefault="00B87FEF" w:rsidP="00B87FEF">
      <w:pPr>
        <w:spacing w:before="100" w:beforeAutospacing="1" w:after="100" w:afterAutospacing="1"/>
        <w:ind w:left="993" w:hanging="993"/>
        <w:jc w:val="both"/>
        <w:rPr>
          <w:rFonts w:ascii="Times New Roman" w:hAnsi="Times New Roman"/>
          <w:sz w:val="24"/>
          <w:szCs w:val="24"/>
        </w:rPr>
      </w:pPr>
      <w:r w:rsidRPr="00602C94">
        <w:rPr>
          <w:rFonts w:ascii="Times New Roman" w:hAnsi="Times New Roman"/>
          <w:sz w:val="24"/>
          <w:szCs w:val="24"/>
        </w:rPr>
        <w:t>(</w:t>
      </w:r>
      <w:r w:rsidR="00E7799D">
        <w:rPr>
          <w:rFonts w:ascii="Times New Roman" w:hAnsi="Times New Roman"/>
          <w:sz w:val="24"/>
          <w:szCs w:val="24"/>
        </w:rPr>
        <w:t>a</w:t>
      </w:r>
      <w:r w:rsidRPr="00602C94">
        <w:rPr>
          <w:rFonts w:ascii="Times New Roman" w:hAnsi="Times New Roman"/>
          <w:sz w:val="24"/>
          <w:szCs w:val="24"/>
        </w:rPr>
        <w:t>)</w:t>
      </w:r>
      <w:r>
        <w:rPr>
          <w:rFonts w:ascii="Times New Roman" w:hAnsi="Times New Roman"/>
          <w:sz w:val="24"/>
          <w:szCs w:val="24"/>
        </w:rPr>
        <w:tab/>
        <w:t>to issue a direction to the RSE licensee</w:t>
      </w:r>
      <w:r w:rsidRPr="00602C94">
        <w:rPr>
          <w:rFonts w:ascii="Times New Roman" w:hAnsi="Times New Roman"/>
          <w:sz w:val="24"/>
          <w:szCs w:val="24"/>
        </w:rPr>
        <w:t>, including a direction to comply with the whole or part of a prudent</w:t>
      </w:r>
      <w:r>
        <w:rPr>
          <w:rFonts w:ascii="Times New Roman" w:hAnsi="Times New Roman"/>
          <w:sz w:val="24"/>
          <w:szCs w:val="24"/>
        </w:rPr>
        <w:t>ial standard (</w:t>
      </w:r>
      <w:r w:rsidRPr="00602C94">
        <w:rPr>
          <w:rFonts w:ascii="Times New Roman" w:hAnsi="Times New Roman"/>
          <w:sz w:val="24"/>
          <w:szCs w:val="24"/>
        </w:rPr>
        <w:t>s</w:t>
      </w:r>
      <w:r>
        <w:rPr>
          <w:rFonts w:ascii="Times New Roman" w:hAnsi="Times New Roman"/>
          <w:sz w:val="24"/>
          <w:szCs w:val="24"/>
        </w:rPr>
        <w:t>ection 131D of the</w:t>
      </w:r>
      <w:r w:rsidRPr="00602C94">
        <w:rPr>
          <w:rFonts w:ascii="Times New Roman" w:hAnsi="Times New Roman"/>
          <w:sz w:val="24"/>
          <w:szCs w:val="24"/>
        </w:rPr>
        <w:t xml:space="preserve"> Act</w:t>
      </w:r>
      <w:proofErr w:type="gramStart"/>
      <w:r w:rsidRPr="00602C94">
        <w:rPr>
          <w:rFonts w:ascii="Times New Roman" w:hAnsi="Times New Roman"/>
          <w:sz w:val="24"/>
          <w:szCs w:val="24"/>
        </w:rPr>
        <w:t>)</w:t>
      </w:r>
      <w:r w:rsidR="00E7799D">
        <w:rPr>
          <w:rFonts w:ascii="Times New Roman" w:hAnsi="Times New Roman"/>
          <w:sz w:val="24"/>
          <w:szCs w:val="24"/>
        </w:rPr>
        <w:t>;</w:t>
      </w:r>
      <w:proofErr w:type="gramEnd"/>
    </w:p>
    <w:p w14:paraId="32B6DDC2" w14:textId="03EB8111" w:rsidR="00E7799D" w:rsidRPr="00602C94" w:rsidRDefault="00E7799D" w:rsidP="00901A57">
      <w:pPr>
        <w:spacing w:before="100" w:beforeAutospacing="1" w:after="100" w:afterAutospacing="1"/>
        <w:ind w:left="993" w:hanging="993"/>
        <w:jc w:val="both"/>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t>to cancel</w:t>
      </w:r>
      <w:r w:rsidRPr="00602C94">
        <w:rPr>
          <w:rFonts w:ascii="Times New Roman" w:hAnsi="Times New Roman"/>
          <w:sz w:val="24"/>
          <w:szCs w:val="24"/>
        </w:rPr>
        <w:t xml:space="preserve"> a licenc</w:t>
      </w:r>
      <w:r>
        <w:rPr>
          <w:rFonts w:ascii="Times New Roman" w:hAnsi="Times New Roman"/>
          <w:sz w:val="24"/>
          <w:szCs w:val="24"/>
        </w:rPr>
        <w:t xml:space="preserve">e to </w:t>
      </w:r>
      <w:r w:rsidRPr="00602C94">
        <w:rPr>
          <w:rFonts w:ascii="Times New Roman" w:hAnsi="Times New Roman"/>
          <w:sz w:val="24"/>
          <w:szCs w:val="24"/>
        </w:rPr>
        <w:t>operate an APRA-regulated superannuation fund (s</w:t>
      </w:r>
      <w:r>
        <w:rPr>
          <w:rFonts w:ascii="Times New Roman" w:hAnsi="Times New Roman"/>
          <w:sz w:val="24"/>
          <w:szCs w:val="24"/>
        </w:rPr>
        <w:t xml:space="preserve">ection </w:t>
      </w:r>
      <w:r w:rsidRPr="00602C94">
        <w:rPr>
          <w:rFonts w:ascii="Times New Roman" w:hAnsi="Times New Roman"/>
          <w:sz w:val="24"/>
          <w:szCs w:val="24"/>
        </w:rPr>
        <w:t xml:space="preserve">29G </w:t>
      </w:r>
      <w:r>
        <w:rPr>
          <w:rFonts w:ascii="Times New Roman" w:hAnsi="Times New Roman"/>
          <w:sz w:val="24"/>
          <w:szCs w:val="24"/>
        </w:rPr>
        <w:t>of the</w:t>
      </w:r>
      <w:r w:rsidRPr="00602C94">
        <w:rPr>
          <w:rFonts w:ascii="Times New Roman" w:hAnsi="Times New Roman"/>
          <w:sz w:val="24"/>
          <w:szCs w:val="24"/>
        </w:rPr>
        <w:t xml:space="preserve"> Act)</w:t>
      </w:r>
      <w:r>
        <w:rPr>
          <w:rFonts w:ascii="Times New Roman" w:hAnsi="Times New Roman"/>
          <w:sz w:val="24"/>
          <w:szCs w:val="24"/>
        </w:rPr>
        <w:t>.</w:t>
      </w:r>
    </w:p>
    <w:p w14:paraId="0D0AF4F0" w14:textId="08E9ABE2" w:rsidR="00B87FEF" w:rsidRDefault="00B87FEF" w:rsidP="00B87FEF">
      <w:pPr>
        <w:pStyle w:val="List"/>
        <w:tabs>
          <w:tab w:val="clear" w:pos="425"/>
        </w:tabs>
        <w:ind w:left="0" w:firstLine="0"/>
        <w:rPr>
          <w:rFonts w:ascii="Times New Roman" w:hAnsi="Times New Roman" w:cs="Times New Roman"/>
          <w:sz w:val="24"/>
          <w:szCs w:val="24"/>
        </w:rPr>
      </w:pPr>
      <w:r w:rsidRPr="00602C94">
        <w:rPr>
          <w:rFonts w:ascii="Times New Roman" w:hAnsi="Times New Roman"/>
          <w:sz w:val="24"/>
          <w:szCs w:val="24"/>
        </w:rPr>
        <w:t>It is o</w:t>
      </w:r>
      <w:r>
        <w:rPr>
          <w:rFonts w:ascii="Times New Roman" w:hAnsi="Times New Roman"/>
          <w:sz w:val="24"/>
          <w:szCs w:val="24"/>
        </w:rPr>
        <w:t>nly at this stage that an RSE licensee</w:t>
      </w:r>
      <w:r w:rsidRPr="00602C94">
        <w:rPr>
          <w:rFonts w:ascii="Times New Roman" w:hAnsi="Times New Roman"/>
          <w:sz w:val="24"/>
          <w:szCs w:val="24"/>
        </w:rPr>
        <w:t xml:space="preserve"> is exposed to a pe</w:t>
      </w:r>
      <w:r>
        <w:rPr>
          <w:rFonts w:ascii="Times New Roman" w:hAnsi="Times New Roman"/>
          <w:sz w:val="24"/>
          <w:szCs w:val="24"/>
        </w:rPr>
        <w:t>nalty</w:t>
      </w:r>
      <w:r w:rsidRPr="0059540C">
        <w:rPr>
          <w:rFonts w:ascii="Times New Roman" w:hAnsi="Times New Roman"/>
          <w:sz w:val="24"/>
          <w:szCs w:val="24"/>
        </w:rPr>
        <w:t xml:space="preserve">: </w:t>
      </w:r>
      <w:r>
        <w:rPr>
          <w:rFonts w:ascii="Times New Roman" w:hAnsi="Times New Roman"/>
          <w:sz w:val="24"/>
          <w:szCs w:val="24"/>
        </w:rPr>
        <w:t>10</w:t>
      </w:r>
      <w:r w:rsidRPr="00602C94">
        <w:rPr>
          <w:rFonts w:ascii="Times New Roman" w:hAnsi="Times New Roman"/>
          <w:sz w:val="24"/>
          <w:szCs w:val="24"/>
        </w:rPr>
        <w:t>0 penalty units each day i</w:t>
      </w:r>
      <w:r>
        <w:rPr>
          <w:rFonts w:ascii="Times New Roman" w:hAnsi="Times New Roman"/>
          <w:sz w:val="24"/>
          <w:szCs w:val="24"/>
        </w:rPr>
        <w:t>f it breaches the direction (</w:t>
      </w:r>
      <w:r w:rsidRPr="00602C94">
        <w:rPr>
          <w:rFonts w:ascii="Times New Roman" w:hAnsi="Times New Roman"/>
          <w:sz w:val="24"/>
          <w:szCs w:val="24"/>
        </w:rPr>
        <w:t>s</w:t>
      </w:r>
      <w:r>
        <w:rPr>
          <w:rFonts w:ascii="Times New Roman" w:hAnsi="Times New Roman"/>
          <w:sz w:val="24"/>
          <w:szCs w:val="24"/>
        </w:rPr>
        <w:t>ection 131DD of the</w:t>
      </w:r>
      <w:r w:rsidRPr="00602C94">
        <w:rPr>
          <w:rFonts w:ascii="Times New Roman" w:hAnsi="Times New Roman"/>
          <w:sz w:val="24"/>
          <w:szCs w:val="24"/>
        </w:rPr>
        <w:t xml:space="preserve"> Act)</w:t>
      </w:r>
      <w:r w:rsidR="00E7799D">
        <w:rPr>
          <w:rFonts w:ascii="Times New Roman" w:hAnsi="Times New Roman"/>
          <w:sz w:val="24"/>
          <w:szCs w:val="24"/>
        </w:rPr>
        <w:t xml:space="preserve"> or loss of licence</w:t>
      </w:r>
      <w:r w:rsidRPr="00602C94">
        <w:rPr>
          <w:rFonts w:ascii="Times New Roman" w:hAnsi="Times New Roman"/>
          <w:sz w:val="24"/>
          <w:szCs w:val="24"/>
        </w:rPr>
        <w:t>.</w:t>
      </w:r>
      <w:r>
        <w:rPr>
          <w:rStyle w:val="FootnoteReference"/>
          <w:rFonts w:ascii="Times New Roman" w:hAnsi="Times New Roman"/>
          <w:sz w:val="24"/>
          <w:szCs w:val="24"/>
        </w:rPr>
        <w:footnoteReference w:id="4"/>
      </w:r>
      <w:r w:rsidRPr="00602C94">
        <w:rPr>
          <w:rFonts w:ascii="Times New Roman" w:hAnsi="Times New Roman"/>
          <w:sz w:val="24"/>
          <w:szCs w:val="24"/>
        </w:rPr>
        <w:t xml:space="preserve"> The subsequent substantive decisions of APRA to impose a direction </w:t>
      </w:r>
      <w:r w:rsidR="00E7799D">
        <w:rPr>
          <w:rFonts w:ascii="Times New Roman" w:hAnsi="Times New Roman"/>
          <w:sz w:val="24"/>
          <w:szCs w:val="24"/>
        </w:rPr>
        <w:t xml:space="preserve">or cancel an RSE licence </w:t>
      </w:r>
      <w:r w:rsidRPr="00602C94">
        <w:rPr>
          <w:rFonts w:ascii="Times New Roman" w:hAnsi="Times New Roman"/>
          <w:sz w:val="24"/>
          <w:szCs w:val="24"/>
        </w:rPr>
        <w:t>are subject to merits review.</w:t>
      </w:r>
    </w:p>
    <w:p w14:paraId="2EC7B0AD" w14:textId="25B7AFEE" w:rsidR="001C2878" w:rsidRPr="00CE5227" w:rsidRDefault="001C2878" w:rsidP="001C2878">
      <w:pPr>
        <w:numPr>
          <w:ilvl w:val="0"/>
          <w:numId w:val="11"/>
        </w:numPr>
        <w:spacing w:after="240"/>
        <w:jc w:val="both"/>
        <w:rPr>
          <w:rFonts w:ascii="Times New Roman" w:hAnsi="Times New Roman"/>
          <w:b/>
          <w:i/>
          <w:sz w:val="24"/>
          <w:szCs w:val="24"/>
        </w:rPr>
      </w:pPr>
      <w:r w:rsidRPr="00CE5227">
        <w:rPr>
          <w:rFonts w:ascii="Times New Roman" w:hAnsi="Times New Roman"/>
          <w:b/>
          <w:i/>
          <w:sz w:val="24"/>
          <w:szCs w:val="24"/>
        </w:rPr>
        <w:t>Adjust and exclude discretion</w:t>
      </w:r>
    </w:p>
    <w:p w14:paraId="6B116E54" w14:textId="37CA5B5D" w:rsidR="00C51230" w:rsidRDefault="00C51230" w:rsidP="00784D16">
      <w:pPr>
        <w:jc w:val="both"/>
        <w:rPr>
          <w:rFonts w:ascii="Times New Roman" w:hAnsi="Times New Roman"/>
          <w:sz w:val="24"/>
          <w:szCs w:val="24"/>
        </w:rPr>
      </w:pPr>
      <w:r>
        <w:rPr>
          <w:rFonts w:ascii="Times New Roman" w:hAnsi="Times New Roman"/>
          <w:sz w:val="24"/>
          <w:szCs w:val="24"/>
        </w:rPr>
        <w:t xml:space="preserve">SPS </w:t>
      </w:r>
      <w:r w:rsidR="00BD1D17">
        <w:rPr>
          <w:rFonts w:ascii="Times New Roman" w:hAnsi="Times New Roman"/>
          <w:sz w:val="24"/>
          <w:szCs w:val="24"/>
        </w:rPr>
        <w:t>515</w:t>
      </w:r>
      <w:r w:rsidRPr="00B65FAD">
        <w:rPr>
          <w:rFonts w:ascii="Times New Roman" w:hAnsi="Times New Roman"/>
          <w:sz w:val="24"/>
          <w:szCs w:val="24"/>
        </w:rPr>
        <w:t xml:space="preserve"> gives APRA the discretion to adjust or exclude a provision of the prudential standard (paragraph </w:t>
      </w:r>
      <w:r w:rsidR="00D8457E">
        <w:rPr>
          <w:rFonts w:ascii="Times New Roman" w:hAnsi="Times New Roman"/>
          <w:sz w:val="24"/>
          <w:szCs w:val="24"/>
        </w:rPr>
        <w:t>7</w:t>
      </w:r>
      <w:r w:rsidRPr="00B65FAD">
        <w:rPr>
          <w:rFonts w:ascii="Times New Roman" w:hAnsi="Times New Roman"/>
          <w:sz w:val="24"/>
          <w:szCs w:val="24"/>
        </w:rPr>
        <w:t xml:space="preserve">). The power to create such a </w:t>
      </w:r>
      <w:r w:rsidRPr="00B65FAD" w:rsidDel="0046007D">
        <w:rPr>
          <w:rFonts w:ascii="Times New Roman" w:hAnsi="Times New Roman"/>
          <w:sz w:val="24"/>
          <w:szCs w:val="24"/>
        </w:rPr>
        <w:t>discretion</w:t>
      </w:r>
      <w:r w:rsidRPr="00B65FAD">
        <w:rPr>
          <w:rFonts w:ascii="Times New Roman" w:hAnsi="Times New Roman"/>
          <w:sz w:val="24"/>
          <w:szCs w:val="24"/>
        </w:rPr>
        <w:t xml:space="preserve"> is provided for under subsection </w:t>
      </w:r>
      <w:r>
        <w:rPr>
          <w:rFonts w:ascii="Times New Roman" w:hAnsi="Times New Roman"/>
          <w:sz w:val="24"/>
          <w:szCs w:val="24"/>
        </w:rPr>
        <w:t>34</w:t>
      </w:r>
      <w:proofErr w:type="gramStart"/>
      <w:r>
        <w:rPr>
          <w:rFonts w:ascii="Times New Roman" w:hAnsi="Times New Roman"/>
          <w:sz w:val="24"/>
          <w:szCs w:val="24"/>
        </w:rPr>
        <w:t>C(</w:t>
      </w:r>
      <w:proofErr w:type="gramEnd"/>
      <w:r>
        <w:rPr>
          <w:rFonts w:ascii="Times New Roman" w:hAnsi="Times New Roman"/>
          <w:sz w:val="24"/>
          <w:szCs w:val="24"/>
        </w:rPr>
        <w:t>5)</w:t>
      </w:r>
      <w:r w:rsidRPr="00B65FAD">
        <w:rPr>
          <w:rFonts w:ascii="Times New Roman" w:hAnsi="Times New Roman"/>
          <w:sz w:val="24"/>
          <w:szCs w:val="24"/>
        </w:rPr>
        <w:t xml:space="preserve"> of the Act. </w:t>
      </w:r>
    </w:p>
    <w:p w14:paraId="2B9B38FF" w14:textId="77777777" w:rsidR="00C51230" w:rsidRPr="00DD3423" w:rsidRDefault="00C51230" w:rsidP="00784D16">
      <w:pPr>
        <w:jc w:val="both"/>
        <w:rPr>
          <w:rFonts w:ascii="Times New Roman" w:hAnsi="Times New Roman"/>
          <w:i/>
          <w:sz w:val="24"/>
          <w:szCs w:val="24"/>
          <w:highlight w:val="yellow"/>
        </w:rPr>
      </w:pPr>
    </w:p>
    <w:p w14:paraId="16C276EB" w14:textId="7733D37D" w:rsidR="00C51230" w:rsidRDefault="00C51230" w:rsidP="00784D16">
      <w:pPr>
        <w:jc w:val="both"/>
        <w:rPr>
          <w:rFonts w:ascii="Times New Roman" w:hAnsi="Times New Roman"/>
          <w:sz w:val="24"/>
          <w:szCs w:val="24"/>
        </w:rPr>
      </w:pPr>
      <w:r w:rsidRPr="0018608E">
        <w:rPr>
          <w:rFonts w:ascii="Times New Roman" w:hAnsi="Times New Roman"/>
          <w:sz w:val="24"/>
          <w:szCs w:val="24"/>
        </w:rPr>
        <w:t xml:space="preserve">APRA may exercise this power when it is satisfied that the adjustment or exclusion of a specific requirement for one or more specified </w:t>
      </w:r>
      <w:r>
        <w:rPr>
          <w:rFonts w:ascii="Times New Roman" w:hAnsi="Times New Roman"/>
          <w:sz w:val="24"/>
          <w:szCs w:val="24"/>
        </w:rPr>
        <w:t>RSE licensees</w:t>
      </w:r>
      <w:r w:rsidRPr="0018608E">
        <w:rPr>
          <w:rFonts w:ascii="Times New Roman" w:hAnsi="Times New Roman"/>
          <w:sz w:val="24"/>
          <w:szCs w:val="24"/>
        </w:rPr>
        <w:t xml:space="preserve"> will better support APRA in meeting its objectives. For example, the adjustment or exclusion may be necessary to obtain a better prudential outcome than would be the case if the prudential requirement were applied unaltered to a particular </w:t>
      </w:r>
      <w:r>
        <w:rPr>
          <w:rFonts w:ascii="Times New Roman" w:hAnsi="Times New Roman"/>
          <w:sz w:val="24"/>
          <w:szCs w:val="24"/>
        </w:rPr>
        <w:t>RSE licensee</w:t>
      </w:r>
      <w:r w:rsidRPr="0018608E">
        <w:rPr>
          <w:rFonts w:ascii="Times New Roman" w:hAnsi="Times New Roman"/>
          <w:sz w:val="24"/>
          <w:szCs w:val="24"/>
        </w:rPr>
        <w:t xml:space="preserve">. A tailored approach would give APRA comfort that the prudential requirements apply appropriately to protect the interests of </w:t>
      </w:r>
      <w:r>
        <w:rPr>
          <w:rFonts w:ascii="Times New Roman" w:hAnsi="Times New Roman"/>
          <w:sz w:val="24"/>
          <w:szCs w:val="24"/>
        </w:rPr>
        <w:t>superannuation fund members</w:t>
      </w:r>
      <w:r w:rsidRPr="0018608E">
        <w:rPr>
          <w:rFonts w:ascii="Times New Roman" w:hAnsi="Times New Roman"/>
          <w:sz w:val="24"/>
          <w:szCs w:val="24"/>
        </w:rPr>
        <w:t xml:space="preserve">. APRA will also </w:t>
      </w:r>
      <w:proofErr w:type="gramStart"/>
      <w:r w:rsidRPr="0018608E">
        <w:rPr>
          <w:rFonts w:ascii="Times New Roman" w:hAnsi="Times New Roman"/>
          <w:sz w:val="24"/>
          <w:szCs w:val="24"/>
        </w:rPr>
        <w:t>take into account</w:t>
      </w:r>
      <w:proofErr w:type="gramEnd"/>
      <w:r w:rsidRPr="0018608E">
        <w:rPr>
          <w:rFonts w:ascii="Times New Roman" w:hAnsi="Times New Roman"/>
          <w:sz w:val="24"/>
          <w:szCs w:val="24"/>
        </w:rPr>
        <w:t xml:space="preserve"> other considerations, such as efficiency, competition, contestability, competitive neutrality and regulatory burden, including comparisons with the entity’s peer group.</w:t>
      </w:r>
    </w:p>
    <w:p w14:paraId="7121A729" w14:textId="77777777" w:rsidR="00C51230" w:rsidRPr="0018608E" w:rsidRDefault="00C51230" w:rsidP="00784D16">
      <w:pPr>
        <w:jc w:val="both"/>
        <w:rPr>
          <w:rFonts w:ascii="Times New Roman" w:hAnsi="Times New Roman"/>
          <w:sz w:val="24"/>
          <w:szCs w:val="24"/>
        </w:rPr>
      </w:pPr>
    </w:p>
    <w:p w14:paraId="3D58C626" w14:textId="77777777" w:rsidR="00C51230" w:rsidRDefault="00C51230" w:rsidP="00784D16">
      <w:pPr>
        <w:jc w:val="both"/>
        <w:rPr>
          <w:rFonts w:ascii="Times New Roman" w:hAnsi="Times New Roman"/>
          <w:sz w:val="24"/>
          <w:szCs w:val="24"/>
        </w:rPr>
      </w:pPr>
      <w:r w:rsidRPr="0018608E">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01A919E7" w14:textId="77777777" w:rsidR="00AF576B" w:rsidRPr="0018608E" w:rsidRDefault="00AF576B" w:rsidP="00784D16">
      <w:pPr>
        <w:jc w:val="both"/>
        <w:rPr>
          <w:rFonts w:ascii="Times New Roman" w:hAnsi="Times New Roman"/>
          <w:sz w:val="24"/>
          <w:szCs w:val="24"/>
        </w:rPr>
      </w:pPr>
    </w:p>
    <w:p w14:paraId="0879CB58" w14:textId="4B12BBC7" w:rsidR="001C2878" w:rsidRPr="00B87FEF" w:rsidRDefault="000D6705" w:rsidP="00B87FEF">
      <w:pPr>
        <w:jc w:val="both"/>
        <w:rPr>
          <w:rFonts w:ascii="Times New Roman" w:hAnsi="Times New Roman"/>
          <w:b/>
          <w:i/>
          <w:sz w:val="24"/>
          <w:szCs w:val="24"/>
        </w:rPr>
      </w:pPr>
      <w:r>
        <w:rPr>
          <w:rFonts w:ascii="Times New Roman" w:hAnsi="Times New Roman"/>
          <w:b/>
          <w:i/>
          <w:sz w:val="24"/>
          <w:szCs w:val="24"/>
        </w:rPr>
        <w:t>Exemption from sunsetting and disallowanc</w:t>
      </w:r>
      <w:r w:rsidR="001C2878">
        <w:rPr>
          <w:rFonts w:ascii="Times New Roman" w:hAnsi="Times New Roman"/>
          <w:b/>
          <w:i/>
          <w:sz w:val="24"/>
          <w:szCs w:val="24"/>
        </w:rPr>
        <w:t>e</w:t>
      </w:r>
    </w:p>
    <w:p w14:paraId="200DE14D" w14:textId="0C64B398" w:rsidR="001D29FA" w:rsidRDefault="00B87FEF" w:rsidP="000D6705">
      <w:pPr>
        <w:spacing w:before="100" w:beforeAutospacing="1" w:after="100" w:afterAutospacing="1"/>
        <w:jc w:val="both"/>
        <w:rPr>
          <w:rFonts w:ascii="Times New Roman" w:hAnsi="Times New Roman"/>
          <w:sz w:val="24"/>
          <w:szCs w:val="24"/>
        </w:rPr>
      </w:pPr>
      <w:r w:rsidRPr="001C7EFB">
        <w:rPr>
          <w:rFonts w:ascii="Times New Roman" w:hAnsi="Times New Roman"/>
          <w:sz w:val="24"/>
          <w:szCs w:val="24"/>
        </w:rPr>
        <w:t xml:space="preserve">SPS </w:t>
      </w:r>
      <w:r w:rsidR="00BD1D17">
        <w:rPr>
          <w:rFonts w:ascii="Times New Roman" w:hAnsi="Times New Roman"/>
          <w:sz w:val="24"/>
          <w:szCs w:val="24"/>
        </w:rPr>
        <w:t>515</w:t>
      </w:r>
      <w:r w:rsidRPr="001C7EFB">
        <w:rPr>
          <w:rFonts w:ascii="Times New Roman" w:hAnsi="Times New Roman"/>
          <w:sz w:val="24"/>
          <w:szCs w:val="24"/>
        </w:rPr>
        <w:t xml:space="preserve"> </w:t>
      </w:r>
      <w:r w:rsidR="000D6705" w:rsidRPr="000D6705">
        <w:rPr>
          <w:rFonts w:ascii="Times New Roman" w:hAnsi="Times New Roman"/>
          <w:sz w:val="24"/>
          <w:szCs w:val="24"/>
        </w:rPr>
        <w:t xml:space="preserve">is exempt from disallowance in accordance with </w:t>
      </w:r>
      <w:r w:rsidR="00970F70">
        <w:rPr>
          <w:rFonts w:ascii="Times New Roman" w:hAnsi="Times New Roman"/>
          <w:sz w:val="24"/>
          <w:szCs w:val="24"/>
        </w:rPr>
        <w:t xml:space="preserve">paragraph </w:t>
      </w:r>
      <w:r w:rsidR="000D6705" w:rsidRPr="000D6705">
        <w:rPr>
          <w:rFonts w:ascii="Times New Roman" w:hAnsi="Times New Roman"/>
          <w:sz w:val="24"/>
          <w:szCs w:val="24"/>
        </w:rPr>
        <w:t xml:space="preserve">44(2)(b) of the </w:t>
      </w:r>
      <w:r w:rsidR="000D6705" w:rsidRPr="007573D2">
        <w:rPr>
          <w:rFonts w:ascii="Times New Roman" w:hAnsi="Times New Roman"/>
          <w:i/>
          <w:sz w:val="24"/>
          <w:szCs w:val="24"/>
        </w:rPr>
        <w:t>Legislation Act 2003</w:t>
      </w:r>
      <w:r w:rsidR="000D6705" w:rsidRPr="000D6705">
        <w:rPr>
          <w:rFonts w:ascii="Times New Roman" w:hAnsi="Times New Roman"/>
          <w:sz w:val="24"/>
          <w:szCs w:val="24"/>
        </w:rPr>
        <w:t xml:space="preserve"> (Legislation Act) and regulation 9 of the </w:t>
      </w:r>
      <w:r w:rsidR="000D6705" w:rsidRPr="007573D2">
        <w:rPr>
          <w:rFonts w:ascii="Times New Roman" w:hAnsi="Times New Roman"/>
          <w:i/>
          <w:sz w:val="24"/>
          <w:szCs w:val="24"/>
        </w:rPr>
        <w:t>Legislation (Exemptions and Other Matters) Regulations 2015</w:t>
      </w:r>
      <w:r w:rsidR="000D6705" w:rsidRPr="000D6705">
        <w:rPr>
          <w:rFonts w:ascii="Times New Roman" w:hAnsi="Times New Roman"/>
          <w:sz w:val="24"/>
          <w:szCs w:val="24"/>
        </w:rPr>
        <w:t xml:space="preserve"> (Legislation Regulations) as SPS </w:t>
      </w:r>
      <w:r w:rsidR="00BD1D17">
        <w:rPr>
          <w:rFonts w:ascii="Times New Roman" w:hAnsi="Times New Roman"/>
          <w:sz w:val="24"/>
          <w:szCs w:val="24"/>
        </w:rPr>
        <w:t xml:space="preserve">515 </w:t>
      </w:r>
      <w:r w:rsidR="000D6705" w:rsidRPr="000D6705">
        <w:rPr>
          <w:rFonts w:ascii="Times New Roman" w:hAnsi="Times New Roman"/>
          <w:sz w:val="24"/>
          <w:szCs w:val="24"/>
        </w:rPr>
        <w:t>is an ‘instrument (other than a regulation) relating to superannuation</w:t>
      </w:r>
      <w:r w:rsidR="007573D2">
        <w:rPr>
          <w:rFonts w:ascii="Times New Roman" w:hAnsi="Times New Roman"/>
          <w:sz w:val="24"/>
          <w:szCs w:val="24"/>
        </w:rPr>
        <w:t>’.</w:t>
      </w:r>
      <w:r w:rsidR="007573D2">
        <w:rPr>
          <w:rStyle w:val="FootnoteReference"/>
          <w:rFonts w:ascii="Times New Roman" w:hAnsi="Times New Roman"/>
          <w:sz w:val="24"/>
          <w:szCs w:val="24"/>
        </w:rPr>
        <w:footnoteReference w:id="5"/>
      </w:r>
    </w:p>
    <w:p w14:paraId="67D79FBE" w14:textId="5A0B2A98" w:rsidR="008C0570" w:rsidRDefault="007573D2" w:rsidP="007573D2">
      <w:pPr>
        <w:spacing w:before="100" w:beforeAutospacing="1" w:after="100" w:afterAutospacing="1"/>
        <w:jc w:val="both"/>
        <w:rPr>
          <w:rFonts w:ascii="Times New Roman" w:hAnsi="Times New Roman"/>
          <w:sz w:val="24"/>
          <w:szCs w:val="24"/>
        </w:rPr>
      </w:pPr>
      <w:r w:rsidRPr="007573D2">
        <w:rPr>
          <w:rFonts w:ascii="Times New Roman" w:hAnsi="Times New Roman"/>
          <w:sz w:val="24"/>
          <w:szCs w:val="24"/>
        </w:rPr>
        <w:t xml:space="preserve">SPS </w:t>
      </w:r>
      <w:r w:rsidR="00BD1D17">
        <w:rPr>
          <w:rFonts w:ascii="Times New Roman" w:hAnsi="Times New Roman"/>
          <w:sz w:val="24"/>
          <w:szCs w:val="24"/>
        </w:rPr>
        <w:t>515</w:t>
      </w:r>
      <w:r w:rsidRPr="007573D2">
        <w:rPr>
          <w:rFonts w:ascii="Times New Roman" w:hAnsi="Times New Roman"/>
          <w:sz w:val="24"/>
          <w:szCs w:val="24"/>
        </w:rPr>
        <w:t xml:space="preserve"> is exempt from sunsetting in accordance with </w:t>
      </w:r>
      <w:r w:rsidR="00970F70">
        <w:rPr>
          <w:rFonts w:ascii="Times New Roman" w:hAnsi="Times New Roman"/>
          <w:sz w:val="24"/>
          <w:szCs w:val="24"/>
        </w:rPr>
        <w:t>paragraph</w:t>
      </w:r>
      <w:r w:rsidRPr="007573D2">
        <w:rPr>
          <w:rFonts w:ascii="Times New Roman" w:hAnsi="Times New Roman"/>
          <w:sz w:val="24"/>
          <w:szCs w:val="24"/>
        </w:rPr>
        <w:t xml:space="preserve"> 54(2)(b) of the Legislation Act and regulation 11 of the Legislation Regulations as </w:t>
      </w:r>
      <w:r w:rsidR="0021020F">
        <w:rPr>
          <w:rFonts w:ascii="Times New Roman" w:hAnsi="Times New Roman"/>
          <w:sz w:val="24"/>
          <w:szCs w:val="24"/>
        </w:rPr>
        <w:t>SPS 515</w:t>
      </w:r>
      <w:r w:rsidRPr="007573D2">
        <w:rPr>
          <w:rFonts w:ascii="Times New Roman" w:hAnsi="Times New Roman"/>
          <w:sz w:val="24"/>
          <w:szCs w:val="24"/>
        </w:rPr>
        <w:t xml:space="preserve"> 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6"/>
      </w:r>
    </w:p>
    <w:p w14:paraId="7AEDCD30" w14:textId="54251148" w:rsidR="008C0570" w:rsidRDefault="00925E7C" w:rsidP="00925E7C">
      <w:pPr>
        <w:spacing w:before="100" w:beforeAutospacing="1" w:after="100" w:afterAutospacing="1"/>
        <w:jc w:val="both"/>
        <w:rPr>
          <w:rFonts w:ascii="Times New Roman" w:hAnsi="Times New Roman"/>
          <w:sz w:val="24"/>
          <w:szCs w:val="24"/>
        </w:rPr>
      </w:pPr>
      <w:r w:rsidRPr="00925E7C">
        <w:rPr>
          <w:rFonts w:ascii="Times New Roman" w:hAnsi="Times New Roman"/>
          <w:sz w:val="24"/>
          <w:szCs w:val="24"/>
        </w:rPr>
        <w:lastRenderedPageBreak/>
        <w:t xml:space="preserve">As SPS </w:t>
      </w:r>
      <w:r w:rsidR="00BD1D17">
        <w:rPr>
          <w:rFonts w:ascii="Times New Roman" w:hAnsi="Times New Roman"/>
          <w:sz w:val="24"/>
          <w:szCs w:val="24"/>
        </w:rPr>
        <w:t>515</w:t>
      </w:r>
      <w:r w:rsidRPr="00925E7C">
        <w:rPr>
          <w:rFonts w:ascii="Times New Roman" w:hAnsi="Times New Roman"/>
          <w:sz w:val="24"/>
          <w:szCs w:val="24"/>
        </w:rPr>
        <w:t xml:space="preserve"> falls within the above-mentioned exemptions to disallowance and sunsetting, APRA does not have discretion to subject SPS </w:t>
      </w:r>
      <w:r w:rsidR="00BD1D17">
        <w:rPr>
          <w:rFonts w:ascii="Times New Roman" w:hAnsi="Times New Roman"/>
          <w:sz w:val="24"/>
          <w:szCs w:val="24"/>
        </w:rPr>
        <w:t xml:space="preserve">515 </w:t>
      </w:r>
      <w:r w:rsidRPr="00925E7C">
        <w:rPr>
          <w:rFonts w:ascii="Times New Roman" w:hAnsi="Times New Roman"/>
          <w:sz w:val="24"/>
          <w:szCs w:val="24"/>
        </w:rPr>
        <w:t xml:space="preserve">to disallowance and sunsetting. To mitigate against any adverse impact arising from the above-mentioned exemptions from disallowance and sunsetting, APRA undertook consultation on SPS </w:t>
      </w:r>
      <w:r w:rsidR="00BD1D17">
        <w:rPr>
          <w:rFonts w:ascii="Times New Roman" w:hAnsi="Times New Roman"/>
          <w:sz w:val="24"/>
          <w:szCs w:val="24"/>
        </w:rPr>
        <w:t xml:space="preserve">515 </w:t>
      </w:r>
      <w:r w:rsidRPr="00925E7C">
        <w:rPr>
          <w:rFonts w:ascii="Times New Roman" w:hAnsi="Times New Roman"/>
          <w:sz w:val="24"/>
          <w:szCs w:val="24"/>
        </w:rPr>
        <w:t xml:space="preserve">(refer to </w:t>
      </w:r>
      <w:r w:rsidR="0033429A">
        <w:rPr>
          <w:rFonts w:ascii="Times New Roman" w:hAnsi="Times New Roman"/>
          <w:sz w:val="24"/>
          <w:szCs w:val="24"/>
        </w:rPr>
        <w:t>section</w:t>
      </w:r>
      <w:r w:rsidRPr="00925E7C">
        <w:rPr>
          <w:rFonts w:ascii="Times New Roman" w:hAnsi="Times New Roman"/>
          <w:sz w:val="24"/>
          <w:szCs w:val="24"/>
        </w:rPr>
        <w:t xml:space="preserve"> 3 </w:t>
      </w:r>
      <w:r w:rsidR="0033429A">
        <w:rPr>
          <w:rFonts w:ascii="Times New Roman" w:hAnsi="Times New Roman"/>
          <w:sz w:val="24"/>
          <w:szCs w:val="24"/>
        </w:rPr>
        <w:t>below</w:t>
      </w:r>
      <w:r w:rsidRPr="00925E7C">
        <w:rPr>
          <w:rFonts w:ascii="Times New Roman" w:hAnsi="Times New Roman"/>
          <w:sz w:val="24"/>
          <w:szCs w:val="24"/>
        </w:rPr>
        <w:t xml:space="preserve"> for further details) and will continue to conduct regular reviews of SPS </w:t>
      </w:r>
      <w:r w:rsidR="00BD1D17">
        <w:rPr>
          <w:rFonts w:ascii="Times New Roman" w:hAnsi="Times New Roman"/>
          <w:sz w:val="24"/>
          <w:szCs w:val="24"/>
        </w:rPr>
        <w:t>515</w:t>
      </w:r>
      <w:r>
        <w:rPr>
          <w:rFonts w:ascii="Times New Roman" w:hAnsi="Times New Roman"/>
          <w:sz w:val="24"/>
          <w:szCs w:val="24"/>
        </w:rPr>
        <w:t>.</w:t>
      </w:r>
    </w:p>
    <w:p w14:paraId="6F0FE777" w14:textId="12E4F2AA" w:rsidR="000D6705" w:rsidRPr="00B87FEF" w:rsidRDefault="000D6705" w:rsidP="000D6705">
      <w:pPr>
        <w:jc w:val="both"/>
        <w:rPr>
          <w:rFonts w:ascii="Times New Roman" w:hAnsi="Times New Roman"/>
          <w:b/>
          <w:i/>
          <w:sz w:val="24"/>
          <w:szCs w:val="24"/>
        </w:rPr>
      </w:pPr>
      <w:r>
        <w:rPr>
          <w:rFonts w:ascii="Times New Roman" w:hAnsi="Times New Roman"/>
          <w:b/>
          <w:i/>
          <w:sz w:val="24"/>
          <w:szCs w:val="24"/>
        </w:rPr>
        <w:t>Incorporation by reference</w:t>
      </w:r>
    </w:p>
    <w:p w14:paraId="7D86A0AB" w14:textId="7FD9E9D7" w:rsidR="00D8457E" w:rsidRDefault="00D8457E" w:rsidP="00D8457E">
      <w:pPr>
        <w:spacing w:before="100" w:beforeAutospacing="1" w:after="100" w:afterAutospacing="1"/>
        <w:jc w:val="both"/>
        <w:rPr>
          <w:rFonts w:ascii="Times New Roman" w:hAnsi="Times New Roman"/>
          <w:sz w:val="24"/>
          <w:szCs w:val="24"/>
        </w:rPr>
      </w:pPr>
      <w:bookmarkStart w:id="9" w:name="bkoperation"/>
      <w:bookmarkStart w:id="10" w:name="bkConsultationNo"/>
      <w:bookmarkEnd w:id="9"/>
      <w:bookmarkEnd w:id="10"/>
      <w:r w:rsidRPr="00F25471">
        <w:rPr>
          <w:rFonts w:ascii="Times New Roman" w:hAnsi="Times New Roman"/>
          <w:sz w:val="24"/>
          <w:szCs w:val="24"/>
        </w:rPr>
        <w:t xml:space="preserve">Under paragraph 14(1)(a) of the Legislation Act, </w:t>
      </w:r>
      <w:r>
        <w:rPr>
          <w:rFonts w:ascii="Times New Roman" w:hAnsi="Times New Roman"/>
          <w:sz w:val="24"/>
          <w:szCs w:val="24"/>
        </w:rPr>
        <w:t>w</w:t>
      </w:r>
      <w:r w:rsidRPr="00C20087">
        <w:rPr>
          <w:rFonts w:ascii="Times New Roman" w:hAnsi="Times New Roman"/>
          <w:sz w:val="24"/>
          <w:szCs w:val="24"/>
        </w:rPr>
        <w:t xml:space="preserve">here SPS </w:t>
      </w:r>
      <w:r w:rsidR="00AC047D">
        <w:rPr>
          <w:rFonts w:ascii="Times New Roman" w:hAnsi="Times New Roman"/>
          <w:sz w:val="24"/>
          <w:szCs w:val="24"/>
        </w:rPr>
        <w:t>515</w:t>
      </w:r>
      <w:r w:rsidRPr="00C20087">
        <w:rPr>
          <w:rFonts w:ascii="Times New Roman" w:hAnsi="Times New Roman"/>
          <w:sz w:val="24"/>
          <w:szCs w:val="24"/>
        </w:rPr>
        <w:t xml:space="preserve"> refers to provisions in </w:t>
      </w:r>
      <w:r>
        <w:rPr>
          <w:rFonts w:ascii="Times New Roman" w:hAnsi="Times New Roman"/>
          <w:sz w:val="24"/>
          <w:szCs w:val="24"/>
        </w:rPr>
        <w:t xml:space="preserve">primary legislation or a disallowable legislative instrument (e.g. the </w:t>
      </w:r>
      <w:r w:rsidRPr="004C0237">
        <w:rPr>
          <w:rFonts w:ascii="Times New Roman" w:hAnsi="Times New Roman"/>
          <w:i/>
          <w:iCs/>
          <w:sz w:val="24"/>
          <w:szCs w:val="24"/>
        </w:rPr>
        <w:t>Superannuation Industry (Supervision) Regulations 1994</w:t>
      </w:r>
      <w:r>
        <w:rPr>
          <w:rFonts w:ascii="Times New Roman" w:hAnsi="Times New Roman"/>
          <w:sz w:val="24"/>
          <w:szCs w:val="24"/>
        </w:rPr>
        <w:t>)</w:t>
      </w:r>
      <w:r w:rsidRPr="00C20087">
        <w:rPr>
          <w:rFonts w:ascii="Times New Roman" w:hAnsi="Times New Roman"/>
          <w:sz w:val="24"/>
          <w:szCs w:val="24"/>
        </w:rPr>
        <w:t>, this is a reference to</w:t>
      </w:r>
      <w:r>
        <w:rPr>
          <w:rFonts w:ascii="Times New Roman" w:hAnsi="Times New Roman"/>
          <w:sz w:val="24"/>
          <w:szCs w:val="24"/>
        </w:rPr>
        <w:t xml:space="preserve"> the primary legislation or disallowable legislative instrument as </w:t>
      </w:r>
      <w:r w:rsidRPr="00C20087">
        <w:rPr>
          <w:rFonts w:ascii="Times New Roman" w:hAnsi="Times New Roman"/>
          <w:sz w:val="24"/>
          <w:szCs w:val="24"/>
        </w:rPr>
        <w:t xml:space="preserve">it exists </w:t>
      </w:r>
      <w:r w:rsidRPr="00C20087">
        <w:rPr>
          <w:rFonts w:ascii="Times New Roman" w:hAnsi="Times New Roman"/>
          <w:i/>
          <w:sz w:val="24"/>
          <w:szCs w:val="24"/>
        </w:rPr>
        <w:t>from time to time</w:t>
      </w:r>
      <w:r w:rsidRPr="00C20087">
        <w:rPr>
          <w:rFonts w:ascii="Times New Roman" w:hAnsi="Times New Roman"/>
          <w:sz w:val="24"/>
          <w:szCs w:val="24"/>
        </w:rPr>
        <w:t xml:space="preserve">. </w:t>
      </w:r>
    </w:p>
    <w:p w14:paraId="30CECD23" w14:textId="5F617F24" w:rsidR="00D8457E" w:rsidRPr="00C20087" w:rsidRDefault="00D8457E" w:rsidP="00D8457E">
      <w:pPr>
        <w:spacing w:before="100" w:beforeAutospacing="1" w:after="100" w:afterAutospacing="1"/>
        <w:jc w:val="both"/>
        <w:rPr>
          <w:rFonts w:ascii="Times New Roman" w:hAnsi="Times New Roman"/>
          <w:sz w:val="24"/>
          <w:szCs w:val="24"/>
        </w:rPr>
      </w:pPr>
      <w:r w:rsidRPr="00E83EC3">
        <w:rPr>
          <w:rFonts w:ascii="Times New Roman" w:hAnsi="Times New Roman"/>
          <w:sz w:val="24"/>
          <w:szCs w:val="24"/>
        </w:rPr>
        <w:t>Under paragraph 14(1)(b) of the Legislation Act,</w:t>
      </w:r>
      <w:r>
        <w:rPr>
          <w:rFonts w:ascii="Times New Roman" w:hAnsi="Times New Roman"/>
          <w:sz w:val="24"/>
          <w:szCs w:val="24"/>
        </w:rPr>
        <w:t xml:space="preserve"> w</w:t>
      </w:r>
      <w:r w:rsidRPr="00C20087">
        <w:rPr>
          <w:rFonts w:ascii="Times New Roman" w:hAnsi="Times New Roman"/>
          <w:sz w:val="24"/>
          <w:szCs w:val="24"/>
        </w:rPr>
        <w:t xml:space="preserve">here SPS </w:t>
      </w:r>
      <w:r w:rsidR="00AC047D">
        <w:rPr>
          <w:rFonts w:ascii="Times New Roman" w:hAnsi="Times New Roman"/>
          <w:sz w:val="24"/>
          <w:szCs w:val="24"/>
        </w:rPr>
        <w:t>515</w:t>
      </w:r>
      <w:r w:rsidRPr="00C20087">
        <w:rPr>
          <w:rFonts w:ascii="Times New Roman" w:hAnsi="Times New Roman"/>
          <w:sz w:val="24"/>
          <w:szCs w:val="24"/>
        </w:rPr>
        <w:t xml:space="preserve"> </w:t>
      </w:r>
      <w:r w:rsidRPr="00E83EC3">
        <w:rPr>
          <w:rFonts w:ascii="Times New Roman" w:hAnsi="Times New Roman"/>
          <w:sz w:val="24"/>
          <w:szCs w:val="24"/>
        </w:rPr>
        <w:t xml:space="preserve">incorporates by reference another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tandard determined by APRA under section 34C of the Act,</w:t>
      </w:r>
      <w:r>
        <w:rPr>
          <w:rFonts w:ascii="Times New Roman" w:hAnsi="Times New Roman"/>
          <w:sz w:val="24"/>
          <w:szCs w:val="24"/>
        </w:rPr>
        <w:t xml:space="preserve"> or reporting standard </w:t>
      </w:r>
      <w:r w:rsidRPr="00A36412">
        <w:rPr>
          <w:rFonts w:ascii="Times New Roman" w:hAnsi="Times New Roman"/>
          <w:sz w:val="24"/>
          <w:szCs w:val="24"/>
        </w:rPr>
        <w:t xml:space="preserve">determined by APRA under </w:t>
      </w:r>
      <w:r>
        <w:rPr>
          <w:rFonts w:ascii="Times New Roman" w:hAnsi="Times New Roman"/>
          <w:sz w:val="24"/>
          <w:szCs w:val="24"/>
        </w:rPr>
        <w:t xml:space="preserve">paragraph 13(1)(a) </w:t>
      </w:r>
      <w:r w:rsidRPr="004C0237">
        <w:rPr>
          <w:rFonts w:ascii="Times New Roman" w:hAnsi="Times New Roman"/>
          <w:i/>
          <w:sz w:val="24"/>
          <w:szCs w:val="24"/>
        </w:rPr>
        <w:t>Financial Sector (Collection of Data) Act 2001</w:t>
      </w:r>
      <w:r>
        <w:rPr>
          <w:rFonts w:ascii="Times New Roman" w:hAnsi="Times New Roman"/>
          <w:sz w:val="24"/>
          <w:szCs w:val="24"/>
        </w:rPr>
        <w:t xml:space="preserve">, </w:t>
      </w:r>
      <w:r w:rsidRPr="00E83EC3">
        <w:rPr>
          <w:rFonts w:ascii="Times New Roman" w:hAnsi="Times New Roman"/>
          <w:sz w:val="24"/>
          <w:szCs w:val="24"/>
        </w:rPr>
        <w:t xml:space="preserve">the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 xml:space="preserve">tandard </w:t>
      </w:r>
      <w:r>
        <w:rPr>
          <w:rFonts w:ascii="Times New Roman" w:hAnsi="Times New Roman"/>
          <w:sz w:val="24"/>
          <w:szCs w:val="24"/>
        </w:rPr>
        <w:t xml:space="preserve">and reporting standard </w:t>
      </w:r>
      <w:r w:rsidRPr="00E83EC3">
        <w:rPr>
          <w:rFonts w:ascii="Times New Roman" w:hAnsi="Times New Roman"/>
          <w:sz w:val="24"/>
          <w:szCs w:val="24"/>
        </w:rPr>
        <w:t xml:space="preserve">referred to is the version that exists </w:t>
      </w:r>
      <w:r w:rsidRPr="004C0237">
        <w:rPr>
          <w:rFonts w:ascii="Times New Roman" w:hAnsi="Times New Roman"/>
          <w:i/>
          <w:sz w:val="24"/>
          <w:szCs w:val="24"/>
        </w:rPr>
        <w:t>at the time</w:t>
      </w:r>
      <w:r w:rsidRPr="00E83EC3">
        <w:rPr>
          <w:rFonts w:ascii="Times New Roman" w:hAnsi="Times New Roman"/>
          <w:sz w:val="24"/>
          <w:szCs w:val="24"/>
        </w:rPr>
        <w:t xml:space="preserve"> </w:t>
      </w:r>
      <w:r>
        <w:rPr>
          <w:rFonts w:ascii="Times New Roman" w:hAnsi="Times New Roman"/>
          <w:sz w:val="24"/>
          <w:szCs w:val="24"/>
        </w:rPr>
        <w:t xml:space="preserve">SPS </w:t>
      </w:r>
      <w:r w:rsidR="00AD1873">
        <w:rPr>
          <w:rFonts w:ascii="Times New Roman" w:hAnsi="Times New Roman"/>
          <w:sz w:val="24"/>
          <w:szCs w:val="24"/>
        </w:rPr>
        <w:t>515</w:t>
      </w:r>
      <w:r w:rsidRPr="00E83EC3">
        <w:rPr>
          <w:rFonts w:ascii="Times New Roman" w:hAnsi="Times New Roman"/>
          <w:sz w:val="24"/>
          <w:szCs w:val="24"/>
        </w:rPr>
        <w:t xml:space="preserve"> was determined.</w:t>
      </w:r>
    </w:p>
    <w:p w14:paraId="08A08BDD" w14:textId="77777777" w:rsidR="00D8457E" w:rsidRDefault="00D8457E" w:rsidP="00D8457E">
      <w:pPr>
        <w:rPr>
          <w:rFonts w:ascii="Times New Roman" w:hAnsi="Times New Roman"/>
          <w:sz w:val="24"/>
          <w:szCs w:val="24"/>
        </w:rPr>
      </w:pPr>
      <w:r w:rsidRPr="002406ED">
        <w:rPr>
          <w:rFonts w:ascii="Times New Roman" w:hAnsi="Times New Roman"/>
          <w:sz w:val="24"/>
          <w:szCs w:val="24"/>
        </w:rPr>
        <w:t xml:space="preserve">All documents incorporated by reference in this standard are available on the Federal Register of Legislation at </w:t>
      </w:r>
      <w:hyperlink r:id="rId11" w:history="1">
        <w:r w:rsidRPr="001510D6">
          <w:rPr>
            <w:rStyle w:val="Hyperlink"/>
            <w:rFonts w:ascii="Times New Roman" w:hAnsi="Times New Roman"/>
            <w:sz w:val="24"/>
            <w:szCs w:val="24"/>
          </w:rPr>
          <w:t>www.legislation.gov.au</w:t>
        </w:r>
      </w:hyperlink>
      <w:r w:rsidRPr="002406ED">
        <w:rPr>
          <w:rFonts w:ascii="Times New Roman" w:hAnsi="Times New Roman"/>
          <w:sz w:val="24"/>
          <w:szCs w:val="24"/>
        </w:rPr>
        <w:t>.</w:t>
      </w:r>
    </w:p>
    <w:p w14:paraId="0CB70790" w14:textId="77777777" w:rsidR="00D8457E" w:rsidRDefault="00D8457E" w:rsidP="00D8457E">
      <w:pPr>
        <w:rPr>
          <w:rFonts w:ascii="Times New Roman" w:hAnsi="Times New Roman"/>
          <w:sz w:val="24"/>
          <w:szCs w:val="24"/>
        </w:rPr>
      </w:pPr>
    </w:p>
    <w:p w14:paraId="6AD0B9B9" w14:textId="77777777" w:rsidR="002436BD" w:rsidRPr="00564008" w:rsidRDefault="002436BD" w:rsidP="00D47480">
      <w:pPr>
        <w:pStyle w:val="Heading"/>
        <w:keepNext/>
        <w:numPr>
          <w:ilvl w:val="0"/>
          <w:numId w:val="2"/>
        </w:numPr>
        <w:spacing w:after="240"/>
        <w:ind w:left="357" w:hanging="357"/>
        <w:rPr>
          <w:rFonts w:ascii="Times New Roman" w:hAnsi="Times New Roman"/>
          <w:sz w:val="24"/>
          <w:szCs w:val="24"/>
        </w:rPr>
      </w:pPr>
      <w:r w:rsidRPr="00564008">
        <w:rPr>
          <w:rFonts w:ascii="Times New Roman" w:hAnsi="Times New Roman"/>
          <w:sz w:val="24"/>
          <w:szCs w:val="24"/>
        </w:rPr>
        <w:t>Consultation</w:t>
      </w:r>
    </w:p>
    <w:p w14:paraId="111E351E" w14:textId="77BE5D50" w:rsidR="00AC047D" w:rsidRDefault="00AC047D"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two rounds of consultation on SPS 515. </w:t>
      </w:r>
      <w:r w:rsidR="00841BD1">
        <w:rPr>
          <w:rFonts w:ascii="Times New Roman" w:hAnsi="Times New Roman"/>
          <w:b w:val="0"/>
          <w:sz w:val="24"/>
          <w:szCs w:val="24"/>
        </w:rPr>
        <w:t xml:space="preserve">The consultations proposed amendments to previous SPS 515 and to guidance in </w:t>
      </w:r>
      <w:r w:rsidR="00841BD1" w:rsidRPr="00747B2E">
        <w:rPr>
          <w:rFonts w:ascii="Times New Roman" w:hAnsi="Times New Roman"/>
          <w:b w:val="0"/>
          <w:i/>
          <w:sz w:val="24"/>
          <w:szCs w:val="24"/>
        </w:rPr>
        <w:t xml:space="preserve">Prudential Practice Guide </w:t>
      </w:r>
      <w:r w:rsidR="00841BD1">
        <w:rPr>
          <w:rFonts w:ascii="Times New Roman" w:hAnsi="Times New Roman"/>
          <w:b w:val="0"/>
          <w:i/>
          <w:sz w:val="24"/>
          <w:szCs w:val="24"/>
        </w:rPr>
        <w:t xml:space="preserve">SPS 515 Strategic and Transfer Planning </w:t>
      </w:r>
      <w:r w:rsidR="00841BD1" w:rsidRPr="00D47480">
        <w:rPr>
          <w:rFonts w:ascii="Times New Roman" w:hAnsi="Times New Roman"/>
          <w:b w:val="0"/>
          <w:sz w:val="24"/>
          <w:szCs w:val="24"/>
        </w:rPr>
        <w:t>and</w:t>
      </w:r>
      <w:r w:rsidR="00841BD1">
        <w:rPr>
          <w:rFonts w:ascii="Times New Roman" w:hAnsi="Times New Roman"/>
          <w:b w:val="0"/>
          <w:i/>
          <w:sz w:val="24"/>
          <w:szCs w:val="24"/>
        </w:rPr>
        <w:t xml:space="preserve"> </w:t>
      </w:r>
      <w:r w:rsidR="00841BD1" w:rsidRPr="00747B2E">
        <w:rPr>
          <w:rFonts w:ascii="Times New Roman" w:hAnsi="Times New Roman"/>
          <w:b w:val="0"/>
          <w:i/>
          <w:sz w:val="24"/>
          <w:szCs w:val="24"/>
        </w:rPr>
        <w:t xml:space="preserve">Prudential Practice Guide </w:t>
      </w:r>
      <w:r w:rsidR="00841BD1">
        <w:rPr>
          <w:rFonts w:ascii="Times New Roman" w:hAnsi="Times New Roman"/>
          <w:b w:val="0"/>
          <w:i/>
          <w:sz w:val="24"/>
          <w:szCs w:val="24"/>
        </w:rPr>
        <w:t xml:space="preserve">SPS 516 Business Performance Review. </w:t>
      </w:r>
      <w:r w:rsidR="00841BD1">
        <w:rPr>
          <w:rFonts w:ascii="Times New Roman" w:hAnsi="Times New Roman"/>
          <w:b w:val="0"/>
          <w:sz w:val="24"/>
          <w:szCs w:val="24"/>
        </w:rPr>
        <w:t xml:space="preserve"> </w:t>
      </w:r>
    </w:p>
    <w:p w14:paraId="4BD47D17" w14:textId="40CA24FD" w:rsidR="00E30FD0" w:rsidRDefault="00AC047D"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first consultation </w:t>
      </w:r>
      <w:r w:rsidR="00E324DC">
        <w:rPr>
          <w:rFonts w:ascii="Times New Roman" w:hAnsi="Times New Roman"/>
          <w:b w:val="0"/>
          <w:sz w:val="24"/>
          <w:szCs w:val="24"/>
        </w:rPr>
        <w:t>commenced in August 2022</w:t>
      </w:r>
      <w:r w:rsidR="00E324DC">
        <w:rPr>
          <w:rStyle w:val="FootnoteReference"/>
          <w:rFonts w:ascii="Times New Roman" w:hAnsi="Times New Roman"/>
          <w:b w:val="0"/>
          <w:sz w:val="24"/>
          <w:szCs w:val="24"/>
        </w:rPr>
        <w:footnoteReference w:id="7"/>
      </w:r>
      <w:r w:rsidR="00E324DC">
        <w:rPr>
          <w:rFonts w:ascii="Times New Roman" w:hAnsi="Times New Roman"/>
          <w:b w:val="0"/>
          <w:sz w:val="24"/>
          <w:szCs w:val="24"/>
        </w:rPr>
        <w:t xml:space="preserve"> </w:t>
      </w:r>
      <w:r w:rsidR="00841BD1">
        <w:rPr>
          <w:rFonts w:ascii="Times New Roman" w:hAnsi="Times New Roman"/>
          <w:b w:val="0"/>
          <w:sz w:val="24"/>
          <w:szCs w:val="24"/>
        </w:rPr>
        <w:t xml:space="preserve">and </w:t>
      </w:r>
      <w:r w:rsidR="00E324DC">
        <w:rPr>
          <w:rFonts w:ascii="Times New Roman" w:hAnsi="Times New Roman"/>
          <w:b w:val="0"/>
          <w:sz w:val="24"/>
          <w:szCs w:val="24"/>
        </w:rPr>
        <w:t>was a discussion paper setting out APRA’s proposed areas of focus for the amendments to SPS 515</w:t>
      </w:r>
      <w:r w:rsidR="00E30FD0">
        <w:rPr>
          <w:rFonts w:ascii="Times New Roman" w:hAnsi="Times New Roman"/>
          <w:b w:val="0"/>
          <w:sz w:val="24"/>
          <w:szCs w:val="24"/>
        </w:rPr>
        <w:t>. At the same time APRA consulted on amendments to strengthen superannuation transfer planning with the release of a discussion paper on this proposal in November 2022</w:t>
      </w:r>
      <w:r w:rsidR="00E30FD0">
        <w:rPr>
          <w:rStyle w:val="FootnoteReference"/>
          <w:rFonts w:ascii="Times New Roman" w:hAnsi="Times New Roman"/>
          <w:b w:val="0"/>
          <w:sz w:val="24"/>
          <w:szCs w:val="24"/>
        </w:rPr>
        <w:footnoteReference w:id="8"/>
      </w:r>
      <w:r w:rsidR="00E30FD0">
        <w:rPr>
          <w:rFonts w:ascii="Times New Roman" w:hAnsi="Times New Roman"/>
          <w:b w:val="0"/>
          <w:sz w:val="24"/>
          <w:szCs w:val="24"/>
        </w:rPr>
        <w:t>.</w:t>
      </w:r>
    </w:p>
    <w:p w14:paraId="1E569978" w14:textId="2BA2DEC6" w:rsidR="00ED4D45" w:rsidRDefault="00E30FD0"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Following these </w:t>
      </w:r>
      <w:r w:rsidR="0015143F">
        <w:rPr>
          <w:rFonts w:ascii="Times New Roman" w:hAnsi="Times New Roman"/>
          <w:b w:val="0"/>
          <w:sz w:val="24"/>
          <w:szCs w:val="24"/>
        </w:rPr>
        <w:t xml:space="preserve">initial consultations, </w:t>
      </w:r>
      <w:r>
        <w:rPr>
          <w:rFonts w:ascii="Times New Roman" w:hAnsi="Times New Roman"/>
          <w:b w:val="0"/>
          <w:sz w:val="24"/>
          <w:szCs w:val="24"/>
        </w:rPr>
        <w:t xml:space="preserve">APRA undertook a final round of consultation </w:t>
      </w:r>
      <w:r w:rsidR="00E324DC">
        <w:rPr>
          <w:rFonts w:ascii="Times New Roman" w:hAnsi="Times New Roman"/>
          <w:b w:val="0"/>
          <w:sz w:val="24"/>
          <w:szCs w:val="24"/>
        </w:rPr>
        <w:t xml:space="preserve">in </w:t>
      </w:r>
      <w:r w:rsidR="00084905">
        <w:rPr>
          <w:rFonts w:ascii="Times New Roman" w:hAnsi="Times New Roman"/>
          <w:b w:val="0"/>
          <w:sz w:val="24"/>
          <w:szCs w:val="24"/>
        </w:rPr>
        <w:t>September 2023</w:t>
      </w:r>
      <w:r w:rsidR="00E324DC">
        <w:rPr>
          <w:rStyle w:val="FootnoteReference"/>
          <w:rFonts w:ascii="Times New Roman" w:hAnsi="Times New Roman"/>
          <w:b w:val="0"/>
          <w:sz w:val="24"/>
          <w:szCs w:val="24"/>
        </w:rPr>
        <w:footnoteReference w:id="9"/>
      </w:r>
      <w:r w:rsidR="00E324DC">
        <w:rPr>
          <w:rFonts w:ascii="Times New Roman" w:hAnsi="Times New Roman"/>
          <w:b w:val="0"/>
          <w:sz w:val="24"/>
          <w:szCs w:val="24"/>
        </w:rPr>
        <w:t xml:space="preserve"> </w:t>
      </w:r>
      <w:r>
        <w:rPr>
          <w:rFonts w:ascii="Times New Roman" w:hAnsi="Times New Roman"/>
          <w:b w:val="0"/>
          <w:sz w:val="24"/>
          <w:szCs w:val="24"/>
        </w:rPr>
        <w:t xml:space="preserve">which tied together the responses to the two discussion papers </w:t>
      </w:r>
      <w:r w:rsidR="00E324DC">
        <w:rPr>
          <w:rFonts w:ascii="Times New Roman" w:hAnsi="Times New Roman"/>
          <w:b w:val="0"/>
          <w:sz w:val="24"/>
          <w:szCs w:val="24"/>
        </w:rPr>
        <w:t xml:space="preserve">and a draft version of SPS 515. </w:t>
      </w:r>
    </w:p>
    <w:p w14:paraId="7F59046F" w14:textId="41EC7961" w:rsidR="00ED4D45" w:rsidRDefault="00D47480" w:rsidP="00ED4D45">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Eleven </w:t>
      </w:r>
      <w:r w:rsidR="00ED4D45" w:rsidRPr="002214A0">
        <w:rPr>
          <w:rFonts w:ascii="Times New Roman" w:hAnsi="Times New Roman"/>
          <w:b w:val="0"/>
          <w:sz w:val="24"/>
          <w:szCs w:val="24"/>
        </w:rPr>
        <w:t>submissions were received during the</w:t>
      </w:r>
      <w:r w:rsidR="00E30FD0">
        <w:rPr>
          <w:rFonts w:ascii="Times New Roman" w:hAnsi="Times New Roman"/>
          <w:b w:val="0"/>
          <w:sz w:val="24"/>
          <w:szCs w:val="24"/>
        </w:rPr>
        <w:t xml:space="preserve"> final round of</w:t>
      </w:r>
      <w:r w:rsidR="00ED4D45" w:rsidRPr="002214A0">
        <w:rPr>
          <w:rFonts w:ascii="Times New Roman" w:hAnsi="Times New Roman"/>
          <w:b w:val="0"/>
          <w:sz w:val="24"/>
          <w:szCs w:val="24"/>
        </w:rPr>
        <w:t xml:space="preserve"> consultation, with respondents</w:t>
      </w:r>
      <w:r w:rsidR="00ED4D45">
        <w:rPr>
          <w:rFonts w:ascii="Times New Roman" w:hAnsi="Times New Roman"/>
          <w:b w:val="0"/>
          <w:sz w:val="24"/>
          <w:szCs w:val="24"/>
        </w:rPr>
        <w:t xml:space="preserve"> generally supportive of the proposed changes</w:t>
      </w:r>
      <w:r w:rsidR="00FB60D5">
        <w:rPr>
          <w:rFonts w:ascii="Times New Roman" w:hAnsi="Times New Roman"/>
          <w:b w:val="0"/>
          <w:sz w:val="24"/>
          <w:szCs w:val="24"/>
        </w:rPr>
        <w:t>. F</w:t>
      </w:r>
      <w:r>
        <w:rPr>
          <w:rFonts w:ascii="Times New Roman" w:hAnsi="Times New Roman"/>
          <w:b w:val="0"/>
          <w:sz w:val="24"/>
          <w:szCs w:val="24"/>
        </w:rPr>
        <w:t>eedback centred on the need for further clarification in</w:t>
      </w:r>
      <w:r w:rsidR="0015143F">
        <w:rPr>
          <w:rFonts w:ascii="Times New Roman" w:hAnsi="Times New Roman"/>
          <w:b w:val="0"/>
          <w:sz w:val="24"/>
          <w:szCs w:val="24"/>
        </w:rPr>
        <w:t xml:space="preserve"> a</w:t>
      </w:r>
      <w:r>
        <w:rPr>
          <w:rFonts w:ascii="Times New Roman" w:hAnsi="Times New Roman"/>
          <w:b w:val="0"/>
          <w:sz w:val="24"/>
          <w:szCs w:val="24"/>
        </w:rPr>
        <w:t xml:space="preserve"> </w:t>
      </w:r>
      <w:r w:rsidR="00B6673B">
        <w:rPr>
          <w:rFonts w:ascii="Times New Roman" w:hAnsi="Times New Roman"/>
          <w:b w:val="0"/>
          <w:sz w:val="24"/>
          <w:szCs w:val="24"/>
        </w:rPr>
        <w:t xml:space="preserve">small </w:t>
      </w:r>
      <w:r>
        <w:rPr>
          <w:rFonts w:ascii="Times New Roman" w:hAnsi="Times New Roman"/>
          <w:b w:val="0"/>
          <w:sz w:val="24"/>
          <w:szCs w:val="24"/>
        </w:rPr>
        <w:t>number of</w:t>
      </w:r>
      <w:r w:rsidR="00B6673B">
        <w:rPr>
          <w:rFonts w:ascii="Times New Roman" w:hAnsi="Times New Roman"/>
          <w:b w:val="0"/>
          <w:sz w:val="24"/>
          <w:szCs w:val="24"/>
        </w:rPr>
        <w:t xml:space="preserve"> areas in SPS 515</w:t>
      </w:r>
      <w:r w:rsidR="00ED4D45">
        <w:rPr>
          <w:rFonts w:ascii="Times New Roman" w:hAnsi="Times New Roman"/>
          <w:b w:val="0"/>
          <w:sz w:val="24"/>
          <w:szCs w:val="24"/>
        </w:rPr>
        <w:t xml:space="preserve">. </w:t>
      </w:r>
    </w:p>
    <w:p w14:paraId="5EAA724A" w14:textId="0C22742E" w:rsidR="00BF436E" w:rsidRDefault="00ED4D45" w:rsidP="00796A67">
      <w:pPr>
        <w:pStyle w:val="Heading"/>
        <w:tabs>
          <w:tab w:val="left" w:pos="360"/>
        </w:tabs>
        <w:spacing w:after="240"/>
        <w:rPr>
          <w:rFonts w:ascii="Times New Roman" w:hAnsi="Times New Roman"/>
          <w:b w:val="0"/>
          <w:sz w:val="24"/>
          <w:szCs w:val="24"/>
        </w:rPr>
      </w:pPr>
      <w:r>
        <w:rPr>
          <w:rFonts w:ascii="Times New Roman" w:hAnsi="Times New Roman"/>
          <w:b w:val="0"/>
          <w:sz w:val="24"/>
          <w:szCs w:val="24"/>
        </w:rPr>
        <w:lastRenderedPageBreak/>
        <w:t xml:space="preserve">APRA has taken account of </w:t>
      </w:r>
      <w:r w:rsidR="00B6673B">
        <w:rPr>
          <w:rFonts w:ascii="Times New Roman" w:hAnsi="Times New Roman"/>
          <w:b w:val="0"/>
          <w:sz w:val="24"/>
          <w:szCs w:val="24"/>
        </w:rPr>
        <w:t xml:space="preserve">this </w:t>
      </w:r>
      <w:r w:rsidR="007850FA">
        <w:rPr>
          <w:rFonts w:ascii="Times New Roman" w:hAnsi="Times New Roman"/>
          <w:b w:val="0"/>
          <w:sz w:val="24"/>
          <w:szCs w:val="24"/>
        </w:rPr>
        <w:t xml:space="preserve">stakeholder </w:t>
      </w:r>
      <w:r w:rsidR="00B6673B">
        <w:rPr>
          <w:rFonts w:ascii="Times New Roman" w:hAnsi="Times New Roman"/>
          <w:b w:val="0"/>
          <w:sz w:val="24"/>
          <w:szCs w:val="24"/>
        </w:rPr>
        <w:t xml:space="preserve">feedback and </w:t>
      </w:r>
      <w:proofErr w:type="gramStart"/>
      <w:r w:rsidR="00B6673B">
        <w:rPr>
          <w:rFonts w:ascii="Times New Roman" w:hAnsi="Times New Roman"/>
          <w:b w:val="0"/>
          <w:sz w:val="24"/>
          <w:szCs w:val="24"/>
        </w:rPr>
        <w:t>made adjustment</w:t>
      </w:r>
      <w:r w:rsidR="0015143F">
        <w:rPr>
          <w:rFonts w:ascii="Times New Roman" w:hAnsi="Times New Roman"/>
          <w:b w:val="0"/>
          <w:sz w:val="24"/>
          <w:szCs w:val="24"/>
        </w:rPr>
        <w:t>s</w:t>
      </w:r>
      <w:r w:rsidR="00B6673B">
        <w:rPr>
          <w:rFonts w:ascii="Times New Roman" w:hAnsi="Times New Roman"/>
          <w:b w:val="0"/>
          <w:sz w:val="24"/>
          <w:szCs w:val="24"/>
        </w:rPr>
        <w:t xml:space="preserve"> to</w:t>
      </w:r>
      <w:proofErr w:type="gramEnd"/>
      <w:r w:rsidR="00B6673B">
        <w:rPr>
          <w:rFonts w:ascii="Times New Roman" w:hAnsi="Times New Roman"/>
          <w:b w:val="0"/>
          <w:sz w:val="24"/>
          <w:szCs w:val="24"/>
        </w:rPr>
        <w:t xml:space="preserve"> </w:t>
      </w:r>
      <w:r w:rsidR="0015143F">
        <w:rPr>
          <w:rFonts w:ascii="Times New Roman" w:hAnsi="Times New Roman"/>
          <w:b w:val="0"/>
          <w:sz w:val="24"/>
          <w:szCs w:val="24"/>
        </w:rPr>
        <w:t xml:space="preserve">the draft version of </w:t>
      </w:r>
      <w:r w:rsidR="00B6673B">
        <w:rPr>
          <w:rFonts w:ascii="Times New Roman" w:hAnsi="Times New Roman"/>
          <w:b w:val="0"/>
          <w:sz w:val="24"/>
          <w:szCs w:val="24"/>
        </w:rPr>
        <w:t>SPS 515</w:t>
      </w:r>
      <w:r w:rsidR="00E30FD0">
        <w:rPr>
          <w:rFonts w:ascii="Times New Roman" w:hAnsi="Times New Roman"/>
          <w:b w:val="0"/>
          <w:sz w:val="24"/>
          <w:szCs w:val="24"/>
        </w:rPr>
        <w:t xml:space="preserve"> to reflect this feedback</w:t>
      </w:r>
      <w:r w:rsidR="009B6F42">
        <w:rPr>
          <w:rFonts w:ascii="Times New Roman" w:hAnsi="Times New Roman"/>
          <w:b w:val="0"/>
          <w:sz w:val="24"/>
          <w:szCs w:val="24"/>
        </w:rPr>
        <w:t xml:space="preserve">. </w:t>
      </w:r>
      <w:r w:rsidR="0015143F">
        <w:rPr>
          <w:rFonts w:ascii="Times New Roman" w:hAnsi="Times New Roman"/>
          <w:b w:val="0"/>
          <w:sz w:val="24"/>
          <w:szCs w:val="24"/>
        </w:rPr>
        <w:t>T</w:t>
      </w:r>
      <w:r w:rsidR="009B6F42">
        <w:rPr>
          <w:rFonts w:ascii="Times New Roman" w:hAnsi="Times New Roman"/>
          <w:b w:val="0"/>
          <w:sz w:val="24"/>
          <w:szCs w:val="24"/>
        </w:rPr>
        <w:t>he final SPS 515</w:t>
      </w:r>
      <w:r w:rsidR="00BF436E">
        <w:rPr>
          <w:rFonts w:ascii="Times New Roman" w:hAnsi="Times New Roman"/>
          <w:b w:val="0"/>
          <w:sz w:val="24"/>
          <w:szCs w:val="24"/>
        </w:rPr>
        <w:t>:</w:t>
      </w:r>
    </w:p>
    <w:p w14:paraId="4CA7CBF2" w14:textId="20CFB333" w:rsidR="00BF436E" w:rsidRDefault="00BF436E" w:rsidP="001557B1">
      <w:pPr>
        <w:pStyle w:val="Heading"/>
        <w:tabs>
          <w:tab w:val="left" w:pos="360"/>
        </w:tabs>
        <w:spacing w:after="240"/>
        <w:ind w:left="360" w:hanging="360"/>
        <w:rPr>
          <w:rFonts w:ascii="Times New Roman" w:hAnsi="Times New Roman"/>
          <w:b w:val="0"/>
          <w:sz w:val="24"/>
          <w:szCs w:val="24"/>
        </w:rPr>
      </w:pPr>
      <w:r>
        <w:rPr>
          <w:rFonts w:ascii="Times New Roman" w:hAnsi="Times New Roman"/>
          <w:b w:val="0"/>
          <w:sz w:val="24"/>
          <w:szCs w:val="24"/>
        </w:rPr>
        <w:t xml:space="preserve">- </w:t>
      </w:r>
      <w:r>
        <w:rPr>
          <w:rFonts w:ascii="Times New Roman" w:hAnsi="Times New Roman"/>
          <w:b w:val="0"/>
          <w:sz w:val="24"/>
          <w:szCs w:val="24"/>
        </w:rPr>
        <w:tab/>
      </w:r>
      <w:r w:rsidR="009B6F42">
        <w:rPr>
          <w:rFonts w:ascii="Times New Roman" w:hAnsi="Times New Roman"/>
          <w:b w:val="0"/>
          <w:sz w:val="24"/>
          <w:szCs w:val="24"/>
        </w:rPr>
        <w:t>allow</w:t>
      </w:r>
      <w:r w:rsidR="0015143F">
        <w:rPr>
          <w:rFonts w:ascii="Times New Roman" w:hAnsi="Times New Roman"/>
          <w:b w:val="0"/>
          <w:sz w:val="24"/>
          <w:szCs w:val="24"/>
        </w:rPr>
        <w:t>s</w:t>
      </w:r>
      <w:r w:rsidR="009B6F42">
        <w:rPr>
          <w:rFonts w:ascii="Times New Roman" w:hAnsi="Times New Roman"/>
          <w:b w:val="0"/>
          <w:sz w:val="24"/>
          <w:szCs w:val="24"/>
        </w:rPr>
        <w:t xml:space="preserve"> industry an extra six months to implement the changes by moving the start date </w:t>
      </w:r>
      <w:r w:rsidR="0015143F">
        <w:rPr>
          <w:rFonts w:ascii="Times New Roman" w:hAnsi="Times New Roman"/>
          <w:b w:val="0"/>
          <w:sz w:val="24"/>
          <w:szCs w:val="24"/>
        </w:rPr>
        <w:t xml:space="preserve">of the standard </w:t>
      </w:r>
      <w:r w:rsidR="009B6F42">
        <w:rPr>
          <w:rFonts w:ascii="Times New Roman" w:hAnsi="Times New Roman"/>
          <w:b w:val="0"/>
          <w:sz w:val="24"/>
          <w:szCs w:val="24"/>
        </w:rPr>
        <w:t xml:space="preserve">to 1 July </w:t>
      </w:r>
      <w:proofErr w:type="gramStart"/>
      <w:r w:rsidR="009B6F42">
        <w:rPr>
          <w:rFonts w:ascii="Times New Roman" w:hAnsi="Times New Roman"/>
          <w:b w:val="0"/>
          <w:sz w:val="24"/>
          <w:szCs w:val="24"/>
        </w:rPr>
        <w:t>2025</w:t>
      </w:r>
      <w:r>
        <w:rPr>
          <w:rFonts w:ascii="Times New Roman" w:hAnsi="Times New Roman"/>
          <w:b w:val="0"/>
          <w:sz w:val="24"/>
          <w:szCs w:val="24"/>
        </w:rPr>
        <w:t>;</w:t>
      </w:r>
      <w:proofErr w:type="gramEnd"/>
    </w:p>
    <w:p w14:paraId="36FAFD2D" w14:textId="013F4D9C" w:rsidR="00BF436E" w:rsidRDefault="00BF436E" w:rsidP="001557B1">
      <w:pPr>
        <w:pStyle w:val="Heading"/>
        <w:tabs>
          <w:tab w:val="left" w:pos="360"/>
        </w:tabs>
        <w:spacing w:after="240"/>
        <w:ind w:left="360" w:hanging="360"/>
        <w:rPr>
          <w:rFonts w:ascii="Times New Roman" w:hAnsi="Times New Roman"/>
          <w:b w:val="0"/>
          <w:sz w:val="24"/>
          <w:szCs w:val="24"/>
        </w:rPr>
      </w:pPr>
      <w:r>
        <w:rPr>
          <w:rFonts w:ascii="Times New Roman" w:hAnsi="Times New Roman"/>
          <w:b w:val="0"/>
          <w:sz w:val="24"/>
          <w:szCs w:val="24"/>
        </w:rPr>
        <w:t xml:space="preserve">- </w:t>
      </w:r>
      <w:r>
        <w:rPr>
          <w:rFonts w:ascii="Times New Roman" w:hAnsi="Times New Roman"/>
          <w:b w:val="0"/>
          <w:sz w:val="24"/>
          <w:szCs w:val="24"/>
        </w:rPr>
        <w:tab/>
        <w:t xml:space="preserve">clarifies the </w:t>
      </w:r>
      <w:r w:rsidR="009B6F42">
        <w:rPr>
          <w:rFonts w:ascii="Times New Roman" w:hAnsi="Times New Roman"/>
          <w:b w:val="0"/>
          <w:sz w:val="24"/>
          <w:szCs w:val="24"/>
        </w:rPr>
        <w:t xml:space="preserve">reference to ‘non-financial expenditure’ in light of </w:t>
      </w:r>
      <w:r>
        <w:rPr>
          <w:rFonts w:ascii="Times New Roman" w:hAnsi="Times New Roman"/>
          <w:b w:val="0"/>
          <w:sz w:val="24"/>
          <w:szCs w:val="24"/>
        </w:rPr>
        <w:t xml:space="preserve">the best financial </w:t>
      </w:r>
      <w:proofErr w:type="gramStart"/>
      <w:r>
        <w:rPr>
          <w:rFonts w:ascii="Times New Roman" w:hAnsi="Times New Roman"/>
          <w:b w:val="0"/>
          <w:sz w:val="24"/>
          <w:szCs w:val="24"/>
        </w:rPr>
        <w:t>interests</w:t>
      </w:r>
      <w:proofErr w:type="gramEnd"/>
      <w:r>
        <w:rPr>
          <w:rFonts w:ascii="Times New Roman" w:hAnsi="Times New Roman"/>
          <w:b w:val="0"/>
          <w:sz w:val="24"/>
          <w:szCs w:val="24"/>
        </w:rPr>
        <w:t xml:space="preserve"> duty;</w:t>
      </w:r>
      <w:r w:rsidR="00293466">
        <w:rPr>
          <w:rFonts w:ascii="Times New Roman" w:hAnsi="Times New Roman"/>
          <w:b w:val="0"/>
          <w:sz w:val="24"/>
          <w:szCs w:val="24"/>
        </w:rPr>
        <w:t xml:space="preserve"> and</w:t>
      </w:r>
    </w:p>
    <w:p w14:paraId="0DE5CB65" w14:textId="01DD4E90" w:rsidR="007850FA" w:rsidRDefault="00BF436E" w:rsidP="001557B1">
      <w:pPr>
        <w:pStyle w:val="Heading"/>
        <w:tabs>
          <w:tab w:val="left" w:pos="360"/>
        </w:tabs>
        <w:spacing w:after="240"/>
        <w:ind w:left="360" w:hanging="360"/>
        <w:rPr>
          <w:rFonts w:ascii="Times New Roman" w:hAnsi="Times New Roman"/>
          <w:b w:val="0"/>
          <w:sz w:val="24"/>
          <w:szCs w:val="24"/>
        </w:rPr>
      </w:pPr>
      <w:r w:rsidRPr="00C55CAC">
        <w:rPr>
          <w:rFonts w:ascii="Times New Roman" w:hAnsi="Times New Roman"/>
          <w:b w:val="0"/>
          <w:sz w:val="24"/>
          <w:szCs w:val="24"/>
        </w:rPr>
        <w:t xml:space="preserve">- </w:t>
      </w:r>
      <w:r w:rsidRPr="00C55CAC">
        <w:rPr>
          <w:rFonts w:ascii="Times New Roman" w:hAnsi="Times New Roman"/>
          <w:b w:val="0"/>
          <w:sz w:val="24"/>
          <w:szCs w:val="24"/>
        </w:rPr>
        <w:tab/>
      </w:r>
      <w:r w:rsidR="007850FA" w:rsidRPr="00C55CAC">
        <w:rPr>
          <w:rFonts w:ascii="Times New Roman" w:hAnsi="Times New Roman"/>
          <w:b w:val="0"/>
          <w:sz w:val="24"/>
          <w:szCs w:val="24"/>
        </w:rPr>
        <w:t>clarifies that</w:t>
      </w:r>
      <w:r w:rsidR="00DB7B41" w:rsidRPr="00C55CAC">
        <w:rPr>
          <w:rFonts w:ascii="Times New Roman" w:hAnsi="Times New Roman"/>
          <w:b w:val="0"/>
          <w:sz w:val="24"/>
          <w:szCs w:val="24"/>
        </w:rPr>
        <w:t xml:space="preserve"> the retirement income strategy must be reviewed every three year</w:t>
      </w:r>
      <w:r w:rsidR="00720000" w:rsidRPr="00C55CAC">
        <w:rPr>
          <w:rFonts w:ascii="Times New Roman" w:hAnsi="Times New Roman"/>
          <w:b w:val="0"/>
          <w:sz w:val="24"/>
          <w:szCs w:val="24"/>
        </w:rPr>
        <w:t>s</w:t>
      </w:r>
      <w:r w:rsidR="005E16F6" w:rsidRPr="00C55CAC">
        <w:rPr>
          <w:rFonts w:ascii="Times New Roman" w:hAnsi="Times New Roman"/>
          <w:b w:val="0"/>
          <w:sz w:val="24"/>
          <w:szCs w:val="24"/>
        </w:rPr>
        <w:t>.</w:t>
      </w:r>
      <w:r w:rsidR="00B40F58" w:rsidRPr="00C55CAC">
        <w:rPr>
          <w:rFonts w:ascii="Times New Roman" w:hAnsi="Times New Roman"/>
          <w:b w:val="0"/>
          <w:sz w:val="24"/>
          <w:szCs w:val="24"/>
        </w:rPr>
        <w:t xml:space="preserve"> </w:t>
      </w:r>
      <w:r w:rsidR="00720000" w:rsidRPr="00C55CAC">
        <w:rPr>
          <w:rFonts w:ascii="Times New Roman" w:hAnsi="Times New Roman"/>
          <w:b w:val="0"/>
          <w:sz w:val="24"/>
          <w:szCs w:val="24"/>
        </w:rPr>
        <w:t xml:space="preserve"> </w:t>
      </w:r>
    </w:p>
    <w:p w14:paraId="6471E963" w14:textId="58369AE3" w:rsidR="002436BD" w:rsidRPr="00564008" w:rsidRDefault="00DB7B41" w:rsidP="00456E0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Stakeholder</w:t>
      </w:r>
      <w:r w:rsidR="007850FA">
        <w:rPr>
          <w:rFonts w:ascii="Times New Roman" w:hAnsi="Times New Roman"/>
          <w:b w:val="0"/>
          <w:sz w:val="24"/>
          <w:szCs w:val="24"/>
        </w:rPr>
        <w:t>s</w:t>
      </w:r>
      <w:r>
        <w:rPr>
          <w:rFonts w:ascii="Times New Roman" w:hAnsi="Times New Roman"/>
          <w:b w:val="0"/>
          <w:sz w:val="24"/>
          <w:szCs w:val="24"/>
        </w:rPr>
        <w:t xml:space="preserve"> also requested further clarity on requirements relating to business planning, monitoring </w:t>
      </w:r>
      <w:r w:rsidR="00293466">
        <w:rPr>
          <w:rFonts w:ascii="Times New Roman" w:hAnsi="Times New Roman"/>
          <w:b w:val="0"/>
          <w:sz w:val="24"/>
          <w:szCs w:val="24"/>
        </w:rPr>
        <w:t xml:space="preserve">of </w:t>
      </w:r>
      <w:r>
        <w:rPr>
          <w:rFonts w:ascii="Times New Roman" w:hAnsi="Times New Roman"/>
          <w:b w:val="0"/>
          <w:sz w:val="24"/>
          <w:szCs w:val="24"/>
        </w:rPr>
        <w:t>strategic objectives and transfer planning</w:t>
      </w:r>
      <w:r w:rsidR="00293466">
        <w:rPr>
          <w:rFonts w:ascii="Times New Roman" w:hAnsi="Times New Roman"/>
          <w:b w:val="0"/>
          <w:sz w:val="24"/>
          <w:szCs w:val="24"/>
        </w:rPr>
        <w:t>,</w:t>
      </w:r>
      <w:r>
        <w:rPr>
          <w:rFonts w:ascii="Times New Roman" w:hAnsi="Times New Roman"/>
          <w:b w:val="0"/>
          <w:sz w:val="24"/>
          <w:szCs w:val="24"/>
        </w:rPr>
        <w:t xml:space="preserve"> which </w:t>
      </w:r>
      <w:r w:rsidR="00293466">
        <w:rPr>
          <w:rFonts w:ascii="Times New Roman" w:hAnsi="Times New Roman"/>
          <w:b w:val="0"/>
          <w:sz w:val="24"/>
          <w:szCs w:val="24"/>
        </w:rPr>
        <w:t xml:space="preserve">APRA </w:t>
      </w:r>
      <w:r w:rsidR="00456E0A">
        <w:rPr>
          <w:rFonts w:ascii="Times New Roman" w:hAnsi="Times New Roman"/>
          <w:b w:val="0"/>
          <w:sz w:val="24"/>
          <w:szCs w:val="24"/>
        </w:rPr>
        <w:t xml:space="preserve">has </w:t>
      </w:r>
      <w:r>
        <w:rPr>
          <w:rFonts w:ascii="Times New Roman" w:hAnsi="Times New Roman"/>
          <w:b w:val="0"/>
          <w:sz w:val="24"/>
          <w:szCs w:val="24"/>
        </w:rPr>
        <w:t xml:space="preserve">addressed through further </w:t>
      </w:r>
      <w:r w:rsidR="00293466">
        <w:rPr>
          <w:rFonts w:ascii="Times New Roman" w:hAnsi="Times New Roman"/>
          <w:b w:val="0"/>
          <w:sz w:val="24"/>
          <w:szCs w:val="24"/>
        </w:rPr>
        <w:t xml:space="preserve">separate </w:t>
      </w:r>
      <w:r>
        <w:rPr>
          <w:rFonts w:ascii="Times New Roman" w:hAnsi="Times New Roman"/>
          <w:b w:val="0"/>
          <w:sz w:val="24"/>
          <w:szCs w:val="24"/>
        </w:rPr>
        <w:t>guidance.</w:t>
      </w:r>
    </w:p>
    <w:p w14:paraId="0320D482" w14:textId="5AB6CC87" w:rsidR="002436BD" w:rsidRPr="00564008" w:rsidRDefault="00DF524E" w:rsidP="008E5D4C">
      <w:pPr>
        <w:pStyle w:val="Heading"/>
        <w:tabs>
          <w:tab w:val="left" w:pos="360"/>
        </w:tabs>
        <w:spacing w:after="240"/>
        <w:rPr>
          <w:rFonts w:ascii="Times New Roman" w:hAnsi="Times New Roman"/>
          <w:sz w:val="24"/>
          <w:szCs w:val="24"/>
        </w:rPr>
      </w:pPr>
      <w:bookmarkStart w:id="11" w:name="bkConsultation"/>
      <w:bookmarkStart w:id="12" w:name="bkRISNO"/>
      <w:bookmarkStart w:id="13" w:name="bkRIS"/>
      <w:bookmarkEnd w:id="11"/>
      <w:bookmarkEnd w:id="12"/>
      <w:r w:rsidRPr="00564008">
        <w:rPr>
          <w:rFonts w:ascii="Times New Roman" w:hAnsi="Times New Roman"/>
          <w:sz w:val="24"/>
          <w:szCs w:val="24"/>
        </w:rPr>
        <w:t>4</w:t>
      </w:r>
      <w:r w:rsidR="002436BD" w:rsidRPr="00564008">
        <w:rPr>
          <w:rFonts w:ascii="Times New Roman" w:hAnsi="Times New Roman"/>
          <w:sz w:val="24"/>
          <w:szCs w:val="24"/>
        </w:rPr>
        <w:t xml:space="preserve">. </w:t>
      </w:r>
      <w:r w:rsidR="002436BD" w:rsidRPr="00564008">
        <w:rPr>
          <w:rFonts w:ascii="Times New Roman" w:hAnsi="Times New Roman"/>
          <w:sz w:val="24"/>
          <w:szCs w:val="24"/>
        </w:rPr>
        <w:tab/>
      </w:r>
      <w:r w:rsidR="00C25AE3">
        <w:rPr>
          <w:rFonts w:ascii="Times New Roman" w:hAnsi="Times New Roman"/>
          <w:sz w:val="24"/>
          <w:szCs w:val="24"/>
        </w:rPr>
        <w:t>Impact Analysis (IA)</w:t>
      </w:r>
    </w:p>
    <w:bookmarkEnd w:id="13"/>
    <w:p w14:paraId="34AFEA30" w14:textId="69C944D0" w:rsidR="00C25AE3" w:rsidRPr="00564008" w:rsidRDefault="00C25AE3" w:rsidP="008E5D4C">
      <w:pPr>
        <w:pStyle w:val="Heading"/>
        <w:spacing w:after="240"/>
        <w:rPr>
          <w:rFonts w:ascii="Times New Roman" w:hAnsi="Times New Roman"/>
          <w:b w:val="0"/>
          <w:sz w:val="24"/>
          <w:szCs w:val="24"/>
        </w:rPr>
      </w:pPr>
      <w:r w:rsidRPr="00564008">
        <w:rPr>
          <w:rFonts w:ascii="Times New Roman" w:hAnsi="Times New Roman"/>
          <w:b w:val="0"/>
          <w:sz w:val="24"/>
          <w:szCs w:val="24"/>
        </w:rPr>
        <w:t>The Office of Impact Analysis</w:t>
      </w:r>
      <w:r>
        <w:rPr>
          <w:rFonts w:ascii="Times New Roman" w:hAnsi="Times New Roman"/>
          <w:b w:val="0"/>
          <w:sz w:val="24"/>
          <w:szCs w:val="24"/>
        </w:rPr>
        <w:t xml:space="preserve"> </w:t>
      </w:r>
      <w:r w:rsidR="00816284">
        <w:rPr>
          <w:rFonts w:ascii="Times New Roman" w:hAnsi="Times New Roman"/>
          <w:b w:val="0"/>
          <w:sz w:val="24"/>
          <w:szCs w:val="24"/>
        </w:rPr>
        <w:t xml:space="preserve">has </w:t>
      </w:r>
      <w:r>
        <w:rPr>
          <w:rFonts w:ascii="Times New Roman" w:hAnsi="Times New Roman"/>
          <w:b w:val="0"/>
          <w:sz w:val="24"/>
          <w:szCs w:val="24"/>
        </w:rPr>
        <w:t xml:space="preserve">confirmed that it </w:t>
      </w:r>
      <w:r w:rsidRPr="00EB283A">
        <w:rPr>
          <w:rFonts w:ascii="Times New Roman" w:hAnsi="Times New Roman"/>
          <w:b w:val="0"/>
          <w:sz w:val="24"/>
          <w:szCs w:val="24"/>
        </w:rPr>
        <w:t>considers the proposal is unlikely to have a more than minor impact</w:t>
      </w:r>
      <w:r>
        <w:rPr>
          <w:rFonts w:ascii="Times New Roman" w:hAnsi="Times New Roman"/>
          <w:b w:val="0"/>
          <w:sz w:val="24"/>
          <w:szCs w:val="24"/>
        </w:rPr>
        <w:t xml:space="preserve"> and, a</w:t>
      </w:r>
      <w:r w:rsidRPr="00EB283A">
        <w:rPr>
          <w:rFonts w:ascii="Times New Roman" w:hAnsi="Times New Roman"/>
          <w:b w:val="0"/>
          <w:sz w:val="24"/>
          <w:szCs w:val="24"/>
        </w:rPr>
        <w:t xml:space="preserve">s such, </w:t>
      </w:r>
      <w:r>
        <w:rPr>
          <w:rFonts w:ascii="Times New Roman" w:hAnsi="Times New Roman"/>
          <w:b w:val="0"/>
          <w:sz w:val="24"/>
          <w:szCs w:val="24"/>
        </w:rPr>
        <w:t xml:space="preserve">that </w:t>
      </w:r>
      <w:r w:rsidRPr="00EB283A">
        <w:rPr>
          <w:rFonts w:ascii="Times New Roman" w:hAnsi="Times New Roman"/>
          <w:b w:val="0"/>
          <w:sz w:val="24"/>
          <w:szCs w:val="24"/>
        </w:rPr>
        <w:t>the preparation of an Impact Analysis (IA) is not required.</w:t>
      </w:r>
    </w:p>
    <w:p w14:paraId="5C19FB8D" w14:textId="77777777" w:rsidR="002436BD" w:rsidRPr="00564008" w:rsidRDefault="00DF524E" w:rsidP="008E5D4C">
      <w:pPr>
        <w:pStyle w:val="Heading"/>
        <w:tabs>
          <w:tab w:val="left" w:pos="360"/>
        </w:tabs>
        <w:spacing w:after="240"/>
        <w:rPr>
          <w:rFonts w:ascii="Times New Roman" w:hAnsi="Times New Roman"/>
          <w:sz w:val="24"/>
          <w:szCs w:val="24"/>
        </w:rPr>
      </w:pPr>
      <w:r w:rsidRPr="00564008">
        <w:rPr>
          <w:rFonts w:ascii="Times New Roman" w:hAnsi="Times New Roman"/>
          <w:sz w:val="24"/>
          <w:szCs w:val="24"/>
        </w:rPr>
        <w:t>5</w:t>
      </w:r>
      <w:r w:rsidR="002436BD" w:rsidRPr="00564008">
        <w:rPr>
          <w:rFonts w:ascii="Times New Roman" w:hAnsi="Times New Roman"/>
          <w:sz w:val="24"/>
          <w:szCs w:val="24"/>
        </w:rPr>
        <w:t>.</w:t>
      </w:r>
      <w:r w:rsidR="002436BD" w:rsidRPr="00564008">
        <w:rPr>
          <w:rFonts w:ascii="Times New Roman" w:hAnsi="Times New Roman"/>
          <w:sz w:val="24"/>
          <w:szCs w:val="24"/>
        </w:rPr>
        <w:tab/>
        <w:t>Statement of compatibility prepared in accordance with Part 3 of the Human Rights (Parliamentary Scrutiny) Act 2011</w:t>
      </w:r>
    </w:p>
    <w:p w14:paraId="048E14C9" w14:textId="641CDE15" w:rsidR="000231FC" w:rsidRPr="00564008" w:rsidRDefault="000231FC" w:rsidP="000231F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A Statement of compatibility prepared in accordance with Part 3 of the </w:t>
      </w:r>
      <w:r w:rsidRPr="00564008">
        <w:rPr>
          <w:rFonts w:ascii="Times New Roman" w:hAnsi="Times New Roman"/>
          <w:b w:val="0"/>
          <w:i/>
          <w:sz w:val="24"/>
          <w:szCs w:val="24"/>
        </w:rPr>
        <w:t>Human Rights (Parliamentary Scrutiny) Act 2011</w:t>
      </w:r>
      <w:r w:rsidRPr="00564008">
        <w:rPr>
          <w:rFonts w:ascii="Times New Roman" w:hAnsi="Times New Roman"/>
          <w:b w:val="0"/>
          <w:sz w:val="24"/>
          <w:szCs w:val="24"/>
        </w:rPr>
        <w:t xml:space="preserve"> is provided at Attachment A to this Explanatory Statement</w:t>
      </w:r>
      <w:r w:rsidR="005E10E8" w:rsidRPr="00564008">
        <w:rPr>
          <w:rFonts w:ascii="Times New Roman" w:hAnsi="Times New Roman"/>
          <w:b w:val="0"/>
          <w:sz w:val="24"/>
          <w:szCs w:val="24"/>
        </w:rPr>
        <w:t>.</w:t>
      </w:r>
    </w:p>
    <w:p w14:paraId="59C01D3D" w14:textId="77777777" w:rsidR="000231FC" w:rsidRPr="00564008" w:rsidRDefault="000231FC" w:rsidP="000231FC">
      <w:pPr>
        <w:pStyle w:val="Heading"/>
        <w:spacing w:after="240"/>
        <w:rPr>
          <w:rFonts w:ascii="Times New Roman" w:hAnsi="Times New Roman"/>
          <w:b w:val="0"/>
          <w:sz w:val="24"/>
          <w:szCs w:val="24"/>
        </w:rPr>
      </w:pPr>
    </w:p>
    <w:p w14:paraId="26C433C0" w14:textId="0F233238" w:rsidR="000231FC" w:rsidRPr="00017A21" w:rsidRDefault="000231FC" w:rsidP="005023B4">
      <w:pPr>
        <w:jc w:val="center"/>
        <w:rPr>
          <w:rFonts w:ascii="Times New Roman" w:eastAsia="Calibri" w:hAnsi="Times New Roman"/>
          <w:b/>
          <w:bCs/>
          <w:sz w:val="24"/>
          <w:szCs w:val="24"/>
        </w:rPr>
      </w:pPr>
      <w:r w:rsidRPr="00564008">
        <w:rPr>
          <w:rFonts w:ascii="Times New Roman" w:eastAsia="Calibri" w:hAnsi="Times New Roman"/>
          <w:b/>
          <w:bCs/>
          <w:sz w:val="24"/>
          <w:szCs w:val="24"/>
          <w:u w:val="single"/>
        </w:rPr>
        <w:br w:type="page"/>
      </w:r>
      <w:r w:rsidRPr="00017A21">
        <w:rPr>
          <w:rFonts w:ascii="Times New Roman" w:eastAsia="Calibri" w:hAnsi="Times New Roman"/>
          <w:b/>
          <w:bCs/>
          <w:sz w:val="24"/>
          <w:szCs w:val="24"/>
        </w:rPr>
        <w:lastRenderedPageBreak/>
        <w:t>ATTACHMENT A</w:t>
      </w:r>
    </w:p>
    <w:p w14:paraId="50021654"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7B1F7C96" w14:textId="77777777" w:rsidR="000231FC" w:rsidRPr="00564008" w:rsidRDefault="000231FC" w:rsidP="000231FC">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Statement of Compatibility with Human Rights</w:t>
      </w:r>
    </w:p>
    <w:p w14:paraId="01FB922A" w14:textId="77777777" w:rsidR="000231FC" w:rsidRPr="00564008" w:rsidRDefault="000231FC" w:rsidP="000231FC">
      <w:pPr>
        <w:autoSpaceDE w:val="0"/>
        <w:autoSpaceDN w:val="0"/>
        <w:adjustRightInd w:val="0"/>
        <w:rPr>
          <w:rFonts w:ascii="Times New Roman" w:eastAsia="Calibri" w:hAnsi="Times New Roman"/>
          <w:bCs/>
          <w:sz w:val="24"/>
          <w:szCs w:val="24"/>
        </w:rPr>
      </w:pPr>
    </w:p>
    <w:p w14:paraId="2B22F88D"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sz w:val="24"/>
          <w:szCs w:val="24"/>
        </w:rPr>
        <w:t xml:space="preserve">Prepared in accordance with Part 3 of the </w:t>
      </w:r>
      <w:r w:rsidRPr="00564008">
        <w:rPr>
          <w:rFonts w:ascii="Times New Roman" w:eastAsia="Calibri" w:hAnsi="Times New Roman"/>
          <w:i/>
          <w:sz w:val="24"/>
          <w:szCs w:val="24"/>
        </w:rPr>
        <w:t>Human Rights (Parliamentary Scrutiny) Act</w:t>
      </w:r>
    </w:p>
    <w:p w14:paraId="77A601E7"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i/>
          <w:sz w:val="24"/>
          <w:szCs w:val="24"/>
        </w:rPr>
        <w:t>2011</w:t>
      </w:r>
    </w:p>
    <w:p w14:paraId="36A3F31B" w14:textId="77777777" w:rsidR="000231FC" w:rsidRPr="00564008" w:rsidRDefault="000231FC" w:rsidP="000231FC">
      <w:pPr>
        <w:autoSpaceDE w:val="0"/>
        <w:autoSpaceDN w:val="0"/>
        <w:adjustRightInd w:val="0"/>
        <w:jc w:val="center"/>
        <w:rPr>
          <w:rFonts w:ascii="Times New Roman" w:eastAsia="Calibri" w:hAnsi="Times New Roman"/>
          <w:sz w:val="24"/>
          <w:szCs w:val="24"/>
        </w:rPr>
      </w:pPr>
    </w:p>
    <w:p w14:paraId="476BCA1F" w14:textId="7C021EEE" w:rsidR="00017A21" w:rsidRPr="00564008" w:rsidRDefault="00017A21" w:rsidP="00017A21">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Superannuation (prudential standard) determination No.</w:t>
      </w:r>
      <w:r>
        <w:rPr>
          <w:rFonts w:ascii="Times New Roman" w:eastAsia="Calibri" w:hAnsi="Times New Roman"/>
          <w:b/>
          <w:bCs/>
          <w:sz w:val="24"/>
          <w:szCs w:val="24"/>
        </w:rPr>
        <w:t xml:space="preserve"> </w:t>
      </w:r>
      <w:r w:rsidR="00A611DA">
        <w:rPr>
          <w:rFonts w:ascii="Times New Roman" w:eastAsia="Calibri" w:hAnsi="Times New Roman"/>
          <w:b/>
          <w:bCs/>
          <w:sz w:val="24"/>
          <w:szCs w:val="24"/>
        </w:rPr>
        <w:t>5</w:t>
      </w:r>
      <w:r>
        <w:rPr>
          <w:rFonts w:ascii="Times New Roman" w:eastAsia="Calibri" w:hAnsi="Times New Roman"/>
          <w:b/>
          <w:bCs/>
          <w:sz w:val="24"/>
          <w:szCs w:val="24"/>
        </w:rPr>
        <w:t xml:space="preserve"> </w:t>
      </w:r>
      <w:r w:rsidRPr="00564008">
        <w:rPr>
          <w:rFonts w:ascii="Times New Roman" w:eastAsia="Calibri" w:hAnsi="Times New Roman"/>
          <w:b/>
          <w:bCs/>
          <w:sz w:val="24"/>
          <w:szCs w:val="24"/>
        </w:rPr>
        <w:t>of 2024</w:t>
      </w:r>
    </w:p>
    <w:p w14:paraId="0D35E00E" w14:textId="77777777" w:rsidR="00017A21" w:rsidRPr="00564008" w:rsidRDefault="00017A21" w:rsidP="00017A21">
      <w:pPr>
        <w:autoSpaceDE w:val="0"/>
        <w:autoSpaceDN w:val="0"/>
        <w:adjustRightInd w:val="0"/>
        <w:rPr>
          <w:rFonts w:ascii="Times New Roman" w:eastAsia="Calibri" w:hAnsi="Times New Roman"/>
          <w:b/>
          <w:bCs/>
          <w:sz w:val="24"/>
          <w:szCs w:val="24"/>
        </w:rPr>
      </w:pPr>
    </w:p>
    <w:p w14:paraId="66E14450" w14:textId="77777777" w:rsidR="00017A21" w:rsidRPr="00564008" w:rsidRDefault="00017A21" w:rsidP="00017A21">
      <w:pPr>
        <w:autoSpaceDE w:val="0"/>
        <w:autoSpaceDN w:val="0"/>
        <w:adjustRightInd w:val="0"/>
        <w:jc w:val="both"/>
        <w:rPr>
          <w:rFonts w:ascii="Times New Roman" w:eastAsia="Calibri" w:hAnsi="Times New Roman"/>
          <w:i/>
          <w:iCs/>
          <w:sz w:val="24"/>
          <w:szCs w:val="24"/>
        </w:rPr>
      </w:pPr>
      <w:r w:rsidRPr="00564008">
        <w:rPr>
          <w:rFonts w:ascii="Times New Roman" w:eastAsia="Calibri" w:hAnsi="Times New Roman"/>
          <w:sz w:val="24"/>
          <w:szCs w:val="24"/>
        </w:rPr>
        <w:t xml:space="preserve">This Legislative Instrument is compatible with the human rights and freedoms recognised or declared in the international instrument listed in section 3 of the </w:t>
      </w:r>
      <w:r w:rsidRPr="00564008">
        <w:rPr>
          <w:rFonts w:ascii="Times New Roman" w:eastAsia="Calibri" w:hAnsi="Times New Roman"/>
          <w:i/>
          <w:iCs/>
          <w:sz w:val="24"/>
          <w:szCs w:val="24"/>
        </w:rPr>
        <w:t>Human</w:t>
      </w:r>
    </w:p>
    <w:p w14:paraId="6B0698FC" w14:textId="77777777" w:rsidR="00017A21" w:rsidRPr="00564008" w:rsidRDefault="00017A21" w:rsidP="00017A21">
      <w:pPr>
        <w:autoSpaceDE w:val="0"/>
        <w:autoSpaceDN w:val="0"/>
        <w:adjustRightInd w:val="0"/>
        <w:jc w:val="both"/>
        <w:rPr>
          <w:rFonts w:ascii="Times New Roman" w:eastAsia="Calibri" w:hAnsi="Times New Roman"/>
          <w:sz w:val="24"/>
          <w:szCs w:val="24"/>
        </w:rPr>
      </w:pPr>
      <w:r w:rsidRPr="00564008">
        <w:rPr>
          <w:rFonts w:ascii="Times New Roman" w:eastAsia="Calibri" w:hAnsi="Times New Roman"/>
          <w:i/>
          <w:iCs/>
          <w:sz w:val="24"/>
          <w:szCs w:val="24"/>
        </w:rPr>
        <w:t xml:space="preserve">Rights (Parliamentary Scrutiny) Act 2011 </w:t>
      </w:r>
      <w:r w:rsidRPr="00564008">
        <w:rPr>
          <w:rFonts w:ascii="Times New Roman" w:eastAsia="Calibri" w:hAnsi="Times New Roman"/>
          <w:sz w:val="24"/>
          <w:szCs w:val="24"/>
        </w:rPr>
        <w:t>(HRPS Act).</w:t>
      </w:r>
    </w:p>
    <w:p w14:paraId="7727F946" w14:textId="77777777" w:rsidR="00017A21" w:rsidRPr="00564008" w:rsidRDefault="00017A21" w:rsidP="00017A21">
      <w:pPr>
        <w:autoSpaceDE w:val="0"/>
        <w:autoSpaceDN w:val="0"/>
        <w:adjustRightInd w:val="0"/>
        <w:jc w:val="both"/>
        <w:rPr>
          <w:rFonts w:ascii="Times New Roman" w:eastAsia="Calibri" w:hAnsi="Times New Roman"/>
          <w:sz w:val="24"/>
          <w:szCs w:val="24"/>
        </w:rPr>
      </w:pPr>
    </w:p>
    <w:p w14:paraId="5392EAD7" w14:textId="77777777" w:rsidR="00017A21" w:rsidRDefault="00017A21" w:rsidP="00017A21">
      <w:pPr>
        <w:autoSpaceDE w:val="0"/>
        <w:autoSpaceDN w:val="0"/>
        <w:adjustRightInd w:val="0"/>
        <w:jc w:val="both"/>
        <w:rPr>
          <w:rFonts w:ascii="Times New Roman" w:eastAsia="Calibri" w:hAnsi="Times New Roman"/>
          <w:b/>
          <w:bCs/>
          <w:sz w:val="24"/>
          <w:szCs w:val="24"/>
        </w:rPr>
      </w:pPr>
      <w:r w:rsidRPr="00564008">
        <w:rPr>
          <w:rFonts w:ascii="Times New Roman" w:eastAsia="Calibri" w:hAnsi="Times New Roman"/>
          <w:b/>
          <w:bCs/>
          <w:sz w:val="24"/>
          <w:szCs w:val="24"/>
        </w:rPr>
        <w:t>Overview of the Legislative Instrument</w:t>
      </w:r>
    </w:p>
    <w:p w14:paraId="4648100C" w14:textId="77777777" w:rsidR="00017A21" w:rsidRPr="00CD5E94" w:rsidRDefault="00017A21" w:rsidP="00017A21">
      <w:pPr>
        <w:autoSpaceDE w:val="0"/>
        <w:autoSpaceDN w:val="0"/>
        <w:adjustRightInd w:val="0"/>
        <w:jc w:val="both"/>
        <w:rPr>
          <w:rFonts w:ascii="Times New Roman" w:eastAsia="Calibri" w:hAnsi="Times New Roman"/>
          <w:b/>
          <w:bCs/>
          <w:sz w:val="24"/>
          <w:szCs w:val="24"/>
        </w:rPr>
      </w:pPr>
    </w:p>
    <w:p w14:paraId="559C834F" w14:textId="6A59E93F" w:rsidR="00017A21" w:rsidRDefault="00017A21" w:rsidP="00017A21">
      <w:pPr>
        <w:jc w:val="both"/>
        <w:rPr>
          <w:rFonts w:ascii="Times New Roman" w:hAnsi="Times New Roman"/>
          <w:sz w:val="24"/>
          <w:szCs w:val="24"/>
        </w:rPr>
      </w:pPr>
      <w:r>
        <w:rPr>
          <w:rFonts w:ascii="Times New Roman" w:hAnsi="Times New Roman"/>
          <w:sz w:val="24"/>
          <w:szCs w:val="24"/>
        </w:rPr>
        <w:t xml:space="preserve">The purpose of the Legislative Instrument is to revoke </w:t>
      </w:r>
      <w:r w:rsidRPr="00BC1E70">
        <w:rPr>
          <w:rFonts w:ascii="Times New Roman" w:hAnsi="Times New Roman"/>
          <w:i/>
          <w:iCs/>
          <w:sz w:val="24"/>
          <w:szCs w:val="24"/>
        </w:rPr>
        <w:t>Prudential Standard</w:t>
      </w:r>
      <w:r>
        <w:rPr>
          <w:rFonts w:ascii="Times New Roman" w:hAnsi="Times New Roman"/>
          <w:i/>
          <w:iCs/>
          <w:sz w:val="24"/>
          <w:szCs w:val="24"/>
        </w:rPr>
        <w:t xml:space="preserve"> SPS </w:t>
      </w:r>
      <w:r w:rsidR="00AD1873">
        <w:rPr>
          <w:rFonts w:ascii="Times New Roman" w:hAnsi="Times New Roman"/>
          <w:i/>
          <w:iCs/>
          <w:sz w:val="24"/>
          <w:szCs w:val="24"/>
        </w:rPr>
        <w:t>515</w:t>
      </w:r>
      <w:r>
        <w:rPr>
          <w:rFonts w:ascii="Times New Roman" w:hAnsi="Times New Roman"/>
          <w:i/>
          <w:iCs/>
          <w:sz w:val="24"/>
          <w:szCs w:val="24"/>
        </w:rPr>
        <w:t xml:space="preserve"> </w:t>
      </w:r>
      <w:r w:rsidR="00D002B4">
        <w:rPr>
          <w:rFonts w:ascii="Times New Roman" w:hAnsi="Times New Roman"/>
          <w:i/>
          <w:iCs/>
          <w:sz w:val="24"/>
          <w:szCs w:val="24"/>
        </w:rPr>
        <w:t>Strategic Planning and Member Outcomes</w:t>
      </w:r>
      <w:r>
        <w:rPr>
          <w:rFonts w:ascii="Times New Roman" w:hAnsi="Times New Roman"/>
          <w:i/>
          <w:iCs/>
          <w:sz w:val="24"/>
          <w:szCs w:val="24"/>
        </w:rPr>
        <w:t xml:space="preserve"> </w:t>
      </w:r>
      <w:r>
        <w:rPr>
          <w:rFonts w:ascii="Times New Roman" w:hAnsi="Times New Roman"/>
          <w:iCs/>
          <w:sz w:val="24"/>
          <w:szCs w:val="24"/>
        </w:rPr>
        <w:t xml:space="preserve">made under </w:t>
      </w:r>
      <w:r w:rsidRPr="007C22BF">
        <w:rPr>
          <w:rFonts w:ascii="Times New Roman" w:hAnsi="Times New Roman"/>
          <w:i/>
          <w:iCs/>
          <w:sz w:val="24"/>
          <w:szCs w:val="24"/>
        </w:rPr>
        <w:t xml:space="preserve">Superannuation (prudential standard) determination No. </w:t>
      </w:r>
      <w:r w:rsidR="00AD1873" w:rsidRPr="007C22BF">
        <w:rPr>
          <w:rFonts w:ascii="Times New Roman" w:hAnsi="Times New Roman"/>
          <w:i/>
          <w:iCs/>
          <w:sz w:val="24"/>
          <w:szCs w:val="24"/>
        </w:rPr>
        <w:t>2</w:t>
      </w:r>
      <w:r w:rsidRPr="007C22BF">
        <w:rPr>
          <w:rFonts w:ascii="Times New Roman" w:hAnsi="Times New Roman"/>
          <w:i/>
          <w:iCs/>
          <w:sz w:val="24"/>
          <w:szCs w:val="24"/>
        </w:rPr>
        <w:t xml:space="preserve"> of </w:t>
      </w:r>
      <w:r w:rsidR="00AD1873" w:rsidRPr="007C22BF">
        <w:rPr>
          <w:rFonts w:ascii="Times New Roman" w:hAnsi="Times New Roman"/>
          <w:i/>
          <w:iCs/>
          <w:sz w:val="24"/>
          <w:szCs w:val="24"/>
        </w:rPr>
        <w:t>2019</w:t>
      </w:r>
      <w:r w:rsidR="00AD1873">
        <w:rPr>
          <w:rFonts w:ascii="Times New Roman" w:hAnsi="Times New Roman"/>
          <w:iCs/>
          <w:sz w:val="24"/>
          <w:szCs w:val="24"/>
        </w:rPr>
        <w:t xml:space="preserve"> </w:t>
      </w:r>
      <w:r w:rsidRPr="00BC1E70">
        <w:rPr>
          <w:rFonts w:ascii="Times New Roman" w:hAnsi="Times New Roman"/>
          <w:sz w:val="24"/>
          <w:szCs w:val="24"/>
        </w:rPr>
        <w:t xml:space="preserve">and </w:t>
      </w:r>
      <w:r>
        <w:rPr>
          <w:rFonts w:ascii="Times New Roman" w:hAnsi="Times New Roman"/>
          <w:sz w:val="24"/>
          <w:szCs w:val="24"/>
        </w:rPr>
        <w:t xml:space="preserve">replace it with </w:t>
      </w:r>
      <w:r w:rsidR="00D002B4">
        <w:rPr>
          <w:rFonts w:ascii="Times New Roman" w:hAnsi="Times New Roman"/>
          <w:sz w:val="24"/>
          <w:szCs w:val="24"/>
        </w:rPr>
        <w:t>a new version of the prudential standard</w:t>
      </w:r>
      <w:r>
        <w:rPr>
          <w:rFonts w:ascii="Times New Roman" w:hAnsi="Times New Roman"/>
          <w:sz w:val="24"/>
          <w:szCs w:val="24"/>
        </w:rPr>
        <w:t>.</w:t>
      </w:r>
    </w:p>
    <w:p w14:paraId="70665D91" w14:textId="77777777" w:rsidR="00017A21" w:rsidRDefault="00017A21" w:rsidP="00017A21">
      <w:pPr>
        <w:jc w:val="both"/>
        <w:rPr>
          <w:rFonts w:ascii="Times New Roman" w:hAnsi="Times New Roman"/>
          <w:sz w:val="24"/>
          <w:szCs w:val="24"/>
        </w:rPr>
      </w:pPr>
    </w:p>
    <w:p w14:paraId="222064C9" w14:textId="44C97E6D" w:rsidR="00017A21" w:rsidRPr="00564008" w:rsidRDefault="00017A21" w:rsidP="00017A21">
      <w:pPr>
        <w:jc w:val="both"/>
        <w:rPr>
          <w:rFonts w:ascii="Times New Roman" w:hAnsi="Times New Roman"/>
          <w:sz w:val="24"/>
          <w:szCs w:val="24"/>
        </w:rPr>
      </w:pPr>
      <w:r w:rsidRPr="0058468C">
        <w:rPr>
          <w:rFonts w:ascii="Times New Roman" w:hAnsi="Times New Roman"/>
          <w:sz w:val="24"/>
          <w:szCs w:val="24"/>
        </w:rPr>
        <w:t xml:space="preserve">SPS </w:t>
      </w:r>
      <w:r w:rsidR="00AD1873">
        <w:rPr>
          <w:rFonts w:ascii="Times New Roman" w:hAnsi="Times New Roman"/>
          <w:sz w:val="24"/>
          <w:szCs w:val="24"/>
        </w:rPr>
        <w:t>515</w:t>
      </w:r>
      <w:r w:rsidRPr="0058468C">
        <w:rPr>
          <w:rFonts w:ascii="Times New Roman" w:hAnsi="Times New Roman"/>
          <w:sz w:val="24"/>
          <w:szCs w:val="24"/>
        </w:rPr>
        <w:t xml:space="preserve"> </w:t>
      </w:r>
      <w:r>
        <w:rPr>
          <w:rFonts w:ascii="Times New Roman" w:hAnsi="Times New Roman"/>
          <w:sz w:val="24"/>
          <w:szCs w:val="24"/>
        </w:rPr>
        <w:t>sets out requirements for an RSE licensee to</w:t>
      </w:r>
      <w:r w:rsidR="00AD1873">
        <w:rPr>
          <w:rFonts w:ascii="Times New Roman" w:hAnsi="Times New Roman"/>
          <w:sz w:val="24"/>
          <w:szCs w:val="24"/>
        </w:rPr>
        <w:t xml:space="preserve"> </w:t>
      </w:r>
      <w:r w:rsidR="00AD1873" w:rsidRPr="0011408F">
        <w:rPr>
          <w:rFonts w:ascii="Times New Roman" w:hAnsi="Times New Roman"/>
          <w:sz w:val="24"/>
          <w:szCs w:val="24"/>
        </w:rPr>
        <w:t xml:space="preserve">manage </w:t>
      </w:r>
      <w:r w:rsidR="00AD1873">
        <w:rPr>
          <w:rFonts w:ascii="Times New Roman" w:hAnsi="Times New Roman"/>
          <w:sz w:val="24"/>
          <w:szCs w:val="24"/>
        </w:rPr>
        <w:t xml:space="preserve">their </w:t>
      </w:r>
      <w:r w:rsidR="00AD1873" w:rsidRPr="0011408F">
        <w:rPr>
          <w:rFonts w:ascii="Times New Roman" w:hAnsi="Times New Roman"/>
          <w:sz w:val="24"/>
          <w:szCs w:val="24"/>
        </w:rPr>
        <w:t>business operations in a sound and prudent manner to achieve the outcomes it seeks for beneficiaries</w:t>
      </w:r>
      <w:r w:rsidR="00AD1873">
        <w:rPr>
          <w:rFonts w:ascii="Times New Roman" w:hAnsi="Times New Roman"/>
          <w:sz w:val="24"/>
          <w:szCs w:val="24"/>
        </w:rPr>
        <w:t xml:space="preserve"> by setting </w:t>
      </w:r>
      <w:r w:rsidR="00AD1873" w:rsidRPr="0011408F">
        <w:rPr>
          <w:rFonts w:ascii="Times New Roman" w:hAnsi="Times New Roman"/>
          <w:sz w:val="24"/>
          <w:szCs w:val="24"/>
        </w:rPr>
        <w:t>strategic objectives, conduct</w:t>
      </w:r>
      <w:r w:rsidR="00AD1873">
        <w:rPr>
          <w:rFonts w:ascii="Times New Roman" w:hAnsi="Times New Roman"/>
          <w:sz w:val="24"/>
          <w:szCs w:val="24"/>
        </w:rPr>
        <w:t>ing</w:t>
      </w:r>
      <w:r w:rsidR="00AD1873" w:rsidRPr="0011408F">
        <w:rPr>
          <w:rFonts w:ascii="Times New Roman" w:hAnsi="Times New Roman"/>
          <w:sz w:val="24"/>
          <w:szCs w:val="24"/>
        </w:rPr>
        <w:t xml:space="preserve"> business planning, </w:t>
      </w:r>
      <w:r w:rsidR="00AD1873">
        <w:rPr>
          <w:rFonts w:ascii="Times New Roman" w:hAnsi="Times New Roman"/>
          <w:sz w:val="24"/>
          <w:szCs w:val="24"/>
        </w:rPr>
        <w:t xml:space="preserve">appropriately managing </w:t>
      </w:r>
      <w:r w:rsidR="00AD1873" w:rsidRPr="0011408F">
        <w:rPr>
          <w:rFonts w:ascii="Times New Roman" w:hAnsi="Times New Roman"/>
          <w:sz w:val="24"/>
          <w:szCs w:val="24"/>
        </w:rPr>
        <w:t>financial resource</w:t>
      </w:r>
      <w:r w:rsidR="00AD1873">
        <w:rPr>
          <w:rFonts w:ascii="Times New Roman" w:hAnsi="Times New Roman"/>
          <w:sz w:val="24"/>
          <w:szCs w:val="24"/>
        </w:rPr>
        <w:t xml:space="preserve">s including reserves and expenditure and monitor </w:t>
      </w:r>
      <w:r w:rsidR="00AD1873" w:rsidRPr="0011408F">
        <w:rPr>
          <w:rFonts w:ascii="Times New Roman" w:hAnsi="Times New Roman"/>
          <w:sz w:val="24"/>
          <w:szCs w:val="24"/>
        </w:rPr>
        <w:t>performance</w:t>
      </w:r>
      <w:r w:rsidR="00AD1873">
        <w:rPr>
          <w:rFonts w:ascii="Times New Roman" w:hAnsi="Times New Roman"/>
          <w:sz w:val="24"/>
          <w:szCs w:val="24"/>
        </w:rPr>
        <w:t>. SPS 515 also includes</w:t>
      </w:r>
      <w:r w:rsidR="00AD1873" w:rsidRPr="0011408F">
        <w:rPr>
          <w:rFonts w:ascii="Times New Roman" w:hAnsi="Times New Roman"/>
          <w:sz w:val="24"/>
          <w:szCs w:val="24"/>
        </w:rPr>
        <w:t xml:space="preserve"> </w:t>
      </w:r>
      <w:r w:rsidR="00AD1873">
        <w:rPr>
          <w:rFonts w:ascii="Times New Roman" w:hAnsi="Times New Roman"/>
          <w:sz w:val="24"/>
          <w:szCs w:val="24"/>
        </w:rPr>
        <w:t xml:space="preserve">requirements to support the legislated </w:t>
      </w:r>
      <w:r w:rsidR="00AD1873" w:rsidRPr="0011408F">
        <w:rPr>
          <w:rFonts w:ascii="Times New Roman" w:hAnsi="Times New Roman"/>
          <w:sz w:val="24"/>
          <w:szCs w:val="24"/>
        </w:rPr>
        <w:t xml:space="preserve">outcomes assessment and </w:t>
      </w:r>
      <w:r w:rsidR="00AD1873">
        <w:rPr>
          <w:rFonts w:ascii="Times New Roman" w:hAnsi="Times New Roman"/>
          <w:sz w:val="24"/>
          <w:szCs w:val="24"/>
        </w:rPr>
        <w:t xml:space="preserve">to support the effective </w:t>
      </w:r>
      <w:r w:rsidR="00AD1873" w:rsidRPr="0011408F">
        <w:rPr>
          <w:rFonts w:ascii="Times New Roman" w:hAnsi="Times New Roman"/>
          <w:sz w:val="24"/>
          <w:szCs w:val="24"/>
        </w:rPr>
        <w:t xml:space="preserve">transfer </w:t>
      </w:r>
      <w:r w:rsidR="00AD1873">
        <w:rPr>
          <w:rFonts w:ascii="Times New Roman" w:hAnsi="Times New Roman"/>
          <w:sz w:val="24"/>
          <w:szCs w:val="24"/>
        </w:rPr>
        <w:t>of members to another RSE where necessary.</w:t>
      </w:r>
    </w:p>
    <w:p w14:paraId="4FC73614" w14:textId="77777777" w:rsidR="00017A21" w:rsidRPr="00564008" w:rsidRDefault="00017A21" w:rsidP="00017A21">
      <w:pPr>
        <w:jc w:val="both"/>
        <w:rPr>
          <w:rFonts w:ascii="Times New Roman" w:hAnsi="Times New Roman"/>
          <w:sz w:val="24"/>
          <w:szCs w:val="24"/>
        </w:rPr>
      </w:pPr>
    </w:p>
    <w:p w14:paraId="28728CE9" w14:textId="77777777" w:rsidR="00017A21" w:rsidRPr="00564008" w:rsidRDefault="00017A21" w:rsidP="00017A21">
      <w:pPr>
        <w:spacing w:after="240"/>
        <w:jc w:val="both"/>
        <w:rPr>
          <w:rFonts w:ascii="Times New Roman" w:eastAsia="Calibri" w:hAnsi="Times New Roman"/>
          <w:b/>
          <w:sz w:val="24"/>
          <w:szCs w:val="24"/>
        </w:rPr>
      </w:pPr>
      <w:r w:rsidRPr="00564008">
        <w:rPr>
          <w:rFonts w:ascii="Times New Roman" w:eastAsia="Calibri" w:hAnsi="Times New Roman"/>
          <w:b/>
          <w:sz w:val="24"/>
          <w:szCs w:val="24"/>
        </w:rPr>
        <w:t>Human rights implications</w:t>
      </w:r>
    </w:p>
    <w:p w14:paraId="4D9492D9" w14:textId="77777777" w:rsidR="00017A21" w:rsidRDefault="00017A21" w:rsidP="00017A21">
      <w:pPr>
        <w:jc w:val="both"/>
        <w:rPr>
          <w:rFonts w:ascii="Times New Roman" w:hAnsi="Times New Roman"/>
          <w:iCs/>
          <w:sz w:val="24"/>
          <w:szCs w:val="24"/>
        </w:rPr>
      </w:pPr>
      <w:r w:rsidRPr="000A1A15">
        <w:rPr>
          <w:rFonts w:ascii="Times New Roman" w:hAnsi="Times New Roman"/>
          <w:iCs/>
          <w:sz w:val="24"/>
          <w:szCs w:val="24"/>
        </w:rPr>
        <w:t xml:space="preserve">APRA has assessed the </w:t>
      </w:r>
      <w:r w:rsidRPr="00BC1E70">
        <w:rPr>
          <w:rFonts w:ascii="Times New Roman" w:hAnsi="Times New Roman"/>
          <w:iCs/>
          <w:sz w:val="24"/>
          <w:szCs w:val="24"/>
        </w:rPr>
        <w:t xml:space="preserve">Legislative </w:t>
      </w:r>
      <w:r w:rsidRPr="000A1A15">
        <w:rPr>
          <w:rFonts w:ascii="Times New Roman" w:hAnsi="Times New Roman"/>
          <w:iCs/>
          <w:sz w:val="24"/>
          <w:szCs w:val="24"/>
        </w:rPr>
        <w:t xml:space="preserve">Instrument and is of the view that </w:t>
      </w:r>
      <w:r>
        <w:rPr>
          <w:rFonts w:ascii="Times New Roman" w:hAnsi="Times New Roman"/>
          <w:iCs/>
          <w:sz w:val="24"/>
          <w:szCs w:val="24"/>
        </w:rPr>
        <w:t>it</w:t>
      </w:r>
      <w:r w:rsidRPr="000A1A15">
        <w:rPr>
          <w:rFonts w:ascii="Times New Roman" w:hAnsi="Times New Roman"/>
          <w:iCs/>
          <w:sz w:val="24"/>
          <w:szCs w:val="24"/>
        </w:rPr>
        <w:t xml:space="preserve"> do</w:t>
      </w:r>
      <w:r>
        <w:rPr>
          <w:rFonts w:ascii="Times New Roman" w:hAnsi="Times New Roman"/>
          <w:iCs/>
          <w:sz w:val="24"/>
          <w:szCs w:val="24"/>
        </w:rPr>
        <w:t>es</w:t>
      </w:r>
      <w:r w:rsidRPr="000A1A15">
        <w:rPr>
          <w:rFonts w:ascii="Times New Roman" w:hAnsi="Times New Roman"/>
          <w:iCs/>
          <w:sz w:val="24"/>
          <w:szCs w:val="24"/>
        </w:rPr>
        <w:t xml:space="preserve"> not engage any of the applicable rights or freedoms recognised or declared in the international instruments listed in section 3 of the HRPS Act. Accordingly, in APRA's assessment, the Instrument </w:t>
      </w:r>
      <w:r>
        <w:rPr>
          <w:rFonts w:ascii="Times New Roman" w:hAnsi="Times New Roman"/>
          <w:iCs/>
          <w:sz w:val="24"/>
          <w:szCs w:val="24"/>
        </w:rPr>
        <w:t>is</w:t>
      </w:r>
      <w:r w:rsidRPr="000A1A15">
        <w:rPr>
          <w:rFonts w:ascii="Times New Roman" w:hAnsi="Times New Roman"/>
          <w:iCs/>
          <w:sz w:val="24"/>
          <w:szCs w:val="24"/>
        </w:rPr>
        <w:t xml:space="preserve"> compatible with human rights. </w:t>
      </w:r>
    </w:p>
    <w:p w14:paraId="57D25E41" w14:textId="77777777" w:rsidR="00017A21" w:rsidRPr="00EA4126" w:rsidRDefault="00017A21" w:rsidP="00017A21">
      <w:pPr>
        <w:jc w:val="both"/>
        <w:rPr>
          <w:rFonts w:ascii="Times New Roman" w:hAnsi="Times New Roman"/>
          <w:iCs/>
          <w:sz w:val="24"/>
          <w:szCs w:val="24"/>
        </w:rPr>
      </w:pPr>
    </w:p>
    <w:p w14:paraId="3C76D222" w14:textId="77777777" w:rsidR="00017A21" w:rsidRDefault="00017A21" w:rsidP="00017A21">
      <w:pPr>
        <w:spacing w:after="240"/>
        <w:jc w:val="both"/>
        <w:rPr>
          <w:rFonts w:ascii="Times New Roman" w:eastAsia="Calibri" w:hAnsi="Times New Roman"/>
          <w:b/>
          <w:sz w:val="24"/>
          <w:szCs w:val="24"/>
        </w:rPr>
      </w:pPr>
      <w:r>
        <w:rPr>
          <w:rFonts w:ascii="Times New Roman" w:eastAsia="Calibri" w:hAnsi="Times New Roman"/>
          <w:b/>
          <w:sz w:val="24"/>
          <w:szCs w:val="24"/>
        </w:rPr>
        <w:t xml:space="preserve">Conclusion </w:t>
      </w:r>
    </w:p>
    <w:p w14:paraId="3568391F" w14:textId="77777777" w:rsidR="00017A21" w:rsidRDefault="00017A21" w:rsidP="00017A21">
      <w:pPr>
        <w:spacing w:after="240"/>
        <w:jc w:val="both"/>
        <w:rPr>
          <w:rFonts w:ascii="Times New Roman" w:eastAsia="Calibri" w:hAnsi="Times New Roman"/>
          <w:sz w:val="24"/>
          <w:szCs w:val="24"/>
        </w:rPr>
      </w:pPr>
      <w:r>
        <w:rPr>
          <w:rFonts w:ascii="Times New Roman" w:eastAsia="Calibri" w:hAnsi="Times New Roman"/>
          <w:sz w:val="24"/>
          <w:szCs w:val="24"/>
        </w:rPr>
        <w:t>This Legislative Instrument is compatible with human rights as it does not raise any human rights issues.</w:t>
      </w:r>
    </w:p>
    <w:p w14:paraId="20D5B5A6" w14:textId="77777777" w:rsidR="00017A21" w:rsidRDefault="00017A21" w:rsidP="75515248">
      <w:pPr>
        <w:autoSpaceDE w:val="0"/>
        <w:autoSpaceDN w:val="0"/>
        <w:adjustRightInd w:val="0"/>
        <w:jc w:val="center"/>
        <w:rPr>
          <w:rFonts w:ascii="Times New Roman" w:eastAsia="Calibri" w:hAnsi="Times New Roman"/>
          <w:b/>
          <w:bCs/>
          <w:sz w:val="24"/>
          <w:szCs w:val="24"/>
        </w:rPr>
      </w:pPr>
    </w:p>
    <w:p w14:paraId="00228598" w14:textId="77777777" w:rsidR="00017A21" w:rsidRDefault="00017A21" w:rsidP="00017A21">
      <w:pPr>
        <w:autoSpaceDE w:val="0"/>
        <w:autoSpaceDN w:val="0"/>
        <w:adjustRightInd w:val="0"/>
        <w:rPr>
          <w:rFonts w:ascii="Times New Roman" w:eastAsia="Calibri" w:hAnsi="Times New Roman"/>
          <w:b/>
          <w:bCs/>
          <w:sz w:val="24"/>
          <w:szCs w:val="24"/>
        </w:rPr>
      </w:pPr>
    </w:p>
    <w:sectPr w:rsidR="00017A21" w:rsidSect="003D5032">
      <w:footerReference w:type="default" r:id="rId1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5700" w14:textId="77777777" w:rsidR="0015795A" w:rsidRDefault="0015795A" w:rsidP="00226412">
      <w:r>
        <w:separator/>
      </w:r>
    </w:p>
  </w:endnote>
  <w:endnote w:type="continuationSeparator" w:id="0">
    <w:p w14:paraId="74C28626" w14:textId="77777777" w:rsidR="0015795A" w:rsidRDefault="0015795A" w:rsidP="00226412">
      <w:r>
        <w:continuationSeparator/>
      </w:r>
    </w:p>
  </w:endnote>
  <w:endnote w:type="continuationNotice" w:id="1">
    <w:p w14:paraId="79633043" w14:textId="77777777" w:rsidR="0015795A" w:rsidRDefault="00157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498712"/>
      <w:docPartObj>
        <w:docPartGallery w:val="Page Numbers (Bottom of Page)"/>
        <w:docPartUnique/>
      </w:docPartObj>
    </w:sdtPr>
    <w:sdtEndPr>
      <w:rPr>
        <w:szCs w:val="22"/>
      </w:rPr>
    </w:sdtEndPr>
    <w:sdtContent>
      <w:sdt>
        <w:sdtPr>
          <w:id w:val="860082579"/>
          <w:docPartObj>
            <w:docPartGallery w:val="Page Numbers (Top of Page)"/>
            <w:docPartUnique/>
          </w:docPartObj>
        </w:sdtPr>
        <w:sdtEndPr>
          <w:rPr>
            <w:szCs w:val="22"/>
          </w:rPr>
        </w:sdtEndPr>
        <w:sdtContent>
          <w:p w14:paraId="15FCE807" w14:textId="77777777" w:rsidR="0091715F" w:rsidRPr="00226412" w:rsidRDefault="0091715F" w:rsidP="00226412">
            <w:pPr>
              <w:pStyle w:val="Footer"/>
              <w:jc w:val="center"/>
              <w:rPr>
                <w:szCs w:val="22"/>
              </w:rPr>
            </w:pPr>
            <w:r w:rsidRPr="00073573">
              <w:rPr>
                <w:rFonts w:ascii="Times New Roman" w:hAnsi="Times New Roman"/>
                <w:bCs/>
                <w:sz w:val="24"/>
                <w:szCs w:val="24"/>
              </w:rPr>
              <w:fldChar w:fldCharType="begin"/>
            </w:r>
            <w:r w:rsidRPr="00073573">
              <w:rPr>
                <w:rFonts w:ascii="Times New Roman" w:hAnsi="Times New Roman"/>
                <w:bCs/>
                <w:sz w:val="24"/>
                <w:szCs w:val="24"/>
              </w:rPr>
              <w:instrText xml:space="preserve"> PAGE </w:instrText>
            </w:r>
            <w:r w:rsidRPr="00073573">
              <w:rPr>
                <w:rFonts w:ascii="Times New Roman" w:hAnsi="Times New Roman"/>
                <w:bCs/>
                <w:sz w:val="24"/>
                <w:szCs w:val="24"/>
              </w:rPr>
              <w:fldChar w:fldCharType="separate"/>
            </w:r>
            <w:r w:rsidR="00F178D6">
              <w:rPr>
                <w:rFonts w:ascii="Times New Roman" w:hAnsi="Times New Roman"/>
                <w:bCs/>
                <w:noProof/>
                <w:sz w:val="24"/>
                <w:szCs w:val="24"/>
              </w:rPr>
              <w:t>1</w:t>
            </w:r>
            <w:r w:rsidRPr="00073573">
              <w:rPr>
                <w:rFonts w:ascii="Times New Roman" w:hAnsi="Times New Roman"/>
                <w:bCs/>
                <w:sz w:val="24"/>
                <w:szCs w:val="24"/>
              </w:rPr>
              <w:fldChar w:fldCharType="end"/>
            </w:r>
          </w:p>
        </w:sdtContent>
      </w:sdt>
    </w:sdtContent>
  </w:sdt>
  <w:p w14:paraId="225E0D1E" w14:textId="77777777" w:rsidR="0091715F" w:rsidRDefault="0091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1846" w14:textId="77777777" w:rsidR="0015795A" w:rsidRDefault="0015795A" w:rsidP="00226412">
      <w:r>
        <w:separator/>
      </w:r>
    </w:p>
  </w:footnote>
  <w:footnote w:type="continuationSeparator" w:id="0">
    <w:p w14:paraId="1CF5BF16" w14:textId="77777777" w:rsidR="0015795A" w:rsidRDefault="0015795A" w:rsidP="00226412">
      <w:r>
        <w:continuationSeparator/>
      </w:r>
    </w:p>
  </w:footnote>
  <w:footnote w:type="continuationNotice" w:id="1">
    <w:p w14:paraId="7F3C5F0B" w14:textId="77777777" w:rsidR="0015795A" w:rsidRDefault="0015795A"/>
  </w:footnote>
  <w:footnote w:id="2">
    <w:p w14:paraId="12F1132D" w14:textId="046783E1" w:rsidR="008465FC" w:rsidRPr="00736C26" w:rsidRDefault="00B84419" w:rsidP="00B84419">
      <w:pPr>
        <w:pStyle w:val="FootnoteText"/>
        <w:rPr>
          <w:rFonts w:ascii="Times New Roman" w:hAnsi="Times New Roman"/>
          <w:color w:val="0000FF"/>
          <w:u w:val="single"/>
        </w:rPr>
      </w:pPr>
      <w:r>
        <w:rPr>
          <w:rStyle w:val="FootnoteReference"/>
        </w:rPr>
        <w:footnoteRef/>
      </w:r>
      <w:r>
        <w:t xml:space="preserve"> </w:t>
      </w:r>
      <w:hyperlink r:id="rId1" w:history="1">
        <w:r w:rsidR="008465FC" w:rsidRPr="002B59A1">
          <w:rPr>
            <w:rFonts w:ascii="Times New Roman" w:hAnsi="Times New Roman"/>
            <w:color w:val="0000FF"/>
            <w:u w:val="single"/>
          </w:rPr>
          <w:t>Federal Register of Legislation - Treasury Laws Amendment (Your Future, Your Super) Act 2021</w:t>
        </w:r>
      </w:hyperlink>
    </w:p>
  </w:footnote>
  <w:footnote w:id="3">
    <w:p w14:paraId="6DC83581" w14:textId="2C6E88AC" w:rsidR="00084905" w:rsidRDefault="00084905">
      <w:pPr>
        <w:pStyle w:val="FootnoteText"/>
      </w:pPr>
      <w:r w:rsidRPr="002B59A1">
        <w:rPr>
          <w:rStyle w:val="FootnoteReference"/>
        </w:rPr>
        <w:footnoteRef/>
      </w:r>
      <w:r w:rsidRPr="002B59A1">
        <w:t xml:space="preserve"> </w:t>
      </w:r>
      <w:hyperlink r:id="rId2" w:history="1">
        <w:r w:rsidR="005B48AD" w:rsidRPr="002B59A1">
          <w:rPr>
            <w:rStyle w:val="Hyperlink"/>
            <w:rFonts w:ascii="Times New Roman" w:hAnsi="Times New Roman"/>
          </w:rPr>
          <w:t>Federal Register of Legislation – Schedule 9 - Corporate Collective Investment Vehicle Framework and Other Measures Act 2022</w:t>
        </w:r>
      </w:hyperlink>
    </w:p>
  </w:footnote>
  <w:footnote w:id="4">
    <w:p w14:paraId="4B7C2FA7" w14:textId="0419FF43" w:rsidR="00B87FEF" w:rsidRDefault="00B87FEF">
      <w:pPr>
        <w:pStyle w:val="FootnoteText"/>
      </w:pPr>
      <w:r>
        <w:rPr>
          <w:rStyle w:val="FootnoteReference"/>
        </w:rPr>
        <w:footnoteRef/>
      </w:r>
      <w:r>
        <w:t xml:space="preserve"> </w:t>
      </w:r>
      <w:bookmarkStart w:id="8" w:name="_Hlk167809829"/>
      <w:r w:rsidRPr="00081F83">
        <w:rPr>
          <w:rFonts w:ascii="Times New Roman" w:hAnsi="Times New Roman"/>
        </w:rPr>
        <w:t>The exception is s</w:t>
      </w:r>
      <w:r>
        <w:rPr>
          <w:rFonts w:ascii="Times New Roman" w:hAnsi="Times New Roman"/>
        </w:rPr>
        <w:t>ection 54B of the Act, which provides that breach of a covenant under sections 52 or 52A is a civil penalty provision</w:t>
      </w:r>
      <w:bookmarkEnd w:id="8"/>
      <w:r>
        <w:rPr>
          <w:rFonts w:ascii="Times New Roman" w:hAnsi="Times New Roman"/>
        </w:rPr>
        <w:t xml:space="preserve">. </w:t>
      </w:r>
    </w:p>
  </w:footnote>
  <w:footnote w:id="5">
    <w:p w14:paraId="3458A748" w14:textId="40826205" w:rsidR="007573D2" w:rsidRDefault="007573D2" w:rsidP="007573D2">
      <w:pPr>
        <w:pStyle w:val="FootnoteText"/>
      </w:pPr>
      <w:r>
        <w:rPr>
          <w:rStyle w:val="FootnoteReference"/>
        </w:rPr>
        <w:footnoteRef/>
      </w:r>
      <w:r>
        <w:t xml:space="preserve"> </w:t>
      </w:r>
      <w:r w:rsidRPr="007573D2">
        <w:rPr>
          <w:rFonts w:ascii="Times New Roman" w:hAnsi="Times New Roman"/>
        </w:rPr>
        <w:t>For paragraph 44(2)(b) of the Legislation Act, section 42 of the Legislation 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w:t>
      </w:r>
    </w:p>
  </w:footnote>
  <w:footnote w:id="6">
    <w:p w14:paraId="3B58C711" w14:textId="08FF5F99" w:rsidR="007573D2" w:rsidRDefault="007573D2" w:rsidP="007573D2">
      <w:pPr>
        <w:pStyle w:val="FootnoteText"/>
      </w:pPr>
      <w:r>
        <w:rPr>
          <w:rStyle w:val="FootnoteReference"/>
        </w:rPr>
        <w:footnoteRef/>
      </w:r>
      <w:r>
        <w:t xml:space="preserve"> </w:t>
      </w:r>
      <w:r w:rsidRPr="007573D2">
        <w:rPr>
          <w:rFonts w:ascii="Times New Roman" w:hAnsi="Times New Roman"/>
        </w:rPr>
        <w:t>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w:t>
      </w:r>
    </w:p>
  </w:footnote>
  <w:footnote w:id="7">
    <w:p w14:paraId="6ED52A54" w14:textId="20F713B6" w:rsidR="00E324DC" w:rsidRDefault="00E324DC">
      <w:pPr>
        <w:pStyle w:val="FootnoteText"/>
      </w:pPr>
      <w:r>
        <w:rPr>
          <w:rStyle w:val="FootnoteReference"/>
        </w:rPr>
        <w:footnoteRef/>
      </w:r>
      <w:r>
        <w:t xml:space="preserve"> </w:t>
      </w:r>
      <w:hyperlink r:id="rId3" w:history="1">
        <w:r w:rsidRPr="00E324DC">
          <w:rPr>
            <w:rStyle w:val="Hyperlink"/>
            <w:rFonts w:ascii="Times New Roman" w:hAnsi="Times New Roman"/>
          </w:rPr>
          <w:t>Discussion paper - Strategic planning and member outcomes: Proposed enhancements | APRA</w:t>
        </w:r>
      </w:hyperlink>
    </w:p>
  </w:footnote>
  <w:footnote w:id="8">
    <w:p w14:paraId="0910A936" w14:textId="7D29C3E9" w:rsidR="00E30FD0" w:rsidRDefault="00E30FD0">
      <w:pPr>
        <w:pStyle w:val="FootnoteText"/>
      </w:pPr>
      <w:r>
        <w:rPr>
          <w:rStyle w:val="FootnoteReference"/>
        </w:rPr>
        <w:footnoteRef/>
      </w:r>
      <w:r>
        <w:t xml:space="preserve"> </w:t>
      </w:r>
      <w:hyperlink r:id="rId4" w:history="1">
        <w:r w:rsidRPr="00E30FD0">
          <w:rPr>
            <w:rStyle w:val="Hyperlink"/>
            <w:rFonts w:ascii="Times New Roman" w:hAnsi="Times New Roman"/>
          </w:rPr>
          <w:t>Transfer planning in superannuation: proposed enhancements | APRA</w:t>
        </w:r>
      </w:hyperlink>
    </w:p>
  </w:footnote>
  <w:footnote w:id="9">
    <w:p w14:paraId="75764EF2" w14:textId="77777777" w:rsidR="00E324DC" w:rsidRDefault="00E324DC" w:rsidP="00E324DC">
      <w:pPr>
        <w:pStyle w:val="FootnoteText"/>
      </w:pPr>
      <w:r>
        <w:rPr>
          <w:rStyle w:val="FootnoteReference"/>
        </w:rPr>
        <w:footnoteRef/>
      </w:r>
      <w:r>
        <w:t xml:space="preserve"> </w:t>
      </w:r>
      <w:hyperlink r:id="rId5" w:history="1">
        <w:r w:rsidRPr="00D47480">
          <w:rPr>
            <w:rStyle w:val="Hyperlink"/>
            <w:rFonts w:ascii="Times New Roman" w:hAnsi="Times New Roman"/>
          </w:rPr>
          <w:t>Strategic planning and member outcomes: proposed enhancements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B1C"/>
    <w:multiLevelType w:val="hybridMultilevel"/>
    <w:tmpl w:val="33C68C2E"/>
    <w:lvl w:ilvl="0" w:tplc="ED66EDA0">
      <w:start w:val="1"/>
      <w:numFmt w:val="decimal"/>
      <w:lvlText w:val="%1."/>
      <w:lvlJc w:val="left"/>
      <w:pPr>
        <w:tabs>
          <w:tab w:val="num" w:pos="567"/>
        </w:tabs>
        <w:ind w:left="567" w:hanging="567"/>
      </w:pPr>
      <w:rPr>
        <w:rFonts w:asciiTheme="minorHAnsi" w:hAnsiTheme="minorHAnsi" w:cstheme="minorHAnsi" w:hint="default"/>
        <w:b w:val="0"/>
      </w:rPr>
    </w:lvl>
    <w:lvl w:ilvl="1" w:tplc="9E1AB90E">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535DB"/>
    <w:multiLevelType w:val="hybridMultilevel"/>
    <w:tmpl w:val="E570925A"/>
    <w:lvl w:ilvl="0" w:tplc="6E24B882">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36BA0"/>
    <w:multiLevelType w:val="hybridMultilevel"/>
    <w:tmpl w:val="3558F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DA3D61"/>
    <w:multiLevelType w:val="hybridMultilevel"/>
    <w:tmpl w:val="DD7685AA"/>
    <w:lvl w:ilvl="0" w:tplc="5FF0F4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DF6494"/>
    <w:multiLevelType w:val="multilevel"/>
    <w:tmpl w:val="A316FE50"/>
    <w:numStyleLink w:val="ChapterList"/>
  </w:abstractNum>
  <w:abstractNum w:abstractNumId="11"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6944367">
    <w:abstractNumId w:val="7"/>
  </w:num>
  <w:num w:numId="2" w16cid:durableId="1816683611">
    <w:abstractNumId w:val="1"/>
  </w:num>
  <w:num w:numId="3" w16cid:durableId="1302270365">
    <w:abstractNumId w:val="9"/>
  </w:num>
  <w:num w:numId="4" w16cid:durableId="266273101">
    <w:abstractNumId w:val="5"/>
  </w:num>
  <w:num w:numId="5" w16cid:durableId="1976370700">
    <w:abstractNumId w:val="3"/>
  </w:num>
  <w:num w:numId="6" w16cid:durableId="491726947">
    <w:abstractNumId w:val="12"/>
  </w:num>
  <w:num w:numId="7" w16cid:durableId="1369447352">
    <w:abstractNumId w:val="2"/>
  </w:num>
  <w:num w:numId="8" w16cid:durableId="1189638883">
    <w:abstractNumId w:val="8"/>
  </w:num>
  <w:num w:numId="9" w16cid:durableId="1426538941">
    <w:abstractNumId w:val="6"/>
  </w:num>
  <w:num w:numId="10" w16cid:durableId="1865286768">
    <w:abstractNumId w:val="1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761372901">
    <w:abstractNumId w:val="11"/>
  </w:num>
  <w:num w:numId="12" w16cid:durableId="1685474243">
    <w:abstractNumId w:val="4"/>
  </w:num>
  <w:num w:numId="13" w16cid:durableId="18143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DA"/>
    <w:rsid w:val="00003730"/>
    <w:rsid w:val="0000466D"/>
    <w:rsid w:val="00004A7C"/>
    <w:rsid w:val="00006E6F"/>
    <w:rsid w:val="00007350"/>
    <w:rsid w:val="0001037E"/>
    <w:rsid w:val="0001137E"/>
    <w:rsid w:val="00017A21"/>
    <w:rsid w:val="00017F57"/>
    <w:rsid w:val="000212B8"/>
    <w:rsid w:val="000231FC"/>
    <w:rsid w:val="00025F78"/>
    <w:rsid w:val="00026B0B"/>
    <w:rsid w:val="0003710D"/>
    <w:rsid w:val="00037CE6"/>
    <w:rsid w:val="0004011E"/>
    <w:rsid w:val="000401FC"/>
    <w:rsid w:val="00041C06"/>
    <w:rsid w:val="00041FB2"/>
    <w:rsid w:val="00042619"/>
    <w:rsid w:val="00044746"/>
    <w:rsid w:val="000472A9"/>
    <w:rsid w:val="00051932"/>
    <w:rsid w:val="00055E65"/>
    <w:rsid w:val="00056483"/>
    <w:rsid w:val="00064557"/>
    <w:rsid w:val="0006685D"/>
    <w:rsid w:val="000730AC"/>
    <w:rsid w:val="00073573"/>
    <w:rsid w:val="000743F0"/>
    <w:rsid w:val="00083221"/>
    <w:rsid w:val="00084905"/>
    <w:rsid w:val="0008694B"/>
    <w:rsid w:val="00090114"/>
    <w:rsid w:val="000A21BA"/>
    <w:rsid w:val="000A4793"/>
    <w:rsid w:val="000A4FB7"/>
    <w:rsid w:val="000A7553"/>
    <w:rsid w:val="000B0A35"/>
    <w:rsid w:val="000B3147"/>
    <w:rsid w:val="000B621C"/>
    <w:rsid w:val="000C0703"/>
    <w:rsid w:val="000C0F55"/>
    <w:rsid w:val="000D63B1"/>
    <w:rsid w:val="000D6705"/>
    <w:rsid w:val="000D7600"/>
    <w:rsid w:val="000E26C1"/>
    <w:rsid w:val="000E369C"/>
    <w:rsid w:val="000E4700"/>
    <w:rsid w:val="000E5731"/>
    <w:rsid w:val="000F0C86"/>
    <w:rsid w:val="000F4319"/>
    <w:rsid w:val="000F7D6E"/>
    <w:rsid w:val="0010085B"/>
    <w:rsid w:val="0011408F"/>
    <w:rsid w:val="00114AA7"/>
    <w:rsid w:val="0013031E"/>
    <w:rsid w:val="00130648"/>
    <w:rsid w:val="00131782"/>
    <w:rsid w:val="001348D2"/>
    <w:rsid w:val="00135B49"/>
    <w:rsid w:val="00140688"/>
    <w:rsid w:val="001463DE"/>
    <w:rsid w:val="0015143F"/>
    <w:rsid w:val="001557B1"/>
    <w:rsid w:val="0015795A"/>
    <w:rsid w:val="0016076B"/>
    <w:rsid w:val="00164E02"/>
    <w:rsid w:val="00173FC8"/>
    <w:rsid w:val="00181949"/>
    <w:rsid w:val="00182FA1"/>
    <w:rsid w:val="00184F74"/>
    <w:rsid w:val="001957D7"/>
    <w:rsid w:val="00195A8E"/>
    <w:rsid w:val="00196477"/>
    <w:rsid w:val="001A01C3"/>
    <w:rsid w:val="001A01D0"/>
    <w:rsid w:val="001A0E44"/>
    <w:rsid w:val="001A3AC0"/>
    <w:rsid w:val="001A3BA0"/>
    <w:rsid w:val="001A57FA"/>
    <w:rsid w:val="001A5FDC"/>
    <w:rsid w:val="001B49EB"/>
    <w:rsid w:val="001B7A71"/>
    <w:rsid w:val="001C1FD2"/>
    <w:rsid w:val="001C2878"/>
    <w:rsid w:val="001C36F6"/>
    <w:rsid w:val="001C3B02"/>
    <w:rsid w:val="001C4D78"/>
    <w:rsid w:val="001C561D"/>
    <w:rsid w:val="001C69C4"/>
    <w:rsid w:val="001D0229"/>
    <w:rsid w:val="001D0A56"/>
    <w:rsid w:val="001D29FA"/>
    <w:rsid w:val="001D4A5F"/>
    <w:rsid w:val="001E0DC7"/>
    <w:rsid w:val="001F50CB"/>
    <w:rsid w:val="001F6812"/>
    <w:rsid w:val="00200A92"/>
    <w:rsid w:val="00203823"/>
    <w:rsid w:val="0021020F"/>
    <w:rsid w:val="00214BC2"/>
    <w:rsid w:val="00215693"/>
    <w:rsid w:val="0022601F"/>
    <w:rsid w:val="00226412"/>
    <w:rsid w:val="002273F3"/>
    <w:rsid w:val="002274DC"/>
    <w:rsid w:val="002436BD"/>
    <w:rsid w:val="00244C0B"/>
    <w:rsid w:val="00246723"/>
    <w:rsid w:val="00252362"/>
    <w:rsid w:val="00260CC6"/>
    <w:rsid w:val="002673C1"/>
    <w:rsid w:val="00267445"/>
    <w:rsid w:val="00272350"/>
    <w:rsid w:val="002738C0"/>
    <w:rsid w:val="00291D6B"/>
    <w:rsid w:val="00293466"/>
    <w:rsid w:val="002A73BD"/>
    <w:rsid w:val="002B1434"/>
    <w:rsid w:val="002B282F"/>
    <w:rsid w:val="002B3BB0"/>
    <w:rsid w:val="002B59A1"/>
    <w:rsid w:val="002B6E0E"/>
    <w:rsid w:val="002B7ADE"/>
    <w:rsid w:val="002C2CC7"/>
    <w:rsid w:val="002C4976"/>
    <w:rsid w:val="002D155D"/>
    <w:rsid w:val="002E0FF8"/>
    <w:rsid w:val="002E1629"/>
    <w:rsid w:val="002E1D5A"/>
    <w:rsid w:val="002F1DB5"/>
    <w:rsid w:val="002F2254"/>
    <w:rsid w:val="002F2D73"/>
    <w:rsid w:val="003020B8"/>
    <w:rsid w:val="0030216C"/>
    <w:rsid w:val="0030506B"/>
    <w:rsid w:val="00310CF8"/>
    <w:rsid w:val="00315622"/>
    <w:rsid w:val="00315796"/>
    <w:rsid w:val="00317824"/>
    <w:rsid w:val="00326A95"/>
    <w:rsid w:val="00331717"/>
    <w:rsid w:val="00332183"/>
    <w:rsid w:val="0033429A"/>
    <w:rsid w:val="00334DFB"/>
    <w:rsid w:val="00336521"/>
    <w:rsid w:val="00343B27"/>
    <w:rsid w:val="003446C9"/>
    <w:rsid w:val="0034479C"/>
    <w:rsid w:val="00354CB8"/>
    <w:rsid w:val="00361BC2"/>
    <w:rsid w:val="00364E2C"/>
    <w:rsid w:val="00365C10"/>
    <w:rsid w:val="00373992"/>
    <w:rsid w:val="00380264"/>
    <w:rsid w:val="00383ED7"/>
    <w:rsid w:val="003866AD"/>
    <w:rsid w:val="00394A84"/>
    <w:rsid w:val="003965FE"/>
    <w:rsid w:val="003A22D4"/>
    <w:rsid w:val="003A52A5"/>
    <w:rsid w:val="003B01F8"/>
    <w:rsid w:val="003B7862"/>
    <w:rsid w:val="003C589C"/>
    <w:rsid w:val="003C751F"/>
    <w:rsid w:val="003D5032"/>
    <w:rsid w:val="003D755C"/>
    <w:rsid w:val="003D7DC6"/>
    <w:rsid w:val="003E365C"/>
    <w:rsid w:val="003E5334"/>
    <w:rsid w:val="003E798B"/>
    <w:rsid w:val="003F2A9F"/>
    <w:rsid w:val="003F6283"/>
    <w:rsid w:val="00400ECD"/>
    <w:rsid w:val="0040175E"/>
    <w:rsid w:val="00401BCB"/>
    <w:rsid w:val="00404D64"/>
    <w:rsid w:val="00404F16"/>
    <w:rsid w:val="004118E7"/>
    <w:rsid w:val="00422164"/>
    <w:rsid w:val="00425230"/>
    <w:rsid w:val="00441AA0"/>
    <w:rsid w:val="00443A02"/>
    <w:rsid w:val="00443B39"/>
    <w:rsid w:val="0044525C"/>
    <w:rsid w:val="00445F82"/>
    <w:rsid w:val="004477D6"/>
    <w:rsid w:val="00450984"/>
    <w:rsid w:val="00451CD3"/>
    <w:rsid w:val="004530C4"/>
    <w:rsid w:val="00453CF1"/>
    <w:rsid w:val="00456E0A"/>
    <w:rsid w:val="00464BD5"/>
    <w:rsid w:val="004650F6"/>
    <w:rsid w:val="004672DE"/>
    <w:rsid w:val="0047436A"/>
    <w:rsid w:val="0048137E"/>
    <w:rsid w:val="00482D9A"/>
    <w:rsid w:val="00487CF5"/>
    <w:rsid w:val="00492AC9"/>
    <w:rsid w:val="00495901"/>
    <w:rsid w:val="0049617A"/>
    <w:rsid w:val="00496465"/>
    <w:rsid w:val="00497E6E"/>
    <w:rsid w:val="004A0BA4"/>
    <w:rsid w:val="004A213D"/>
    <w:rsid w:val="004A3208"/>
    <w:rsid w:val="004A755E"/>
    <w:rsid w:val="004B581F"/>
    <w:rsid w:val="004B76B9"/>
    <w:rsid w:val="004C3526"/>
    <w:rsid w:val="004C3D07"/>
    <w:rsid w:val="004C5635"/>
    <w:rsid w:val="004C605D"/>
    <w:rsid w:val="004C661C"/>
    <w:rsid w:val="004D1A37"/>
    <w:rsid w:val="004D20A1"/>
    <w:rsid w:val="004D2595"/>
    <w:rsid w:val="004D32B1"/>
    <w:rsid w:val="004D62F5"/>
    <w:rsid w:val="004D7080"/>
    <w:rsid w:val="004E2008"/>
    <w:rsid w:val="004E6735"/>
    <w:rsid w:val="004E69A3"/>
    <w:rsid w:val="004F5F3E"/>
    <w:rsid w:val="005023B4"/>
    <w:rsid w:val="00504F82"/>
    <w:rsid w:val="00506888"/>
    <w:rsid w:val="005115C6"/>
    <w:rsid w:val="00513169"/>
    <w:rsid w:val="00514DE4"/>
    <w:rsid w:val="00515BE5"/>
    <w:rsid w:val="005203B4"/>
    <w:rsid w:val="00521AFF"/>
    <w:rsid w:val="005251AD"/>
    <w:rsid w:val="00525A42"/>
    <w:rsid w:val="00527E7E"/>
    <w:rsid w:val="00531431"/>
    <w:rsid w:val="00540407"/>
    <w:rsid w:val="00542C98"/>
    <w:rsid w:val="0054331B"/>
    <w:rsid w:val="00545342"/>
    <w:rsid w:val="00547AA2"/>
    <w:rsid w:val="0055750E"/>
    <w:rsid w:val="0056141D"/>
    <w:rsid w:val="00561C29"/>
    <w:rsid w:val="00562030"/>
    <w:rsid w:val="0056325E"/>
    <w:rsid w:val="005636AC"/>
    <w:rsid w:val="00564008"/>
    <w:rsid w:val="00571BA1"/>
    <w:rsid w:val="00572012"/>
    <w:rsid w:val="00577984"/>
    <w:rsid w:val="005804C9"/>
    <w:rsid w:val="0058057C"/>
    <w:rsid w:val="00582055"/>
    <w:rsid w:val="00584EB4"/>
    <w:rsid w:val="005868AE"/>
    <w:rsid w:val="005876BB"/>
    <w:rsid w:val="00591CF7"/>
    <w:rsid w:val="00593B72"/>
    <w:rsid w:val="005A1139"/>
    <w:rsid w:val="005A16F8"/>
    <w:rsid w:val="005A40D6"/>
    <w:rsid w:val="005B0CCE"/>
    <w:rsid w:val="005B48AD"/>
    <w:rsid w:val="005B66C7"/>
    <w:rsid w:val="005C43D6"/>
    <w:rsid w:val="005C53B9"/>
    <w:rsid w:val="005D0A37"/>
    <w:rsid w:val="005D7C5C"/>
    <w:rsid w:val="005E10E8"/>
    <w:rsid w:val="005E16F6"/>
    <w:rsid w:val="005E1F9C"/>
    <w:rsid w:val="005E40F9"/>
    <w:rsid w:val="005E48B2"/>
    <w:rsid w:val="005E55C7"/>
    <w:rsid w:val="005E5910"/>
    <w:rsid w:val="005F0DC0"/>
    <w:rsid w:val="005F523A"/>
    <w:rsid w:val="005F53DA"/>
    <w:rsid w:val="005F6051"/>
    <w:rsid w:val="005F68C6"/>
    <w:rsid w:val="005F6F2B"/>
    <w:rsid w:val="00600467"/>
    <w:rsid w:val="0060749F"/>
    <w:rsid w:val="0061393F"/>
    <w:rsid w:val="00616B3D"/>
    <w:rsid w:val="00617319"/>
    <w:rsid w:val="00621330"/>
    <w:rsid w:val="00622480"/>
    <w:rsid w:val="0063156B"/>
    <w:rsid w:val="006325B5"/>
    <w:rsid w:val="00634630"/>
    <w:rsid w:val="00635941"/>
    <w:rsid w:val="0063634B"/>
    <w:rsid w:val="006379BA"/>
    <w:rsid w:val="00644040"/>
    <w:rsid w:val="00646F1B"/>
    <w:rsid w:val="00647D58"/>
    <w:rsid w:val="00651F04"/>
    <w:rsid w:val="006525A9"/>
    <w:rsid w:val="00653D0B"/>
    <w:rsid w:val="0065431F"/>
    <w:rsid w:val="00657678"/>
    <w:rsid w:val="0066029F"/>
    <w:rsid w:val="00664C90"/>
    <w:rsid w:val="00664F17"/>
    <w:rsid w:val="00665986"/>
    <w:rsid w:val="00665BDC"/>
    <w:rsid w:val="00665C73"/>
    <w:rsid w:val="00671D7D"/>
    <w:rsid w:val="006747A5"/>
    <w:rsid w:val="0067763A"/>
    <w:rsid w:val="006803B7"/>
    <w:rsid w:val="00681F4E"/>
    <w:rsid w:val="00682865"/>
    <w:rsid w:val="00684F73"/>
    <w:rsid w:val="00685B07"/>
    <w:rsid w:val="00690851"/>
    <w:rsid w:val="00691638"/>
    <w:rsid w:val="00691D30"/>
    <w:rsid w:val="006A0032"/>
    <w:rsid w:val="006A1EC2"/>
    <w:rsid w:val="006A652C"/>
    <w:rsid w:val="006B093F"/>
    <w:rsid w:val="006B15D4"/>
    <w:rsid w:val="006B7C82"/>
    <w:rsid w:val="006C6363"/>
    <w:rsid w:val="006C6382"/>
    <w:rsid w:val="006D4F4B"/>
    <w:rsid w:val="006D7256"/>
    <w:rsid w:val="006D74E8"/>
    <w:rsid w:val="006E08C6"/>
    <w:rsid w:val="006E0DA7"/>
    <w:rsid w:val="006E710F"/>
    <w:rsid w:val="006F1ED2"/>
    <w:rsid w:val="006F312D"/>
    <w:rsid w:val="007022EA"/>
    <w:rsid w:val="007031F4"/>
    <w:rsid w:val="007049CF"/>
    <w:rsid w:val="0070792D"/>
    <w:rsid w:val="00710690"/>
    <w:rsid w:val="00711BF0"/>
    <w:rsid w:val="00712E1A"/>
    <w:rsid w:val="0071309C"/>
    <w:rsid w:val="007162C6"/>
    <w:rsid w:val="00720000"/>
    <w:rsid w:val="007212DB"/>
    <w:rsid w:val="00725290"/>
    <w:rsid w:val="007303FA"/>
    <w:rsid w:val="00736161"/>
    <w:rsid w:val="007368AD"/>
    <w:rsid w:val="00736C26"/>
    <w:rsid w:val="007428D4"/>
    <w:rsid w:val="007433D5"/>
    <w:rsid w:val="007471D1"/>
    <w:rsid w:val="007475A7"/>
    <w:rsid w:val="00747AFF"/>
    <w:rsid w:val="0075071F"/>
    <w:rsid w:val="007515B2"/>
    <w:rsid w:val="007517AF"/>
    <w:rsid w:val="0075239E"/>
    <w:rsid w:val="00752942"/>
    <w:rsid w:val="00753A36"/>
    <w:rsid w:val="007557A0"/>
    <w:rsid w:val="007573D2"/>
    <w:rsid w:val="007613CE"/>
    <w:rsid w:val="00761B22"/>
    <w:rsid w:val="00762B09"/>
    <w:rsid w:val="00762FDE"/>
    <w:rsid w:val="0076674A"/>
    <w:rsid w:val="00770D7D"/>
    <w:rsid w:val="007722A9"/>
    <w:rsid w:val="00783D77"/>
    <w:rsid w:val="00784D16"/>
    <w:rsid w:val="007850FA"/>
    <w:rsid w:val="00785CDC"/>
    <w:rsid w:val="007926A5"/>
    <w:rsid w:val="0079407C"/>
    <w:rsid w:val="0079611F"/>
    <w:rsid w:val="00796A67"/>
    <w:rsid w:val="007A1051"/>
    <w:rsid w:val="007B2E2C"/>
    <w:rsid w:val="007B5912"/>
    <w:rsid w:val="007B60CE"/>
    <w:rsid w:val="007C0641"/>
    <w:rsid w:val="007C0B19"/>
    <w:rsid w:val="007C2298"/>
    <w:rsid w:val="007C22BF"/>
    <w:rsid w:val="007C4B59"/>
    <w:rsid w:val="007D27CE"/>
    <w:rsid w:val="007D56FE"/>
    <w:rsid w:val="007E2490"/>
    <w:rsid w:val="007E3BA0"/>
    <w:rsid w:val="007E4B2A"/>
    <w:rsid w:val="007E5117"/>
    <w:rsid w:val="007E5EA3"/>
    <w:rsid w:val="007F2F25"/>
    <w:rsid w:val="007F3F4A"/>
    <w:rsid w:val="007F5973"/>
    <w:rsid w:val="007F68E8"/>
    <w:rsid w:val="008025E1"/>
    <w:rsid w:val="00803E54"/>
    <w:rsid w:val="00806FAA"/>
    <w:rsid w:val="00816284"/>
    <w:rsid w:val="0081762C"/>
    <w:rsid w:val="0082471F"/>
    <w:rsid w:val="0083070A"/>
    <w:rsid w:val="00830AE0"/>
    <w:rsid w:val="00830F66"/>
    <w:rsid w:val="00836B02"/>
    <w:rsid w:val="00841BD1"/>
    <w:rsid w:val="00841CAA"/>
    <w:rsid w:val="008465FC"/>
    <w:rsid w:val="00870B6D"/>
    <w:rsid w:val="008809E4"/>
    <w:rsid w:val="008870A7"/>
    <w:rsid w:val="0088787A"/>
    <w:rsid w:val="00892EDF"/>
    <w:rsid w:val="00893531"/>
    <w:rsid w:val="00894643"/>
    <w:rsid w:val="008A1A07"/>
    <w:rsid w:val="008A317B"/>
    <w:rsid w:val="008B780B"/>
    <w:rsid w:val="008C0570"/>
    <w:rsid w:val="008D3F3C"/>
    <w:rsid w:val="008D466F"/>
    <w:rsid w:val="008D4E04"/>
    <w:rsid w:val="008D61FC"/>
    <w:rsid w:val="008E341A"/>
    <w:rsid w:val="008E50A2"/>
    <w:rsid w:val="008E5D4C"/>
    <w:rsid w:val="008F2425"/>
    <w:rsid w:val="008F79E1"/>
    <w:rsid w:val="00901A57"/>
    <w:rsid w:val="0090203B"/>
    <w:rsid w:val="00903A5D"/>
    <w:rsid w:val="009048A5"/>
    <w:rsid w:val="00912303"/>
    <w:rsid w:val="009167E8"/>
    <w:rsid w:val="0091715F"/>
    <w:rsid w:val="00917279"/>
    <w:rsid w:val="009213D9"/>
    <w:rsid w:val="0092488D"/>
    <w:rsid w:val="00925E7C"/>
    <w:rsid w:val="0093047E"/>
    <w:rsid w:val="00931462"/>
    <w:rsid w:val="00932EFA"/>
    <w:rsid w:val="00934EA3"/>
    <w:rsid w:val="009361A0"/>
    <w:rsid w:val="009363DA"/>
    <w:rsid w:val="00936B32"/>
    <w:rsid w:val="0093798F"/>
    <w:rsid w:val="00937BD5"/>
    <w:rsid w:val="00940040"/>
    <w:rsid w:val="009443B7"/>
    <w:rsid w:val="00944519"/>
    <w:rsid w:val="009500F5"/>
    <w:rsid w:val="009605DA"/>
    <w:rsid w:val="00962696"/>
    <w:rsid w:val="009640A0"/>
    <w:rsid w:val="00964CEF"/>
    <w:rsid w:val="00967D16"/>
    <w:rsid w:val="00970F70"/>
    <w:rsid w:val="00973497"/>
    <w:rsid w:val="00975168"/>
    <w:rsid w:val="00981A00"/>
    <w:rsid w:val="00981F1B"/>
    <w:rsid w:val="00982351"/>
    <w:rsid w:val="009A4E66"/>
    <w:rsid w:val="009A5D43"/>
    <w:rsid w:val="009B21CB"/>
    <w:rsid w:val="009B2695"/>
    <w:rsid w:val="009B660C"/>
    <w:rsid w:val="009B6F42"/>
    <w:rsid w:val="009B7A36"/>
    <w:rsid w:val="009C3039"/>
    <w:rsid w:val="009C4566"/>
    <w:rsid w:val="009C5368"/>
    <w:rsid w:val="009C6B81"/>
    <w:rsid w:val="009C6FCA"/>
    <w:rsid w:val="009D069B"/>
    <w:rsid w:val="009D0EC9"/>
    <w:rsid w:val="009D2834"/>
    <w:rsid w:val="009D306E"/>
    <w:rsid w:val="009D3523"/>
    <w:rsid w:val="009D3CFF"/>
    <w:rsid w:val="009E1E06"/>
    <w:rsid w:val="009E316E"/>
    <w:rsid w:val="009E6A4B"/>
    <w:rsid w:val="009F7ED8"/>
    <w:rsid w:val="00A008DD"/>
    <w:rsid w:val="00A03997"/>
    <w:rsid w:val="00A13C32"/>
    <w:rsid w:val="00A25367"/>
    <w:rsid w:val="00A269F7"/>
    <w:rsid w:val="00A279AF"/>
    <w:rsid w:val="00A27B74"/>
    <w:rsid w:val="00A328F2"/>
    <w:rsid w:val="00A33B10"/>
    <w:rsid w:val="00A366D0"/>
    <w:rsid w:val="00A4133B"/>
    <w:rsid w:val="00A42D92"/>
    <w:rsid w:val="00A4638A"/>
    <w:rsid w:val="00A47273"/>
    <w:rsid w:val="00A479F1"/>
    <w:rsid w:val="00A5019E"/>
    <w:rsid w:val="00A513BD"/>
    <w:rsid w:val="00A51A4C"/>
    <w:rsid w:val="00A558D8"/>
    <w:rsid w:val="00A55FCF"/>
    <w:rsid w:val="00A611DA"/>
    <w:rsid w:val="00A63A2B"/>
    <w:rsid w:val="00A63F91"/>
    <w:rsid w:val="00A70240"/>
    <w:rsid w:val="00A740F1"/>
    <w:rsid w:val="00A76682"/>
    <w:rsid w:val="00A82C07"/>
    <w:rsid w:val="00A844AD"/>
    <w:rsid w:val="00A85C5A"/>
    <w:rsid w:val="00A9161A"/>
    <w:rsid w:val="00A936B7"/>
    <w:rsid w:val="00A96241"/>
    <w:rsid w:val="00A96E2E"/>
    <w:rsid w:val="00A97254"/>
    <w:rsid w:val="00AA0FC6"/>
    <w:rsid w:val="00AA5654"/>
    <w:rsid w:val="00AB3CEE"/>
    <w:rsid w:val="00AB3EC2"/>
    <w:rsid w:val="00AC047D"/>
    <w:rsid w:val="00AC0C89"/>
    <w:rsid w:val="00AC185A"/>
    <w:rsid w:val="00AC2517"/>
    <w:rsid w:val="00AC4990"/>
    <w:rsid w:val="00AC55F9"/>
    <w:rsid w:val="00AC7A56"/>
    <w:rsid w:val="00AD1873"/>
    <w:rsid w:val="00AD2CB9"/>
    <w:rsid w:val="00AD3CA2"/>
    <w:rsid w:val="00AD418F"/>
    <w:rsid w:val="00AD5DC2"/>
    <w:rsid w:val="00AE1BF1"/>
    <w:rsid w:val="00AE3BAD"/>
    <w:rsid w:val="00AE5A6D"/>
    <w:rsid w:val="00AE6942"/>
    <w:rsid w:val="00AF0818"/>
    <w:rsid w:val="00AF3C09"/>
    <w:rsid w:val="00AF576B"/>
    <w:rsid w:val="00AF6C07"/>
    <w:rsid w:val="00B02F67"/>
    <w:rsid w:val="00B04B1A"/>
    <w:rsid w:val="00B04B20"/>
    <w:rsid w:val="00B10FDD"/>
    <w:rsid w:val="00B16C6C"/>
    <w:rsid w:val="00B20C41"/>
    <w:rsid w:val="00B243D9"/>
    <w:rsid w:val="00B25CF1"/>
    <w:rsid w:val="00B3528A"/>
    <w:rsid w:val="00B3529B"/>
    <w:rsid w:val="00B40F58"/>
    <w:rsid w:val="00B43486"/>
    <w:rsid w:val="00B43A59"/>
    <w:rsid w:val="00B43F30"/>
    <w:rsid w:val="00B5052B"/>
    <w:rsid w:val="00B50E31"/>
    <w:rsid w:val="00B525D4"/>
    <w:rsid w:val="00B61FCE"/>
    <w:rsid w:val="00B635F6"/>
    <w:rsid w:val="00B64B2E"/>
    <w:rsid w:val="00B6673B"/>
    <w:rsid w:val="00B71194"/>
    <w:rsid w:val="00B71240"/>
    <w:rsid w:val="00B72BD9"/>
    <w:rsid w:val="00B84419"/>
    <w:rsid w:val="00B85B6E"/>
    <w:rsid w:val="00B87974"/>
    <w:rsid w:val="00B87CC8"/>
    <w:rsid w:val="00B87FEF"/>
    <w:rsid w:val="00B905AE"/>
    <w:rsid w:val="00B92689"/>
    <w:rsid w:val="00B9416D"/>
    <w:rsid w:val="00BA0E02"/>
    <w:rsid w:val="00BA2DB0"/>
    <w:rsid w:val="00BA3C0F"/>
    <w:rsid w:val="00BB1678"/>
    <w:rsid w:val="00BB17F7"/>
    <w:rsid w:val="00BB3A4B"/>
    <w:rsid w:val="00BB4420"/>
    <w:rsid w:val="00BC3430"/>
    <w:rsid w:val="00BC365E"/>
    <w:rsid w:val="00BD0868"/>
    <w:rsid w:val="00BD1D17"/>
    <w:rsid w:val="00BD5D82"/>
    <w:rsid w:val="00BE20ED"/>
    <w:rsid w:val="00BE36B6"/>
    <w:rsid w:val="00BE3D52"/>
    <w:rsid w:val="00BE4A27"/>
    <w:rsid w:val="00BF2953"/>
    <w:rsid w:val="00BF3438"/>
    <w:rsid w:val="00BF436E"/>
    <w:rsid w:val="00BF47DE"/>
    <w:rsid w:val="00BF5372"/>
    <w:rsid w:val="00BF718E"/>
    <w:rsid w:val="00C02A86"/>
    <w:rsid w:val="00C04449"/>
    <w:rsid w:val="00C0708C"/>
    <w:rsid w:val="00C07FE6"/>
    <w:rsid w:val="00C13747"/>
    <w:rsid w:val="00C13968"/>
    <w:rsid w:val="00C2005E"/>
    <w:rsid w:val="00C20087"/>
    <w:rsid w:val="00C25AE3"/>
    <w:rsid w:val="00C26C48"/>
    <w:rsid w:val="00C302FA"/>
    <w:rsid w:val="00C3285C"/>
    <w:rsid w:val="00C337E2"/>
    <w:rsid w:val="00C37037"/>
    <w:rsid w:val="00C4275C"/>
    <w:rsid w:val="00C50AF0"/>
    <w:rsid w:val="00C51230"/>
    <w:rsid w:val="00C54FC2"/>
    <w:rsid w:val="00C55CAC"/>
    <w:rsid w:val="00C573A9"/>
    <w:rsid w:val="00C61223"/>
    <w:rsid w:val="00C65367"/>
    <w:rsid w:val="00C70BE2"/>
    <w:rsid w:val="00C741D1"/>
    <w:rsid w:val="00C83526"/>
    <w:rsid w:val="00C90E30"/>
    <w:rsid w:val="00C9147B"/>
    <w:rsid w:val="00C941AD"/>
    <w:rsid w:val="00C948AA"/>
    <w:rsid w:val="00C9775D"/>
    <w:rsid w:val="00CA2F47"/>
    <w:rsid w:val="00CA57C4"/>
    <w:rsid w:val="00CA6CB3"/>
    <w:rsid w:val="00CB13F8"/>
    <w:rsid w:val="00CB23EE"/>
    <w:rsid w:val="00CB3112"/>
    <w:rsid w:val="00CB384A"/>
    <w:rsid w:val="00CB5BDF"/>
    <w:rsid w:val="00CC045B"/>
    <w:rsid w:val="00CD17CA"/>
    <w:rsid w:val="00CD1947"/>
    <w:rsid w:val="00CD20AA"/>
    <w:rsid w:val="00CD393D"/>
    <w:rsid w:val="00CE0B15"/>
    <w:rsid w:val="00CE301F"/>
    <w:rsid w:val="00CE3EF2"/>
    <w:rsid w:val="00CE707F"/>
    <w:rsid w:val="00CF79C8"/>
    <w:rsid w:val="00D002B4"/>
    <w:rsid w:val="00D01B18"/>
    <w:rsid w:val="00D05732"/>
    <w:rsid w:val="00D0644D"/>
    <w:rsid w:val="00D07212"/>
    <w:rsid w:val="00D07E90"/>
    <w:rsid w:val="00D119F5"/>
    <w:rsid w:val="00D16125"/>
    <w:rsid w:val="00D214A1"/>
    <w:rsid w:val="00D23692"/>
    <w:rsid w:val="00D2408A"/>
    <w:rsid w:val="00D2452E"/>
    <w:rsid w:val="00D2562F"/>
    <w:rsid w:val="00D268BF"/>
    <w:rsid w:val="00D30558"/>
    <w:rsid w:val="00D34442"/>
    <w:rsid w:val="00D3484E"/>
    <w:rsid w:val="00D3776F"/>
    <w:rsid w:val="00D42734"/>
    <w:rsid w:val="00D42FD4"/>
    <w:rsid w:val="00D45C47"/>
    <w:rsid w:val="00D4602A"/>
    <w:rsid w:val="00D47480"/>
    <w:rsid w:val="00D50841"/>
    <w:rsid w:val="00D53B59"/>
    <w:rsid w:val="00D53F4F"/>
    <w:rsid w:val="00D6136C"/>
    <w:rsid w:val="00D618B7"/>
    <w:rsid w:val="00D64906"/>
    <w:rsid w:val="00D65089"/>
    <w:rsid w:val="00D659B2"/>
    <w:rsid w:val="00D6613D"/>
    <w:rsid w:val="00D66C0C"/>
    <w:rsid w:val="00D70498"/>
    <w:rsid w:val="00D73D07"/>
    <w:rsid w:val="00D74372"/>
    <w:rsid w:val="00D75BA3"/>
    <w:rsid w:val="00D76209"/>
    <w:rsid w:val="00D817DA"/>
    <w:rsid w:val="00D8311C"/>
    <w:rsid w:val="00D83531"/>
    <w:rsid w:val="00D8457E"/>
    <w:rsid w:val="00D87E36"/>
    <w:rsid w:val="00D90D96"/>
    <w:rsid w:val="00D93F85"/>
    <w:rsid w:val="00DA3194"/>
    <w:rsid w:val="00DA34F0"/>
    <w:rsid w:val="00DA6E7A"/>
    <w:rsid w:val="00DB1AB6"/>
    <w:rsid w:val="00DB20F4"/>
    <w:rsid w:val="00DB3182"/>
    <w:rsid w:val="00DB7B41"/>
    <w:rsid w:val="00DD1839"/>
    <w:rsid w:val="00DD5436"/>
    <w:rsid w:val="00DD716E"/>
    <w:rsid w:val="00DE464F"/>
    <w:rsid w:val="00DE6310"/>
    <w:rsid w:val="00DE64C2"/>
    <w:rsid w:val="00DF25E8"/>
    <w:rsid w:val="00DF524E"/>
    <w:rsid w:val="00DF5A39"/>
    <w:rsid w:val="00E006E2"/>
    <w:rsid w:val="00E009F3"/>
    <w:rsid w:val="00E00D94"/>
    <w:rsid w:val="00E019B6"/>
    <w:rsid w:val="00E060EA"/>
    <w:rsid w:val="00E10A66"/>
    <w:rsid w:val="00E14FE4"/>
    <w:rsid w:val="00E1502A"/>
    <w:rsid w:val="00E15497"/>
    <w:rsid w:val="00E154A3"/>
    <w:rsid w:val="00E15500"/>
    <w:rsid w:val="00E16789"/>
    <w:rsid w:val="00E201A8"/>
    <w:rsid w:val="00E2127E"/>
    <w:rsid w:val="00E213C1"/>
    <w:rsid w:val="00E22F1D"/>
    <w:rsid w:val="00E25182"/>
    <w:rsid w:val="00E30FD0"/>
    <w:rsid w:val="00E31603"/>
    <w:rsid w:val="00E324DC"/>
    <w:rsid w:val="00E4025B"/>
    <w:rsid w:val="00E42D87"/>
    <w:rsid w:val="00E43438"/>
    <w:rsid w:val="00E45AC0"/>
    <w:rsid w:val="00E512C6"/>
    <w:rsid w:val="00E5186A"/>
    <w:rsid w:val="00E52DFE"/>
    <w:rsid w:val="00E61B19"/>
    <w:rsid w:val="00E63B83"/>
    <w:rsid w:val="00E70280"/>
    <w:rsid w:val="00E720C8"/>
    <w:rsid w:val="00E7799D"/>
    <w:rsid w:val="00E77D34"/>
    <w:rsid w:val="00E821C9"/>
    <w:rsid w:val="00E83385"/>
    <w:rsid w:val="00E86831"/>
    <w:rsid w:val="00E90C89"/>
    <w:rsid w:val="00EA09EA"/>
    <w:rsid w:val="00EA1B6C"/>
    <w:rsid w:val="00EA36A5"/>
    <w:rsid w:val="00EA57FE"/>
    <w:rsid w:val="00EB22CC"/>
    <w:rsid w:val="00EB27C7"/>
    <w:rsid w:val="00EB5EC0"/>
    <w:rsid w:val="00EC5653"/>
    <w:rsid w:val="00EC6F57"/>
    <w:rsid w:val="00EC77F0"/>
    <w:rsid w:val="00ED03D4"/>
    <w:rsid w:val="00ED14A7"/>
    <w:rsid w:val="00ED43B7"/>
    <w:rsid w:val="00ED4D45"/>
    <w:rsid w:val="00ED5FF1"/>
    <w:rsid w:val="00EE0770"/>
    <w:rsid w:val="00EF28EB"/>
    <w:rsid w:val="00EF2A8B"/>
    <w:rsid w:val="00EF2AF4"/>
    <w:rsid w:val="00EF62C6"/>
    <w:rsid w:val="00EF73A1"/>
    <w:rsid w:val="00F03F6C"/>
    <w:rsid w:val="00F05CDD"/>
    <w:rsid w:val="00F11186"/>
    <w:rsid w:val="00F11284"/>
    <w:rsid w:val="00F12E0C"/>
    <w:rsid w:val="00F178D6"/>
    <w:rsid w:val="00F17F54"/>
    <w:rsid w:val="00F20C6E"/>
    <w:rsid w:val="00F2102F"/>
    <w:rsid w:val="00F31C42"/>
    <w:rsid w:val="00F35C3E"/>
    <w:rsid w:val="00F36322"/>
    <w:rsid w:val="00F370AE"/>
    <w:rsid w:val="00F436BC"/>
    <w:rsid w:val="00F43F82"/>
    <w:rsid w:val="00F44792"/>
    <w:rsid w:val="00F4617E"/>
    <w:rsid w:val="00F4772F"/>
    <w:rsid w:val="00F50CFE"/>
    <w:rsid w:val="00F543C2"/>
    <w:rsid w:val="00F60E46"/>
    <w:rsid w:val="00F64779"/>
    <w:rsid w:val="00F67264"/>
    <w:rsid w:val="00F73086"/>
    <w:rsid w:val="00F7706D"/>
    <w:rsid w:val="00F774A9"/>
    <w:rsid w:val="00F808EA"/>
    <w:rsid w:val="00F83D62"/>
    <w:rsid w:val="00F86ECA"/>
    <w:rsid w:val="00F90DDE"/>
    <w:rsid w:val="00F941B0"/>
    <w:rsid w:val="00F96FBF"/>
    <w:rsid w:val="00FA4A6E"/>
    <w:rsid w:val="00FA5345"/>
    <w:rsid w:val="00FB201B"/>
    <w:rsid w:val="00FB29BD"/>
    <w:rsid w:val="00FB583B"/>
    <w:rsid w:val="00FB60D5"/>
    <w:rsid w:val="00FC51A2"/>
    <w:rsid w:val="00FC556C"/>
    <w:rsid w:val="00FC62F7"/>
    <w:rsid w:val="00FC6644"/>
    <w:rsid w:val="00FD0AEE"/>
    <w:rsid w:val="00FE12D9"/>
    <w:rsid w:val="00FE36AE"/>
    <w:rsid w:val="00FE5773"/>
    <w:rsid w:val="00FF2BDC"/>
    <w:rsid w:val="0FDA3808"/>
    <w:rsid w:val="1B15BB05"/>
    <w:rsid w:val="1BCF6DE5"/>
    <w:rsid w:val="1C930AC5"/>
    <w:rsid w:val="21EC2B4A"/>
    <w:rsid w:val="2E405026"/>
    <w:rsid w:val="35E4E79A"/>
    <w:rsid w:val="38B0DB6D"/>
    <w:rsid w:val="3D4159AD"/>
    <w:rsid w:val="3E13E070"/>
    <w:rsid w:val="3EB1393D"/>
    <w:rsid w:val="47149C11"/>
    <w:rsid w:val="4D8D0F8E"/>
    <w:rsid w:val="4E723307"/>
    <w:rsid w:val="596737EB"/>
    <w:rsid w:val="5A4F3873"/>
    <w:rsid w:val="611A5438"/>
    <w:rsid w:val="6ADF639D"/>
    <w:rsid w:val="75515248"/>
    <w:rsid w:val="7D985E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A4F96"/>
  <w15:docId w15:val="{14A922AC-F1E4-4546-AF8C-9F8D1BB0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0"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paragraph" w:styleId="FootnoteText">
    <w:name w:val="footnote text"/>
    <w:aliases w:val=" Char,Char"/>
    <w:basedOn w:val="Normal"/>
    <w:link w:val="FootnoteTextChar"/>
    <w:uiPriority w:val="99"/>
    <w:unhideWhenUsed/>
    <w:rsid w:val="00681F4E"/>
    <w:rPr>
      <w:sz w:val="20"/>
    </w:rPr>
  </w:style>
  <w:style w:type="character" w:customStyle="1" w:styleId="FootnoteTextChar">
    <w:name w:val="Footnote Text Char"/>
    <w:aliases w:val=" Char Char,Char Char"/>
    <w:basedOn w:val="DefaultParagraphFont"/>
    <w:link w:val="FootnoteText"/>
    <w:uiPriority w:val="99"/>
    <w:rsid w:val="00681F4E"/>
    <w:rPr>
      <w:rFonts w:ascii="Trebuchet MS" w:eastAsia="Times New Roman" w:hAnsi="Trebuchet MS"/>
    </w:rPr>
  </w:style>
  <w:style w:type="character" w:styleId="FootnoteReference">
    <w:name w:val="footnote reference"/>
    <w:basedOn w:val="DefaultParagraphFont"/>
    <w:uiPriority w:val="99"/>
    <w:unhideWhenUsed/>
    <w:qFormat/>
    <w:rsid w:val="00681F4E"/>
    <w:rPr>
      <w:vertAlign w:val="superscript"/>
    </w:rPr>
  </w:style>
  <w:style w:type="paragraph" w:styleId="Revision">
    <w:name w:val="Revision"/>
    <w:hidden/>
    <w:uiPriority w:val="99"/>
    <w:semiHidden/>
    <w:rsid w:val="00AC0C89"/>
    <w:rPr>
      <w:rFonts w:ascii="Trebuchet MS" w:eastAsia="Times New Roman" w:hAnsi="Trebuchet MS"/>
      <w:sz w:val="22"/>
    </w:rPr>
  </w:style>
  <w:style w:type="paragraph" w:customStyle="1" w:styleId="base-text-paragraph">
    <w:name w:val="base-text-paragraph"/>
    <w:basedOn w:val="Normal"/>
    <w:link w:val="base-text-paragraphChar"/>
    <w:qFormat/>
    <w:rsid w:val="00A4638A"/>
    <w:pPr>
      <w:tabs>
        <w:tab w:val="num" w:pos="1985"/>
      </w:tabs>
      <w:spacing w:before="120" w:after="120"/>
      <w:ind w:left="1134"/>
    </w:pPr>
    <w:rPr>
      <w:rFonts w:ascii="Times New Roman" w:hAnsi="Times New Roman"/>
    </w:rPr>
  </w:style>
  <w:style w:type="character" w:customStyle="1" w:styleId="base-text-paragraphChar">
    <w:name w:val="base-text-paragraph Char"/>
    <w:basedOn w:val="DefaultParagraphFont"/>
    <w:link w:val="base-text-paragraph"/>
    <w:rsid w:val="00A4638A"/>
    <w:rPr>
      <w:rFonts w:ascii="Times New Roman" w:eastAsia="Times New Roman" w:hAnsi="Times New Roman"/>
      <w:sz w:val="22"/>
    </w:rPr>
  </w:style>
  <w:style w:type="numbering" w:customStyle="1" w:styleId="ChapterList">
    <w:name w:val="ChapterList"/>
    <w:uiPriority w:val="99"/>
    <w:rsid w:val="00A4638A"/>
    <w:pPr>
      <w:numPr>
        <w:numId w:val="9"/>
      </w:numPr>
    </w:pPr>
  </w:style>
  <w:style w:type="paragraph" w:customStyle="1" w:styleId="Diagram">
    <w:name w:val="Diagram"/>
    <w:basedOn w:val="Normal"/>
    <w:next w:val="Normal"/>
    <w:rsid w:val="00A4638A"/>
    <w:pPr>
      <w:keepNext/>
      <w:ind w:left="1134"/>
    </w:pPr>
    <w:rPr>
      <w:rFonts w:ascii="Times New Roman" w:hAnsi="Times New Roman"/>
      <w:b/>
    </w:rPr>
  </w:style>
  <w:style w:type="paragraph" w:customStyle="1" w:styleId="ExampleHeading">
    <w:name w:val="Example Heading"/>
    <w:basedOn w:val="Normal"/>
    <w:next w:val="Normal"/>
    <w:rsid w:val="00A4638A"/>
    <w:pPr>
      <w:keepNext/>
      <w:spacing w:before="120" w:after="120"/>
      <w:ind w:left="1134"/>
    </w:pPr>
    <w:rPr>
      <w:rFonts w:ascii="Times New Roman" w:hAnsi="Times New Roman"/>
      <w:b/>
    </w:rPr>
  </w:style>
  <w:style w:type="paragraph" w:customStyle="1" w:styleId="TableHeadingoutsidetable">
    <w:name w:val="Table Heading (outside table)"/>
    <w:basedOn w:val="Heading4"/>
    <w:rsid w:val="00A4638A"/>
    <w:pPr>
      <w:keepNext/>
      <w:tabs>
        <w:tab w:val="num" w:pos="360"/>
      </w:tabs>
      <w:spacing w:before="120" w:after="200"/>
      <w:ind w:left="1134"/>
    </w:pPr>
    <w:rPr>
      <w:rFonts w:ascii="Times New Roman" w:hAnsi="Times New Roman"/>
      <w:b/>
      <w:color w:val="auto"/>
      <w:sz w:val="22"/>
    </w:rPr>
  </w:style>
  <w:style w:type="character" w:styleId="Mention">
    <w:name w:val="Mention"/>
    <w:basedOn w:val="DefaultParagraphFont"/>
    <w:uiPriority w:val="99"/>
    <w:unhideWhenUsed/>
    <w:rsid w:val="00260CC6"/>
    <w:rPr>
      <w:color w:val="2B579A"/>
      <w:shd w:val="clear" w:color="auto" w:fill="E1DFDD"/>
    </w:rPr>
  </w:style>
  <w:style w:type="paragraph" w:styleId="NormalWeb">
    <w:name w:val="Normal (Web)"/>
    <w:basedOn w:val="Normal"/>
    <w:uiPriority w:val="99"/>
    <w:rsid w:val="00FF2BDC"/>
    <w:pPr>
      <w:spacing w:after="240"/>
      <w:jc w:val="both"/>
    </w:pPr>
    <w:rPr>
      <w:rFonts w:asciiTheme="minorHAnsi" w:eastAsiaTheme="minorHAnsi" w:hAnsiTheme="minorHAnsi"/>
      <w:color w:val="000000"/>
      <w:szCs w:val="22"/>
      <w:lang w:eastAsia="en-US"/>
    </w:rPr>
  </w:style>
  <w:style w:type="paragraph" w:styleId="List">
    <w:name w:val="List"/>
    <w:basedOn w:val="Normal"/>
    <w:uiPriority w:val="17"/>
    <w:qFormat/>
    <w:rsid w:val="008D4E04"/>
    <w:pPr>
      <w:tabs>
        <w:tab w:val="num" w:pos="425"/>
      </w:tabs>
      <w:spacing w:after="240"/>
      <w:ind w:left="425" w:hanging="425"/>
      <w:jc w:val="both"/>
    </w:pPr>
    <w:rPr>
      <w:rFonts w:ascii="Arial" w:eastAsiaTheme="minorHAnsi" w:hAnsi="Arial" w:cstheme="minorBidi"/>
      <w:color w:val="000000"/>
      <w:szCs w:val="22"/>
      <w:lang w:eastAsia="en-US"/>
    </w:rPr>
  </w:style>
  <w:style w:type="numbering" w:styleId="1ai">
    <w:name w:val="Outline List 1"/>
    <w:basedOn w:val="NoList"/>
    <w:uiPriority w:val="99"/>
    <w:semiHidden/>
    <w:unhideWhenUsed/>
    <w:rsid w:val="008D4E04"/>
    <w:pPr>
      <w:numPr>
        <w:numId w:val="11"/>
      </w:numPr>
    </w:pPr>
  </w:style>
  <w:style w:type="character" w:styleId="UnresolvedMention">
    <w:name w:val="Unresolved Mention"/>
    <w:basedOn w:val="DefaultParagraphFont"/>
    <w:uiPriority w:val="99"/>
    <w:semiHidden/>
    <w:unhideWhenUsed/>
    <w:rsid w:val="00C20087"/>
    <w:rPr>
      <w:color w:val="605E5C"/>
      <w:shd w:val="clear" w:color="auto" w:fill="E1DFDD"/>
    </w:rPr>
  </w:style>
  <w:style w:type="character" w:styleId="FollowedHyperlink">
    <w:name w:val="FollowedHyperlink"/>
    <w:basedOn w:val="DefaultParagraphFont"/>
    <w:uiPriority w:val="99"/>
    <w:semiHidden/>
    <w:unhideWhenUsed/>
    <w:rsid w:val="00E324DC"/>
    <w:rPr>
      <w:color w:val="800080" w:themeColor="followedHyperlink"/>
      <w:u w:val="single"/>
    </w:rPr>
  </w:style>
  <w:style w:type="character" w:customStyle="1" w:styleId="BodyText1Char">
    <w:name w:val="Body Text 1 Char"/>
    <w:basedOn w:val="DefaultParagraphFont"/>
    <w:link w:val="BodyText1"/>
    <w:rsid w:val="00291D6B"/>
    <w:rPr>
      <w:rFonts w:eastAsia="Times New Roman"/>
    </w:rPr>
  </w:style>
  <w:style w:type="paragraph" w:customStyle="1" w:styleId="BodyText1">
    <w:name w:val="Body Text 1"/>
    <w:basedOn w:val="Normal"/>
    <w:link w:val="BodyText1Char"/>
    <w:qFormat/>
    <w:rsid w:val="00291D6B"/>
    <w:pPr>
      <w:tabs>
        <w:tab w:val="num" w:pos="567"/>
      </w:tabs>
      <w:spacing w:after="240"/>
      <w:ind w:left="567" w:hanging="567"/>
      <w:jc w:val="both"/>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674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discussion-paper-strategic-planning-and-member-outcomes-proposed-enhancements" TargetMode="External"/><Relationship Id="rId2" Type="http://schemas.openxmlformats.org/officeDocument/2006/relationships/hyperlink" Target="https://www.legislation.gov.au/C2022A00008/asmade/text" TargetMode="External"/><Relationship Id="rId1" Type="http://schemas.openxmlformats.org/officeDocument/2006/relationships/hyperlink" Target="https://www.legislation.gov.au/C2021A00046/asmade/text" TargetMode="External"/><Relationship Id="rId5" Type="http://schemas.openxmlformats.org/officeDocument/2006/relationships/hyperlink" Target="https://www.apra.gov.au/strategic-planning-and-member-outcomes-proposed-enhancements" TargetMode="External"/><Relationship Id="rId4" Type="http://schemas.openxmlformats.org/officeDocument/2006/relationships/hyperlink" Target="https://www.apra.gov.au/transfer-planning-superannuation-proposed-enha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104</Value>
      <Value>19</Value>
      <Value>109</Value>
      <Value>185</Value>
      <Value>2</Value>
    </TaxCatchAll>
    <SharedWithUsers xmlns="92a8a7e8-49a1-4017-acf0-0edc7cce208b">
      <UserInfo>
        <DisplayName>Katherine Eyre</DisplayName>
        <AccountId>73</AccountId>
        <AccountType/>
      </UserInfo>
      <UserInfo>
        <DisplayName>Toni Michalis</DisplayName>
        <AccountId>32</AccountId>
        <AccountType/>
      </UserInfo>
      <UserInfo>
        <DisplayName>Claire Mitchell</DisplayName>
        <AccountId>29</AccountId>
        <AccountType/>
      </UserInfo>
      <UserInfo>
        <DisplayName>Ruth Tobin</DisplayName>
        <AccountId>30</AccountId>
        <AccountType/>
      </UserInfo>
      <UserInfo>
        <DisplayName>Warren Staley</DisplayName>
        <AccountId>26</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0DA33E37-3A15-4238-914A-B93CE3B76690}">
  <ds:schemaRefs>
    <ds:schemaRef ds:uri="http://schemas.microsoft.com/sharepoint/v3/contenttype/forms"/>
  </ds:schemaRefs>
</ds:datastoreItem>
</file>

<file path=customXml/itemProps2.xml><?xml version="1.0" encoding="utf-8"?>
<ds:datastoreItem xmlns:ds="http://schemas.openxmlformats.org/officeDocument/2006/customXml" ds:itemID="{955667A2-A1C5-4B1E-8B90-00D59AF6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829EE-2ACF-450B-BED0-FD186E501026}">
  <ds:schemaRefs>
    <ds:schemaRef ds:uri="http://schemas.openxmlformats.org/officeDocument/2006/bibliography"/>
  </ds:schemaRefs>
</ds:datastoreItem>
</file>

<file path=customXml/itemProps4.xml><?xml version="1.0" encoding="utf-8"?>
<ds:datastoreItem xmlns:ds="http://schemas.openxmlformats.org/officeDocument/2006/customXml" ds:itemID="{A41451B0-2E89-4641-B70F-9CD07A414E84}">
  <ds:schemaRefs>
    <ds:schemaRef ds:uri="http://purl.org/dc/terms/"/>
    <ds:schemaRef ds:uri="http://purl.org/dc/elements/1.1/"/>
    <ds:schemaRef ds:uri="http://schemas.microsoft.com/office/2006/documentManagement/types"/>
    <ds:schemaRef ds:uri="79530295-9eea-494d-b82a-9ff74409eafc"/>
    <ds:schemaRef ds:uri="http://schemas.microsoft.com/office/2006/metadata/properties"/>
    <ds:schemaRef ds:uri="http://purl.org/dc/dcmitype/"/>
    <ds:schemaRef ds:uri="5664482d-1961-4d38-bfc2-b109b3418834"/>
    <ds:schemaRef ds:uri="http://schemas.microsoft.com/office/infopath/2007/PartnerControls"/>
    <ds:schemaRef ds:uri="http://schemas.openxmlformats.org/package/2006/metadata/core-properties"/>
    <ds:schemaRef ds:uri="http://www.w3.org/XML/1998/namespace"/>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2609</Words>
  <Characters>14627</Characters>
  <Application>Microsoft Office Word</Application>
  <DocSecurity>0</DocSecurity>
  <Lines>279</Lines>
  <Paragraphs>95</Paragraphs>
  <ScaleCrop>false</ScaleCrop>
  <HeadingPairs>
    <vt:vector size="2" baseType="variant">
      <vt:variant>
        <vt:lpstr>Title</vt:lpstr>
      </vt:variant>
      <vt:variant>
        <vt:i4>1</vt:i4>
      </vt:variant>
    </vt:vector>
  </HeadingPairs>
  <TitlesOfParts>
    <vt:vector size="1" baseType="lpstr">
      <vt:lpstr>Explanatory Statement new consolidated prudential standard</vt:lpstr>
    </vt:vector>
  </TitlesOfParts>
  <Company>APRA</Company>
  <LinksUpToDate>false</LinksUpToDate>
  <CharactersWithSpaces>17193</CharactersWithSpaces>
  <SharedDoc>false</SharedDoc>
  <HLinks>
    <vt:vector size="36" baseType="variant">
      <vt:variant>
        <vt:i4>6946865</vt:i4>
      </vt:variant>
      <vt:variant>
        <vt:i4>0</vt:i4>
      </vt:variant>
      <vt:variant>
        <vt:i4>0</vt:i4>
      </vt:variant>
      <vt:variant>
        <vt:i4>5</vt:i4>
      </vt:variant>
      <vt:variant>
        <vt:lpwstr>http://www.legislation.gov.au/</vt:lpwstr>
      </vt:variant>
      <vt:variant>
        <vt:lpwstr/>
      </vt:variant>
      <vt:variant>
        <vt:i4>6225932</vt:i4>
      </vt:variant>
      <vt:variant>
        <vt:i4>12</vt:i4>
      </vt:variant>
      <vt:variant>
        <vt:i4>0</vt:i4>
      </vt:variant>
      <vt:variant>
        <vt:i4>5</vt:i4>
      </vt:variant>
      <vt:variant>
        <vt:lpwstr>https://www.apra.gov.au/strategic-planning-and-member-outcomes-proposed-enhancements</vt:lpwstr>
      </vt:variant>
      <vt:variant>
        <vt:lpwstr/>
      </vt:variant>
      <vt:variant>
        <vt:i4>7274549</vt:i4>
      </vt:variant>
      <vt:variant>
        <vt:i4>9</vt:i4>
      </vt:variant>
      <vt:variant>
        <vt:i4>0</vt:i4>
      </vt:variant>
      <vt:variant>
        <vt:i4>5</vt:i4>
      </vt:variant>
      <vt:variant>
        <vt:lpwstr>https://www.apra.gov.au/transfer-planning-superannuation-proposed-enhancements</vt:lpwstr>
      </vt:variant>
      <vt:variant>
        <vt:lpwstr/>
      </vt:variant>
      <vt:variant>
        <vt:i4>5177369</vt:i4>
      </vt:variant>
      <vt:variant>
        <vt:i4>6</vt:i4>
      </vt:variant>
      <vt:variant>
        <vt:i4>0</vt:i4>
      </vt:variant>
      <vt:variant>
        <vt:i4>5</vt:i4>
      </vt:variant>
      <vt:variant>
        <vt:lpwstr>https://www.apra.gov.au/discussion-paper-strategic-planning-and-member-outcomes-proposed-enhancements</vt:lpwstr>
      </vt:variant>
      <vt:variant>
        <vt:lpwstr/>
      </vt:variant>
      <vt:variant>
        <vt:i4>2490420</vt:i4>
      </vt:variant>
      <vt:variant>
        <vt:i4>3</vt:i4>
      </vt:variant>
      <vt:variant>
        <vt:i4>0</vt:i4>
      </vt:variant>
      <vt:variant>
        <vt:i4>5</vt:i4>
      </vt:variant>
      <vt:variant>
        <vt:lpwstr>https://www.legislation.gov.au/C2022A00008/asmade/text</vt:lpwstr>
      </vt:variant>
      <vt:variant>
        <vt:lpwstr/>
      </vt:variant>
      <vt:variant>
        <vt:i4>2818096</vt:i4>
      </vt:variant>
      <vt:variant>
        <vt:i4>0</vt:i4>
      </vt:variant>
      <vt:variant>
        <vt:i4>0</vt:i4>
      </vt:variant>
      <vt:variant>
        <vt:i4>5</vt:i4>
      </vt:variant>
      <vt:variant>
        <vt:lpwstr>https://www.legislation.gov.au/C2021A00046/asmade/text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consolidated prudential standard</dc:title>
  <dc:subject/>
  <dc:creator>Sullivan, David</dc:creator>
  <cp:keywords>[SEC=OFFICIAL]</cp:keywords>
  <cp:lastModifiedBy>Toni Michalis</cp:lastModifiedBy>
  <cp:revision>9</cp:revision>
  <cp:lastPrinted>2018-11-01T21:09:00Z</cp:lastPrinted>
  <dcterms:created xsi:type="dcterms:W3CDTF">2024-07-30T04:19:00Z</dcterms:created>
  <dcterms:modified xsi:type="dcterms:W3CDTF">2024-07-31T00:41:00Z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3B3BFAAD444A4BB9975EB3FD5CCF2729</vt:lpwstr>
  </property>
  <property fmtid="{D5CDD505-2E9C-101B-9397-08002B2CF9AE}" pid="14" name="PM_OriginationTimeStamp">
    <vt:lpwstr>2023-07-04T03:34:46Z</vt:lpwstr>
  </property>
  <property fmtid="{D5CDD505-2E9C-101B-9397-08002B2CF9AE}" pid="15" name="PM_Hash_Version">
    <vt:lpwstr>2022.1</vt:lpwstr>
  </property>
  <property fmtid="{D5CDD505-2E9C-101B-9397-08002B2CF9AE}" pid="16" name="ContentTypeId">
    <vt:lpwstr>0x01010080D163DB4DEE504FAB457909715FEC45</vt:lpwstr>
  </property>
  <property fmtid="{D5CDD505-2E9C-101B-9397-08002B2CF9AE}" pid="17" name="APRAPeriod">
    <vt:lpwstr/>
  </property>
  <property fmtid="{D5CDD505-2E9C-101B-9397-08002B2CF9AE}" pid="18" name="APRACostCentre">
    <vt:lpwstr>158;#PAD300|98bbdbe4-d019-48eb-87c4-aa31a7f2f98f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4e5e34eb-7f5c-4b8b-b93b-68638eee6636</vt:lpwstr>
  </property>
  <property fmtid="{D5CDD505-2E9C-101B-9397-08002B2CF9AE}" pid="23" name="IsLocked">
    <vt:lpwstr>Yes</vt:lpwstr>
  </property>
  <property fmtid="{D5CDD505-2E9C-101B-9397-08002B2CF9AE}" pid="24" name="IT system type">
    <vt:lpwstr/>
  </property>
  <property fmtid="{D5CDD505-2E9C-101B-9397-08002B2CF9AE}" pid="25" name="APRACategory">
    <vt:lpwstr/>
  </property>
  <property fmtid="{D5CDD505-2E9C-101B-9397-08002B2CF9AE}" pid="26" name="APRADocumentType">
    <vt:lpwstr>185;#Precedent|197f51c4-dc37-4f46-99ec-cabda449ee10;#104;#Legal advice - internal|1797320c-67a9-4876-a680-15db0859683b</vt:lpwstr>
  </property>
  <property fmtid="{D5CDD505-2E9C-101B-9397-08002B2CF9AE}" pid="27" name="APRAStatus">
    <vt:lpwstr>19;#Final|84d6b2d0-8498-4d62-bf46-bab38babbe9e</vt:lpwstr>
  </property>
  <property fmtid="{D5CDD505-2E9C-101B-9397-08002B2CF9AE}" pid="28" name="APRAActivity">
    <vt:lpwstr>109;#Statutory instrument|fe68928c-5a9c-4caf-bc8c-6c18cedcb17f;#2;#Legal advice|47dcad67-54ec-4c15-a2f1-eec9cf2f5637</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{8f988914-4376-4d4a-9e02-85c79f5d5824}</vt:lpwstr>
  </property>
  <property fmtid="{D5CDD505-2E9C-101B-9397-08002B2CF9AE}" pid="37" name="RecordPoint_ActiveItemUniqueId">
    <vt:lpwstr>{4e5e34eb-7f5c-4b8b-b93b-68638eee6636}</vt:lpwstr>
  </property>
  <property fmtid="{D5CDD505-2E9C-101B-9397-08002B2CF9AE}" pid="38" name="RecordPoint_RecordNumberSubmitted">
    <vt:lpwstr>R0000511881</vt:lpwstr>
  </property>
  <property fmtid="{D5CDD505-2E9C-101B-9397-08002B2CF9AE}" pid="39" name="RecordPoint_SubmissionCompleted">
    <vt:lpwstr>2018-11-07T12:35:27.4508800+11:00</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MSIP_Label_c0129afb-6481-4f92-bc9f-5a4a6346364d_Method">
    <vt:lpwstr>Privileged</vt:lpwstr>
  </property>
  <property fmtid="{D5CDD505-2E9C-101B-9397-08002B2CF9AE}" pid="44" name="MSIP_Label_c0129afb-6481-4f92-bc9f-5a4a6346364d_SetDate">
    <vt:lpwstr>2023-07-04T03:34:46Z</vt:lpwstr>
  </property>
  <property fmtid="{D5CDD505-2E9C-101B-9397-08002B2CF9AE}" pid="45" name="PM_Note">
    <vt:lpwstr/>
  </property>
  <property fmtid="{D5CDD505-2E9C-101B-9397-08002B2CF9AE}" pid="46" name="PM_Markers">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ContentBits">
    <vt:lpwstr>0</vt:lpwstr>
  </property>
  <property fmtid="{D5CDD505-2E9C-101B-9397-08002B2CF9AE}" pid="50" name="MSIP_Label_c0129afb-6481-4f92-bc9f-5a4a6346364d_Enabled">
    <vt:lpwstr>true</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PM_Display">
    <vt:lpwstr>OFFICIAL</vt:lpwstr>
  </property>
  <property fmtid="{D5CDD505-2E9C-101B-9397-08002B2CF9AE}" pid="54" name="PM_OriginatorDomainName_SHA256">
    <vt:lpwstr>ECBDE2B44A971754412B3FB70606937A119CC0D4B6C1B658A40FBD41C30BE3EC</vt:lpwstr>
  </property>
  <property fmtid="{D5CDD505-2E9C-101B-9397-08002B2CF9AE}" pid="55" name="PMUuid">
    <vt:lpwstr>v=2022.2;d=gov.au;g=46DD6D7C-8107-577B-BC6E-F348953B2E44</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PM_Hash_SHA1">
    <vt:lpwstr>F36A3D72450BD0A2EB291CD82A1071CCB5E0C1E0</vt:lpwstr>
  </property>
  <property fmtid="{D5CDD505-2E9C-101B-9397-08002B2CF9AE}" pid="60" name="PM_Hash_Salt_Prev">
    <vt:lpwstr>48B5514EDABE98E1E06F2C4E73044058</vt:lpwstr>
  </property>
  <property fmtid="{D5CDD505-2E9C-101B-9397-08002B2CF9AE}" pid="61" name="PM_Hash_Salt">
    <vt:lpwstr>31E2DFF2AC61B4E3ACA6223F9BEB9570</vt:lpwstr>
  </property>
  <property fmtid="{D5CDD505-2E9C-101B-9397-08002B2CF9AE}" pid="62" name="PMHMAC">
    <vt:lpwstr>v=2022.1;a=SHA256;h=944232DBFDFDC7ED039E18488EFC4BE0CAA27E1D9EBB488C523677BC3DC08AAF</vt:lpwstr>
  </property>
  <property fmtid="{D5CDD505-2E9C-101B-9397-08002B2CF9AE}" pid="63" name="MSIP_Label_c0129afb-6481-4f92-bc9f-5a4a6346364d_ActionId">
    <vt:lpwstr>f980701cbb024171a6a79b620d0b419e</vt:lpwstr>
  </property>
</Properties>
</file>