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5A47F" w14:textId="4BA21DC6" w:rsidR="0072278D" w:rsidRPr="00A11039" w:rsidRDefault="0072278D" w:rsidP="0072278D">
      <w:pPr>
        <w:jc w:val="center"/>
        <w:rPr>
          <w:rFonts w:ascii="Times New Roman" w:hAnsi="Times New Roman"/>
          <w:b/>
          <w:sz w:val="24"/>
          <w:szCs w:val="24"/>
          <w:u w:val="single"/>
        </w:rPr>
      </w:pPr>
      <w:r>
        <w:rPr>
          <w:rFonts w:ascii="Times New Roman" w:hAnsi="Times New Roman"/>
          <w:b/>
          <w:sz w:val="24"/>
          <w:szCs w:val="24"/>
          <w:u w:val="single"/>
        </w:rPr>
        <w:t xml:space="preserve">SUPPLEMENTARY </w:t>
      </w:r>
      <w:r w:rsidRPr="00A11039">
        <w:rPr>
          <w:rFonts w:ascii="Times New Roman" w:hAnsi="Times New Roman"/>
          <w:b/>
          <w:sz w:val="24"/>
          <w:szCs w:val="24"/>
          <w:u w:val="single"/>
        </w:rPr>
        <w:t>EXPLANATORY STATEMEN</w:t>
      </w:r>
      <w:r>
        <w:rPr>
          <w:rFonts w:ascii="Times New Roman" w:hAnsi="Times New Roman"/>
          <w:b/>
          <w:sz w:val="24"/>
          <w:szCs w:val="24"/>
          <w:u w:val="single"/>
        </w:rPr>
        <w:t>T</w:t>
      </w:r>
    </w:p>
    <w:p w14:paraId="09347A66" w14:textId="77777777" w:rsidR="0072278D" w:rsidRPr="00A11039" w:rsidRDefault="0072278D" w:rsidP="0072278D">
      <w:pPr>
        <w:jc w:val="center"/>
        <w:rPr>
          <w:rFonts w:ascii="Times New Roman" w:hAnsi="Times New Roman"/>
          <w:sz w:val="24"/>
          <w:szCs w:val="24"/>
          <w:u w:val="single"/>
        </w:rPr>
      </w:pPr>
    </w:p>
    <w:p w14:paraId="3D4861DD" w14:textId="00E3AAD7" w:rsidR="0072278D" w:rsidRDefault="0072278D" w:rsidP="0072278D">
      <w:pPr>
        <w:jc w:val="center"/>
        <w:rPr>
          <w:rFonts w:ascii="Times New Roman" w:hAnsi="Times New Roman"/>
          <w:sz w:val="24"/>
          <w:szCs w:val="24"/>
        </w:rPr>
      </w:pPr>
      <w:r w:rsidRPr="00A11039">
        <w:rPr>
          <w:rFonts w:ascii="Times New Roman" w:hAnsi="Times New Roman"/>
          <w:sz w:val="24"/>
          <w:szCs w:val="24"/>
        </w:rPr>
        <w:t xml:space="preserve">Issued by </w:t>
      </w:r>
      <w:r>
        <w:rPr>
          <w:rFonts w:ascii="Times New Roman" w:hAnsi="Times New Roman"/>
          <w:sz w:val="24"/>
          <w:szCs w:val="24"/>
        </w:rPr>
        <w:t xml:space="preserve">the </w:t>
      </w:r>
      <w:r w:rsidRPr="00A11039">
        <w:rPr>
          <w:rFonts w:ascii="Times New Roman" w:hAnsi="Times New Roman"/>
          <w:sz w:val="24"/>
          <w:szCs w:val="24"/>
        </w:rPr>
        <w:t>authority of the Ministe</w:t>
      </w:r>
      <w:r>
        <w:rPr>
          <w:rFonts w:ascii="Times New Roman" w:hAnsi="Times New Roman"/>
          <w:sz w:val="24"/>
          <w:szCs w:val="24"/>
        </w:rPr>
        <w:t>r for the Environment and Water</w:t>
      </w:r>
    </w:p>
    <w:p w14:paraId="1CDF27B7" w14:textId="77777777" w:rsidR="0072278D" w:rsidRDefault="0072278D" w:rsidP="0072278D">
      <w:pPr>
        <w:jc w:val="center"/>
        <w:rPr>
          <w:rFonts w:ascii="Times New Roman" w:hAnsi="Times New Roman"/>
          <w:sz w:val="24"/>
          <w:szCs w:val="24"/>
        </w:rPr>
      </w:pPr>
    </w:p>
    <w:p w14:paraId="38035572" w14:textId="77777777" w:rsidR="0072278D" w:rsidRPr="00792A9F" w:rsidRDefault="0072278D" w:rsidP="0072278D">
      <w:pPr>
        <w:jc w:val="center"/>
        <w:rPr>
          <w:rFonts w:ascii="Times New Roman" w:hAnsi="Times New Roman"/>
          <w:i/>
          <w:iCs/>
          <w:sz w:val="24"/>
          <w:szCs w:val="24"/>
        </w:rPr>
      </w:pPr>
      <w:r w:rsidRPr="00792A9F">
        <w:rPr>
          <w:rFonts w:ascii="Times New Roman" w:hAnsi="Times New Roman"/>
          <w:i/>
          <w:iCs/>
          <w:sz w:val="24"/>
          <w:szCs w:val="24"/>
        </w:rPr>
        <w:t>Ozone Protection and Synthetic Greenhouse Gas Management Act 1989</w:t>
      </w:r>
    </w:p>
    <w:p w14:paraId="72F1D891" w14:textId="77777777" w:rsidR="0072278D" w:rsidRDefault="0072278D" w:rsidP="0072278D">
      <w:pPr>
        <w:jc w:val="center"/>
        <w:rPr>
          <w:rFonts w:ascii="Times New Roman" w:hAnsi="Times New Roman"/>
          <w:sz w:val="24"/>
          <w:szCs w:val="24"/>
        </w:rPr>
      </w:pPr>
    </w:p>
    <w:p w14:paraId="430E30EE" w14:textId="77777777" w:rsidR="0072278D" w:rsidRPr="00792A9F" w:rsidRDefault="0072278D" w:rsidP="0072278D">
      <w:pPr>
        <w:jc w:val="center"/>
        <w:rPr>
          <w:rFonts w:ascii="Times New Roman" w:hAnsi="Times New Roman"/>
          <w:i/>
          <w:iCs/>
          <w:sz w:val="24"/>
          <w:szCs w:val="24"/>
        </w:rPr>
      </w:pPr>
      <w:r w:rsidRPr="00792A9F">
        <w:rPr>
          <w:rFonts w:ascii="Times New Roman" w:hAnsi="Times New Roman"/>
          <w:i/>
          <w:iCs/>
          <w:sz w:val="24"/>
          <w:szCs w:val="24"/>
        </w:rPr>
        <w:t>Ozone Protection and Synthetic Greenhouse Gas Management Regulations 1995</w:t>
      </w:r>
    </w:p>
    <w:p w14:paraId="1277F6DA" w14:textId="77777777" w:rsidR="0072278D" w:rsidRDefault="0072278D" w:rsidP="0072278D">
      <w:pPr>
        <w:ind w:left="993"/>
        <w:jc w:val="center"/>
        <w:rPr>
          <w:rFonts w:ascii="Times New Roman" w:hAnsi="Times New Roman"/>
          <w:i/>
          <w:sz w:val="24"/>
          <w:szCs w:val="24"/>
        </w:rPr>
      </w:pPr>
    </w:p>
    <w:p w14:paraId="1F45BB40" w14:textId="77777777" w:rsidR="0072278D" w:rsidRDefault="0072278D" w:rsidP="0072278D">
      <w:pPr>
        <w:ind w:left="993"/>
        <w:rPr>
          <w:rFonts w:ascii="Times New Roman" w:hAnsi="Times New Roman"/>
          <w:i/>
          <w:sz w:val="24"/>
          <w:szCs w:val="24"/>
        </w:rPr>
      </w:pPr>
      <w:bookmarkStart w:id="0" w:name="_Hlk169782237"/>
      <w:r w:rsidRPr="00AF5C94">
        <w:rPr>
          <w:rFonts w:ascii="Times New Roman" w:hAnsi="Times New Roman"/>
          <w:i/>
          <w:sz w:val="24"/>
          <w:szCs w:val="24"/>
        </w:rPr>
        <w:t>Ozone Protection and Synthetic Greenhouse Gas Management (Refrigerant Handling Licences—Qualifications and Standards) Determination 2024</w:t>
      </w:r>
    </w:p>
    <w:bookmarkEnd w:id="0"/>
    <w:p w14:paraId="69BC91DF" w14:textId="01D2D75C" w:rsidR="008021F6" w:rsidRDefault="008021F6" w:rsidP="0072278D">
      <w:pPr>
        <w:jc w:val="center"/>
      </w:pPr>
    </w:p>
    <w:p w14:paraId="43CF70D6" w14:textId="604C2C05" w:rsidR="0072278D" w:rsidRDefault="0072278D" w:rsidP="0072278D">
      <w:pPr>
        <w:rPr>
          <w:rFonts w:ascii="Times New Roman" w:eastAsia="Times New Roman" w:hAnsi="Times New Roman"/>
          <w:sz w:val="24"/>
          <w:szCs w:val="24"/>
        </w:rPr>
      </w:pPr>
      <w:r w:rsidRPr="00BB0C1C">
        <w:rPr>
          <w:rFonts w:ascii="Times New Roman" w:eastAsia="Times New Roman" w:hAnsi="Times New Roman"/>
          <w:sz w:val="24"/>
          <w:szCs w:val="24"/>
        </w:rPr>
        <w:t xml:space="preserve">The </w:t>
      </w:r>
      <w:r w:rsidRPr="00BB0C1C">
        <w:rPr>
          <w:rFonts w:ascii="Times New Roman" w:hAnsi="Times New Roman"/>
          <w:i/>
          <w:sz w:val="24"/>
          <w:szCs w:val="24"/>
        </w:rPr>
        <w:t>Ozone Protection and Synthetic Greenhouse Gas Management Act 1989</w:t>
      </w:r>
      <w:r w:rsidRPr="00BB0C1C">
        <w:rPr>
          <w:rFonts w:ascii="Times New Roman" w:eastAsia="Times New Roman" w:hAnsi="Times New Roman"/>
          <w:sz w:val="24"/>
          <w:szCs w:val="24"/>
        </w:rPr>
        <w:t xml:space="preserve"> (OPSGGM Act) and the </w:t>
      </w:r>
      <w:r w:rsidR="00075E55" w:rsidRPr="00792A9F">
        <w:rPr>
          <w:rFonts w:ascii="Times New Roman" w:hAnsi="Times New Roman"/>
          <w:i/>
          <w:iCs/>
          <w:sz w:val="24"/>
          <w:szCs w:val="24"/>
        </w:rPr>
        <w:t>Ozone Protection and Synthetic Greenhouse Gas Management Regulations 1995</w:t>
      </w:r>
      <w:r w:rsidR="00075E55" w:rsidRPr="004F051F">
        <w:rPr>
          <w:rFonts w:ascii="Times New Roman" w:hAnsi="Times New Roman"/>
          <w:sz w:val="24"/>
          <w:szCs w:val="24"/>
        </w:rPr>
        <w:t xml:space="preserve"> (OPSGGM Regulations)</w:t>
      </w:r>
      <w:r w:rsidR="006701EA">
        <w:rPr>
          <w:rFonts w:ascii="Times New Roman" w:hAnsi="Times New Roman"/>
          <w:sz w:val="24"/>
          <w:szCs w:val="24"/>
        </w:rPr>
        <w:t xml:space="preserve"> </w:t>
      </w:r>
      <w:r w:rsidRPr="00BB0C1C">
        <w:rPr>
          <w:rFonts w:ascii="Times New Roman" w:eastAsia="Times New Roman" w:hAnsi="Times New Roman"/>
          <w:sz w:val="24"/>
          <w:szCs w:val="24"/>
        </w:rPr>
        <w:t xml:space="preserve">implement Australia’s international obligations under the </w:t>
      </w:r>
      <w:r w:rsidRPr="00BB0C1C">
        <w:rPr>
          <w:rFonts w:ascii="Times New Roman" w:eastAsia="Times New Roman" w:hAnsi="Times New Roman"/>
          <w:i/>
          <w:iCs/>
          <w:sz w:val="24"/>
          <w:szCs w:val="24"/>
        </w:rPr>
        <w:t>Vienna Convention for the Protection of the Ozone Layer</w:t>
      </w:r>
      <w:r w:rsidRPr="00BB0C1C">
        <w:rPr>
          <w:rFonts w:ascii="Times New Roman" w:eastAsia="Times New Roman" w:hAnsi="Times New Roman"/>
          <w:sz w:val="24"/>
          <w:szCs w:val="24"/>
        </w:rPr>
        <w:t xml:space="preserve">, its </w:t>
      </w:r>
      <w:r w:rsidRPr="00BB0C1C">
        <w:rPr>
          <w:rFonts w:ascii="Times New Roman" w:eastAsia="Times New Roman" w:hAnsi="Times New Roman"/>
          <w:i/>
          <w:iCs/>
          <w:sz w:val="24"/>
          <w:szCs w:val="24"/>
        </w:rPr>
        <w:t>Montreal Protocol on Substances that Deplete the Ozone Layer</w:t>
      </w:r>
      <w:r w:rsidRPr="00BB0C1C">
        <w:rPr>
          <w:rFonts w:ascii="Times New Roman" w:eastAsia="Times New Roman" w:hAnsi="Times New Roman"/>
          <w:sz w:val="24"/>
          <w:szCs w:val="24"/>
        </w:rPr>
        <w:t xml:space="preserve"> and the </w:t>
      </w:r>
      <w:r w:rsidRPr="00BB0C1C">
        <w:rPr>
          <w:rFonts w:ascii="Times New Roman" w:eastAsia="Times New Roman" w:hAnsi="Times New Roman"/>
          <w:i/>
          <w:iCs/>
          <w:sz w:val="24"/>
          <w:szCs w:val="24"/>
        </w:rPr>
        <w:t>United Nations Framework Convention on Climate Change</w:t>
      </w:r>
      <w:r w:rsidR="002917E5">
        <w:rPr>
          <w:rFonts w:ascii="Times New Roman" w:eastAsia="Times New Roman" w:hAnsi="Times New Roman"/>
          <w:sz w:val="24"/>
          <w:szCs w:val="24"/>
        </w:rPr>
        <w:t>,</w:t>
      </w:r>
      <w:r w:rsidRPr="00BB0C1C">
        <w:rPr>
          <w:rFonts w:ascii="Times New Roman" w:eastAsia="Times New Roman" w:hAnsi="Times New Roman"/>
          <w:sz w:val="24"/>
          <w:szCs w:val="24"/>
        </w:rPr>
        <w:t xml:space="preserve"> through the control of the import, export, manufacture and use of substances covered by the OPSGGM Act</w:t>
      </w:r>
      <w:r>
        <w:rPr>
          <w:rFonts w:ascii="Times New Roman" w:eastAsia="Times New Roman" w:hAnsi="Times New Roman"/>
          <w:sz w:val="24"/>
          <w:szCs w:val="24"/>
        </w:rPr>
        <w:t>.</w:t>
      </w:r>
    </w:p>
    <w:p w14:paraId="1FA1B1E0" w14:textId="77777777" w:rsidR="0072278D" w:rsidRDefault="0072278D" w:rsidP="0072278D">
      <w:pPr>
        <w:rPr>
          <w:rFonts w:ascii="Times New Roman" w:eastAsia="Times New Roman" w:hAnsi="Times New Roman"/>
          <w:sz w:val="24"/>
          <w:szCs w:val="24"/>
        </w:rPr>
      </w:pPr>
    </w:p>
    <w:p w14:paraId="22D6CEC4" w14:textId="18818591" w:rsidR="0072278D" w:rsidRDefault="0072278D" w:rsidP="0072278D">
      <w:pPr>
        <w:rPr>
          <w:rFonts w:ascii="Times New Roman" w:eastAsia="Times New Roman" w:hAnsi="Times New Roman"/>
          <w:sz w:val="24"/>
          <w:szCs w:val="24"/>
        </w:rPr>
      </w:pPr>
      <w:r w:rsidRPr="00B62B2E">
        <w:rPr>
          <w:rFonts w:ascii="Times New Roman" w:eastAsia="Times New Roman" w:hAnsi="Times New Roman"/>
          <w:sz w:val="24"/>
          <w:szCs w:val="24"/>
        </w:rPr>
        <w:t xml:space="preserve">Section 45A of the </w:t>
      </w:r>
      <w:r>
        <w:rPr>
          <w:rFonts w:ascii="Times New Roman" w:eastAsia="Times New Roman" w:hAnsi="Times New Roman"/>
          <w:sz w:val="24"/>
          <w:szCs w:val="24"/>
        </w:rPr>
        <w:t xml:space="preserve">OPSGGM </w:t>
      </w:r>
      <w:r w:rsidRPr="00B62B2E">
        <w:rPr>
          <w:rFonts w:ascii="Times New Roman" w:eastAsia="Times New Roman" w:hAnsi="Times New Roman"/>
          <w:sz w:val="24"/>
          <w:szCs w:val="24"/>
        </w:rPr>
        <w:t>Act provides that the regulations may make provision for the regulation of scheduled substances, including the sale, purchase and disposal of scheduled substances; storage, use and handling of scheduled substances; labelling requirements for scheduled substances and for equipment containing or using such substances; conferring certain functions on persons or bodies; and other incidental matters</w:t>
      </w:r>
      <w:r>
        <w:rPr>
          <w:rFonts w:ascii="Times New Roman" w:eastAsia="Times New Roman" w:hAnsi="Times New Roman"/>
          <w:sz w:val="24"/>
          <w:szCs w:val="24"/>
        </w:rPr>
        <w:t>.</w:t>
      </w:r>
    </w:p>
    <w:p w14:paraId="2BD0A113" w14:textId="77777777" w:rsidR="0072278D" w:rsidRDefault="0072278D" w:rsidP="0072278D">
      <w:pPr>
        <w:rPr>
          <w:rFonts w:ascii="Times New Roman" w:eastAsia="Times New Roman" w:hAnsi="Times New Roman"/>
          <w:sz w:val="24"/>
          <w:szCs w:val="24"/>
        </w:rPr>
      </w:pPr>
    </w:p>
    <w:p w14:paraId="1C7A244D" w14:textId="284BBAC8" w:rsidR="00DB1E69" w:rsidRDefault="00DB1E69" w:rsidP="00DB1E69">
      <w:pPr>
        <w:tabs>
          <w:tab w:val="left" w:pos="993"/>
        </w:tabs>
        <w:rPr>
          <w:rFonts w:ascii="Times New Roman" w:hAnsi="Times New Roman"/>
          <w:sz w:val="24"/>
          <w:szCs w:val="24"/>
        </w:rPr>
      </w:pPr>
      <w:r>
        <w:rPr>
          <w:rFonts w:ascii="Times New Roman" w:hAnsi="Times New Roman"/>
          <w:sz w:val="24"/>
          <w:szCs w:val="24"/>
        </w:rPr>
        <w:t xml:space="preserve">The </w:t>
      </w:r>
      <w:r w:rsidR="002F4940" w:rsidRPr="00AF5C94">
        <w:rPr>
          <w:rFonts w:ascii="Times New Roman" w:hAnsi="Times New Roman"/>
          <w:i/>
          <w:iCs/>
          <w:sz w:val="24"/>
          <w:szCs w:val="24"/>
        </w:rPr>
        <w:t xml:space="preserve">Ozone Protection and Synthetic Greenhouse Gas Management (Refrigerant Handling Licences—Qualifications and Standards) Determination 2024 </w:t>
      </w:r>
      <w:r w:rsidR="002F4940">
        <w:rPr>
          <w:rFonts w:ascii="Times New Roman" w:hAnsi="Times New Roman"/>
          <w:sz w:val="24"/>
          <w:szCs w:val="24"/>
        </w:rPr>
        <w:t xml:space="preserve">(the Determination) </w:t>
      </w:r>
      <w:r>
        <w:rPr>
          <w:rFonts w:ascii="Times New Roman" w:hAnsi="Times New Roman"/>
          <w:sz w:val="24"/>
          <w:szCs w:val="24"/>
        </w:rPr>
        <w:t xml:space="preserve">is made under subregulations 131(3) and 135(5) of the </w:t>
      </w:r>
      <w:r w:rsidRPr="004F051F">
        <w:rPr>
          <w:rFonts w:ascii="Times New Roman" w:hAnsi="Times New Roman"/>
          <w:sz w:val="24"/>
          <w:szCs w:val="24"/>
        </w:rPr>
        <w:t>OPSGGM Regulations</w:t>
      </w:r>
      <w:r>
        <w:rPr>
          <w:rFonts w:ascii="Times New Roman" w:hAnsi="Times New Roman"/>
          <w:sz w:val="24"/>
          <w:szCs w:val="24"/>
        </w:rPr>
        <w:t>.</w:t>
      </w:r>
    </w:p>
    <w:p w14:paraId="14CF5BA4" w14:textId="77777777" w:rsidR="00DB1E69" w:rsidRDefault="00DB1E69" w:rsidP="00DB1E69">
      <w:pPr>
        <w:tabs>
          <w:tab w:val="left" w:pos="993"/>
        </w:tabs>
        <w:rPr>
          <w:rFonts w:ascii="Times New Roman" w:hAnsi="Times New Roman"/>
          <w:sz w:val="24"/>
          <w:szCs w:val="24"/>
        </w:rPr>
      </w:pPr>
    </w:p>
    <w:p w14:paraId="71FB68DC" w14:textId="77777777" w:rsidR="00DB1E69" w:rsidRDefault="00DB1E69" w:rsidP="00DB1E69">
      <w:pPr>
        <w:tabs>
          <w:tab w:val="left" w:pos="993"/>
        </w:tabs>
        <w:rPr>
          <w:rFonts w:ascii="Times New Roman" w:hAnsi="Times New Roman"/>
          <w:sz w:val="24"/>
          <w:szCs w:val="24"/>
        </w:rPr>
      </w:pPr>
      <w:r>
        <w:rPr>
          <w:rFonts w:ascii="Times New Roman" w:hAnsi="Times New Roman"/>
          <w:sz w:val="24"/>
          <w:szCs w:val="24"/>
        </w:rPr>
        <w:t xml:space="preserve">Subregulation 131(3) of the </w:t>
      </w:r>
      <w:r w:rsidRPr="00930C4C">
        <w:rPr>
          <w:rFonts w:ascii="Times New Roman" w:hAnsi="Times New Roman"/>
          <w:sz w:val="24"/>
          <w:szCs w:val="24"/>
        </w:rPr>
        <w:t>OPSGGM Regulations</w:t>
      </w:r>
      <w:r>
        <w:rPr>
          <w:rFonts w:ascii="Times New Roman" w:hAnsi="Times New Roman"/>
          <w:sz w:val="24"/>
          <w:szCs w:val="24"/>
        </w:rPr>
        <w:t xml:space="preserve"> provides</w:t>
      </w:r>
      <w:r w:rsidRPr="00797F9A">
        <w:t xml:space="preserve"> </w:t>
      </w:r>
      <w:r>
        <w:rPr>
          <w:rFonts w:ascii="Times New Roman" w:hAnsi="Times New Roman"/>
          <w:sz w:val="24"/>
          <w:szCs w:val="24"/>
        </w:rPr>
        <w:t>that t</w:t>
      </w:r>
      <w:r w:rsidRPr="00797F9A">
        <w:rPr>
          <w:rFonts w:ascii="Times New Roman" w:hAnsi="Times New Roman"/>
          <w:sz w:val="24"/>
          <w:szCs w:val="24"/>
        </w:rPr>
        <w:t xml:space="preserve">he Minister may, by legislative instrument, </w:t>
      </w:r>
      <w:r w:rsidRPr="00101431">
        <w:rPr>
          <w:rFonts w:ascii="Times New Roman" w:hAnsi="Times New Roman"/>
          <w:sz w:val="24"/>
          <w:szCs w:val="24"/>
        </w:rPr>
        <w:t>determine qualifications required for a licence mentioned in column 1 of an item in Table 131 (covering the different kinds of refrigerant handling licences)</w:t>
      </w:r>
      <w:r w:rsidRPr="00797F9A">
        <w:rPr>
          <w:rFonts w:ascii="Times New Roman" w:hAnsi="Times New Roman"/>
          <w:sz w:val="24"/>
          <w:szCs w:val="24"/>
        </w:rPr>
        <w:t>.</w:t>
      </w:r>
      <w:r>
        <w:rPr>
          <w:rFonts w:ascii="Times New Roman" w:hAnsi="Times New Roman"/>
          <w:sz w:val="24"/>
          <w:szCs w:val="24"/>
        </w:rPr>
        <w:t xml:space="preserve"> </w:t>
      </w:r>
    </w:p>
    <w:p w14:paraId="54F2A84C" w14:textId="77777777" w:rsidR="00DB1E69" w:rsidRDefault="00DB1E69" w:rsidP="00DB1E69">
      <w:pPr>
        <w:tabs>
          <w:tab w:val="left" w:pos="993"/>
        </w:tabs>
        <w:rPr>
          <w:rFonts w:ascii="Times New Roman" w:hAnsi="Times New Roman"/>
          <w:sz w:val="24"/>
          <w:szCs w:val="24"/>
        </w:rPr>
      </w:pPr>
    </w:p>
    <w:p w14:paraId="367B4411" w14:textId="77777777" w:rsidR="002F4940" w:rsidRDefault="00DB1E69" w:rsidP="00DB1E69">
      <w:pPr>
        <w:shd w:val="clear" w:color="auto" w:fill="FFFFFF"/>
        <w:spacing w:line="260" w:lineRule="atLeast"/>
        <w:rPr>
          <w:rFonts w:ascii="Times New Roman" w:hAnsi="Times New Roman"/>
          <w:sz w:val="24"/>
          <w:szCs w:val="24"/>
        </w:rPr>
      </w:pPr>
      <w:r>
        <w:rPr>
          <w:rFonts w:ascii="Times New Roman" w:hAnsi="Times New Roman"/>
          <w:sz w:val="24"/>
          <w:szCs w:val="24"/>
        </w:rPr>
        <w:t xml:space="preserve">Subregulation 135(5) of the OPSGGM Regulations provides that the </w:t>
      </w:r>
      <w:r w:rsidRPr="008918E0">
        <w:rPr>
          <w:rFonts w:ascii="Times New Roman" w:hAnsi="Times New Roman"/>
          <w:sz w:val="24"/>
          <w:szCs w:val="24"/>
        </w:rPr>
        <w:t xml:space="preserve">Minister </w:t>
      </w:r>
      <w:r>
        <w:rPr>
          <w:rFonts w:ascii="Times New Roman" w:hAnsi="Times New Roman"/>
          <w:sz w:val="24"/>
          <w:szCs w:val="24"/>
        </w:rPr>
        <w:t>may</w:t>
      </w:r>
      <w:r w:rsidRPr="008918E0">
        <w:rPr>
          <w:rFonts w:ascii="Times New Roman" w:hAnsi="Times New Roman"/>
          <w:sz w:val="24"/>
          <w:szCs w:val="24"/>
        </w:rPr>
        <w:t>, by legislative instrument, determine standards that apply in relation to work carried out under a refrigerant handling licence</w:t>
      </w:r>
      <w:r w:rsidR="002F4940">
        <w:rPr>
          <w:rFonts w:ascii="Times New Roman" w:hAnsi="Times New Roman"/>
          <w:sz w:val="24"/>
          <w:szCs w:val="24"/>
        </w:rPr>
        <w:t>.</w:t>
      </w:r>
    </w:p>
    <w:p w14:paraId="3AA69591" w14:textId="77777777" w:rsidR="002F4940" w:rsidRDefault="002F4940" w:rsidP="00DB1E69">
      <w:pPr>
        <w:shd w:val="clear" w:color="auto" w:fill="FFFFFF"/>
        <w:spacing w:line="260" w:lineRule="atLeast"/>
        <w:rPr>
          <w:rFonts w:ascii="Times New Roman" w:hAnsi="Times New Roman"/>
          <w:sz w:val="24"/>
          <w:szCs w:val="24"/>
        </w:rPr>
      </w:pPr>
    </w:p>
    <w:p w14:paraId="40E49416" w14:textId="77777777" w:rsidR="0072278D" w:rsidRDefault="0072278D" w:rsidP="0072278D">
      <w:pPr>
        <w:shd w:val="clear" w:color="auto" w:fill="FFFFFF"/>
        <w:spacing w:line="260" w:lineRule="atLeast"/>
        <w:rPr>
          <w:rFonts w:ascii="Times New Roman" w:eastAsia="Times New Roman" w:hAnsi="Times New Roman"/>
          <w:sz w:val="24"/>
          <w:szCs w:val="24"/>
        </w:rPr>
      </w:pPr>
      <w:r>
        <w:rPr>
          <w:rFonts w:ascii="Times New Roman" w:eastAsia="Times New Roman" w:hAnsi="Times New Roman"/>
          <w:sz w:val="24"/>
          <w:szCs w:val="24"/>
        </w:rPr>
        <w:t>The effect of the Determination is to determine:</w:t>
      </w:r>
    </w:p>
    <w:p w14:paraId="1C11F154" w14:textId="77777777" w:rsidR="0072278D" w:rsidRDefault="0072278D" w:rsidP="0072278D">
      <w:pPr>
        <w:shd w:val="clear" w:color="auto" w:fill="FFFFFF"/>
        <w:spacing w:line="260" w:lineRule="atLeast"/>
        <w:rPr>
          <w:rFonts w:ascii="Times New Roman" w:eastAsia="Times New Roman" w:hAnsi="Times New Roman"/>
          <w:sz w:val="24"/>
          <w:szCs w:val="24"/>
        </w:rPr>
      </w:pPr>
    </w:p>
    <w:p w14:paraId="7763D51D" w14:textId="77777777" w:rsidR="0072278D" w:rsidRDefault="0072278D" w:rsidP="0072278D">
      <w:pPr>
        <w:pStyle w:val="ListParagraph"/>
        <w:numPr>
          <w:ilvl w:val="0"/>
          <w:numId w:val="2"/>
        </w:numPr>
        <w:contextualSpacing w:val="0"/>
        <w:rPr>
          <w:rFonts w:ascii="Times New Roman" w:hAnsi="Times New Roman"/>
          <w:sz w:val="24"/>
          <w:szCs w:val="24"/>
        </w:rPr>
      </w:pPr>
      <w:r>
        <w:rPr>
          <w:rFonts w:ascii="Times New Roman" w:hAnsi="Times New Roman"/>
          <w:sz w:val="24"/>
          <w:szCs w:val="24"/>
        </w:rPr>
        <w:t>the qualifications a person must have to be granted a refrigerant handling licence; and</w:t>
      </w:r>
    </w:p>
    <w:p w14:paraId="4BF3C32E" w14:textId="77777777" w:rsidR="0072278D" w:rsidRDefault="0072278D" w:rsidP="0072278D">
      <w:pPr>
        <w:pStyle w:val="ListParagraph"/>
        <w:rPr>
          <w:rFonts w:ascii="Times New Roman" w:hAnsi="Times New Roman"/>
          <w:sz w:val="24"/>
          <w:szCs w:val="24"/>
        </w:rPr>
      </w:pPr>
    </w:p>
    <w:p w14:paraId="6193891C" w14:textId="77777777" w:rsidR="0072278D" w:rsidRPr="007A2ED2" w:rsidRDefault="0072278D" w:rsidP="0072278D">
      <w:pPr>
        <w:pStyle w:val="ListParagraph"/>
        <w:numPr>
          <w:ilvl w:val="0"/>
          <w:numId w:val="2"/>
        </w:numPr>
        <w:contextualSpacing w:val="0"/>
        <w:rPr>
          <w:rFonts w:ascii="Times New Roman" w:hAnsi="Times New Roman"/>
          <w:sz w:val="24"/>
          <w:szCs w:val="24"/>
        </w:rPr>
      </w:pPr>
      <w:r w:rsidRPr="007A2ED2">
        <w:rPr>
          <w:rFonts w:ascii="Times New Roman" w:hAnsi="Times New Roman"/>
          <w:sz w:val="24"/>
          <w:szCs w:val="24"/>
        </w:rPr>
        <w:t>the standards with which the holder of a refrigerant handling licence</w:t>
      </w:r>
      <w:r>
        <w:rPr>
          <w:rFonts w:ascii="Times New Roman" w:hAnsi="Times New Roman"/>
          <w:sz w:val="24"/>
          <w:szCs w:val="24"/>
        </w:rPr>
        <w:t xml:space="preserve"> </w:t>
      </w:r>
      <w:r w:rsidRPr="007A2ED2">
        <w:rPr>
          <w:rFonts w:ascii="Times New Roman" w:hAnsi="Times New Roman"/>
          <w:sz w:val="24"/>
          <w:szCs w:val="24"/>
        </w:rPr>
        <w:t>must comply (as a condition of the licence).</w:t>
      </w:r>
    </w:p>
    <w:p w14:paraId="73FFE95C" w14:textId="77777777" w:rsidR="0072278D" w:rsidRDefault="0072278D" w:rsidP="0072278D">
      <w:pPr>
        <w:shd w:val="clear" w:color="auto" w:fill="FFFFFF"/>
        <w:spacing w:line="260" w:lineRule="atLeast"/>
        <w:rPr>
          <w:rFonts w:ascii="Times New Roman" w:eastAsia="Times New Roman" w:hAnsi="Times New Roman"/>
          <w:sz w:val="24"/>
          <w:szCs w:val="24"/>
        </w:rPr>
      </w:pPr>
    </w:p>
    <w:p w14:paraId="070D1942" w14:textId="7E9232D7" w:rsidR="0072278D" w:rsidRDefault="0072278D" w:rsidP="0072278D">
      <w:pPr>
        <w:shd w:val="clear" w:color="auto" w:fill="FFFFFF"/>
        <w:spacing w:line="260" w:lineRule="atLeast"/>
        <w:rPr>
          <w:rFonts w:ascii="Times New Roman" w:eastAsia="Times New Roman" w:hAnsi="Times New Roman"/>
          <w:sz w:val="24"/>
          <w:szCs w:val="24"/>
        </w:rPr>
      </w:pPr>
      <w:r>
        <w:rPr>
          <w:rFonts w:ascii="Times New Roman" w:eastAsia="Times New Roman" w:hAnsi="Times New Roman"/>
          <w:sz w:val="24"/>
          <w:szCs w:val="24"/>
        </w:rPr>
        <w:t xml:space="preserve">The lists of qualifications and standards set out in </w:t>
      </w:r>
      <w:r>
        <w:rPr>
          <w:rFonts w:ascii="Times New Roman" w:hAnsi="Times New Roman"/>
          <w:sz w:val="24"/>
          <w:szCs w:val="24"/>
        </w:rPr>
        <w:t xml:space="preserve">the Determination </w:t>
      </w:r>
      <w:r>
        <w:rPr>
          <w:rFonts w:ascii="Times New Roman" w:eastAsia="Times New Roman" w:hAnsi="Times New Roman"/>
          <w:sz w:val="24"/>
          <w:szCs w:val="24"/>
        </w:rPr>
        <w:t xml:space="preserve">were previously included in the OPSGGM Regulations. Following amendments to the OPSGGM Regulations, these qualifications and standards have been moved to a separate legislative instrument </w:t>
      </w:r>
      <w:r w:rsidRPr="000D3D4D">
        <w:rPr>
          <w:rFonts w:ascii="Times New Roman" w:eastAsia="Times New Roman" w:hAnsi="Times New Roman"/>
          <w:sz w:val="24"/>
          <w:szCs w:val="24"/>
        </w:rPr>
        <w:t xml:space="preserve">to ensure the </w:t>
      </w:r>
      <w:r>
        <w:rPr>
          <w:rFonts w:ascii="Times New Roman" w:eastAsia="Times New Roman" w:hAnsi="Times New Roman"/>
          <w:sz w:val="24"/>
          <w:szCs w:val="24"/>
        </w:rPr>
        <w:t xml:space="preserve">qualifications and </w:t>
      </w:r>
      <w:r w:rsidRPr="000D3D4D">
        <w:rPr>
          <w:rFonts w:ascii="Times New Roman" w:eastAsia="Times New Roman" w:hAnsi="Times New Roman"/>
          <w:sz w:val="24"/>
          <w:szCs w:val="24"/>
        </w:rPr>
        <w:t>standards can be more easily and quickly updated, as appropriate, to align with changing technologies</w:t>
      </w:r>
      <w:r>
        <w:rPr>
          <w:rFonts w:ascii="Times New Roman" w:eastAsia="Times New Roman" w:hAnsi="Times New Roman"/>
          <w:sz w:val="24"/>
          <w:szCs w:val="24"/>
        </w:rPr>
        <w:t xml:space="preserve">. There is no substantive change to the content of the qualifications and standards that were previously included in the OPSGGM </w:t>
      </w:r>
      <w:r>
        <w:rPr>
          <w:rFonts w:ascii="Times New Roman" w:eastAsia="Times New Roman" w:hAnsi="Times New Roman"/>
          <w:sz w:val="24"/>
          <w:szCs w:val="24"/>
        </w:rPr>
        <w:lastRenderedPageBreak/>
        <w:t>Regulations, though the lists have been updated to reflect the most current versions of these documents.</w:t>
      </w:r>
    </w:p>
    <w:p w14:paraId="1AF38A91" w14:textId="77777777" w:rsidR="0072278D" w:rsidRDefault="0072278D" w:rsidP="0072278D">
      <w:pPr>
        <w:shd w:val="clear" w:color="auto" w:fill="FFFFFF"/>
        <w:spacing w:line="260" w:lineRule="atLeast"/>
        <w:rPr>
          <w:rFonts w:ascii="Times New Roman" w:eastAsia="Times New Roman" w:hAnsi="Times New Roman"/>
          <w:sz w:val="24"/>
          <w:szCs w:val="24"/>
        </w:rPr>
      </w:pPr>
    </w:p>
    <w:p w14:paraId="09B3C720" w14:textId="2D25FC6F" w:rsidR="004E1196" w:rsidRPr="004E1196" w:rsidRDefault="004E1196" w:rsidP="004E1196">
      <w:pPr>
        <w:shd w:val="clear" w:color="auto" w:fill="FFFFFF"/>
        <w:spacing w:line="260" w:lineRule="atLeast"/>
        <w:rPr>
          <w:rFonts w:ascii="Times New Roman" w:eastAsia="Times New Roman" w:hAnsi="Times New Roman"/>
          <w:sz w:val="24"/>
          <w:szCs w:val="24"/>
        </w:rPr>
      </w:pPr>
      <w:r w:rsidRPr="004E1196">
        <w:rPr>
          <w:rFonts w:ascii="Times New Roman" w:eastAsia="Times New Roman" w:hAnsi="Times New Roman"/>
          <w:sz w:val="24"/>
          <w:szCs w:val="24"/>
        </w:rPr>
        <w:t xml:space="preserve">The details of the </w:t>
      </w:r>
      <w:r>
        <w:rPr>
          <w:rFonts w:ascii="Times New Roman" w:eastAsia="Times New Roman" w:hAnsi="Times New Roman"/>
          <w:sz w:val="24"/>
          <w:szCs w:val="24"/>
        </w:rPr>
        <w:t>Determination</w:t>
      </w:r>
      <w:r w:rsidRPr="004E1196">
        <w:rPr>
          <w:rFonts w:ascii="Times New Roman" w:eastAsia="Times New Roman" w:hAnsi="Times New Roman"/>
          <w:sz w:val="24"/>
          <w:szCs w:val="24"/>
        </w:rPr>
        <w:t xml:space="preserve"> are set out in the initial Explanatory Statement. </w:t>
      </w:r>
    </w:p>
    <w:p w14:paraId="5402281B" w14:textId="77777777" w:rsidR="004E1196" w:rsidRDefault="004E1196" w:rsidP="004E1196">
      <w:pPr>
        <w:shd w:val="clear" w:color="auto" w:fill="FFFFFF"/>
        <w:spacing w:line="260" w:lineRule="atLeast"/>
        <w:rPr>
          <w:rFonts w:ascii="Times New Roman" w:eastAsia="Times New Roman" w:hAnsi="Times New Roman"/>
          <w:sz w:val="24"/>
          <w:szCs w:val="24"/>
        </w:rPr>
      </w:pPr>
    </w:p>
    <w:p w14:paraId="032C69DD" w14:textId="086B8680" w:rsidR="0072278D" w:rsidRDefault="004E1196" w:rsidP="004E1196">
      <w:pPr>
        <w:shd w:val="clear" w:color="auto" w:fill="FFFFFF"/>
        <w:spacing w:line="260" w:lineRule="atLeast"/>
        <w:rPr>
          <w:rFonts w:ascii="Times New Roman" w:eastAsia="Times New Roman" w:hAnsi="Times New Roman"/>
          <w:sz w:val="24"/>
          <w:szCs w:val="24"/>
        </w:rPr>
      </w:pPr>
      <w:r w:rsidRPr="004E1196">
        <w:rPr>
          <w:rFonts w:ascii="Times New Roman" w:eastAsia="Times New Roman" w:hAnsi="Times New Roman"/>
          <w:sz w:val="24"/>
          <w:szCs w:val="24"/>
        </w:rPr>
        <w:t xml:space="preserve">The purpose of this Supplementary Explanatory Statement is to provide additional information relating to the application of sunsetting and </w:t>
      </w:r>
      <w:r>
        <w:rPr>
          <w:rFonts w:ascii="Times New Roman" w:eastAsia="Times New Roman" w:hAnsi="Times New Roman"/>
          <w:sz w:val="24"/>
          <w:szCs w:val="24"/>
        </w:rPr>
        <w:t xml:space="preserve">disallowance </w:t>
      </w:r>
      <w:r w:rsidRPr="004E1196">
        <w:rPr>
          <w:rFonts w:ascii="Times New Roman" w:eastAsia="Times New Roman" w:hAnsi="Times New Roman"/>
          <w:sz w:val="24"/>
          <w:szCs w:val="24"/>
        </w:rPr>
        <w:t xml:space="preserve">requirements to the </w:t>
      </w:r>
      <w:r>
        <w:rPr>
          <w:rFonts w:ascii="Times New Roman" w:eastAsia="Times New Roman" w:hAnsi="Times New Roman"/>
          <w:sz w:val="24"/>
          <w:szCs w:val="24"/>
        </w:rPr>
        <w:t>Determination.</w:t>
      </w:r>
    </w:p>
    <w:p w14:paraId="3A5E7795" w14:textId="77777777" w:rsidR="004E1196" w:rsidRDefault="004E1196" w:rsidP="004E1196">
      <w:pPr>
        <w:shd w:val="clear" w:color="auto" w:fill="FFFFFF"/>
        <w:spacing w:line="260" w:lineRule="atLeast"/>
        <w:rPr>
          <w:rFonts w:ascii="Times New Roman" w:eastAsia="Times New Roman" w:hAnsi="Times New Roman"/>
          <w:sz w:val="24"/>
          <w:szCs w:val="24"/>
        </w:rPr>
      </w:pPr>
    </w:p>
    <w:p w14:paraId="34EE4F71" w14:textId="3EC8BEEE" w:rsidR="004E1196" w:rsidRDefault="004E1196" w:rsidP="004E1196">
      <w:pPr>
        <w:shd w:val="clear" w:color="auto" w:fill="FFFFFF"/>
        <w:spacing w:line="260" w:lineRule="atLeast"/>
        <w:rPr>
          <w:rFonts w:ascii="Times New Roman" w:eastAsia="Times New Roman" w:hAnsi="Times New Roman"/>
          <w:sz w:val="24"/>
          <w:szCs w:val="24"/>
        </w:rPr>
      </w:pPr>
      <w:r w:rsidRPr="004E1196">
        <w:rPr>
          <w:rFonts w:ascii="Times New Roman" w:eastAsia="Times New Roman" w:hAnsi="Times New Roman"/>
          <w:sz w:val="24"/>
          <w:szCs w:val="24"/>
        </w:rPr>
        <w:t xml:space="preserve">The </w:t>
      </w:r>
      <w:r>
        <w:rPr>
          <w:rFonts w:ascii="Times New Roman" w:eastAsia="Times New Roman" w:hAnsi="Times New Roman"/>
          <w:sz w:val="24"/>
          <w:szCs w:val="24"/>
        </w:rPr>
        <w:t>Determination is</w:t>
      </w:r>
      <w:r w:rsidRPr="004E1196">
        <w:rPr>
          <w:rFonts w:ascii="Times New Roman" w:eastAsia="Times New Roman" w:hAnsi="Times New Roman"/>
          <w:sz w:val="24"/>
          <w:szCs w:val="24"/>
        </w:rPr>
        <w:t xml:space="preserve"> exempt from sunsetting in accordance with item 1 under section 11 of the </w:t>
      </w:r>
      <w:r w:rsidRPr="004E1196">
        <w:rPr>
          <w:rFonts w:ascii="Times New Roman" w:eastAsia="Times New Roman" w:hAnsi="Times New Roman"/>
          <w:i/>
          <w:iCs/>
          <w:sz w:val="24"/>
          <w:szCs w:val="24"/>
        </w:rPr>
        <w:t>Legislation (Exemptions and Other Matters) Regulation 2015</w:t>
      </w:r>
      <w:r w:rsidRPr="004E1196">
        <w:rPr>
          <w:rFonts w:ascii="Times New Roman" w:eastAsia="Times New Roman" w:hAnsi="Times New Roman"/>
          <w:sz w:val="24"/>
          <w:szCs w:val="24"/>
        </w:rPr>
        <w:t xml:space="preserve"> on the basis that the primary purpose of the Amendment Regulations is to give effect to an international obligation in force for Australia. This is an automatic exemption that applies by force of law for instruments that are in the class of legislative instruments as described. The Explanatory Statement to the </w:t>
      </w:r>
      <w:r w:rsidRPr="004E1196">
        <w:rPr>
          <w:rFonts w:ascii="Times New Roman" w:eastAsia="Times New Roman" w:hAnsi="Times New Roman"/>
          <w:i/>
          <w:iCs/>
          <w:sz w:val="24"/>
          <w:szCs w:val="24"/>
        </w:rPr>
        <w:t>Legislation (Exemptions and Other Matters) Regulation 2015</w:t>
      </w:r>
      <w:r w:rsidRPr="004E1196">
        <w:rPr>
          <w:rFonts w:ascii="Times New Roman" w:eastAsia="Times New Roman" w:hAnsi="Times New Roman"/>
          <w:sz w:val="24"/>
          <w:szCs w:val="24"/>
        </w:rPr>
        <w:t xml:space="preserve"> explains that it is appropriate to exempt legislative instruments, whose sole or primary purpose is to give effect to an international obligation, from sunsetting. This is because Australia’s international obligations do not cease upon a unilateral sunsetting process.</w:t>
      </w:r>
    </w:p>
    <w:p w14:paraId="6FDA8D29" w14:textId="77777777" w:rsidR="004E1196" w:rsidRPr="004E1196" w:rsidRDefault="004E1196" w:rsidP="004E1196">
      <w:pPr>
        <w:shd w:val="clear" w:color="auto" w:fill="FFFFFF"/>
        <w:spacing w:line="260" w:lineRule="atLeast"/>
        <w:rPr>
          <w:rFonts w:ascii="Times New Roman" w:eastAsia="Times New Roman" w:hAnsi="Times New Roman"/>
          <w:sz w:val="24"/>
          <w:szCs w:val="24"/>
        </w:rPr>
      </w:pPr>
    </w:p>
    <w:p w14:paraId="09DECD15" w14:textId="1DE7D842" w:rsidR="004E1196" w:rsidRDefault="004E1196" w:rsidP="004E1196">
      <w:pPr>
        <w:shd w:val="clear" w:color="auto" w:fill="FFFFFF"/>
        <w:spacing w:line="260" w:lineRule="atLeast"/>
        <w:rPr>
          <w:rFonts w:ascii="Times New Roman" w:eastAsia="Times New Roman" w:hAnsi="Times New Roman"/>
          <w:sz w:val="24"/>
          <w:szCs w:val="24"/>
        </w:rPr>
      </w:pPr>
      <w:r w:rsidRPr="004E1196">
        <w:rPr>
          <w:rFonts w:ascii="Times New Roman" w:eastAsia="Times New Roman" w:hAnsi="Times New Roman"/>
          <w:sz w:val="24"/>
          <w:szCs w:val="24"/>
        </w:rPr>
        <w:t xml:space="preserve">The </w:t>
      </w:r>
      <w:r>
        <w:rPr>
          <w:rFonts w:ascii="Times New Roman" w:eastAsia="Times New Roman" w:hAnsi="Times New Roman"/>
          <w:sz w:val="24"/>
          <w:szCs w:val="24"/>
        </w:rPr>
        <w:t xml:space="preserve">Determination is </w:t>
      </w:r>
      <w:r w:rsidRPr="004E1196">
        <w:rPr>
          <w:rFonts w:ascii="Times New Roman" w:eastAsia="Times New Roman" w:hAnsi="Times New Roman"/>
          <w:sz w:val="24"/>
          <w:szCs w:val="24"/>
        </w:rPr>
        <w:t xml:space="preserve">not exempt from the disallowance process and, therefore, </w:t>
      </w:r>
      <w:r w:rsidR="00C42D88">
        <w:rPr>
          <w:rFonts w:ascii="Times New Roman" w:eastAsia="Times New Roman" w:hAnsi="Times New Roman"/>
          <w:sz w:val="24"/>
          <w:szCs w:val="24"/>
        </w:rPr>
        <w:t>is</w:t>
      </w:r>
      <w:r w:rsidRPr="004E1196">
        <w:rPr>
          <w:rFonts w:ascii="Times New Roman" w:eastAsia="Times New Roman" w:hAnsi="Times New Roman"/>
          <w:sz w:val="24"/>
          <w:szCs w:val="24"/>
        </w:rPr>
        <w:t xml:space="preserve"> still subject to parliamentary scrutiny</w:t>
      </w:r>
      <w:r>
        <w:rPr>
          <w:rFonts w:ascii="Times New Roman" w:eastAsia="Times New Roman" w:hAnsi="Times New Roman"/>
          <w:sz w:val="24"/>
          <w:szCs w:val="24"/>
        </w:rPr>
        <w:t>.</w:t>
      </w:r>
    </w:p>
    <w:p w14:paraId="78508D3F" w14:textId="77777777" w:rsidR="004E1196" w:rsidRPr="006014EA" w:rsidRDefault="004E1196" w:rsidP="004E1196">
      <w:pPr>
        <w:shd w:val="clear" w:color="auto" w:fill="FFFFFF"/>
        <w:spacing w:line="260" w:lineRule="atLeast"/>
        <w:rPr>
          <w:rFonts w:ascii="Times New Roman" w:eastAsia="Times New Roman" w:hAnsi="Times New Roman"/>
          <w:b/>
          <w:bCs/>
          <w:sz w:val="24"/>
          <w:szCs w:val="24"/>
        </w:rPr>
      </w:pPr>
    </w:p>
    <w:sectPr w:rsidR="004E1196" w:rsidRPr="006014E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41C75" w14:textId="77777777" w:rsidR="00FD42C4" w:rsidRDefault="00FD42C4" w:rsidP="004E1196">
      <w:r>
        <w:separator/>
      </w:r>
    </w:p>
  </w:endnote>
  <w:endnote w:type="continuationSeparator" w:id="0">
    <w:p w14:paraId="50EF0EE7" w14:textId="77777777" w:rsidR="00FD42C4" w:rsidRDefault="00FD42C4" w:rsidP="004E1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4FC23" w14:textId="1A55847E" w:rsidR="004E1196" w:rsidRDefault="004E1196">
    <w:pPr>
      <w:pStyle w:val="Footer"/>
    </w:pPr>
    <w:r>
      <w:rPr>
        <w:noProof/>
        <w14:ligatures w14:val="standardContextual"/>
      </w:rPr>
      <mc:AlternateContent>
        <mc:Choice Requires="wps">
          <w:drawing>
            <wp:anchor distT="0" distB="0" distL="0" distR="0" simplePos="0" relativeHeight="251668480" behindDoc="0" locked="0" layoutInCell="1" allowOverlap="1" wp14:anchorId="5DC8A2B9" wp14:editId="3E93FAEC">
              <wp:simplePos x="635" y="635"/>
              <wp:positionH relativeFrom="page">
                <wp:align>center</wp:align>
              </wp:positionH>
              <wp:positionV relativeFrom="page">
                <wp:align>bottom</wp:align>
              </wp:positionV>
              <wp:extent cx="551815" cy="376555"/>
              <wp:effectExtent l="0" t="0" r="635" b="0"/>
              <wp:wrapNone/>
              <wp:docPr id="82878554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1E132F4" w14:textId="576C6EDD" w:rsidR="004E1196" w:rsidRPr="004E1196" w:rsidRDefault="004E1196" w:rsidP="004E1196">
                          <w:pPr>
                            <w:rPr>
                              <w:rFonts w:eastAsia="Calibri" w:cs="Calibri"/>
                              <w:noProof/>
                              <w:color w:val="FF0000"/>
                              <w:sz w:val="24"/>
                              <w:szCs w:val="24"/>
                            </w:rPr>
                          </w:pPr>
                          <w:r w:rsidRPr="004E1196">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C8A2B9" id="_x0000_t202" coordsize="21600,21600" o:spt="202" path="m,l,21600r21600,l21600,xe">
              <v:stroke joinstyle="miter"/>
              <v:path gradientshapeok="t" o:connecttype="rect"/>
            </v:shapetype>
            <v:shape id="Text Box 11" o:spid="_x0000_s1028" type="#_x0000_t202" alt="OFFICIAL" style="position:absolute;margin-left:0;margin-top:0;width:43.45pt;height:29.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21E132F4" w14:textId="576C6EDD" w:rsidR="004E1196" w:rsidRPr="004E1196" w:rsidRDefault="004E1196" w:rsidP="004E1196">
                    <w:pPr>
                      <w:rPr>
                        <w:rFonts w:eastAsia="Calibri" w:cs="Calibri"/>
                        <w:noProof/>
                        <w:color w:val="FF0000"/>
                        <w:sz w:val="24"/>
                        <w:szCs w:val="24"/>
                      </w:rPr>
                    </w:pPr>
                    <w:r w:rsidRPr="004E1196">
                      <w:rPr>
                        <w:rFonts w:eastAsia="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5ECE1" w14:textId="4D6F0AB5" w:rsidR="004E1196" w:rsidRDefault="00000000">
    <w:pPr>
      <w:pStyle w:val="Footer"/>
      <w:jc w:val="right"/>
    </w:pPr>
    <w:sdt>
      <w:sdtPr>
        <w:id w:val="-1339074499"/>
        <w:docPartObj>
          <w:docPartGallery w:val="Page Numbers (Bottom of Page)"/>
          <w:docPartUnique/>
        </w:docPartObj>
      </w:sdtPr>
      <w:sdtEndPr>
        <w:rPr>
          <w:noProof/>
        </w:rPr>
      </w:sdtEndPr>
      <w:sdtContent>
        <w:r w:rsidR="004E1196">
          <w:fldChar w:fldCharType="begin"/>
        </w:r>
        <w:r w:rsidR="004E1196">
          <w:instrText xml:space="preserve"> PAGE   \* MERGEFORMAT </w:instrText>
        </w:r>
        <w:r w:rsidR="004E1196">
          <w:fldChar w:fldCharType="separate"/>
        </w:r>
        <w:r w:rsidR="004E1196">
          <w:rPr>
            <w:noProof/>
          </w:rPr>
          <w:t>2</w:t>
        </w:r>
        <w:r w:rsidR="004E1196">
          <w:rPr>
            <w:noProof/>
          </w:rPr>
          <w:fldChar w:fldCharType="end"/>
        </w:r>
      </w:sdtContent>
    </w:sdt>
  </w:p>
  <w:p w14:paraId="6EB66768" w14:textId="77777777" w:rsidR="004E1196" w:rsidRDefault="004E1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8A0E6" w14:textId="224BEF4A" w:rsidR="004E1196" w:rsidRDefault="004E1196">
    <w:pPr>
      <w:pStyle w:val="Footer"/>
    </w:pPr>
    <w:r>
      <w:rPr>
        <w:noProof/>
        <w14:ligatures w14:val="standardContextual"/>
      </w:rPr>
      <mc:AlternateContent>
        <mc:Choice Requires="wps">
          <w:drawing>
            <wp:anchor distT="0" distB="0" distL="0" distR="0" simplePos="0" relativeHeight="251667456" behindDoc="0" locked="0" layoutInCell="1" allowOverlap="1" wp14:anchorId="5627A2C1" wp14:editId="1EAA4CD4">
              <wp:simplePos x="635" y="635"/>
              <wp:positionH relativeFrom="page">
                <wp:align>center</wp:align>
              </wp:positionH>
              <wp:positionV relativeFrom="page">
                <wp:align>bottom</wp:align>
              </wp:positionV>
              <wp:extent cx="551815" cy="376555"/>
              <wp:effectExtent l="0" t="0" r="635" b="0"/>
              <wp:wrapNone/>
              <wp:docPr id="1533813485"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18DCE3C" w14:textId="682DBCFE" w:rsidR="004E1196" w:rsidRPr="004E1196" w:rsidRDefault="004E1196" w:rsidP="004E1196">
                          <w:pPr>
                            <w:rPr>
                              <w:rFonts w:eastAsia="Calibri" w:cs="Calibri"/>
                              <w:noProof/>
                              <w:color w:val="FF0000"/>
                              <w:sz w:val="24"/>
                              <w:szCs w:val="24"/>
                            </w:rPr>
                          </w:pPr>
                          <w:r w:rsidRPr="004E1196">
                            <w:rPr>
                              <w:rFonts w:eastAsia="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27A2C1" id="_x0000_t202" coordsize="21600,21600" o:spt="202" path="m,l,21600r21600,l21600,xe">
              <v:stroke joinstyle="miter"/>
              <v:path gradientshapeok="t" o:connecttype="rect"/>
            </v:shapetype>
            <v:shape id="Text Box 10" o:spid="_x0000_s1030" type="#_x0000_t202" alt="OFFICIAL" style="position:absolute;margin-left:0;margin-top:0;width:43.45pt;height:29.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textbox style="mso-fit-shape-to-text:t" inset="0,0,0,15pt">
                <w:txbxContent>
                  <w:p w14:paraId="718DCE3C" w14:textId="682DBCFE" w:rsidR="004E1196" w:rsidRPr="004E1196" w:rsidRDefault="004E1196" w:rsidP="004E1196">
                    <w:pPr>
                      <w:rPr>
                        <w:rFonts w:eastAsia="Calibri" w:cs="Calibri"/>
                        <w:noProof/>
                        <w:color w:val="FF0000"/>
                        <w:sz w:val="24"/>
                        <w:szCs w:val="24"/>
                      </w:rPr>
                    </w:pPr>
                    <w:r w:rsidRPr="004E1196">
                      <w:rPr>
                        <w:rFonts w:eastAsia="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7BFA8" w14:textId="77777777" w:rsidR="00FD42C4" w:rsidRDefault="00FD42C4" w:rsidP="004E1196">
      <w:r>
        <w:separator/>
      </w:r>
    </w:p>
  </w:footnote>
  <w:footnote w:type="continuationSeparator" w:id="0">
    <w:p w14:paraId="7E3C0EA1" w14:textId="77777777" w:rsidR="00FD42C4" w:rsidRDefault="00FD42C4" w:rsidP="004E1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F5E62" w14:textId="16BF7C8A" w:rsidR="004E1196" w:rsidRDefault="004E1196">
    <w:pPr>
      <w:pStyle w:val="Header"/>
    </w:pPr>
    <w:r>
      <w:rPr>
        <w:noProof/>
        <w14:ligatures w14:val="standardContextual"/>
      </w:rPr>
      <mc:AlternateContent>
        <mc:Choice Requires="wps">
          <w:drawing>
            <wp:anchor distT="0" distB="0" distL="0" distR="0" simplePos="0" relativeHeight="251665408" behindDoc="0" locked="0" layoutInCell="1" allowOverlap="1" wp14:anchorId="4B1986C9" wp14:editId="306C39BC">
              <wp:simplePos x="635" y="635"/>
              <wp:positionH relativeFrom="page">
                <wp:align>center</wp:align>
              </wp:positionH>
              <wp:positionV relativeFrom="page">
                <wp:align>top</wp:align>
              </wp:positionV>
              <wp:extent cx="551815" cy="376555"/>
              <wp:effectExtent l="0" t="0" r="635" b="4445"/>
              <wp:wrapNone/>
              <wp:docPr id="2125485943"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286C3A0" w14:textId="270B83C7" w:rsidR="004E1196" w:rsidRPr="004E1196" w:rsidRDefault="004E1196" w:rsidP="004E1196">
                          <w:pPr>
                            <w:rPr>
                              <w:rFonts w:eastAsia="Calibri" w:cs="Calibri"/>
                              <w:noProof/>
                              <w:color w:val="FF0000"/>
                              <w:sz w:val="24"/>
                              <w:szCs w:val="24"/>
                            </w:rPr>
                          </w:pPr>
                          <w:r w:rsidRPr="004E1196">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1986C9" id="_x0000_t202" coordsize="21600,21600" o:spt="202" path="m,l,21600r21600,l21600,xe">
              <v:stroke joinstyle="miter"/>
              <v:path gradientshapeok="t" o:connecttype="rect"/>
            </v:shapetype>
            <v:shape id="Text Box 8" o:spid="_x0000_s1026" type="#_x0000_t202" alt="OFFICIAL" style="position:absolute;margin-left:0;margin-top:0;width:43.45pt;height:29.6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2286C3A0" w14:textId="270B83C7" w:rsidR="004E1196" w:rsidRPr="004E1196" w:rsidRDefault="004E1196" w:rsidP="004E1196">
                    <w:pPr>
                      <w:rPr>
                        <w:rFonts w:eastAsia="Calibri" w:cs="Calibri"/>
                        <w:noProof/>
                        <w:color w:val="FF0000"/>
                        <w:sz w:val="24"/>
                        <w:szCs w:val="24"/>
                      </w:rPr>
                    </w:pPr>
                    <w:r w:rsidRPr="004E1196">
                      <w:rPr>
                        <w:rFonts w:eastAsia="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FF01D" w14:textId="7F221F75" w:rsidR="004E1196" w:rsidRDefault="004E1196">
    <w:pPr>
      <w:pStyle w:val="Header"/>
    </w:pPr>
    <w:r>
      <w:rPr>
        <w:noProof/>
        <w14:ligatures w14:val="standardContextual"/>
      </w:rPr>
      <mc:AlternateContent>
        <mc:Choice Requires="wps">
          <w:drawing>
            <wp:anchor distT="0" distB="0" distL="0" distR="0" simplePos="0" relativeHeight="251666432" behindDoc="0" locked="0" layoutInCell="1" allowOverlap="1" wp14:anchorId="5B1DBD78" wp14:editId="2D606787">
              <wp:simplePos x="635" y="635"/>
              <wp:positionH relativeFrom="page">
                <wp:align>center</wp:align>
              </wp:positionH>
              <wp:positionV relativeFrom="page">
                <wp:align>top</wp:align>
              </wp:positionV>
              <wp:extent cx="551815" cy="376555"/>
              <wp:effectExtent l="0" t="0" r="635" b="4445"/>
              <wp:wrapNone/>
              <wp:docPr id="455600761"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C6967A3" w14:textId="1731C7AC" w:rsidR="004E1196" w:rsidRPr="004E1196" w:rsidRDefault="004E1196" w:rsidP="004E1196">
                          <w:pPr>
                            <w:rPr>
                              <w:rFonts w:eastAsia="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1DBD78" id="_x0000_t202" coordsize="21600,21600" o:spt="202" path="m,l,21600r21600,l21600,xe">
              <v:stroke joinstyle="miter"/>
              <v:path gradientshapeok="t" o:connecttype="rect"/>
            </v:shapetype>
            <v:shape id="Text Box 9" o:spid="_x0000_s1027" type="#_x0000_t202" alt="OFFICIAL" style="position:absolute;margin-left:0;margin-top:0;width:43.45pt;height:29.6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0C6967A3" w14:textId="1731C7AC" w:rsidR="004E1196" w:rsidRPr="004E1196" w:rsidRDefault="004E1196" w:rsidP="004E1196">
                    <w:pPr>
                      <w:rPr>
                        <w:rFonts w:eastAsia="Calibri" w:cs="Calibri"/>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097AC" w14:textId="68C1BB90" w:rsidR="004E1196" w:rsidRDefault="004E1196">
    <w:pPr>
      <w:pStyle w:val="Header"/>
    </w:pPr>
    <w:r>
      <w:rPr>
        <w:noProof/>
        <w14:ligatures w14:val="standardContextual"/>
      </w:rPr>
      <mc:AlternateContent>
        <mc:Choice Requires="wps">
          <w:drawing>
            <wp:anchor distT="0" distB="0" distL="0" distR="0" simplePos="0" relativeHeight="251664384" behindDoc="0" locked="0" layoutInCell="1" allowOverlap="1" wp14:anchorId="6B457367" wp14:editId="411564A7">
              <wp:simplePos x="635" y="635"/>
              <wp:positionH relativeFrom="page">
                <wp:align>center</wp:align>
              </wp:positionH>
              <wp:positionV relativeFrom="page">
                <wp:align>top</wp:align>
              </wp:positionV>
              <wp:extent cx="551815" cy="376555"/>
              <wp:effectExtent l="0" t="0" r="635" b="4445"/>
              <wp:wrapNone/>
              <wp:docPr id="286686532"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7DA5518" w14:textId="0DFF7175" w:rsidR="004E1196" w:rsidRPr="004E1196" w:rsidRDefault="004E1196" w:rsidP="004E1196">
                          <w:pPr>
                            <w:rPr>
                              <w:rFonts w:eastAsia="Calibri" w:cs="Calibri"/>
                              <w:noProof/>
                              <w:color w:val="FF0000"/>
                              <w:sz w:val="24"/>
                              <w:szCs w:val="24"/>
                            </w:rPr>
                          </w:pPr>
                          <w:r w:rsidRPr="004E1196">
                            <w:rPr>
                              <w:rFonts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457367" id="_x0000_t202" coordsize="21600,21600" o:spt="202" path="m,l,21600r21600,l21600,xe">
              <v:stroke joinstyle="miter"/>
              <v:path gradientshapeok="t" o:connecttype="rect"/>
            </v:shapetype>
            <v:shape id="Text Box 7" o:spid="_x0000_s1029" type="#_x0000_t202" alt="OFFICIAL" style="position:absolute;margin-left:0;margin-top:0;width:43.45pt;height:29.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7A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JVJnsANAgAAHAQA&#10;AA4AAAAAAAAAAAAAAAAALgIAAGRycy9lMm9Eb2MueG1sUEsBAi0AFAAGAAgAAAAhAMOJHXfaAAAA&#10;AwEAAA8AAAAAAAAAAAAAAAAAZwQAAGRycy9kb3ducmV2LnhtbFBLBQYAAAAABAAEAPMAAABuBQAA&#10;AAA=&#10;" filled="f" stroked="f">
              <v:textbox style="mso-fit-shape-to-text:t" inset="0,15pt,0,0">
                <w:txbxContent>
                  <w:p w14:paraId="77DA5518" w14:textId="0DFF7175" w:rsidR="004E1196" w:rsidRPr="004E1196" w:rsidRDefault="004E1196" w:rsidP="004E1196">
                    <w:pPr>
                      <w:rPr>
                        <w:rFonts w:eastAsia="Calibri" w:cs="Calibri"/>
                        <w:noProof/>
                        <w:color w:val="FF0000"/>
                        <w:sz w:val="24"/>
                        <w:szCs w:val="24"/>
                      </w:rPr>
                    </w:pPr>
                    <w:r w:rsidRPr="004E1196">
                      <w:rPr>
                        <w:rFonts w:eastAsia="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F76A5D"/>
    <w:multiLevelType w:val="hybridMultilevel"/>
    <w:tmpl w:val="9086E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2296828"/>
    <w:multiLevelType w:val="hybridMultilevel"/>
    <w:tmpl w:val="4A90E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4997533">
    <w:abstractNumId w:val="0"/>
  </w:num>
  <w:num w:numId="2" w16cid:durableId="522288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8D"/>
    <w:rsid w:val="00075E55"/>
    <w:rsid w:val="00094DEC"/>
    <w:rsid w:val="002852E2"/>
    <w:rsid w:val="002917E5"/>
    <w:rsid w:val="002F0E86"/>
    <w:rsid w:val="002F4940"/>
    <w:rsid w:val="003106CA"/>
    <w:rsid w:val="00340E3D"/>
    <w:rsid w:val="003503A7"/>
    <w:rsid w:val="00353EE1"/>
    <w:rsid w:val="00356F22"/>
    <w:rsid w:val="003875A4"/>
    <w:rsid w:val="00442E45"/>
    <w:rsid w:val="004E1196"/>
    <w:rsid w:val="006014EA"/>
    <w:rsid w:val="006157A7"/>
    <w:rsid w:val="006701EA"/>
    <w:rsid w:val="006F387D"/>
    <w:rsid w:val="00722346"/>
    <w:rsid w:val="0072278D"/>
    <w:rsid w:val="008021F6"/>
    <w:rsid w:val="009774DC"/>
    <w:rsid w:val="00A0285C"/>
    <w:rsid w:val="00AB14FD"/>
    <w:rsid w:val="00B57385"/>
    <w:rsid w:val="00C42D88"/>
    <w:rsid w:val="00C45453"/>
    <w:rsid w:val="00D37502"/>
    <w:rsid w:val="00DB1E69"/>
    <w:rsid w:val="00E1400A"/>
    <w:rsid w:val="00F8350A"/>
    <w:rsid w:val="00FB371A"/>
    <w:rsid w:val="00FD42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4B7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78D"/>
    <w:pPr>
      <w:spacing w:after="0" w:line="240" w:lineRule="auto"/>
    </w:pPr>
    <w:rPr>
      <w:rFonts w:ascii="Calibri" w:hAnsi="Calibri" w:cs="Times New Roman"/>
      <w:kern w:val="0"/>
      <w:lang w:eastAsia="en-AU"/>
      <w14:ligatures w14:val="none"/>
    </w:rPr>
  </w:style>
  <w:style w:type="paragraph" w:styleId="Heading1">
    <w:name w:val="heading 1"/>
    <w:basedOn w:val="Normal"/>
    <w:next w:val="Normal"/>
    <w:link w:val="Heading1Char"/>
    <w:uiPriority w:val="9"/>
    <w:qFormat/>
    <w:rsid w:val="007227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27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27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27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27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27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27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27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27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7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27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27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27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27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27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27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27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278D"/>
    <w:rPr>
      <w:rFonts w:eastAsiaTheme="majorEastAsia" w:cstheme="majorBidi"/>
      <w:color w:val="272727" w:themeColor="text1" w:themeTint="D8"/>
    </w:rPr>
  </w:style>
  <w:style w:type="paragraph" w:styleId="Title">
    <w:name w:val="Title"/>
    <w:basedOn w:val="Normal"/>
    <w:next w:val="Normal"/>
    <w:link w:val="TitleChar"/>
    <w:uiPriority w:val="10"/>
    <w:qFormat/>
    <w:rsid w:val="007227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27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27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27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278D"/>
    <w:pPr>
      <w:spacing w:before="160"/>
      <w:jc w:val="center"/>
    </w:pPr>
    <w:rPr>
      <w:i/>
      <w:iCs/>
      <w:color w:val="404040" w:themeColor="text1" w:themeTint="BF"/>
    </w:rPr>
  </w:style>
  <w:style w:type="character" w:customStyle="1" w:styleId="QuoteChar">
    <w:name w:val="Quote Char"/>
    <w:basedOn w:val="DefaultParagraphFont"/>
    <w:link w:val="Quote"/>
    <w:uiPriority w:val="29"/>
    <w:rsid w:val="0072278D"/>
    <w:rPr>
      <w:i/>
      <w:iCs/>
      <w:color w:val="404040" w:themeColor="text1" w:themeTint="BF"/>
    </w:rPr>
  </w:style>
  <w:style w:type="paragraph" w:styleId="ListParagraph">
    <w:name w:val="List Paragraph"/>
    <w:basedOn w:val="Normal"/>
    <w:uiPriority w:val="34"/>
    <w:qFormat/>
    <w:rsid w:val="0072278D"/>
    <w:pPr>
      <w:ind w:left="720"/>
      <w:contextualSpacing/>
    </w:pPr>
  </w:style>
  <w:style w:type="character" w:styleId="IntenseEmphasis">
    <w:name w:val="Intense Emphasis"/>
    <w:basedOn w:val="DefaultParagraphFont"/>
    <w:uiPriority w:val="21"/>
    <w:qFormat/>
    <w:rsid w:val="0072278D"/>
    <w:rPr>
      <w:i/>
      <w:iCs/>
      <w:color w:val="0F4761" w:themeColor="accent1" w:themeShade="BF"/>
    </w:rPr>
  </w:style>
  <w:style w:type="paragraph" w:styleId="IntenseQuote">
    <w:name w:val="Intense Quote"/>
    <w:basedOn w:val="Normal"/>
    <w:next w:val="Normal"/>
    <w:link w:val="IntenseQuoteChar"/>
    <w:uiPriority w:val="30"/>
    <w:qFormat/>
    <w:rsid w:val="007227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278D"/>
    <w:rPr>
      <w:i/>
      <w:iCs/>
      <w:color w:val="0F4761" w:themeColor="accent1" w:themeShade="BF"/>
    </w:rPr>
  </w:style>
  <w:style w:type="character" w:styleId="IntenseReference">
    <w:name w:val="Intense Reference"/>
    <w:basedOn w:val="DefaultParagraphFont"/>
    <w:uiPriority w:val="32"/>
    <w:qFormat/>
    <w:rsid w:val="0072278D"/>
    <w:rPr>
      <w:b/>
      <w:bCs/>
      <w:smallCaps/>
      <w:color w:val="0F4761" w:themeColor="accent1" w:themeShade="BF"/>
      <w:spacing w:val="5"/>
    </w:rPr>
  </w:style>
  <w:style w:type="paragraph" w:styleId="Header">
    <w:name w:val="header"/>
    <w:basedOn w:val="Normal"/>
    <w:link w:val="HeaderChar"/>
    <w:uiPriority w:val="99"/>
    <w:unhideWhenUsed/>
    <w:rsid w:val="004E1196"/>
    <w:pPr>
      <w:tabs>
        <w:tab w:val="center" w:pos="4513"/>
        <w:tab w:val="right" w:pos="9026"/>
      </w:tabs>
    </w:pPr>
  </w:style>
  <w:style w:type="character" w:customStyle="1" w:styleId="HeaderChar">
    <w:name w:val="Header Char"/>
    <w:basedOn w:val="DefaultParagraphFont"/>
    <w:link w:val="Header"/>
    <w:uiPriority w:val="99"/>
    <w:rsid w:val="004E1196"/>
    <w:rPr>
      <w:rFonts w:ascii="Calibri" w:hAnsi="Calibri" w:cs="Times New Roman"/>
      <w:kern w:val="0"/>
      <w:lang w:eastAsia="en-AU"/>
      <w14:ligatures w14:val="none"/>
    </w:rPr>
  </w:style>
  <w:style w:type="paragraph" w:styleId="Footer">
    <w:name w:val="footer"/>
    <w:basedOn w:val="Normal"/>
    <w:link w:val="FooterChar"/>
    <w:uiPriority w:val="99"/>
    <w:unhideWhenUsed/>
    <w:rsid w:val="004E1196"/>
    <w:pPr>
      <w:tabs>
        <w:tab w:val="center" w:pos="4513"/>
        <w:tab w:val="right" w:pos="9026"/>
      </w:tabs>
    </w:pPr>
  </w:style>
  <w:style w:type="character" w:customStyle="1" w:styleId="FooterChar">
    <w:name w:val="Footer Char"/>
    <w:basedOn w:val="DefaultParagraphFont"/>
    <w:link w:val="Footer"/>
    <w:uiPriority w:val="99"/>
    <w:rsid w:val="004E1196"/>
    <w:rPr>
      <w:rFonts w:ascii="Calibri" w:hAnsi="Calibri" w:cs="Times New Roman"/>
      <w:kern w:val="0"/>
      <w:lang w:eastAsia="en-AU"/>
      <w14:ligatures w14:val="none"/>
    </w:rPr>
  </w:style>
  <w:style w:type="paragraph" w:styleId="Revision">
    <w:name w:val="Revision"/>
    <w:hidden/>
    <w:uiPriority w:val="99"/>
    <w:semiHidden/>
    <w:rsid w:val="00094DEC"/>
    <w:pPr>
      <w:spacing w:after="0" w:line="240" w:lineRule="auto"/>
    </w:pPr>
    <w:rPr>
      <w:rFonts w:ascii="Calibri" w:hAnsi="Calibri" w:cs="Times New Roman"/>
      <w:kern w:val="0"/>
      <w:lang w:eastAsia="en-AU"/>
      <w14:ligatures w14:val="none"/>
    </w:rPr>
  </w:style>
  <w:style w:type="character" w:styleId="CommentReference">
    <w:name w:val="annotation reference"/>
    <w:basedOn w:val="DefaultParagraphFont"/>
    <w:uiPriority w:val="99"/>
    <w:semiHidden/>
    <w:unhideWhenUsed/>
    <w:rsid w:val="00094DEC"/>
    <w:rPr>
      <w:sz w:val="16"/>
      <w:szCs w:val="16"/>
    </w:rPr>
  </w:style>
  <w:style w:type="paragraph" w:styleId="CommentText">
    <w:name w:val="annotation text"/>
    <w:basedOn w:val="Normal"/>
    <w:link w:val="CommentTextChar"/>
    <w:uiPriority w:val="99"/>
    <w:unhideWhenUsed/>
    <w:rsid w:val="00094DEC"/>
    <w:rPr>
      <w:sz w:val="20"/>
      <w:szCs w:val="20"/>
    </w:rPr>
  </w:style>
  <w:style w:type="character" w:customStyle="1" w:styleId="CommentTextChar">
    <w:name w:val="Comment Text Char"/>
    <w:basedOn w:val="DefaultParagraphFont"/>
    <w:link w:val="CommentText"/>
    <w:uiPriority w:val="99"/>
    <w:rsid w:val="00094DEC"/>
    <w:rPr>
      <w:rFonts w:ascii="Calibri" w:hAnsi="Calibri" w:cs="Times New Roman"/>
      <w:kern w:val="0"/>
      <w:sz w:val="2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094DEC"/>
    <w:rPr>
      <w:b/>
      <w:bCs/>
    </w:rPr>
  </w:style>
  <w:style w:type="character" w:customStyle="1" w:styleId="CommentSubjectChar">
    <w:name w:val="Comment Subject Char"/>
    <w:basedOn w:val="CommentTextChar"/>
    <w:link w:val="CommentSubject"/>
    <w:uiPriority w:val="99"/>
    <w:semiHidden/>
    <w:rsid w:val="00094DEC"/>
    <w:rPr>
      <w:rFonts w:ascii="Calibri" w:hAnsi="Calibri" w:cs="Times New Roman"/>
      <w:b/>
      <w:bCs/>
      <w:kern w:val="0"/>
      <w:sz w:val="20"/>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2024-10-09T05:29:00Z</dcterms:created>
  <dcterms:modified xsi:type="dcterms:W3CDTF">2024-10-10T01:37:00Z</dcterms:modified>
</cp:coreProperties>
</file>