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A816" w14:textId="77777777" w:rsidR="00434894" w:rsidRPr="00C07DD6" w:rsidRDefault="00434894" w:rsidP="0038353B">
      <w:pPr>
        <w:spacing w:line="240" w:lineRule="auto"/>
        <w:rPr>
          <w:sz w:val="26"/>
          <w:szCs w:val="18"/>
        </w:rPr>
      </w:pPr>
    </w:p>
    <w:p w14:paraId="39378EBD" w14:textId="57CF014C" w:rsidR="005E317F" w:rsidRPr="000E0369" w:rsidRDefault="005E317F" w:rsidP="0038353B">
      <w:pPr>
        <w:spacing w:line="240" w:lineRule="auto"/>
        <w:rPr>
          <w:sz w:val="28"/>
        </w:rPr>
      </w:pPr>
      <w:r w:rsidRPr="000E0369">
        <w:rPr>
          <w:noProof/>
          <w:lang w:eastAsia="en-AU"/>
        </w:rPr>
        <w:drawing>
          <wp:inline distT="0" distB="0" distL="0" distR="0" wp14:anchorId="5BF2B55C" wp14:editId="78C24F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62DBD" w14:textId="77777777" w:rsidR="007A435D" w:rsidRPr="000E0369" w:rsidRDefault="007A435D" w:rsidP="0038353B">
      <w:pPr>
        <w:spacing w:line="240" w:lineRule="auto"/>
        <w:rPr>
          <w:sz w:val="19"/>
        </w:rPr>
      </w:pPr>
    </w:p>
    <w:p w14:paraId="644929DB" w14:textId="13810283" w:rsidR="007A435D" w:rsidRPr="000E0369" w:rsidRDefault="00462E24" w:rsidP="0038353B">
      <w:pPr>
        <w:spacing w:before="240" w:line="240" w:lineRule="auto"/>
        <w:rPr>
          <w:rFonts w:ascii="Arial" w:hAnsi="Arial" w:cs="Arial"/>
          <w:b/>
          <w:sz w:val="28"/>
          <w:szCs w:val="28"/>
        </w:rPr>
      </w:pPr>
      <w:r w:rsidRPr="000E0369">
        <w:rPr>
          <w:rFonts w:ascii="Arial" w:hAnsi="Arial" w:cs="Arial"/>
          <w:b/>
          <w:sz w:val="28"/>
          <w:szCs w:val="28"/>
        </w:rPr>
        <w:t xml:space="preserve">PB </w:t>
      </w:r>
      <w:r w:rsidR="0008479E" w:rsidRPr="000E0369">
        <w:rPr>
          <w:rFonts w:ascii="Arial" w:hAnsi="Arial" w:cs="Arial"/>
          <w:b/>
          <w:sz w:val="28"/>
          <w:szCs w:val="28"/>
        </w:rPr>
        <w:t>80</w:t>
      </w:r>
      <w:r w:rsidRPr="000E0369">
        <w:rPr>
          <w:rFonts w:ascii="Arial" w:hAnsi="Arial" w:cs="Arial"/>
          <w:b/>
          <w:sz w:val="28"/>
          <w:szCs w:val="28"/>
        </w:rPr>
        <w:t xml:space="preserve"> of 202</w:t>
      </w:r>
      <w:r w:rsidR="003D3C9B" w:rsidRPr="000E0369">
        <w:rPr>
          <w:rFonts w:ascii="Arial" w:hAnsi="Arial" w:cs="Arial"/>
          <w:b/>
          <w:sz w:val="28"/>
          <w:szCs w:val="28"/>
        </w:rPr>
        <w:t>4</w:t>
      </w:r>
    </w:p>
    <w:p w14:paraId="1BB414BE" w14:textId="77777777" w:rsidR="007A435D" w:rsidRPr="000E0369" w:rsidRDefault="007A435D" w:rsidP="0038353B">
      <w:pPr>
        <w:spacing w:line="240" w:lineRule="auto"/>
        <w:rPr>
          <w:sz w:val="40"/>
          <w:szCs w:val="40"/>
        </w:rPr>
      </w:pPr>
    </w:p>
    <w:p w14:paraId="3177E3C9" w14:textId="1048E1E8" w:rsidR="00462E24" w:rsidRPr="000E0369" w:rsidRDefault="00462E24" w:rsidP="00E24FDA">
      <w:pPr>
        <w:spacing w:line="240" w:lineRule="auto"/>
        <w:rPr>
          <w:rFonts w:ascii="Arial" w:hAnsi="Arial" w:cs="Arial"/>
          <w:b/>
          <w:sz w:val="40"/>
          <w:szCs w:val="40"/>
        </w:rPr>
      </w:pPr>
      <w:r w:rsidRPr="000E0369">
        <w:rPr>
          <w:rFonts w:ascii="Arial" w:hAnsi="Arial" w:cs="Arial"/>
          <w:b/>
          <w:sz w:val="40"/>
          <w:szCs w:val="40"/>
        </w:rPr>
        <w:t xml:space="preserve">National Health (Efficient Funding of Chemotherapy) Special Arrangement Amendment </w:t>
      </w:r>
      <w:r w:rsidR="005008AD" w:rsidRPr="000E0369">
        <w:rPr>
          <w:rFonts w:ascii="Arial" w:hAnsi="Arial" w:cs="Arial"/>
          <w:b/>
          <w:sz w:val="40"/>
          <w:szCs w:val="40"/>
        </w:rPr>
        <w:t>(</w:t>
      </w:r>
      <w:r w:rsidR="00DA2666" w:rsidRPr="000E0369">
        <w:rPr>
          <w:rFonts w:ascii="Arial" w:hAnsi="Arial" w:cs="Arial"/>
          <w:b/>
          <w:sz w:val="40"/>
          <w:szCs w:val="40"/>
        </w:rPr>
        <w:t>August</w:t>
      </w:r>
      <w:r w:rsidR="00195047" w:rsidRPr="000E0369">
        <w:rPr>
          <w:rFonts w:ascii="Arial" w:hAnsi="Arial" w:cs="Arial"/>
          <w:b/>
          <w:sz w:val="40"/>
          <w:szCs w:val="40"/>
        </w:rPr>
        <w:t xml:space="preserve"> </w:t>
      </w:r>
      <w:r w:rsidR="005008AD" w:rsidRPr="000E0369">
        <w:rPr>
          <w:rFonts w:ascii="Arial" w:hAnsi="Arial" w:cs="Arial"/>
          <w:b/>
          <w:sz w:val="40"/>
          <w:szCs w:val="40"/>
        </w:rPr>
        <w:t xml:space="preserve">Update) </w:t>
      </w:r>
      <w:r w:rsidRPr="000E0369">
        <w:rPr>
          <w:rFonts w:ascii="Arial" w:hAnsi="Arial" w:cs="Arial"/>
          <w:b/>
          <w:sz w:val="40"/>
          <w:szCs w:val="40"/>
        </w:rPr>
        <w:t>Instrument 202</w:t>
      </w:r>
      <w:r w:rsidR="003D3C9B" w:rsidRPr="000E0369">
        <w:rPr>
          <w:rFonts w:ascii="Arial" w:hAnsi="Arial" w:cs="Arial"/>
          <w:b/>
          <w:sz w:val="40"/>
          <w:szCs w:val="40"/>
        </w:rPr>
        <w:t>4</w:t>
      </w:r>
    </w:p>
    <w:p w14:paraId="238D8D2E" w14:textId="77777777" w:rsidR="001A286A" w:rsidRPr="000E0369" w:rsidRDefault="001A286A" w:rsidP="0038353B">
      <w:pPr>
        <w:spacing w:line="240" w:lineRule="auto"/>
      </w:pPr>
    </w:p>
    <w:p w14:paraId="086DD131" w14:textId="77777777" w:rsidR="001A286A" w:rsidRPr="000E0369" w:rsidRDefault="001A286A" w:rsidP="0038353B">
      <w:pPr>
        <w:spacing w:line="240" w:lineRule="auto"/>
        <w:rPr>
          <w:rFonts w:ascii="Arial" w:hAnsi="Arial" w:cs="Arial"/>
          <w:i/>
          <w:sz w:val="28"/>
          <w:szCs w:val="28"/>
        </w:rPr>
      </w:pPr>
      <w:r w:rsidRPr="000E0369">
        <w:rPr>
          <w:rFonts w:ascii="Arial" w:hAnsi="Arial" w:cs="Arial"/>
          <w:i/>
          <w:sz w:val="28"/>
          <w:szCs w:val="28"/>
        </w:rPr>
        <w:t>National Health Act 1953</w:t>
      </w:r>
    </w:p>
    <w:p w14:paraId="30980CC1" w14:textId="78C3DBC7" w:rsidR="005E317F" w:rsidRPr="000E0369" w:rsidRDefault="005E317F" w:rsidP="0038353B">
      <w:pPr>
        <w:pStyle w:val="SignCoverPageStart"/>
        <w:spacing w:before="240" w:line="240" w:lineRule="auto"/>
        <w:ind w:right="91"/>
        <w:rPr>
          <w:szCs w:val="22"/>
        </w:rPr>
      </w:pPr>
    </w:p>
    <w:p w14:paraId="70D5E97C" w14:textId="7E1F8CB8" w:rsidR="001A286A" w:rsidRPr="000E0369" w:rsidRDefault="001A286A" w:rsidP="0038353B">
      <w:pPr>
        <w:rPr>
          <w:b/>
          <w:bCs/>
          <w:szCs w:val="22"/>
        </w:rPr>
      </w:pPr>
      <w:r w:rsidRPr="000E0369">
        <w:rPr>
          <w:szCs w:val="22"/>
        </w:rPr>
        <w:t xml:space="preserve">I, </w:t>
      </w:r>
      <w:bookmarkStart w:id="0" w:name="_Hlk106345423"/>
      <w:r w:rsidR="007F4155" w:rsidRPr="000E0369">
        <w:rPr>
          <w:szCs w:val="22"/>
        </w:rPr>
        <w:t xml:space="preserve">NIKOLAI TSYGANOV, Assistant Secretary, </w:t>
      </w:r>
      <w:r w:rsidR="00AD67B8" w:rsidRPr="000E0369">
        <w:rPr>
          <w:szCs w:val="22"/>
        </w:rPr>
        <w:t>Pricing and PBS Policy Branch</w:t>
      </w:r>
      <w:bookmarkEnd w:id="0"/>
      <w:r w:rsidRPr="000E0369">
        <w:rPr>
          <w:szCs w:val="22"/>
        </w:rPr>
        <w:t xml:space="preserve">, Technology Assessment and Access Division, </w:t>
      </w:r>
      <w:r w:rsidR="00087B32" w:rsidRPr="000E0369">
        <w:rPr>
          <w:szCs w:val="22"/>
        </w:rPr>
        <w:t>Department of Health and Aged Care</w:t>
      </w:r>
      <w:r w:rsidRPr="000E0369">
        <w:rPr>
          <w:szCs w:val="22"/>
        </w:rPr>
        <w:t xml:space="preserve">, delegate of the Minister for Health and Aged Care, make this Instrument under subsection 100(2) of the </w:t>
      </w:r>
      <w:r w:rsidRPr="000E0369">
        <w:rPr>
          <w:i/>
          <w:szCs w:val="22"/>
        </w:rPr>
        <w:t>National Health Act 1953</w:t>
      </w:r>
      <w:r w:rsidRPr="000E0369">
        <w:rPr>
          <w:szCs w:val="22"/>
        </w:rPr>
        <w:t>.</w:t>
      </w:r>
    </w:p>
    <w:p w14:paraId="542E1E0E" w14:textId="4FA27E62" w:rsidR="005E317F" w:rsidRPr="000E0369" w:rsidRDefault="001A286A" w:rsidP="0038353B">
      <w:pPr>
        <w:keepNext/>
        <w:spacing w:before="300" w:line="240" w:lineRule="auto"/>
        <w:ind w:right="397"/>
        <w:jc w:val="both"/>
        <w:rPr>
          <w:szCs w:val="22"/>
        </w:rPr>
      </w:pPr>
      <w:r w:rsidRPr="000E0369">
        <w:rPr>
          <w:szCs w:val="22"/>
        </w:rPr>
        <w:t>Date</w:t>
      </w:r>
      <w:r w:rsidR="00937A8B" w:rsidRPr="000E0369">
        <w:rPr>
          <w:szCs w:val="22"/>
        </w:rPr>
        <w:t>d</w:t>
      </w:r>
      <w:r w:rsidR="00E611D0" w:rsidRPr="000E0369">
        <w:rPr>
          <w:szCs w:val="22"/>
        </w:rPr>
        <w:tab/>
      </w:r>
      <w:r w:rsidR="002C2546" w:rsidRPr="000E0369">
        <w:rPr>
          <w:szCs w:val="22"/>
        </w:rPr>
        <w:t xml:space="preserve">30 July </w:t>
      </w:r>
      <w:r w:rsidR="001E3419" w:rsidRPr="000E0369">
        <w:rPr>
          <w:szCs w:val="22"/>
        </w:rPr>
        <w:t>2024</w:t>
      </w:r>
    </w:p>
    <w:p w14:paraId="1EF5D8A6" w14:textId="77777777" w:rsidR="007F4155" w:rsidRPr="000E0369" w:rsidRDefault="007F4155" w:rsidP="006F1A19">
      <w:pPr>
        <w:spacing w:before="3000" w:line="240" w:lineRule="auto"/>
        <w:rPr>
          <w:b/>
          <w:bCs/>
        </w:rPr>
      </w:pPr>
      <w:bookmarkStart w:id="1" w:name="_Hlk106345436"/>
      <w:r w:rsidRPr="000E0369">
        <w:rPr>
          <w:b/>
          <w:bCs/>
        </w:rPr>
        <w:t>NIKOLAI TSYGANOV</w:t>
      </w:r>
    </w:p>
    <w:p w14:paraId="6A226CF5" w14:textId="77DDF9DC" w:rsidR="00AD67B8" w:rsidRPr="000E0369" w:rsidRDefault="007F4155" w:rsidP="0038353B">
      <w:pPr>
        <w:spacing w:line="240" w:lineRule="auto"/>
      </w:pPr>
      <w:r w:rsidRPr="000E0369">
        <w:t xml:space="preserve">Assistant Secretary </w:t>
      </w:r>
    </w:p>
    <w:p w14:paraId="45BAE1D3" w14:textId="77777777" w:rsidR="00AD67B8" w:rsidRPr="000E0369" w:rsidRDefault="00AD67B8" w:rsidP="0038353B">
      <w:pPr>
        <w:spacing w:line="240" w:lineRule="auto"/>
      </w:pPr>
      <w:r w:rsidRPr="000E0369">
        <w:t>Pricing and PBS Policy Branch</w:t>
      </w:r>
      <w:bookmarkEnd w:id="1"/>
    </w:p>
    <w:p w14:paraId="3981EBD6" w14:textId="46A4B70A" w:rsidR="001A286A" w:rsidRPr="000E0369" w:rsidRDefault="00C1795C" w:rsidP="0038353B">
      <w:pPr>
        <w:spacing w:line="240" w:lineRule="auto"/>
      </w:pPr>
      <w:r w:rsidRPr="000E0369">
        <w:t>Technology Assessment and Access Division</w:t>
      </w:r>
    </w:p>
    <w:p w14:paraId="2FDCD724" w14:textId="54232FE7" w:rsidR="005E317F" w:rsidRPr="000E0369" w:rsidRDefault="005E317F" w:rsidP="0038353B">
      <w:pPr>
        <w:pStyle w:val="SignCoverPageEnd"/>
        <w:spacing w:line="240" w:lineRule="auto"/>
        <w:ind w:right="91"/>
        <w:rPr>
          <w:sz w:val="22"/>
        </w:rPr>
      </w:pPr>
    </w:p>
    <w:p w14:paraId="46363AD2" w14:textId="77777777" w:rsidR="00B20990" w:rsidRPr="000E0369" w:rsidRDefault="00B20990" w:rsidP="0038353B">
      <w:pPr>
        <w:spacing w:line="240" w:lineRule="auto"/>
      </w:pPr>
    </w:p>
    <w:p w14:paraId="297B73B7" w14:textId="77777777" w:rsidR="00B20990" w:rsidRPr="000E0369" w:rsidRDefault="00B20990" w:rsidP="0038353B">
      <w:pPr>
        <w:spacing w:line="240" w:lineRule="auto"/>
        <w:sectPr w:rsidR="00B20990" w:rsidRPr="000E0369" w:rsidSect="007D132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docGrid w:linePitch="360"/>
        </w:sectPr>
      </w:pPr>
    </w:p>
    <w:p w14:paraId="0012FCC4" w14:textId="77777777" w:rsidR="00B20990" w:rsidRPr="000E0369" w:rsidRDefault="00B20990" w:rsidP="0038353B">
      <w:pPr>
        <w:spacing w:line="240" w:lineRule="auto"/>
        <w:outlineLvl w:val="0"/>
        <w:rPr>
          <w:sz w:val="36"/>
        </w:rPr>
      </w:pPr>
      <w:r w:rsidRPr="000E0369">
        <w:rPr>
          <w:sz w:val="36"/>
        </w:rPr>
        <w:lastRenderedPageBreak/>
        <w:t>Contents</w:t>
      </w:r>
    </w:p>
    <w:bookmarkStart w:id="2" w:name="BKCheck15B_2"/>
    <w:bookmarkEnd w:id="2"/>
    <w:p w14:paraId="7377910A" w14:textId="76264496" w:rsidR="005E317F" w:rsidRPr="000E0369" w:rsidRDefault="00B20990" w:rsidP="0038353B">
      <w:pPr>
        <w:pStyle w:val="TOC5"/>
        <w:rPr>
          <w:rFonts w:asciiTheme="minorHAnsi" w:eastAsiaTheme="minorEastAsia" w:hAnsiTheme="minorHAnsi" w:cstheme="minorBidi"/>
          <w:noProof/>
          <w:kern w:val="0"/>
          <w:sz w:val="22"/>
          <w:szCs w:val="22"/>
        </w:rPr>
      </w:pPr>
      <w:r w:rsidRPr="000E0369">
        <w:fldChar w:fldCharType="begin"/>
      </w:r>
      <w:r w:rsidRPr="000E0369">
        <w:instrText xml:space="preserve"> TOC \o "1-9" </w:instrText>
      </w:r>
      <w:r w:rsidRPr="000E0369">
        <w:fldChar w:fldCharType="separate"/>
      </w:r>
      <w:r w:rsidR="005E317F" w:rsidRPr="000E0369">
        <w:rPr>
          <w:noProof/>
        </w:rPr>
        <w:t>1</w:t>
      </w:r>
      <w:r w:rsidR="005E317F" w:rsidRPr="000E0369">
        <w:rPr>
          <w:noProof/>
        </w:rPr>
        <w:tab/>
        <w:t>Name</w:t>
      </w:r>
      <w:r w:rsidR="005E317F" w:rsidRPr="000E0369">
        <w:rPr>
          <w:noProof/>
          <w:sz w:val="20"/>
        </w:rPr>
        <w:tab/>
      </w:r>
      <w:r w:rsidR="005E317F" w:rsidRPr="000E0369">
        <w:rPr>
          <w:noProof/>
          <w:sz w:val="20"/>
        </w:rPr>
        <w:fldChar w:fldCharType="begin"/>
      </w:r>
      <w:r w:rsidR="005E317F" w:rsidRPr="000E0369">
        <w:rPr>
          <w:noProof/>
          <w:sz w:val="20"/>
        </w:rPr>
        <w:instrText xml:space="preserve"> PAGEREF _Toc478567687 \h </w:instrText>
      </w:r>
      <w:r w:rsidR="005E317F" w:rsidRPr="000E0369">
        <w:rPr>
          <w:noProof/>
          <w:sz w:val="20"/>
        </w:rPr>
      </w:r>
      <w:r w:rsidR="005E317F" w:rsidRPr="000E0369">
        <w:rPr>
          <w:noProof/>
          <w:sz w:val="20"/>
        </w:rPr>
        <w:fldChar w:fldCharType="separate"/>
      </w:r>
      <w:r w:rsidR="00C07DD6" w:rsidRPr="000E0369">
        <w:rPr>
          <w:noProof/>
          <w:sz w:val="20"/>
        </w:rPr>
        <w:t>1</w:t>
      </w:r>
      <w:r w:rsidR="005E317F" w:rsidRPr="000E0369">
        <w:rPr>
          <w:noProof/>
          <w:sz w:val="20"/>
        </w:rPr>
        <w:fldChar w:fldCharType="end"/>
      </w:r>
    </w:p>
    <w:p w14:paraId="4D04226C" w14:textId="7ADF1A69" w:rsidR="005E317F" w:rsidRPr="000E0369" w:rsidRDefault="005E317F" w:rsidP="0038353B">
      <w:pPr>
        <w:pStyle w:val="TOC5"/>
        <w:rPr>
          <w:rFonts w:asciiTheme="minorHAnsi" w:eastAsiaTheme="minorEastAsia" w:hAnsiTheme="minorHAnsi" w:cstheme="minorBidi"/>
          <w:noProof/>
          <w:kern w:val="0"/>
          <w:sz w:val="22"/>
          <w:szCs w:val="22"/>
        </w:rPr>
      </w:pPr>
      <w:r w:rsidRPr="000E0369">
        <w:rPr>
          <w:noProof/>
        </w:rPr>
        <w:t>2</w:t>
      </w:r>
      <w:r w:rsidRPr="000E0369">
        <w:rPr>
          <w:noProof/>
        </w:rPr>
        <w:tab/>
        <w:t>Commencement</w:t>
      </w:r>
      <w:r w:rsidRPr="000E0369">
        <w:rPr>
          <w:noProof/>
          <w:sz w:val="20"/>
        </w:rPr>
        <w:tab/>
      </w:r>
      <w:r w:rsidRPr="000E0369">
        <w:rPr>
          <w:noProof/>
          <w:sz w:val="20"/>
        </w:rPr>
        <w:fldChar w:fldCharType="begin"/>
      </w:r>
      <w:r w:rsidRPr="000E0369">
        <w:rPr>
          <w:noProof/>
          <w:sz w:val="20"/>
        </w:rPr>
        <w:instrText xml:space="preserve"> PAGEREF _Toc478567688 \h </w:instrText>
      </w:r>
      <w:r w:rsidRPr="000E0369">
        <w:rPr>
          <w:noProof/>
          <w:sz w:val="20"/>
        </w:rPr>
      </w:r>
      <w:r w:rsidRPr="000E0369">
        <w:rPr>
          <w:noProof/>
          <w:sz w:val="20"/>
        </w:rPr>
        <w:fldChar w:fldCharType="separate"/>
      </w:r>
      <w:r w:rsidR="00C07DD6" w:rsidRPr="000E0369">
        <w:rPr>
          <w:noProof/>
          <w:sz w:val="20"/>
        </w:rPr>
        <w:t>1</w:t>
      </w:r>
      <w:r w:rsidRPr="000E0369">
        <w:rPr>
          <w:noProof/>
          <w:sz w:val="20"/>
        </w:rPr>
        <w:fldChar w:fldCharType="end"/>
      </w:r>
    </w:p>
    <w:p w14:paraId="32A95F2E" w14:textId="4E067BB2" w:rsidR="005E317F" w:rsidRPr="000E0369" w:rsidRDefault="005E317F" w:rsidP="0038353B">
      <w:pPr>
        <w:pStyle w:val="TOC5"/>
        <w:rPr>
          <w:rFonts w:asciiTheme="minorHAnsi" w:eastAsiaTheme="minorEastAsia" w:hAnsiTheme="minorHAnsi" w:cstheme="minorBidi"/>
          <w:noProof/>
          <w:kern w:val="0"/>
          <w:sz w:val="22"/>
          <w:szCs w:val="22"/>
        </w:rPr>
      </w:pPr>
      <w:r w:rsidRPr="000E0369">
        <w:rPr>
          <w:noProof/>
        </w:rPr>
        <w:t>3</w:t>
      </w:r>
      <w:r w:rsidRPr="000E0369">
        <w:rPr>
          <w:noProof/>
        </w:rPr>
        <w:tab/>
        <w:t>Authority</w:t>
      </w:r>
      <w:r w:rsidRPr="000E0369">
        <w:rPr>
          <w:noProof/>
          <w:sz w:val="20"/>
        </w:rPr>
        <w:tab/>
      </w:r>
      <w:r w:rsidRPr="000E0369">
        <w:rPr>
          <w:noProof/>
          <w:sz w:val="20"/>
        </w:rPr>
        <w:fldChar w:fldCharType="begin"/>
      </w:r>
      <w:r w:rsidRPr="000E0369">
        <w:rPr>
          <w:noProof/>
          <w:sz w:val="20"/>
        </w:rPr>
        <w:instrText xml:space="preserve"> PAGEREF _Toc478567689 \h </w:instrText>
      </w:r>
      <w:r w:rsidRPr="000E0369">
        <w:rPr>
          <w:noProof/>
          <w:sz w:val="20"/>
        </w:rPr>
      </w:r>
      <w:r w:rsidRPr="000E0369">
        <w:rPr>
          <w:noProof/>
          <w:sz w:val="20"/>
        </w:rPr>
        <w:fldChar w:fldCharType="separate"/>
      </w:r>
      <w:r w:rsidR="00C07DD6" w:rsidRPr="000E0369">
        <w:rPr>
          <w:noProof/>
          <w:sz w:val="20"/>
        </w:rPr>
        <w:t>1</w:t>
      </w:r>
      <w:r w:rsidRPr="000E0369">
        <w:rPr>
          <w:noProof/>
          <w:sz w:val="20"/>
        </w:rPr>
        <w:fldChar w:fldCharType="end"/>
      </w:r>
    </w:p>
    <w:p w14:paraId="26B5284D" w14:textId="290E72F9" w:rsidR="005E317F" w:rsidRPr="000E0369" w:rsidRDefault="005E317F" w:rsidP="0038353B">
      <w:pPr>
        <w:pStyle w:val="TOC5"/>
        <w:rPr>
          <w:rFonts w:asciiTheme="minorHAnsi" w:eastAsiaTheme="minorEastAsia" w:hAnsiTheme="minorHAnsi" w:cstheme="minorBidi"/>
          <w:noProof/>
          <w:kern w:val="0"/>
          <w:sz w:val="22"/>
          <w:szCs w:val="22"/>
        </w:rPr>
      </w:pPr>
      <w:r w:rsidRPr="000E0369">
        <w:rPr>
          <w:noProof/>
        </w:rPr>
        <w:t>4</w:t>
      </w:r>
      <w:r w:rsidRPr="000E0369">
        <w:rPr>
          <w:noProof/>
        </w:rPr>
        <w:tab/>
        <w:t>Schedules</w:t>
      </w:r>
      <w:r w:rsidRPr="000E0369">
        <w:rPr>
          <w:noProof/>
          <w:sz w:val="20"/>
        </w:rPr>
        <w:tab/>
      </w:r>
      <w:r w:rsidRPr="000E0369">
        <w:rPr>
          <w:noProof/>
          <w:sz w:val="20"/>
        </w:rPr>
        <w:fldChar w:fldCharType="begin"/>
      </w:r>
      <w:r w:rsidRPr="000E0369">
        <w:rPr>
          <w:noProof/>
          <w:sz w:val="20"/>
        </w:rPr>
        <w:instrText xml:space="preserve"> PAGEREF _Toc478567690 \h </w:instrText>
      </w:r>
      <w:r w:rsidRPr="000E0369">
        <w:rPr>
          <w:noProof/>
          <w:sz w:val="20"/>
        </w:rPr>
      </w:r>
      <w:r w:rsidRPr="000E0369">
        <w:rPr>
          <w:noProof/>
          <w:sz w:val="20"/>
        </w:rPr>
        <w:fldChar w:fldCharType="separate"/>
      </w:r>
      <w:r w:rsidR="00C07DD6" w:rsidRPr="000E0369">
        <w:rPr>
          <w:noProof/>
          <w:sz w:val="20"/>
        </w:rPr>
        <w:t>1</w:t>
      </w:r>
      <w:r w:rsidRPr="000E0369">
        <w:rPr>
          <w:noProof/>
          <w:sz w:val="20"/>
        </w:rPr>
        <w:fldChar w:fldCharType="end"/>
      </w:r>
    </w:p>
    <w:p w14:paraId="0ED7DB7B" w14:textId="6287DF5C" w:rsidR="005E317F" w:rsidRPr="000E0369" w:rsidRDefault="005E317F" w:rsidP="0038353B">
      <w:pPr>
        <w:pStyle w:val="TOC6"/>
        <w:rPr>
          <w:rFonts w:asciiTheme="minorHAnsi" w:eastAsiaTheme="minorEastAsia" w:hAnsiTheme="minorHAnsi" w:cstheme="minorBidi"/>
          <w:b w:val="0"/>
          <w:noProof/>
          <w:kern w:val="0"/>
          <w:sz w:val="22"/>
          <w:szCs w:val="22"/>
        </w:rPr>
      </w:pPr>
      <w:r w:rsidRPr="000E0369">
        <w:rPr>
          <w:noProof/>
        </w:rPr>
        <w:t>Schedule 1—Amendments</w:t>
      </w:r>
      <w:r w:rsidRPr="000E0369">
        <w:rPr>
          <w:b w:val="0"/>
          <w:noProof/>
          <w:sz w:val="20"/>
        </w:rPr>
        <w:tab/>
      </w:r>
      <w:r w:rsidRPr="000E0369">
        <w:rPr>
          <w:b w:val="0"/>
          <w:noProof/>
          <w:sz w:val="20"/>
        </w:rPr>
        <w:fldChar w:fldCharType="begin"/>
      </w:r>
      <w:r w:rsidRPr="000E0369">
        <w:rPr>
          <w:b w:val="0"/>
          <w:noProof/>
          <w:sz w:val="20"/>
        </w:rPr>
        <w:instrText xml:space="preserve"> PAGEREF _Toc478567691 \h </w:instrText>
      </w:r>
      <w:r w:rsidRPr="000E0369">
        <w:rPr>
          <w:b w:val="0"/>
          <w:noProof/>
          <w:sz w:val="20"/>
        </w:rPr>
      </w:r>
      <w:r w:rsidRPr="000E0369">
        <w:rPr>
          <w:b w:val="0"/>
          <w:noProof/>
          <w:sz w:val="20"/>
        </w:rPr>
        <w:fldChar w:fldCharType="separate"/>
      </w:r>
      <w:r w:rsidR="00C07DD6" w:rsidRPr="000E0369">
        <w:rPr>
          <w:b w:val="0"/>
          <w:noProof/>
          <w:sz w:val="20"/>
        </w:rPr>
        <w:t>2</w:t>
      </w:r>
      <w:r w:rsidRPr="000E0369">
        <w:rPr>
          <w:b w:val="0"/>
          <w:noProof/>
          <w:sz w:val="20"/>
        </w:rPr>
        <w:fldChar w:fldCharType="end"/>
      </w:r>
    </w:p>
    <w:p w14:paraId="0A0BB86E" w14:textId="570AA1E8" w:rsidR="005E317F" w:rsidRPr="000E0369" w:rsidRDefault="001A286A" w:rsidP="0038353B">
      <w:pPr>
        <w:pStyle w:val="TOC9"/>
        <w:rPr>
          <w:rFonts w:asciiTheme="minorHAnsi" w:eastAsiaTheme="minorEastAsia" w:hAnsiTheme="minorHAnsi" w:cstheme="minorBidi"/>
          <w:i w:val="0"/>
          <w:noProof/>
          <w:kern w:val="0"/>
          <w:sz w:val="22"/>
          <w:szCs w:val="22"/>
        </w:rPr>
      </w:pPr>
      <w:r w:rsidRPr="000E0369">
        <w:t xml:space="preserve">National Health (Efficient Funding of Chemotherapy) Special Arrangement </w:t>
      </w:r>
      <w:r w:rsidR="00053793" w:rsidRPr="000E0369">
        <w:t>2024</w:t>
      </w:r>
      <w:r w:rsidRPr="000E0369">
        <w:br/>
        <w:t xml:space="preserve">(PB </w:t>
      </w:r>
      <w:r w:rsidR="00053793" w:rsidRPr="000E0369">
        <w:t>31</w:t>
      </w:r>
      <w:r w:rsidRPr="000E0369">
        <w:t xml:space="preserve"> of </w:t>
      </w:r>
      <w:r w:rsidR="00053793" w:rsidRPr="000E0369">
        <w:t>2024</w:t>
      </w:r>
      <w:r w:rsidRPr="000E0369">
        <w:t>)</w:t>
      </w:r>
      <w:r w:rsidR="005E317F" w:rsidRPr="000E0369">
        <w:rPr>
          <w:i w:val="0"/>
          <w:noProof/>
        </w:rPr>
        <w:tab/>
      </w:r>
      <w:r w:rsidR="00C904FE" w:rsidRPr="000E0369">
        <w:rPr>
          <w:i w:val="0"/>
          <w:noProof/>
        </w:rPr>
        <w:t>2</w:t>
      </w:r>
    </w:p>
    <w:p w14:paraId="5B851D38" w14:textId="6FD219C0" w:rsidR="005E317F" w:rsidRPr="000E0369" w:rsidRDefault="005E317F" w:rsidP="0038353B">
      <w:pPr>
        <w:pStyle w:val="TOC9"/>
        <w:ind w:left="0"/>
        <w:rPr>
          <w:rFonts w:asciiTheme="minorHAnsi" w:eastAsiaTheme="minorEastAsia" w:hAnsiTheme="minorHAnsi" w:cstheme="minorBidi"/>
          <w:i w:val="0"/>
          <w:noProof/>
          <w:kern w:val="0"/>
          <w:sz w:val="22"/>
          <w:szCs w:val="22"/>
        </w:rPr>
      </w:pPr>
    </w:p>
    <w:p w14:paraId="1CBECAB5" w14:textId="77777777" w:rsidR="00B20990" w:rsidRPr="000E0369" w:rsidRDefault="00B20990" w:rsidP="0038353B">
      <w:pPr>
        <w:spacing w:line="240" w:lineRule="auto"/>
      </w:pPr>
      <w:r w:rsidRPr="000E0369">
        <w:rPr>
          <w:rFonts w:cs="Times New Roman"/>
          <w:sz w:val="20"/>
        </w:rPr>
        <w:fldChar w:fldCharType="end"/>
      </w:r>
    </w:p>
    <w:p w14:paraId="5E7341AB" w14:textId="77777777" w:rsidR="00B20990" w:rsidRPr="000E0369" w:rsidRDefault="00B20990" w:rsidP="0038353B">
      <w:pPr>
        <w:spacing w:line="240" w:lineRule="auto"/>
      </w:pPr>
    </w:p>
    <w:p w14:paraId="2C1CCB12" w14:textId="77777777" w:rsidR="00E32692" w:rsidRPr="000E0369" w:rsidRDefault="00E32692" w:rsidP="0038353B">
      <w:pPr>
        <w:spacing w:line="240" w:lineRule="auto"/>
        <w:sectPr w:rsidR="00E32692" w:rsidRPr="000E0369"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0DB9D02D" w:rsidR="005E317F" w:rsidRPr="000E0369" w:rsidRDefault="005E317F" w:rsidP="007D1325">
      <w:pPr>
        <w:pStyle w:val="ActHead5"/>
        <w:numPr>
          <w:ilvl w:val="0"/>
          <w:numId w:val="6"/>
        </w:numPr>
        <w:ind w:left="567" w:hanging="567"/>
      </w:pPr>
      <w:bookmarkStart w:id="3" w:name="_Toc478567687"/>
      <w:r w:rsidRPr="000E0369">
        <w:lastRenderedPageBreak/>
        <w:t>Name</w:t>
      </w:r>
      <w:bookmarkEnd w:id="3"/>
    </w:p>
    <w:p w14:paraId="77205F69" w14:textId="314A4239" w:rsidR="005E317F" w:rsidRPr="000E0369" w:rsidRDefault="005E317F" w:rsidP="0038353B">
      <w:pPr>
        <w:pStyle w:val="subsection"/>
        <w:numPr>
          <w:ilvl w:val="0"/>
          <w:numId w:val="4"/>
        </w:numPr>
        <w:tabs>
          <w:tab w:val="clear" w:pos="1021"/>
        </w:tabs>
        <w:ind w:left="1134" w:hanging="567"/>
      </w:pPr>
      <w:r w:rsidRPr="000E0369">
        <w:t xml:space="preserve">This instrument is the </w:t>
      </w:r>
      <w:bookmarkStart w:id="4" w:name="BKCheck15B_3"/>
      <w:bookmarkStart w:id="5" w:name="_Hlk80090919"/>
      <w:bookmarkEnd w:id="4"/>
      <w:r w:rsidR="001A286A" w:rsidRPr="000E0369">
        <w:rPr>
          <w:i/>
        </w:rPr>
        <w:t xml:space="preserve">National Health (Efficient Funding of Chemotherapy) Special Arrangement Amendment </w:t>
      </w:r>
      <w:r w:rsidR="008B09C7" w:rsidRPr="000E0369">
        <w:rPr>
          <w:i/>
        </w:rPr>
        <w:t>(</w:t>
      </w:r>
      <w:r w:rsidR="00DA2666" w:rsidRPr="000E0369">
        <w:rPr>
          <w:i/>
        </w:rPr>
        <w:t>August</w:t>
      </w:r>
      <w:r w:rsidR="008B09C7" w:rsidRPr="000E0369">
        <w:rPr>
          <w:i/>
        </w:rPr>
        <w:t xml:space="preserve"> Update) </w:t>
      </w:r>
      <w:r w:rsidR="001A286A" w:rsidRPr="000E0369">
        <w:rPr>
          <w:i/>
        </w:rPr>
        <w:t>Instrument 202</w:t>
      </w:r>
      <w:r w:rsidR="003D3C9B" w:rsidRPr="000E0369">
        <w:rPr>
          <w:i/>
        </w:rPr>
        <w:t>4</w:t>
      </w:r>
      <w:bookmarkEnd w:id="5"/>
    </w:p>
    <w:p w14:paraId="0FF7C4A3" w14:textId="256D8DAA" w:rsidR="001A286A" w:rsidRPr="000E0369" w:rsidRDefault="001A286A" w:rsidP="0038353B">
      <w:pPr>
        <w:pStyle w:val="subsection"/>
        <w:numPr>
          <w:ilvl w:val="0"/>
          <w:numId w:val="4"/>
        </w:numPr>
        <w:tabs>
          <w:tab w:val="clear" w:pos="1021"/>
        </w:tabs>
        <w:ind w:left="1134" w:hanging="567"/>
      </w:pPr>
      <w:r w:rsidRPr="000E0369">
        <w:t xml:space="preserve">This instrument may also be cited as </w:t>
      </w:r>
      <w:r w:rsidR="006832B7" w:rsidRPr="000E0369">
        <w:t xml:space="preserve">PB </w:t>
      </w:r>
      <w:r w:rsidR="00025824" w:rsidRPr="000E0369">
        <w:t>80</w:t>
      </w:r>
      <w:r w:rsidR="002B139F" w:rsidRPr="000E0369">
        <w:t xml:space="preserve"> </w:t>
      </w:r>
      <w:r w:rsidRPr="000E0369">
        <w:t>of 202</w:t>
      </w:r>
      <w:r w:rsidR="003D3C9B" w:rsidRPr="000E0369">
        <w:t>4</w:t>
      </w:r>
      <w:r w:rsidR="004E1E67" w:rsidRPr="000E0369">
        <w:t>.</w:t>
      </w:r>
    </w:p>
    <w:p w14:paraId="2FF92845" w14:textId="5AD34580" w:rsidR="005E317F" w:rsidRPr="000E0369" w:rsidRDefault="005E317F" w:rsidP="007D1325">
      <w:pPr>
        <w:pStyle w:val="ActHead5"/>
        <w:numPr>
          <w:ilvl w:val="0"/>
          <w:numId w:val="6"/>
        </w:numPr>
        <w:ind w:left="567" w:hanging="567"/>
      </w:pPr>
      <w:bookmarkStart w:id="6" w:name="_Toc478567688"/>
      <w:r w:rsidRPr="000E0369">
        <w:t>Commencement</w:t>
      </w:r>
      <w:bookmarkEnd w:id="6"/>
    </w:p>
    <w:p w14:paraId="048AB2EA" w14:textId="0E3E42E1" w:rsidR="00002BCC" w:rsidRPr="000E0369" w:rsidRDefault="00002BCC" w:rsidP="0038353B">
      <w:pPr>
        <w:pStyle w:val="subsection"/>
        <w:numPr>
          <w:ilvl w:val="0"/>
          <w:numId w:val="7"/>
        </w:numPr>
        <w:tabs>
          <w:tab w:val="clear" w:pos="1021"/>
          <w:tab w:val="right" w:pos="1134"/>
        </w:tabs>
      </w:pPr>
      <w:bookmarkStart w:id="7" w:name="_Toc478567689"/>
      <w:r w:rsidRPr="000E0369">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0E0369" w:rsidRDefault="00002BCC" w:rsidP="0038353B">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54"/>
        <w:gridCol w:w="3118"/>
        <w:gridCol w:w="2092"/>
      </w:tblGrid>
      <w:tr w:rsidR="00002BCC" w:rsidRPr="000E0369" w14:paraId="0CB707EA" w14:textId="77777777" w:rsidTr="00345CEF">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0E0369" w:rsidRDefault="00002BCC" w:rsidP="007D1325">
            <w:pPr>
              <w:pStyle w:val="TableHeading"/>
              <w:spacing w:line="240" w:lineRule="auto"/>
            </w:pPr>
            <w:r w:rsidRPr="000E0369">
              <w:t>Commencement information</w:t>
            </w:r>
          </w:p>
        </w:tc>
      </w:tr>
      <w:tr w:rsidR="00002BCC" w:rsidRPr="000E0369" w14:paraId="2F7AE697" w14:textId="77777777" w:rsidTr="00E4560E">
        <w:trPr>
          <w:tblHeader/>
        </w:trPr>
        <w:tc>
          <w:tcPr>
            <w:tcW w:w="3154" w:type="dxa"/>
            <w:tcBorders>
              <w:top w:val="single" w:sz="6" w:space="0" w:color="auto"/>
              <w:bottom w:val="single" w:sz="6" w:space="0" w:color="auto"/>
            </w:tcBorders>
            <w:shd w:val="clear" w:color="auto" w:fill="auto"/>
            <w:hideMark/>
          </w:tcPr>
          <w:p w14:paraId="64B74E95" w14:textId="77777777" w:rsidR="00002BCC" w:rsidRPr="000E0369" w:rsidRDefault="00002BCC" w:rsidP="007D1325">
            <w:pPr>
              <w:pStyle w:val="TableHeading"/>
              <w:spacing w:line="240" w:lineRule="auto"/>
            </w:pPr>
            <w:r w:rsidRPr="000E0369">
              <w:t>Column 1</w:t>
            </w:r>
          </w:p>
        </w:tc>
        <w:tc>
          <w:tcPr>
            <w:tcW w:w="3118" w:type="dxa"/>
            <w:tcBorders>
              <w:top w:val="single" w:sz="6" w:space="0" w:color="auto"/>
              <w:bottom w:val="single" w:sz="6" w:space="0" w:color="auto"/>
            </w:tcBorders>
            <w:shd w:val="clear" w:color="auto" w:fill="auto"/>
            <w:hideMark/>
          </w:tcPr>
          <w:p w14:paraId="674E9B45" w14:textId="77777777" w:rsidR="00002BCC" w:rsidRPr="000E0369" w:rsidRDefault="00002BCC" w:rsidP="007D1325">
            <w:pPr>
              <w:pStyle w:val="TableHeading"/>
              <w:spacing w:line="240" w:lineRule="auto"/>
            </w:pPr>
            <w:r w:rsidRPr="000E0369">
              <w:t>Column 2</w:t>
            </w:r>
          </w:p>
        </w:tc>
        <w:tc>
          <w:tcPr>
            <w:tcW w:w="2092" w:type="dxa"/>
            <w:tcBorders>
              <w:top w:val="single" w:sz="6" w:space="0" w:color="auto"/>
              <w:bottom w:val="single" w:sz="6" w:space="0" w:color="auto"/>
            </w:tcBorders>
            <w:shd w:val="clear" w:color="auto" w:fill="auto"/>
            <w:hideMark/>
          </w:tcPr>
          <w:p w14:paraId="4DA78A8B" w14:textId="77777777" w:rsidR="00002BCC" w:rsidRPr="000E0369" w:rsidRDefault="00002BCC" w:rsidP="007D1325">
            <w:pPr>
              <w:pStyle w:val="TableHeading"/>
              <w:spacing w:line="240" w:lineRule="auto"/>
            </w:pPr>
            <w:r w:rsidRPr="000E0369">
              <w:t>Column 3</w:t>
            </w:r>
          </w:p>
        </w:tc>
      </w:tr>
      <w:tr w:rsidR="00002BCC" w:rsidRPr="000E0369" w14:paraId="43C4DB80" w14:textId="77777777" w:rsidTr="00E4560E">
        <w:trPr>
          <w:tblHeader/>
        </w:trPr>
        <w:tc>
          <w:tcPr>
            <w:tcW w:w="3154" w:type="dxa"/>
            <w:tcBorders>
              <w:top w:val="single" w:sz="6" w:space="0" w:color="auto"/>
              <w:bottom w:val="single" w:sz="12" w:space="0" w:color="auto"/>
            </w:tcBorders>
            <w:shd w:val="clear" w:color="auto" w:fill="auto"/>
            <w:hideMark/>
          </w:tcPr>
          <w:p w14:paraId="18ECFE82" w14:textId="77777777" w:rsidR="00002BCC" w:rsidRPr="000E0369" w:rsidRDefault="00002BCC" w:rsidP="007D1325">
            <w:pPr>
              <w:pStyle w:val="TableHeading"/>
              <w:spacing w:line="240" w:lineRule="auto"/>
            </w:pPr>
            <w:r w:rsidRPr="000E0369">
              <w:t>Provisions</w:t>
            </w:r>
          </w:p>
        </w:tc>
        <w:tc>
          <w:tcPr>
            <w:tcW w:w="3118" w:type="dxa"/>
            <w:tcBorders>
              <w:top w:val="single" w:sz="6" w:space="0" w:color="auto"/>
              <w:bottom w:val="single" w:sz="12" w:space="0" w:color="auto"/>
            </w:tcBorders>
            <w:shd w:val="clear" w:color="auto" w:fill="auto"/>
            <w:hideMark/>
          </w:tcPr>
          <w:p w14:paraId="56EC77EC" w14:textId="77777777" w:rsidR="00002BCC" w:rsidRPr="000E0369" w:rsidRDefault="00002BCC" w:rsidP="007D1325">
            <w:pPr>
              <w:pStyle w:val="TableHeading"/>
              <w:spacing w:line="240" w:lineRule="auto"/>
            </w:pPr>
            <w:r w:rsidRPr="000E0369">
              <w:t>Commencement</w:t>
            </w:r>
          </w:p>
        </w:tc>
        <w:tc>
          <w:tcPr>
            <w:tcW w:w="2092" w:type="dxa"/>
            <w:tcBorders>
              <w:top w:val="single" w:sz="6" w:space="0" w:color="auto"/>
              <w:bottom w:val="single" w:sz="12" w:space="0" w:color="auto"/>
            </w:tcBorders>
            <w:shd w:val="clear" w:color="auto" w:fill="auto"/>
            <w:hideMark/>
          </w:tcPr>
          <w:p w14:paraId="48C18980" w14:textId="77777777" w:rsidR="00002BCC" w:rsidRPr="000E0369" w:rsidRDefault="00002BCC" w:rsidP="007D1325">
            <w:pPr>
              <w:pStyle w:val="TableHeading"/>
              <w:spacing w:line="240" w:lineRule="auto"/>
            </w:pPr>
            <w:r w:rsidRPr="000E0369">
              <w:t>Date/Details</w:t>
            </w:r>
          </w:p>
        </w:tc>
      </w:tr>
      <w:tr w:rsidR="00002BCC" w:rsidRPr="000E0369" w14:paraId="05C2B436" w14:textId="77777777" w:rsidTr="00E4560E">
        <w:tc>
          <w:tcPr>
            <w:tcW w:w="3154" w:type="dxa"/>
            <w:tcBorders>
              <w:top w:val="single" w:sz="12" w:space="0" w:color="auto"/>
              <w:bottom w:val="single" w:sz="12" w:space="0" w:color="auto"/>
            </w:tcBorders>
            <w:shd w:val="clear" w:color="auto" w:fill="auto"/>
            <w:hideMark/>
          </w:tcPr>
          <w:p w14:paraId="72259BD5" w14:textId="1F156F94" w:rsidR="00002BCC" w:rsidRPr="000E0369" w:rsidRDefault="00002BCC" w:rsidP="007D1325">
            <w:pPr>
              <w:pStyle w:val="Tabletext"/>
              <w:spacing w:line="240" w:lineRule="auto"/>
              <w:rPr>
                <w:i/>
              </w:rPr>
            </w:pPr>
            <w:r w:rsidRPr="000E0369">
              <w:t xml:space="preserve">1.  </w:t>
            </w:r>
            <w:r w:rsidR="001A286A" w:rsidRPr="000E0369">
              <w:rPr>
                <w:i/>
              </w:rPr>
              <w:t>The whole of this instrument</w:t>
            </w:r>
          </w:p>
        </w:tc>
        <w:tc>
          <w:tcPr>
            <w:tcW w:w="3118" w:type="dxa"/>
            <w:tcBorders>
              <w:top w:val="single" w:sz="12" w:space="0" w:color="auto"/>
              <w:bottom w:val="single" w:sz="12" w:space="0" w:color="auto"/>
            </w:tcBorders>
            <w:shd w:val="clear" w:color="auto" w:fill="auto"/>
            <w:hideMark/>
          </w:tcPr>
          <w:p w14:paraId="27D82E85" w14:textId="6EF888B9" w:rsidR="00002BCC" w:rsidRPr="000E0369" w:rsidRDefault="00981D9C" w:rsidP="007D1325">
            <w:pPr>
              <w:pStyle w:val="Tabletext"/>
              <w:spacing w:line="240" w:lineRule="auto"/>
              <w:rPr>
                <w:i/>
              </w:rPr>
            </w:pPr>
            <w:r w:rsidRPr="000E0369">
              <w:rPr>
                <w:i/>
              </w:rPr>
              <w:t xml:space="preserve">1 </w:t>
            </w:r>
            <w:r w:rsidR="00DA2666" w:rsidRPr="000E0369">
              <w:rPr>
                <w:i/>
              </w:rPr>
              <w:t>August</w:t>
            </w:r>
            <w:r w:rsidR="005252B4" w:rsidRPr="000E0369">
              <w:rPr>
                <w:i/>
              </w:rPr>
              <w:t xml:space="preserve"> 2024</w:t>
            </w:r>
          </w:p>
        </w:tc>
        <w:tc>
          <w:tcPr>
            <w:tcW w:w="2092" w:type="dxa"/>
            <w:tcBorders>
              <w:top w:val="single" w:sz="12" w:space="0" w:color="auto"/>
              <w:bottom w:val="single" w:sz="12" w:space="0" w:color="auto"/>
            </w:tcBorders>
            <w:shd w:val="clear" w:color="auto" w:fill="auto"/>
          </w:tcPr>
          <w:p w14:paraId="2B7D6CC6" w14:textId="43108D4B" w:rsidR="00002BCC" w:rsidRPr="000E0369" w:rsidRDefault="005252B4" w:rsidP="007D1325">
            <w:pPr>
              <w:pStyle w:val="Tabletext"/>
              <w:spacing w:line="240" w:lineRule="auto"/>
              <w:rPr>
                <w:i/>
              </w:rPr>
            </w:pPr>
            <w:r w:rsidRPr="000E0369">
              <w:rPr>
                <w:i/>
              </w:rPr>
              <w:t xml:space="preserve">1 </w:t>
            </w:r>
            <w:r w:rsidR="00DA2666" w:rsidRPr="000E0369">
              <w:rPr>
                <w:i/>
              </w:rPr>
              <w:t>August</w:t>
            </w:r>
            <w:r w:rsidR="00B30E1A" w:rsidRPr="000E0369">
              <w:rPr>
                <w:i/>
              </w:rPr>
              <w:t xml:space="preserve"> </w:t>
            </w:r>
            <w:r w:rsidRPr="000E0369">
              <w:rPr>
                <w:i/>
              </w:rPr>
              <w:t>2024</w:t>
            </w:r>
          </w:p>
        </w:tc>
      </w:tr>
    </w:tbl>
    <w:p w14:paraId="19882BA6" w14:textId="77777777" w:rsidR="00002BCC" w:rsidRPr="000E0369" w:rsidRDefault="00002BCC" w:rsidP="0038353B">
      <w:pPr>
        <w:pStyle w:val="notetext"/>
        <w:spacing w:line="240" w:lineRule="auto"/>
      </w:pPr>
      <w:r w:rsidRPr="000E0369">
        <w:rPr>
          <w:snapToGrid w:val="0"/>
          <w:lang w:eastAsia="en-US"/>
        </w:rPr>
        <w:t>Note:</w:t>
      </w:r>
      <w:r w:rsidRPr="000E0369">
        <w:rPr>
          <w:snapToGrid w:val="0"/>
          <w:lang w:eastAsia="en-US"/>
        </w:rPr>
        <w:tab/>
        <w:t>This table relates only to the provisions of this instrument</w:t>
      </w:r>
      <w:r w:rsidRPr="000E0369">
        <w:t xml:space="preserve"> </w:t>
      </w:r>
      <w:r w:rsidRPr="000E0369">
        <w:rPr>
          <w:snapToGrid w:val="0"/>
          <w:lang w:eastAsia="en-US"/>
        </w:rPr>
        <w:t>as originally made. It will not be amended to deal with any later amendments of this instrument.</w:t>
      </w:r>
    </w:p>
    <w:p w14:paraId="17FF4358" w14:textId="4EE83A17" w:rsidR="00002BCC" w:rsidRPr="000E0369" w:rsidRDefault="00002BCC" w:rsidP="0038353B">
      <w:pPr>
        <w:pStyle w:val="subsection"/>
        <w:numPr>
          <w:ilvl w:val="0"/>
          <w:numId w:val="7"/>
        </w:numPr>
        <w:tabs>
          <w:tab w:val="clear" w:pos="1021"/>
          <w:tab w:val="right" w:pos="1134"/>
        </w:tabs>
      </w:pPr>
      <w:r w:rsidRPr="000E0369">
        <w:tab/>
        <w:t>Any information in column 3 of the table is not part of this instrument. Information may be inserted in this column, or information in it may be edited, in any published version of this instrument.</w:t>
      </w:r>
    </w:p>
    <w:p w14:paraId="36C737BF" w14:textId="2747C0AD" w:rsidR="005E317F" w:rsidRPr="000E0369" w:rsidRDefault="005E317F" w:rsidP="007D1325">
      <w:pPr>
        <w:pStyle w:val="ActHead5"/>
        <w:numPr>
          <w:ilvl w:val="0"/>
          <w:numId w:val="6"/>
        </w:numPr>
        <w:ind w:left="567" w:hanging="567"/>
      </w:pPr>
      <w:r w:rsidRPr="000E0369">
        <w:t>Authority</w:t>
      </w:r>
      <w:bookmarkEnd w:id="7"/>
    </w:p>
    <w:p w14:paraId="255D8561" w14:textId="362CA725" w:rsidR="001A286A" w:rsidRPr="000E0369" w:rsidRDefault="005E317F" w:rsidP="0038353B">
      <w:pPr>
        <w:pStyle w:val="subsection"/>
        <w:widowControl w:val="0"/>
        <w:ind w:left="567" w:firstLine="0"/>
      </w:pPr>
      <w:r w:rsidRPr="000E0369">
        <w:t>This instrument is made</w:t>
      </w:r>
      <w:r w:rsidR="001A286A" w:rsidRPr="000E0369">
        <w:t xml:space="preserve"> </w:t>
      </w:r>
      <w:r w:rsidRPr="000E0369">
        <w:t>under</w:t>
      </w:r>
      <w:r w:rsidR="001A286A" w:rsidRPr="000E0369">
        <w:t xml:space="preserve"> subsection 100(2)</w:t>
      </w:r>
      <w:r w:rsidR="00464BBF" w:rsidRPr="000E0369">
        <w:t xml:space="preserve"> of the</w:t>
      </w:r>
      <w:r w:rsidR="001A286A" w:rsidRPr="000E0369">
        <w:t xml:space="preserve"> </w:t>
      </w:r>
      <w:r w:rsidR="001A286A" w:rsidRPr="000E0369">
        <w:rPr>
          <w:i/>
        </w:rPr>
        <w:t>National Health Act 1953</w:t>
      </w:r>
      <w:r w:rsidR="001A286A" w:rsidRPr="000E0369">
        <w:t>.</w:t>
      </w:r>
    </w:p>
    <w:p w14:paraId="418EB651" w14:textId="5B8531A2" w:rsidR="005E317F" w:rsidRPr="000E0369" w:rsidRDefault="005E317F" w:rsidP="007D1325">
      <w:pPr>
        <w:pStyle w:val="ActHead5"/>
        <w:numPr>
          <w:ilvl w:val="0"/>
          <w:numId w:val="6"/>
        </w:numPr>
        <w:ind w:left="567" w:hanging="567"/>
      </w:pPr>
      <w:bookmarkStart w:id="8" w:name="_Toc478567690"/>
      <w:r w:rsidRPr="000E0369">
        <w:t>Schedules</w:t>
      </w:r>
      <w:bookmarkEnd w:id="8"/>
    </w:p>
    <w:p w14:paraId="60AC440F" w14:textId="17024904" w:rsidR="000A4401" w:rsidRPr="000E0369" w:rsidRDefault="005E317F" w:rsidP="0038353B">
      <w:pPr>
        <w:pStyle w:val="subsection"/>
        <w:ind w:left="567" w:firstLine="0"/>
      </w:pPr>
      <w:r w:rsidRPr="000E0369">
        <w:t>Each instrument that is specified in a Schedule to this instrument is amended or repealed as set out in the applicable items in the Schedule concerned, and any other item in a Schedule to this instrument has effect according to its terms.</w:t>
      </w:r>
      <w:bookmarkStart w:id="9" w:name="_Toc478567691"/>
    </w:p>
    <w:p w14:paraId="00621A0C" w14:textId="1FFBD500" w:rsidR="00E32692" w:rsidRPr="000E0369" w:rsidRDefault="00E32692" w:rsidP="0038353B">
      <w:pPr>
        <w:spacing w:line="240" w:lineRule="auto"/>
        <w:rPr>
          <w:lang w:eastAsia="en-AU"/>
        </w:rPr>
      </w:pPr>
    </w:p>
    <w:p w14:paraId="1B271BE5" w14:textId="4665F130" w:rsidR="00E32692" w:rsidRPr="000E0369" w:rsidRDefault="00E32692" w:rsidP="0038353B">
      <w:pPr>
        <w:spacing w:line="240" w:lineRule="auto"/>
        <w:rPr>
          <w:lang w:eastAsia="en-AU"/>
        </w:rPr>
      </w:pPr>
    </w:p>
    <w:p w14:paraId="4FE2A5D7" w14:textId="4500F60F" w:rsidR="00E32692" w:rsidRPr="000E0369" w:rsidRDefault="00E32692" w:rsidP="0038353B">
      <w:pPr>
        <w:spacing w:line="240" w:lineRule="auto"/>
        <w:rPr>
          <w:lang w:eastAsia="en-AU"/>
        </w:rPr>
      </w:pPr>
    </w:p>
    <w:p w14:paraId="50EC65D4" w14:textId="180B61B1" w:rsidR="00E32692" w:rsidRPr="000E0369" w:rsidRDefault="00E32692" w:rsidP="0038353B">
      <w:pPr>
        <w:spacing w:line="240" w:lineRule="auto"/>
        <w:rPr>
          <w:rFonts w:eastAsia="Times New Roman" w:cs="Times New Roman"/>
          <w:lang w:eastAsia="en-AU"/>
        </w:rPr>
      </w:pPr>
    </w:p>
    <w:p w14:paraId="54BC1D3C" w14:textId="4ED88AAD" w:rsidR="00E32692" w:rsidRPr="000E0369" w:rsidRDefault="00E32692" w:rsidP="0038353B">
      <w:pPr>
        <w:spacing w:line="240" w:lineRule="auto"/>
        <w:rPr>
          <w:lang w:eastAsia="en-AU"/>
        </w:rPr>
        <w:sectPr w:rsidR="00E32692" w:rsidRPr="000E0369" w:rsidSect="007D1325">
          <w:footerReference w:type="default" r:id="rId20"/>
          <w:pgSz w:w="11907" w:h="16839"/>
          <w:pgMar w:top="1673" w:right="1797" w:bottom="1440" w:left="1797" w:header="720" w:footer="709" w:gutter="0"/>
          <w:pgNumType w:start="1"/>
          <w:cols w:space="708"/>
          <w:docGrid w:linePitch="360"/>
        </w:sectPr>
      </w:pPr>
    </w:p>
    <w:p w14:paraId="4A209A7C" w14:textId="31C19E09" w:rsidR="005E317F" w:rsidRPr="000E0369" w:rsidRDefault="005E317F" w:rsidP="002C361A">
      <w:pPr>
        <w:pStyle w:val="ActHead6"/>
        <w:pageBreakBefore/>
        <w:widowControl w:val="0"/>
        <w:rPr>
          <w:rStyle w:val="CharAmSchText"/>
        </w:rPr>
      </w:pPr>
      <w:r w:rsidRPr="000E0369">
        <w:rPr>
          <w:rStyle w:val="CharAmSchNo"/>
        </w:rPr>
        <w:lastRenderedPageBreak/>
        <w:t>Schedule</w:t>
      </w:r>
      <w:r w:rsidR="001A286A" w:rsidRPr="000E0369">
        <w:rPr>
          <w:rStyle w:val="CharAmSchNo"/>
        </w:rPr>
        <w:t xml:space="preserve"> </w:t>
      </w:r>
      <w:r w:rsidRPr="000E0369">
        <w:rPr>
          <w:rStyle w:val="CharAmSchNo"/>
        </w:rPr>
        <w:t>1</w:t>
      </w:r>
      <w:r w:rsidRPr="000E0369">
        <w:t>—</w:t>
      </w:r>
      <w:r w:rsidRPr="000E0369">
        <w:rPr>
          <w:rStyle w:val="CharAmSchText"/>
        </w:rPr>
        <w:t>Amendments</w:t>
      </w:r>
      <w:bookmarkEnd w:id="9"/>
    </w:p>
    <w:p w14:paraId="6485455F" w14:textId="2AD01329" w:rsidR="005E5494" w:rsidRPr="000E0369" w:rsidRDefault="005E5494" w:rsidP="002C361A">
      <w:pPr>
        <w:pStyle w:val="ActHead7"/>
        <w:widowControl w:val="0"/>
        <w:spacing w:before="120"/>
        <w:rPr>
          <w:i/>
          <w:iCs/>
        </w:rPr>
      </w:pPr>
      <w:r w:rsidRPr="000E0369">
        <w:rPr>
          <w:i/>
          <w:iCs/>
        </w:rPr>
        <w:t xml:space="preserve">National Health (Efficient Funding of Chemotherapy) Special Arrangement </w:t>
      </w:r>
      <w:r w:rsidR="00DB0543" w:rsidRPr="000E0369">
        <w:rPr>
          <w:i/>
          <w:iCs/>
        </w:rPr>
        <w:t>2024</w:t>
      </w:r>
      <w:r w:rsidRPr="000E0369">
        <w:rPr>
          <w:i/>
          <w:iCs/>
        </w:rPr>
        <w:t xml:space="preserve"> (PB </w:t>
      </w:r>
      <w:r w:rsidR="00DB0543" w:rsidRPr="000E0369">
        <w:rPr>
          <w:i/>
          <w:iCs/>
        </w:rPr>
        <w:t>31</w:t>
      </w:r>
      <w:r w:rsidRPr="000E0369">
        <w:rPr>
          <w:i/>
          <w:iCs/>
        </w:rPr>
        <w:t xml:space="preserve"> of </w:t>
      </w:r>
      <w:r w:rsidR="00DB0543" w:rsidRPr="000E0369">
        <w:rPr>
          <w:i/>
          <w:iCs/>
        </w:rPr>
        <w:t>2024</w:t>
      </w:r>
      <w:r w:rsidRPr="000E0369">
        <w:rPr>
          <w:i/>
          <w:iCs/>
        </w:rPr>
        <w:t>)</w:t>
      </w:r>
    </w:p>
    <w:p w14:paraId="3D6F32CE" w14:textId="56624174" w:rsidR="00846D19" w:rsidRPr="000E0369" w:rsidRDefault="00296A64"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lang w:eastAsia="en-AU"/>
        </w:rPr>
      </w:pPr>
      <w:r w:rsidRPr="000E0369">
        <w:rPr>
          <w:rFonts w:ascii="Arial" w:hAnsi="Arial" w:cs="Arial"/>
          <w:b/>
          <w:bCs/>
          <w:sz w:val="20"/>
          <w:szCs w:val="20"/>
          <w:lang w:eastAsia="en-AU"/>
        </w:rPr>
        <w:t>Schedule 1, Part 1, entry for Avelumab</w:t>
      </w:r>
    </w:p>
    <w:p w14:paraId="6729212E" w14:textId="773631BC" w:rsidR="00B25EAA" w:rsidRPr="000E0369" w:rsidRDefault="00B715FD" w:rsidP="002C361A">
      <w:pPr>
        <w:pStyle w:val="ListParagraph"/>
        <w:widowControl w:val="0"/>
        <w:numPr>
          <w:ilvl w:val="0"/>
          <w:numId w:val="24"/>
        </w:numPr>
        <w:spacing w:before="60" w:after="60" w:line="260" w:lineRule="exact"/>
        <w:ind w:left="1134" w:hanging="567"/>
        <w:contextualSpacing w:val="0"/>
        <w:rPr>
          <w:rFonts w:ascii="Arial" w:hAnsi="Arial" w:cs="Arial"/>
          <w:b/>
          <w:bCs/>
          <w:sz w:val="20"/>
          <w:lang w:eastAsia="en-AU"/>
        </w:rPr>
      </w:pPr>
      <w:r w:rsidRPr="000E0369">
        <w:rPr>
          <w:i/>
          <w:iCs/>
          <w:sz w:val="20"/>
          <w:lang w:eastAsia="en-AU"/>
        </w:rPr>
        <w:t>o</w:t>
      </w:r>
      <w:r w:rsidR="00B25EAA" w:rsidRPr="000E0369">
        <w:rPr>
          <w:i/>
          <w:iCs/>
          <w:sz w:val="20"/>
          <w:lang w:eastAsia="en-AU"/>
        </w:rPr>
        <w:t>mit</w:t>
      </w:r>
      <w:r w:rsidRPr="000E0369">
        <w:rPr>
          <w:i/>
          <w:iCs/>
          <w:sz w:val="20"/>
          <w:lang w:eastAsia="en-AU"/>
        </w:rPr>
        <w:t xml:space="preserve"> from the column headed “Circumstances”</w:t>
      </w:r>
      <w:r w:rsidR="00B25EAA" w:rsidRPr="000E0369">
        <w:rPr>
          <w:i/>
          <w:iCs/>
          <w:sz w:val="20"/>
          <w:lang w:eastAsia="en-AU"/>
        </w:rPr>
        <w:t>:</w:t>
      </w:r>
      <w:r w:rsidRPr="000E0369">
        <w:rPr>
          <w:i/>
          <w:iCs/>
          <w:sz w:val="20"/>
          <w:lang w:eastAsia="en-AU"/>
        </w:rPr>
        <w:t xml:space="preserve"> </w:t>
      </w:r>
      <w:r w:rsidR="00296A64" w:rsidRPr="000E0369">
        <w:rPr>
          <w:rFonts w:ascii="Arial" w:eastAsiaTheme="minorHAnsi" w:hAnsi="Arial" w:cs="Arial"/>
          <w:b/>
          <w:bCs/>
          <w:sz w:val="20"/>
          <w:szCs w:val="20"/>
          <w:lang w:val="en-US"/>
        </w:rPr>
        <w:t>C13313</w:t>
      </w:r>
    </w:p>
    <w:p w14:paraId="158E7336" w14:textId="7438AD12" w:rsidR="00296A64" w:rsidRPr="000E0369" w:rsidRDefault="00296A64" w:rsidP="002C361A">
      <w:pPr>
        <w:pStyle w:val="ListParagraph"/>
        <w:widowControl w:val="0"/>
        <w:numPr>
          <w:ilvl w:val="0"/>
          <w:numId w:val="24"/>
        </w:numPr>
        <w:spacing w:before="60" w:after="60" w:line="260" w:lineRule="exact"/>
        <w:ind w:left="1134" w:hanging="567"/>
        <w:contextualSpacing w:val="0"/>
        <w:rPr>
          <w:rFonts w:ascii="Arial" w:hAnsi="Arial" w:cs="Arial"/>
          <w:b/>
          <w:bCs/>
          <w:sz w:val="20"/>
          <w:lang w:eastAsia="en-AU"/>
        </w:rPr>
      </w:pPr>
      <w:r w:rsidRPr="000E0369">
        <w:rPr>
          <w:i/>
          <w:iCs/>
          <w:sz w:val="20"/>
          <w:lang w:eastAsia="en-AU"/>
        </w:rPr>
        <w:t>insert in numerical order in the column headed “Circumstances”:</w:t>
      </w:r>
      <w:r w:rsidRPr="000E0369">
        <w:rPr>
          <w:rFonts w:ascii="Arial" w:hAnsi="Arial" w:cs="Arial"/>
          <w:b/>
          <w:bCs/>
          <w:sz w:val="20"/>
          <w:lang w:eastAsia="en-AU"/>
        </w:rPr>
        <w:t xml:space="preserve"> C15485</w:t>
      </w:r>
    </w:p>
    <w:p w14:paraId="26273228" w14:textId="7DACF655" w:rsidR="00296A64" w:rsidRPr="000E0369" w:rsidRDefault="00296A64"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Schedule 1, Part 1, entry for Durvalumab in the each of the forms: Solution concentrate for I.V. infusion 120 mg in 2.4 mL; and Solution concentrate for I.V. infusion 500 mg in 10 mL</w:t>
      </w:r>
    </w:p>
    <w:p w14:paraId="2E727FE9" w14:textId="6AF77A45" w:rsidR="00296A64" w:rsidRPr="000E0369" w:rsidRDefault="00296A64" w:rsidP="002C361A">
      <w:pPr>
        <w:pStyle w:val="ListParagraph"/>
        <w:widowControl w:val="0"/>
        <w:numPr>
          <w:ilvl w:val="0"/>
          <w:numId w:val="25"/>
        </w:numPr>
        <w:spacing w:before="60" w:after="60" w:line="260" w:lineRule="exact"/>
        <w:ind w:left="1134" w:hanging="567"/>
        <w:contextualSpacing w:val="0"/>
        <w:rPr>
          <w:rFonts w:ascii="Arial" w:hAnsi="Arial" w:cs="Arial"/>
          <w:b/>
          <w:bCs/>
          <w:sz w:val="20"/>
        </w:rPr>
      </w:pPr>
      <w:r w:rsidRPr="000E0369">
        <w:rPr>
          <w:i/>
          <w:iCs/>
          <w:sz w:val="20"/>
          <w:lang w:eastAsia="en-AU"/>
        </w:rPr>
        <w:t xml:space="preserve">omit from the column headed “Circumstances”: </w:t>
      </w:r>
      <w:r w:rsidRPr="000E0369">
        <w:rPr>
          <w:rFonts w:ascii="Arial" w:hAnsi="Arial" w:cs="Arial"/>
          <w:b/>
          <w:bCs/>
          <w:sz w:val="20"/>
          <w:lang w:eastAsia="en-AU"/>
        </w:rPr>
        <w:t>C10126</w:t>
      </w:r>
    </w:p>
    <w:p w14:paraId="7ED4F576" w14:textId="68C6A675" w:rsidR="00296A64" w:rsidRPr="000E0369" w:rsidRDefault="00296A64" w:rsidP="002C361A">
      <w:pPr>
        <w:pStyle w:val="ListParagraph"/>
        <w:widowControl w:val="0"/>
        <w:numPr>
          <w:ilvl w:val="0"/>
          <w:numId w:val="25"/>
        </w:numPr>
        <w:spacing w:before="60" w:after="60" w:line="260" w:lineRule="exact"/>
        <w:ind w:left="1134" w:hanging="567"/>
        <w:contextualSpacing w:val="0"/>
        <w:rPr>
          <w:rFonts w:ascii="Arial" w:hAnsi="Arial" w:cs="Arial"/>
          <w:b/>
          <w:bCs/>
          <w:sz w:val="20"/>
        </w:rPr>
      </w:pPr>
      <w:r w:rsidRPr="000E0369">
        <w:rPr>
          <w:i/>
          <w:iCs/>
          <w:sz w:val="20"/>
          <w:lang w:eastAsia="en-AU"/>
        </w:rPr>
        <w:t xml:space="preserve">insert in numerical order in the column headed “Circumstances”: </w:t>
      </w:r>
      <w:r w:rsidRPr="000E0369">
        <w:rPr>
          <w:rFonts w:ascii="Arial" w:hAnsi="Arial" w:cs="Arial"/>
          <w:b/>
          <w:bCs/>
          <w:sz w:val="20"/>
          <w:lang w:eastAsia="en-AU"/>
        </w:rPr>
        <w:t>C15500</w:t>
      </w:r>
    </w:p>
    <w:p w14:paraId="24C79B6C" w14:textId="71A6973A" w:rsidR="00296A64" w:rsidRPr="000E0369" w:rsidRDefault="00296A64"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 xml:space="preserve">Schedule 1, Part 1, entry for </w:t>
      </w:r>
      <w:proofErr w:type="spellStart"/>
      <w:r w:rsidRPr="000E0369">
        <w:rPr>
          <w:rFonts w:ascii="Arial" w:hAnsi="Arial" w:cs="Arial"/>
          <w:b/>
          <w:bCs/>
          <w:sz w:val="20"/>
          <w:szCs w:val="20"/>
        </w:rPr>
        <w:t>Mitozantrone</w:t>
      </w:r>
      <w:proofErr w:type="spellEnd"/>
    </w:p>
    <w:p w14:paraId="0A19471D" w14:textId="2E30AAC9" w:rsidR="00296A64" w:rsidRPr="000E0369" w:rsidRDefault="00296A64" w:rsidP="002C361A">
      <w:pPr>
        <w:widowControl w:val="0"/>
        <w:spacing w:before="60" w:after="60" w:line="260" w:lineRule="exact"/>
        <w:ind w:left="1134" w:hanging="567"/>
        <w:rPr>
          <w:rFonts w:cs="Times New Roman"/>
          <w:sz w:val="20"/>
        </w:rPr>
      </w:pPr>
      <w:r w:rsidRPr="000E0369">
        <w:rPr>
          <w:rFonts w:cs="Times New Roman"/>
          <w:i/>
          <w:iCs/>
          <w:sz w:val="20"/>
        </w:rPr>
        <w:t>omit: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296A64" w:rsidRPr="000E0369" w14:paraId="67E5C537" w14:textId="77777777" w:rsidTr="0079457F">
        <w:tc>
          <w:tcPr>
            <w:tcW w:w="1860" w:type="dxa"/>
            <w:shd w:val="clear" w:color="auto" w:fill="auto"/>
          </w:tcPr>
          <w:p w14:paraId="7D2660D9" w14:textId="77777777" w:rsidR="00296A64" w:rsidRPr="000E0369" w:rsidRDefault="00296A64" w:rsidP="002C361A">
            <w:pPr>
              <w:widowControl w:val="0"/>
              <w:spacing w:before="60" w:after="60" w:line="240" w:lineRule="auto"/>
              <w:rPr>
                <w:rFonts w:ascii="Arial" w:eastAsia="Arial" w:hAnsi="Arial" w:cs="Arial"/>
                <w:color w:val="000000"/>
                <w:sz w:val="16"/>
                <w:szCs w:val="16"/>
                <w:lang w:eastAsia="zh-CN"/>
              </w:rPr>
            </w:pPr>
          </w:p>
        </w:tc>
        <w:tc>
          <w:tcPr>
            <w:tcW w:w="5097" w:type="dxa"/>
            <w:shd w:val="clear" w:color="auto" w:fill="auto"/>
          </w:tcPr>
          <w:p w14:paraId="445E5393" w14:textId="6A819F70" w:rsidR="00296A64" w:rsidRPr="000E0369" w:rsidRDefault="00296A64" w:rsidP="002C361A">
            <w:pPr>
              <w:widowControl w:val="0"/>
              <w:spacing w:before="60" w:after="60" w:line="240" w:lineRule="auto"/>
              <w:rPr>
                <w:rFonts w:ascii="Arial" w:eastAsia="Arial" w:hAnsi="Arial" w:cs="Arial"/>
                <w:color w:val="000000"/>
                <w:sz w:val="16"/>
                <w:szCs w:val="16"/>
                <w:lang w:eastAsia="zh-CN"/>
              </w:rPr>
            </w:pPr>
            <w:r w:rsidRPr="000E0369">
              <w:rPr>
                <w:rFonts w:ascii="Arial" w:eastAsia="Arial" w:hAnsi="Arial" w:cs="Arial"/>
                <w:sz w:val="16"/>
                <w:szCs w:val="22"/>
                <w:lang w:eastAsia="zh-CN"/>
              </w:rPr>
              <w:t>Injection 25 mg (as hydrochloride) in 12.5 mL</w:t>
            </w:r>
          </w:p>
        </w:tc>
        <w:tc>
          <w:tcPr>
            <w:tcW w:w="1860" w:type="dxa"/>
            <w:shd w:val="clear" w:color="auto" w:fill="auto"/>
          </w:tcPr>
          <w:p w14:paraId="71B91A39" w14:textId="09CE80A7" w:rsidR="00296A64" w:rsidRPr="000E0369" w:rsidRDefault="00296A64" w:rsidP="002C361A">
            <w:pPr>
              <w:widowControl w:val="0"/>
              <w:spacing w:before="60" w:after="60" w:line="240" w:lineRule="auto"/>
              <w:rPr>
                <w:rFonts w:ascii="Arial" w:eastAsia="Arial" w:hAnsi="Arial" w:cs="Arial"/>
                <w:color w:val="000000"/>
                <w:sz w:val="16"/>
                <w:szCs w:val="16"/>
                <w:lang w:eastAsia="zh-CN"/>
              </w:rPr>
            </w:pPr>
            <w:r w:rsidRPr="000E0369">
              <w:rPr>
                <w:rFonts w:ascii="Arial" w:eastAsia="Arial" w:hAnsi="Arial" w:cs="Arial"/>
                <w:sz w:val="16"/>
                <w:szCs w:val="22"/>
                <w:lang w:eastAsia="zh-CN"/>
              </w:rPr>
              <w:t>Injection</w:t>
            </w:r>
          </w:p>
        </w:tc>
        <w:tc>
          <w:tcPr>
            <w:tcW w:w="2358" w:type="dxa"/>
            <w:shd w:val="clear" w:color="auto" w:fill="auto"/>
          </w:tcPr>
          <w:p w14:paraId="652FE528" w14:textId="522A4EE6" w:rsidR="00296A64" w:rsidRPr="000E0369" w:rsidRDefault="00296A64" w:rsidP="002C361A">
            <w:pPr>
              <w:widowControl w:val="0"/>
              <w:spacing w:before="60" w:after="60" w:line="240" w:lineRule="auto"/>
              <w:rPr>
                <w:rFonts w:ascii="Arial" w:hAnsi="Arial" w:cs="Arial"/>
                <w:sz w:val="16"/>
                <w:szCs w:val="16"/>
              </w:rPr>
            </w:pPr>
            <w:proofErr w:type="spellStart"/>
            <w:r w:rsidRPr="000E0369">
              <w:rPr>
                <w:rFonts w:ascii="Arial" w:eastAsia="Arial" w:hAnsi="Arial" w:cs="Arial"/>
                <w:sz w:val="16"/>
                <w:szCs w:val="22"/>
                <w:lang w:eastAsia="zh-CN"/>
              </w:rPr>
              <w:t>Onkotrone</w:t>
            </w:r>
            <w:proofErr w:type="spellEnd"/>
          </w:p>
        </w:tc>
        <w:tc>
          <w:tcPr>
            <w:tcW w:w="1769" w:type="dxa"/>
            <w:shd w:val="clear" w:color="auto" w:fill="auto"/>
          </w:tcPr>
          <w:p w14:paraId="79771176" w14:textId="2E2D7026" w:rsidR="00296A64" w:rsidRPr="000E0369" w:rsidRDefault="00296A64" w:rsidP="002C361A">
            <w:pPr>
              <w:widowControl w:val="0"/>
              <w:spacing w:before="60" w:after="60" w:line="240" w:lineRule="auto"/>
              <w:rPr>
                <w:rFonts w:ascii="Arial" w:hAnsi="Arial" w:cs="Arial"/>
                <w:sz w:val="16"/>
                <w:szCs w:val="16"/>
              </w:rPr>
            </w:pPr>
          </w:p>
        </w:tc>
      </w:tr>
    </w:tbl>
    <w:p w14:paraId="43A8F5D9" w14:textId="6FC4709D" w:rsidR="00296A64" w:rsidRPr="000E0369" w:rsidRDefault="00296A64"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Schedule 1, Part 1, entry for Nivolumab in each of the forms: Injection concentrate for I.V. infusion 40 mg in 4 mL; and Injection concentrate for I.V. infusion 100 mg in 10 mL</w:t>
      </w:r>
    </w:p>
    <w:p w14:paraId="2BFB38F8" w14:textId="506BF198" w:rsidR="00296A64" w:rsidRPr="000E0369" w:rsidRDefault="00296A64" w:rsidP="002C361A">
      <w:pPr>
        <w:widowControl w:val="0"/>
        <w:spacing w:before="60" w:after="60" w:line="260" w:lineRule="exact"/>
        <w:ind w:left="1134" w:hanging="567"/>
        <w:rPr>
          <w:rFonts w:ascii="Arial" w:hAnsi="Arial" w:cs="Arial"/>
          <w:b/>
          <w:bCs/>
          <w:sz w:val="20"/>
        </w:rPr>
      </w:pPr>
      <w:r w:rsidRPr="000E0369">
        <w:rPr>
          <w:rFonts w:cs="Times New Roman"/>
          <w:i/>
          <w:iCs/>
          <w:sz w:val="20"/>
        </w:rPr>
        <w:t xml:space="preserve">insert in numerical order in the column headed “Circumstances”: </w:t>
      </w:r>
      <w:r w:rsidRPr="000E0369">
        <w:rPr>
          <w:rFonts w:ascii="Arial" w:hAnsi="Arial" w:cs="Arial"/>
          <w:b/>
          <w:bCs/>
          <w:sz w:val="20"/>
        </w:rPr>
        <w:t>C15471 C15527</w:t>
      </w:r>
    </w:p>
    <w:p w14:paraId="796B8954" w14:textId="4825CC30" w:rsidR="00296A64" w:rsidRPr="000E0369" w:rsidRDefault="00296A64"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 xml:space="preserve">Schedule 1, Part 2, entry for Avelumab </w:t>
      </w:r>
      <w:r w:rsidRPr="000E0369">
        <w:rPr>
          <w:rFonts w:ascii="Arial" w:hAnsi="Arial" w:cs="Arial"/>
          <w:b/>
          <w:bCs/>
          <w:i/>
          <w:iCs/>
          <w:sz w:val="20"/>
          <w:szCs w:val="20"/>
        </w:rPr>
        <w:t>[Maximum Amount: 800 mg; Number of Repeats: 7]</w:t>
      </w:r>
    </w:p>
    <w:p w14:paraId="2D9251B9" w14:textId="67DC75DD" w:rsidR="00296A64" w:rsidRPr="000E0369" w:rsidRDefault="00296A64" w:rsidP="002C361A">
      <w:pPr>
        <w:widowControl w:val="0"/>
        <w:tabs>
          <w:tab w:val="left" w:pos="5387"/>
        </w:tabs>
        <w:spacing w:before="60" w:after="60" w:line="260" w:lineRule="exact"/>
        <w:ind w:left="1134" w:hanging="567"/>
        <w:rPr>
          <w:rFonts w:ascii="Arial" w:hAnsi="Arial" w:cs="Arial"/>
          <w:b/>
          <w:bCs/>
          <w:sz w:val="20"/>
        </w:rPr>
      </w:pPr>
      <w:r w:rsidRPr="000E0369">
        <w:rPr>
          <w:rFonts w:cs="Times New Roman"/>
          <w:i/>
          <w:iCs/>
          <w:sz w:val="20"/>
        </w:rPr>
        <w:t xml:space="preserve">omit from the column headed “Purposes”: </w:t>
      </w:r>
      <w:r w:rsidRPr="000E0369">
        <w:rPr>
          <w:rFonts w:ascii="Arial" w:hAnsi="Arial" w:cs="Arial"/>
          <w:b/>
          <w:bCs/>
          <w:sz w:val="20"/>
        </w:rPr>
        <w:t>P13313</w:t>
      </w:r>
      <w:r w:rsidRPr="000E0369">
        <w:rPr>
          <w:rFonts w:ascii="Arial" w:hAnsi="Arial" w:cs="Arial"/>
          <w:b/>
          <w:bCs/>
          <w:sz w:val="20"/>
        </w:rPr>
        <w:tab/>
      </w:r>
      <w:r w:rsidRPr="000E0369">
        <w:rPr>
          <w:rFonts w:cs="Times New Roman"/>
          <w:i/>
          <w:iCs/>
          <w:sz w:val="20"/>
        </w:rPr>
        <w:t xml:space="preserve">substitute: </w:t>
      </w:r>
      <w:proofErr w:type="gramStart"/>
      <w:r w:rsidRPr="000E0369">
        <w:rPr>
          <w:rFonts w:ascii="Arial" w:hAnsi="Arial" w:cs="Arial"/>
          <w:b/>
          <w:bCs/>
          <w:sz w:val="20"/>
        </w:rPr>
        <w:t>P15485</w:t>
      </w:r>
      <w:proofErr w:type="gramEnd"/>
    </w:p>
    <w:p w14:paraId="0558D732" w14:textId="48B57E76" w:rsidR="00296A64" w:rsidRPr="000E0369" w:rsidRDefault="00296A64"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 xml:space="preserve">Schedule 1, Part 2, entry for Durvalumab </w:t>
      </w:r>
      <w:r w:rsidRPr="000E0369">
        <w:rPr>
          <w:rFonts w:ascii="Arial" w:hAnsi="Arial" w:cs="Arial"/>
          <w:b/>
          <w:bCs/>
          <w:i/>
          <w:iCs/>
          <w:sz w:val="20"/>
          <w:szCs w:val="20"/>
        </w:rPr>
        <w:t>[Maximum Amount: 1500 mg; Number of Repeats: 4]</w:t>
      </w:r>
    </w:p>
    <w:p w14:paraId="129F36D2" w14:textId="7E5A4BF7" w:rsidR="00296A64" w:rsidRPr="000E0369" w:rsidRDefault="00296A64" w:rsidP="002C361A">
      <w:pPr>
        <w:pStyle w:val="ListParagraph"/>
        <w:widowControl w:val="0"/>
        <w:numPr>
          <w:ilvl w:val="0"/>
          <w:numId w:val="26"/>
        </w:numPr>
        <w:spacing w:before="60" w:after="60" w:line="260" w:lineRule="exact"/>
        <w:ind w:left="1134" w:hanging="567"/>
        <w:contextualSpacing w:val="0"/>
        <w:rPr>
          <w:rFonts w:ascii="Arial" w:hAnsi="Arial" w:cs="Arial"/>
          <w:b/>
          <w:bCs/>
          <w:sz w:val="20"/>
        </w:rPr>
      </w:pPr>
      <w:r w:rsidRPr="000E0369">
        <w:rPr>
          <w:i/>
          <w:iCs/>
          <w:sz w:val="20"/>
        </w:rPr>
        <w:t xml:space="preserve">omit from the column headed “Purposes”: </w:t>
      </w:r>
      <w:r w:rsidRPr="000E0369">
        <w:rPr>
          <w:rFonts w:ascii="Arial" w:hAnsi="Arial" w:cs="Arial"/>
          <w:b/>
          <w:bCs/>
          <w:sz w:val="20"/>
        </w:rPr>
        <w:t>P10126</w:t>
      </w:r>
    </w:p>
    <w:p w14:paraId="4EF2DFD6" w14:textId="20914432" w:rsidR="00296A64" w:rsidRPr="000E0369" w:rsidRDefault="00296A64" w:rsidP="002C361A">
      <w:pPr>
        <w:pStyle w:val="ListParagraph"/>
        <w:widowControl w:val="0"/>
        <w:numPr>
          <w:ilvl w:val="0"/>
          <w:numId w:val="26"/>
        </w:numPr>
        <w:spacing w:before="60" w:after="60" w:line="260" w:lineRule="exact"/>
        <w:ind w:left="1134" w:hanging="567"/>
        <w:contextualSpacing w:val="0"/>
        <w:rPr>
          <w:rFonts w:ascii="Arial" w:hAnsi="Arial" w:cs="Arial"/>
          <w:b/>
          <w:bCs/>
          <w:sz w:val="20"/>
        </w:rPr>
      </w:pPr>
      <w:r w:rsidRPr="000E0369">
        <w:rPr>
          <w:i/>
          <w:iCs/>
          <w:sz w:val="20"/>
        </w:rPr>
        <w:t xml:space="preserve">insert in numerical order in the column headed “Purposes”: </w:t>
      </w:r>
      <w:r w:rsidRPr="000E0369">
        <w:rPr>
          <w:rFonts w:ascii="Arial" w:hAnsi="Arial" w:cs="Arial"/>
          <w:b/>
          <w:bCs/>
          <w:sz w:val="20"/>
        </w:rPr>
        <w:t>P15500</w:t>
      </w:r>
    </w:p>
    <w:p w14:paraId="2452C0CF" w14:textId="68B8C847" w:rsidR="00C80707" w:rsidRPr="000E0369" w:rsidRDefault="00C80707"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 xml:space="preserve">Schedule 1, Part 2, </w:t>
      </w:r>
      <w:r w:rsidR="002C361A" w:rsidRPr="000E0369">
        <w:rPr>
          <w:rFonts w:ascii="Arial" w:hAnsi="Arial" w:cs="Arial"/>
          <w:b/>
          <w:bCs/>
          <w:sz w:val="20"/>
          <w:szCs w:val="20"/>
        </w:rPr>
        <w:t xml:space="preserve">after </w:t>
      </w:r>
      <w:r w:rsidRPr="000E0369">
        <w:rPr>
          <w:rFonts w:ascii="Arial" w:hAnsi="Arial" w:cs="Arial"/>
          <w:b/>
          <w:bCs/>
          <w:sz w:val="20"/>
          <w:szCs w:val="20"/>
        </w:rPr>
        <w:t xml:space="preserve">entry for </w:t>
      </w:r>
      <w:r w:rsidR="0024362E" w:rsidRPr="000E0369">
        <w:rPr>
          <w:rFonts w:ascii="Arial" w:hAnsi="Arial" w:cs="Arial"/>
          <w:b/>
          <w:bCs/>
          <w:sz w:val="20"/>
          <w:szCs w:val="20"/>
        </w:rPr>
        <w:t>Nivolumab</w:t>
      </w:r>
      <w:r w:rsidR="002C361A" w:rsidRPr="000E0369">
        <w:rPr>
          <w:rFonts w:ascii="Arial" w:hAnsi="Arial" w:cs="Arial"/>
          <w:b/>
          <w:bCs/>
          <w:sz w:val="20"/>
          <w:szCs w:val="20"/>
        </w:rPr>
        <w:t xml:space="preserve"> </w:t>
      </w:r>
      <w:r w:rsidR="002C361A" w:rsidRPr="000E0369">
        <w:rPr>
          <w:rFonts w:ascii="Arial" w:hAnsi="Arial" w:cs="Arial"/>
          <w:b/>
          <w:bCs/>
          <w:i/>
          <w:iCs/>
          <w:sz w:val="20"/>
          <w:szCs w:val="20"/>
        </w:rPr>
        <w:t>[Maximum Amount: 120 mg; Number of Repeats: 3]</w:t>
      </w:r>
    </w:p>
    <w:p w14:paraId="3641B12A" w14:textId="6F94E425" w:rsidR="000D1D02" w:rsidRPr="000E0369" w:rsidRDefault="002C361A" w:rsidP="002C361A">
      <w:pPr>
        <w:widowControl w:val="0"/>
        <w:spacing w:before="60" w:after="60" w:line="260" w:lineRule="exact"/>
        <w:ind w:left="567"/>
        <w:rPr>
          <w:rFonts w:eastAsia="Times New Roman" w:cs="Times New Roman"/>
          <w:sz w:val="20"/>
          <w:szCs w:val="24"/>
          <w:lang w:eastAsia="en-AU"/>
        </w:rPr>
      </w:pPr>
      <w:r w:rsidRPr="000E0369">
        <w:rPr>
          <w:rFonts w:eastAsia="Times New Roman" w:cs="Times New Roman"/>
          <w:i/>
          <w:iCs/>
          <w:sz w:val="20"/>
          <w:szCs w:val="24"/>
          <w:lang w:eastAsia="en-AU"/>
        </w:rPr>
        <w:t>insert</w:t>
      </w:r>
      <w:r w:rsidR="00B715FD" w:rsidRPr="000E0369">
        <w:rPr>
          <w:rFonts w:eastAsia="Times New Roman" w:cs="Times New Roman"/>
          <w:i/>
          <w:iCs/>
          <w:sz w:val="20"/>
          <w:szCs w:val="24"/>
          <w:lang w:eastAsia="en-AU"/>
        </w:rPr>
        <w:t>:</w:t>
      </w:r>
    </w:p>
    <w:tbl>
      <w:tblPr>
        <w:tblW w:w="3512" w:type="pct"/>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2690"/>
        <w:gridCol w:w="2696"/>
        <w:gridCol w:w="2125"/>
        <w:gridCol w:w="2123"/>
      </w:tblGrid>
      <w:tr w:rsidR="0024362E" w:rsidRPr="000E0369" w14:paraId="10EAF898" w14:textId="77777777" w:rsidTr="00140322">
        <w:trPr>
          <w:trHeight w:val="20"/>
        </w:trPr>
        <w:tc>
          <w:tcPr>
            <w:tcW w:w="1396" w:type="pct"/>
            <w:shd w:val="clear" w:color="auto" w:fill="auto"/>
            <w:vAlign w:val="bottom"/>
          </w:tcPr>
          <w:p w14:paraId="66BE5DA2" w14:textId="77777777" w:rsidR="0024362E" w:rsidRPr="000E0369" w:rsidRDefault="0024362E" w:rsidP="002C361A">
            <w:pPr>
              <w:widowControl w:val="0"/>
              <w:spacing w:before="60" w:after="60" w:line="240" w:lineRule="auto"/>
              <w:rPr>
                <w:rFonts w:ascii="Arial" w:eastAsia="Arial" w:hAnsi="Arial" w:cs="Arial"/>
                <w:sz w:val="16"/>
                <w:szCs w:val="16"/>
                <w:lang w:eastAsia="zh-CN"/>
              </w:rPr>
            </w:pPr>
          </w:p>
        </w:tc>
        <w:tc>
          <w:tcPr>
            <w:tcW w:w="1399" w:type="pct"/>
            <w:shd w:val="clear" w:color="auto" w:fill="auto"/>
            <w:vAlign w:val="bottom"/>
          </w:tcPr>
          <w:p w14:paraId="301B0305" w14:textId="0331FDF7" w:rsidR="0024362E" w:rsidRPr="000E0369" w:rsidRDefault="0024362E" w:rsidP="002C361A">
            <w:pPr>
              <w:widowControl w:val="0"/>
              <w:spacing w:before="60" w:after="60" w:line="240" w:lineRule="auto"/>
              <w:rPr>
                <w:rFonts w:ascii="Arial" w:eastAsia="Arial" w:hAnsi="Arial" w:cs="Arial"/>
                <w:sz w:val="16"/>
                <w:szCs w:val="16"/>
                <w:lang w:eastAsia="zh-CN"/>
              </w:rPr>
            </w:pPr>
            <w:r w:rsidRPr="000E0369">
              <w:rPr>
                <w:rFonts w:ascii="Arial" w:eastAsia="Times New Roman" w:hAnsi="Arial" w:cs="Arial"/>
                <w:color w:val="000000"/>
                <w:sz w:val="16"/>
                <w:szCs w:val="16"/>
                <w:lang w:val="en-US" w:eastAsia="en-AU"/>
              </w:rPr>
              <w:t>P15471</w:t>
            </w:r>
          </w:p>
        </w:tc>
        <w:tc>
          <w:tcPr>
            <w:tcW w:w="1103" w:type="pct"/>
            <w:shd w:val="clear" w:color="auto" w:fill="auto"/>
            <w:noWrap/>
            <w:vAlign w:val="center"/>
          </w:tcPr>
          <w:p w14:paraId="174F9143" w14:textId="2FE89F75" w:rsidR="0024362E" w:rsidRPr="000E0369" w:rsidRDefault="0024362E" w:rsidP="002C361A">
            <w:pPr>
              <w:widowControl w:val="0"/>
              <w:spacing w:before="60" w:after="60" w:line="240" w:lineRule="auto"/>
              <w:jc w:val="center"/>
              <w:rPr>
                <w:rFonts w:ascii="Arial" w:eastAsia="Arial" w:hAnsi="Arial" w:cs="Arial"/>
                <w:sz w:val="16"/>
                <w:szCs w:val="16"/>
                <w:lang w:eastAsia="zh-CN"/>
              </w:rPr>
            </w:pPr>
            <w:r w:rsidRPr="000E0369">
              <w:rPr>
                <w:rFonts w:ascii="Arial" w:eastAsia="Times New Roman" w:hAnsi="Arial" w:cs="Arial"/>
                <w:color w:val="000000"/>
                <w:sz w:val="16"/>
                <w:szCs w:val="16"/>
                <w:lang w:val="en-US" w:eastAsia="en-AU"/>
              </w:rPr>
              <w:t>360 mg</w:t>
            </w:r>
          </w:p>
        </w:tc>
        <w:tc>
          <w:tcPr>
            <w:tcW w:w="1102" w:type="pct"/>
            <w:shd w:val="clear" w:color="auto" w:fill="auto"/>
            <w:noWrap/>
            <w:vAlign w:val="center"/>
          </w:tcPr>
          <w:p w14:paraId="628484E4" w14:textId="0A3A243A" w:rsidR="0024362E" w:rsidRPr="000E0369" w:rsidRDefault="0024362E" w:rsidP="002C361A">
            <w:pPr>
              <w:widowControl w:val="0"/>
              <w:spacing w:before="60" w:after="60" w:line="240" w:lineRule="auto"/>
              <w:jc w:val="center"/>
              <w:rPr>
                <w:rFonts w:ascii="Arial" w:eastAsia="Arial" w:hAnsi="Arial" w:cs="Arial"/>
                <w:sz w:val="16"/>
                <w:szCs w:val="16"/>
                <w:lang w:eastAsia="zh-CN"/>
              </w:rPr>
            </w:pPr>
            <w:r w:rsidRPr="000E0369">
              <w:rPr>
                <w:rFonts w:ascii="Arial" w:eastAsia="Times New Roman" w:hAnsi="Arial" w:cs="Arial"/>
                <w:color w:val="000000"/>
                <w:sz w:val="16"/>
                <w:szCs w:val="16"/>
                <w:lang w:val="en-US" w:eastAsia="en-AU"/>
              </w:rPr>
              <w:t>2</w:t>
            </w:r>
          </w:p>
        </w:tc>
      </w:tr>
    </w:tbl>
    <w:p w14:paraId="1791535B" w14:textId="77777777" w:rsidR="002C361A" w:rsidRPr="000E0369" w:rsidRDefault="002C361A"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lastRenderedPageBreak/>
        <w:t xml:space="preserve">Schedule 1, Part 2, entry for Nivolumab </w:t>
      </w:r>
      <w:r w:rsidRPr="000E0369">
        <w:rPr>
          <w:rFonts w:ascii="Arial" w:hAnsi="Arial" w:cs="Arial"/>
          <w:b/>
          <w:bCs/>
          <w:i/>
          <w:iCs/>
          <w:sz w:val="20"/>
          <w:szCs w:val="20"/>
        </w:rPr>
        <w:t>[Maximum Amount: 480 mg; Number of Repeats: 5]</w:t>
      </w:r>
    </w:p>
    <w:p w14:paraId="5529956A" w14:textId="5434E682" w:rsidR="002C361A" w:rsidRPr="000E0369" w:rsidRDefault="002C361A" w:rsidP="002C361A">
      <w:pPr>
        <w:widowControl w:val="0"/>
        <w:spacing w:before="60" w:after="60" w:line="260" w:lineRule="exact"/>
        <w:ind w:left="567"/>
        <w:rPr>
          <w:rFonts w:ascii="Arial" w:hAnsi="Arial" w:cs="Arial"/>
          <w:sz w:val="20"/>
          <w:szCs w:val="24"/>
        </w:rPr>
      </w:pPr>
      <w:r w:rsidRPr="000E0369">
        <w:rPr>
          <w:i/>
          <w:iCs/>
          <w:sz w:val="20"/>
        </w:rPr>
        <w:t xml:space="preserve">insert in numerical order in the column headed “Purposes”: </w:t>
      </w:r>
      <w:r w:rsidRPr="000E0369">
        <w:rPr>
          <w:rFonts w:ascii="Arial" w:hAnsi="Arial" w:cs="Arial"/>
          <w:b/>
          <w:bCs/>
          <w:sz w:val="20"/>
        </w:rPr>
        <w:t>P15527</w:t>
      </w:r>
    </w:p>
    <w:p w14:paraId="018ECE3B" w14:textId="797ACBF3" w:rsidR="00135D96" w:rsidRPr="000E0369" w:rsidRDefault="00135D96" w:rsidP="002C361A">
      <w:pPr>
        <w:pStyle w:val="ListParagraph"/>
        <w:widowControl w:val="0"/>
        <w:numPr>
          <w:ilvl w:val="0"/>
          <w:numId w:val="5"/>
        </w:numPr>
        <w:spacing w:before="120" w:line="260" w:lineRule="exact"/>
        <w:ind w:left="567" w:hanging="567"/>
        <w:contextualSpacing w:val="0"/>
        <w:rPr>
          <w:rFonts w:ascii="Arial" w:hAnsi="Arial" w:cs="Arial"/>
          <w:sz w:val="20"/>
        </w:rPr>
      </w:pPr>
      <w:r w:rsidRPr="000E0369">
        <w:rPr>
          <w:rFonts w:ascii="Arial" w:hAnsi="Arial" w:cs="Arial"/>
          <w:b/>
          <w:bCs/>
          <w:sz w:val="20"/>
          <w:szCs w:val="20"/>
        </w:rPr>
        <w:t xml:space="preserve">Schedule 2, </w:t>
      </w:r>
      <w:r w:rsidR="0024362E" w:rsidRPr="000E0369">
        <w:rPr>
          <w:rFonts w:ascii="Arial" w:hAnsi="Arial" w:cs="Arial"/>
          <w:b/>
          <w:bCs/>
          <w:sz w:val="20"/>
          <w:szCs w:val="20"/>
        </w:rPr>
        <w:t>after entry for Aprepitant</w:t>
      </w:r>
      <w:r w:rsidR="002C361A" w:rsidRPr="000E0369">
        <w:rPr>
          <w:rFonts w:ascii="Arial" w:hAnsi="Arial" w:cs="Arial"/>
          <w:b/>
          <w:bCs/>
          <w:sz w:val="20"/>
          <w:szCs w:val="20"/>
        </w:rPr>
        <w:t xml:space="preserve"> </w:t>
      </w:r>
      <w:r w:rsidR="002C361A" w:rsidRPr="000E0369">
        <w:rPr>
          <w:rFonts w:ascii="Arial" w:hAnsi="Arial" w:cs="Arial"/>
          <w:b/>
          <w:bCs/>
          <w:i/>
          <w:iCs/>
          <w:sz w:val="20"/>
          <w:szCs w:val="20"/>
        </w:rPr>
        <w:t>[Brand: APREPITANT SCP]</w:t>
      </w:r>
    </w:p>
    <w:p w14:paraId="1914307C" w14:textId="29F34E0B" w:rsidR="00135D96" w:rsidRPr="000E0369" w:rsidRDefault="0024362E" w:rsidP="002C361A">
      <w:pPr>
        <w:pStyle w:val="ListParagraph"/>
        <w:widowControl w:val="0"/>
        <w:spacing w:before="60" w:after="60" w:line="260" w:lineRule="exact"/>
        <w:ind w:left="360" w:firstLine="207"/>
        <w:contextualSpacing w:val="0"/>
        <w:rPr>
          <w:sz w:val="20"/>
          <w:lang w:eastAsia="en-AU"/>
        </w:rPr>
      </w:pPr>
      <w:r w:rsidRPr="000E0369">
        <w:rPr>
          <w:i/>
          <w:iCs/>
          <w:sz w:val="20"/>
          <w:lang w:eastAsia="en-AU"/>
        </w:rPr>
        <w:t>insert</w:t>
      </w:r>
      <w:r w:rsidR="00135D96" w:rsidRPr="000E0369">
        <w:rPr>
          <w:i/>
          <w:iCs/>
          <w:sz w:val="20"/>
          <w:lang w:eastAsia="en-AU"/>
        </w:rPr>
        <w:t>:</w:t>
      </w:r>
    </w:p>
    <w:tbl>
      <w:tblPr>
        <w:tblW w:w="4790" w:type="pct"/>
        <w:tblBorders>
          <w:top w:val="single" w:sz="4" w:space="0" w:color="auto"/>
          <w:left w:val="single" w:sz="4" w:space="0" w:color="auto"/>
          <w:bottom w:val="single" w:sz="4" w:space="0" w:color="auto"/>
          <w:right w:val="single" w:sz="4" w:space="0" w:color="auto"/>
        </w:tblBorders>
        <w:tblLayout w:type="fixed"/>
        <w:tblCellMar>
          <w:top w:w="57" w:type="dxa"/>
          <w:left w:w="85" w:type="dxa"/>
          <w:right w:w="85" w:type="dxa"/>
        </w:tblCellMar>
        <w:tblLook w:val="04A0" w:firstRow="1" w:lastRow="0" w:firstColumn="1" w:lastColumn="0" w:noHBand="0" w:noVBand="1"/>
      </w:tblPr>
      <w:tblGrid>
        <w:gridCol w:w="1475"/>
        <w:gridCol w:w="2884"/>
        <w:gridCol w:w="1078"/>
        <w:gridCol w:w="1591"/>
        <w:gridCol w:w="1361"/>
        <w:gridCol w:w="1361"/>
        <w:gridCol w:w="1351"/>
        <w:gridCol w:w="1022"/>
        <w:gridCol w:w="1017"/>
      </w:tblGrid>
      <w:tr w:rsidR="0024362E" w:rsidRPr="000E0369" w14:paraId="30B276C4" w14:textId="77777777" w:rsidTr="0024362E">
        <w:trPr>
          <w:trHeight w:val="20"/>
        </w:trPr>
        <w:tc>
          <w:tcPr>
            <w:tcW w:w="561" w:type="pct"/>
            <w:shd w:val="clear" w:color="auto" w:fill="auto"/>
          </w:tcPr>
          <w:p w14:paraId="6E8D4723" w14:textId="3EE9769E"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Atezolizumab</w:t>
            </w:r>
          </w:p>
        </w:tc>
        <w:tc>
          <w:tcPr>
            <w:tcW w:w="1097" w:type="pct"/>
            <w:shd w:val="clear" w:color="auto" w:fill="auto"/>
          </w:tcPr>
          <w:p w14:paraId="3CEF07F8" w14:textId="1D785D73"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Solution for subcutaneous injection 1875 mg in 15 mL</w:t>
            </w:r>
          </w:p>
        </w:tc>
        <w:tc>
          <w:tcPr>
            <w:tcW w:w="410" w:type="pct"/>
            <w:shd w:val="clear" w:color="auto" w:fill="auto"/>
            <w:noWrap/>
          </w:tcPr>
          <w:p w14:paraId="3911917B" w14:textId="2DA5B449"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Injection</w:t>
            </w:r>
          </w:p>
        </w:tc>
        <w:tc>
          <w:tcPr>
            <w:tcW w:w="605" w:type="pct"/>
            <w:shd w:val="clear" w:color="auto" w:fill="auto"/>
          </w:tcPr>
          <w:p w14:paraId="7206F419" w14:textId="49020E24" w:rsidR="0024362E" w:rsidRPr="000E0369" w:rsidRDefault="0024362E" w:rsidP="002C361A">
            <w:pPr>
              <w:widowControl w:val="0"/>
              <w:spacing w:before="60" w:after="60" w:line="240" w:lineRule="auto"/>
              <w:rPr>
                <w:rFonts w:ascii="Arial" w:eastAsia="Arial" w:hAnsi="Arial" w:cs="Arial"/>
                <w:sz w:val="16"/>
                <w:szCs w:val="22"/>
                <w:lang w:eastAsia="zh-CN"/>
              </w:rPr>
            </w:pPr>
            <w:proofErr w:type="spellStart"/>
            <w:r w:rsidRPr="000E0369">
              <w:rPr>
                <w:rFonts w:ascii="Arial" w:eastAsia="Times New Roman" w:hAnsi="Arial" w:cs="Arial"/>
                <w:bCs/>
                <w:color w:val="000000"/>
                <w:sz w:val="16"/>
                <w:szCs w:val="16"/>
                <w:lang w:eastAsia="en-AU"/>
              </w:rPr>
              <w:t>Tecentriq</w:t>
            </w:r>
            <w:proofErr w:type="spellEnd"/>
            <w:r w:rsidRPr="000E0369">
              <w:rPr>
                <w:rFonts w:ascii="Arial" w:eastAsia="Times New Roman" w:hAnsi="Arial" w:cs="Arial"/>
                <w:bCs/>
                <w:color w:val="000000"/>
                <w:sz w:val="16"/>
                <w:szCs w:val="16"/>
                <w:lang w:eastAsia="en-AU"/>
              </w:rPr>
              <w:t xml:space="preserve"> SC</w:t>
            </w:r>
          </w:p>
        </w:tc>
        <w:tc>
          <w:tcPr>
            <w:tcW w:w="518" w:type="pct"/>
            <w:shd w:val="clear" w:color="auto" w:fill="auto"/>
            <w:noWrap/>
          </w:tcPr>
          <w:p w14:paraId="0FCF49D0" w14:textId="6EE548B4"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C10125 C10206 C10216 C10297 C10521 C10939 C13443 C13448 C15455</w:t>
            </w:r>
          </w:p>
        </w:tc>
        <w:tc>
          <w:tcPr>
            <w:tcW w:w="518" w:type="pct"/>
            <w:shd w:val="clear" w:color="auto" w:fill="auto"/>
            <w:noWrap/>
          </w:tcPr>
          <w:p w14:paraId="1E4F653D" w14:textId="6D23021F"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P10206 P10939</w:t>
            </w:r>
          </w:p>
        </w:tc>
        <w:tc>
          <w:tcPr>
            <w:tcW w:w="514" w:type="pct"/>
            <w:shd w:val="clear" w:color="auto" w:fill="auto"/>
          </w:tcPr>
          <w:p w14:paraId="66EBA33C" w14:textId="73154C48"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1</w:t>
            </w:r>
          </w:p>
        </w:tc>
        <w:tc>
          <w:tcPr>
            <w:tcW w:w="389" w:type="pct"/>
            <w:shd w:val="clear" w:color="auto" w:fill="auto"/>
          </w:tcPr>
          <w:p w14:paraId="78E218F9" w14:textId="131C4B16"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3</w:t>
            </w:r>
          </w:p>
        </w:tc>
        <w:tc>
          <w:tcPr>
            <w:tcW w:w="387" w:type="pct"/>
            <w:shd w:val="clear" w:color="auto" w:fill="auto"/>
            <w:noWrap/>
          </w:tcPr>
          <w:p w14:paraId="14E5030B" w14:textId="32A2CF79" w:rsidR="0024362E" w:rsidRPr="000E0369" w:rsidRDefault="0024362E" w:rsidP="002C361A">
            <w:pPr>
              <w:widowControl w:val="0"/>
              <w:spacing w:before="60" w:after="60" w:line="240" w:lineRule="auto"/>
              <w:rPr>
                <w:rFonts w:ascii="Arial" w:eastAsia="Arial" w:hAnsi="Arial" w:cs="Arial"/>
                <w:sz w:val="16"/>
                <w:szCs w:val="22"/>
                <w:lang w:eastAsia="zh-CN"/>
              </w:rPr>
            </w:pPr>
          </w:p>
        </w:tc>
      </w:tr>
      <w:tr w:rsidR="0024362E" w:rsidRPr="000E0369" w14:paraId="0B7E57EA" w14:textId="77777777" w:rsidTr="0024362E">
        <w:trPr>
          <w:trHeight w:val="20"/>
        </w:trPr>
        <w:tc>
          <w:tcPr>
            <w:tcW w:w="561" w:type="pct"/>
            <w:shd w:val="clear" w:color="auto" w:fill="auto"/>
          </w:tcPr>
          <w:p w14:paraId="7BFD4644"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1097" w:type="pct"/>
            <w:shd w:val="clear" w:color="auto" w:fill="auto"/>
          </w:tcPr>
          <w:p w14:paraId="3E7D8E0C"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410" w:type="pct"/>
            <w:shd w:val="clear" w:color="auto" w:fill="auto"/>
            <w:noWrap/>
          </w:tcPr>
          <w:p w14:paraId="71BF3933"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605" w:type="pct"/>
            <w:shd w:val="clear" w:color="auto" w:fill="auto"/>
          </w:tcPr>
          <w:p w14:paraId="5002475F" w14:textId="23D640C5"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518" w:type="pct"/>
            <w:shd w:val="clear" w:color="auto" w:fill="auto"/>
            <w:noWrap/>
          </w:tcPr>
          <w:p w14:paraId="0278EC72" w14:textId="3F79583E"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C10125 C10206 C10216 C10297 C10521 C10939 C13443 C13448 C15455</w:t>
            </w:r>
          </w:p>
        </w:tc>
        <w:tc>
          <w:tcPr>
            <w:tcW w:w="518" w:type="pct"/>
            <w:shd w:val="clear" w:color="auto" w:fill="auto"/>
            <w:noWrap/>
          </w:tcPr>
          <w:p w14:paraId="74137839" w14:textId="2D3B26C7"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P10521</w:t>
            </w:r>
          </w:p>
        </w:tc>
        <w:tc>
          <w:tcPr>
            <w:tcW w:w="514" w:type="pct"/>
            <w:shd w:val="clear" w:color="auto" w:fill="auto"/>
          </w:tcPr>
          <w:p w14:paraId="29F8265C" w14:textId="514B7B7B"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1</w:t>
            </w:r>
          </w:p>
        </w:tc>
        <w:tc>
          <w:tcPr>
            <w:tcW w:w="389" w:type="pct"/>
            <w:shd w:val="clear" w:color="auto" w:fill="auto"/>
          </w:tcPr>
          <w:p w14:paraId="2FE4675F" w14:textId="57CCF9B2"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4</w:t>
            </w:r>
          </w:p>
        </w:tc>
        <w:tc>
          <w:tcPr>
            <w:tcW w:w="387" w:type="pct"/>
            <w:shd w:val="clear" w:color="auto" w:fill="auto"/>
            <w:noWrap/>
          </w:tcPr>
          <w:p w14:paraId="685E7A15" w14:textId="5B3299B0" w:rsidR="0024362E" w:rsidRPr="000E0369" w:rsidRDefault="0024362E" w:rsidP="002C361A">
            <w:pPr>
              <w:widowControl w:val="0"/>
              <w:spacing w:before="60" w:after="60" w:line="240" w:lineRule="auto"/>
              <w:rPr>
                <w:rFonts w:ascii="Arial" w:eastAsia="Arial" w:hAnsi="Arial" w:cs="Arial"/>
                <w:sz w:val="16"/>
                <w:szCs w:val="22"/>
                <w:lang w:eastAsia="zh-CN"/>
              </w:rPr>
            </w:pPr>
          </w:p>
        </w:tc>
      </w:tr>
      <w:tr w:rsidR="0024362E" w:rsidRPr="000E0369" w14:paraId="7E314B7D" w14:textId="77777777" w:rsidTr="0024362E">
        <w:trPr>
          <w:trHeight w:val="20"/>
        </w:trPr>
        <w:tc>
          <w:tcPr>
            <w:tcW w:w="561" w:type="pct"/>
            <w:shd w:val="clear" w:color="auto" w:fill="auto"/>
          </w:tcPr>
          <w:p w14:paraId="50999387"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1097" w:type="pct"/>
            <w:shd w:val="clear" w:color="auto" w:fill="auto"/>
          </w:tcPr>
          <w:p w14:paraId="2EBD7E22"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410" w:type="pct"/>
            <w:shd w:val="clear" w:color="auto" w:fill="auto"/>
            <w:noWrap/>
          </w:tcPr>
          <w:p w14:paraId="369C9AE5"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605" w:type="pct"/>
            <w:shd w:val="clear" w:color="auto" w:fill="auto"/>
          </w:tcPr>
          <w:p w14:paraId="30EF140A" w14:textId="28246AEB"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518" w:type="pct"/>
            <w:shd w:val="clear" w:color="auto" w:fill="auto"/>
            <w:noWrap/>
          </w:tcPr>
          <w:p w14:paraId="5EE09D18" w14:textId="6D93FD99"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C10125 C10206 C10216 C10297 C10521 C10939 C13443 C13448 C15455</w:t>
            </w:r>
          </w:p>
        </w:tc>
        <w:tc>
          <w:tcPr>
            <w:tcW w:w="518" w:type="pct"/>
            <w:shd w:val="clear" w:color="auto" w:fill="auto"/>
            <w:noWrap/>
          </w:tcPr>
          <w:p w14:paraId="69F79D46" w14:textId="6174D1EA"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P10125 P13443 P13448</w:t>
            </w:r>
          </w:p>
        </w:tc>
        <w:tc>
          <w:tcPr>
            <w:tcW w:w="514" w:type="pct"/>
            <w:shd w:val="clear" w:color="auto" w:fill="auto"/>
          </w:tcPr>
          <w:p w14:paraId="5B59746C" w14:textId="59A5D73F"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1</w:t>
            </w:r>
          </w:p>
        </w:tc>
        <w:tc>
          <w:tcPr>
            <w:tcW w:w="389" w:type="pct"/>
            <w:shd w:val="clear" w:color="auto" w:fill="auto"/>
          </w:tcPr>
          <w:p w14:paraId="11D445F4" w14:textId="4A3F728A"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5</w:t>
            </w:r>
          </w:p>
        </w:tc>
        <w:tc>
          <w:tcPr>
            <w:tcW w:w="387" w:type="pct"/>
            <w:shd w:val="clear" w:color="auto" w:fill="auto"/>
            <w:noWrap/>
          </w:tcPr>
          <w:p w14:paraId="178C58A4" w14:textId="6D7F9284" w:rsidR="0024362E" w:rsidRPr="000E0369" w:rsidRDefault="0024362E" w:rsidP="002C361A">
            <w:pPr>
              <w:widowControl w:val="0"/>
              <w:spacing w:before="60" w:after="60" w:line="240" w:lineRule="auto"/>
              <w:rPr>
                <w:rFonts w:ascii="Arial" w:eastAsia="Arial" w:hAnsi="Arial" w:cs="Arial"/>
                <w:sz w:val="16"/>
                <w:szCs w:val="22"/>
                <w:lang w:eastAsia="zh-CN"/>
              </w:rPr>
            </w:pPr>
          </w:p>
        </w:tc>
      </w:tr>
      <w:tr w:rsidR="0024362E" w:rsidRPr="000E0369" w14:paraId="1A95EA58" w14:textId="77777777" w:rsidTr="0024362E">
        <w:trPr>
          <w:trHeight w:val="20"/>
        </w:trPr>
        <w:tc>
          <w:tcPr>
            <w:tcW w:w="561" w:type="pct"/>
            <w:shd w:val="clear" w:color="auto" w:fill="auto"/>
          </w:tcPr>
          <w:p w14:paraId="3B4C2899"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1097" w:type="pct"/>
            <w:shd w:val="clear" w:color="auto" w:fill="auto"/>
          </w:tcPr>
          <w:p w14:paraId="73BE550A"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410" w:type="pct"/>
            <w:shd w:val="clear" w:color="auto" w:fill="auto"/>
            <w:noWrap/>
          </w:tcPr>
          <w:p w14:paraId="67D14A34"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605" w:type="pct"/>
            <w:shd w:val="clear" w:color="auto" w:fill="auto"/>
          </w:tcPr>
          <w:p w14:paraId="6318AA8B" w14:textId="79FEE288"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518" w:type="pct"/>
            <w:shd w:val="clear" w:color="auto" w:fill="auto"/>
            <w:noWrap/>
          </w:tcPr>
          <w:p w14:paraId="445387CA" w14:textId="7F19EC20"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C10125 C10206 C10216 C10297 C10521 C10939 C13443 C13448 C15455</w:t>
            </w:r>
          </w:p>
        </w:tc>
        <w:tc>
          <w:tcPr>
            <w:tcW w:w="518" w:type="pct"/>
            <w:shd w:val="clear" w:color="auto" w:fill="auto"/>
            <w:noWrap/>
          </w:tcPr>
          <w:p w14:paraId="538D1C6F" w14:textId="20847938"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P10216 P10297 P15455</w:t>
            </w:r>
          </w:p>
        </w:tc>
        <w:tc>
          <w:tcPr>
            <w:tcW w:w="514" w:type="pct"/>
            <w:shd w:val="clear" w:color="auto" w:fill="auto"/>
          </w:tcPr>
          <w:p w14:paraId="6788B62C" w14:textId="152B1AE9"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1</w:t>
            </w:r>
          </w:p>
        </w:tc>
        <w:tc>
          <w:tcPr>
            <w:tcW w:w="389" w:type="pct"/>
            <w:shd w:val="clear" w:color="auto" w:fill="auto"/>
          </w:tcPr>
          <w:p w14:paraId="02C1ACC0" w14:textId="31B40DA6"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7</w:t>
            </w:r>
          </w:p>
        </w:tc>
        <w:tc>
          <w:tcPr>
            <w:tcW w:w="387" w:type="pct"/>
            <w:shd w:val="clear" w:color="auto" w:fill="auto"/>
            <w:noWrap/>
          </w:tcPr>
          <w:p w14:paraId="5B0CF167" w14:textId="182694C9" w:rsidR="0024362E" w:rsidRPr="000E0369" w:rsidRDefault="0024362E" w:rsidP="002C361A">
            <w:pPr>
              <w:widowControl w:val="0"/>
              <w:spacing w:before="60" w:after="60" w:line="240" w:lineRule="auto"/>
              <w:rPr>
                <w:rFonts w:ascii="Arial" w:eastAsia="Arial" w:hAnsi="Arial" w:cs="Arial"/>
                <w:sz w:val="16"/>
                <w:szCs w:val="22"/>
                <w:lang w:eastAsia="zh-CN"/>
              </w:rPr>
            </w:pPr>
          </w:p>
        </w:tc>
      </w:tr>
    </w:tbl>
    <w:p w14:paraId="47C4C7A6" w14:textId="0BDDD4A8" w:rsidR="00135D96" w:rsidRPr="000E0369" w:rsidRDefault="00135D96" w:rsidP="002C361A">
      <w:pPr>
        <w:pStyle w:val="ListParagraph"/>
        <w:widowControl w:val="0"/>
        <w:numPr>
          <w:ilvl w:val="0"/>
          <w:numId w:val="5"/>
        </w:numPr>
        <w:spacing w:before="120" w:line="260" w:lineRule="exact"/>
        <w:ind w:left="567" w:hanging="567"/>
        <w:contextualSpacing w:val="0"/>
        <w:rPr>
          <w:rFonts w:ascii="Arial" w:hAnsi="Arial" w:cs="Arial"/>
          <w:b/>
          <w:bCs/>
          <w:sz w:val="20"/>
        </w:rPr>
      </w:pPr>
      <w:r w:rsidRPr="000E0369">
        <w:rPr>
          <w:rFonts w:ascii="Arial" w:hAnsi="Arial" w:cs="Arial"/>
          <w:b/>
          <w:bCs/>
          <w:sz w:val="20"/>
          <w:szCs w:val="20"/>
        </w:rPr>
        <w:t xml:space="preserve">Schedule 2, </w:t>
      </w:r>
      <w:r w:rsidR="0024362E" w:rsidRPr="000E0369">
        <w:rPr>
          <w:rFonts w:ascii="Arial" w:hAnsi="Arial" w:cs="Arial"/>
          <w:b/>
          <w:bCs/>
          <w:sz w:val="20"/>
          <w:szCs w:val="20"/>
        </w:rPr>
        <w:t>entry for Folinic acid</w:t>
      </w:r>
    </w:p>
    <w:p w14:paraId="632C06CA" w14:textId="2F280670" w:rsidR="00135D96" w:rsidRPr="000E0369" w:rsidRDefault="0024362E" w:rsidP="002C361A">
      <w:pPr>
        <w:pStyle w:val="ListParagraph"/>
        <w:widowControl w:val="0"/>
        <w:spacing w:before="60" w:after="60" w:line="260" w:lineRule="exact"/>
        <w:ind w:left="357" w:firstLine="210"/>
        <w:contextualSpacing w:val="0"/>
        <w:rPr>
          <w:sz w:val="20"/>
          <w:lang w:eastAsia="en-AU"/>
        </w:rPr>
      </w:pPr>
      <w:r w:rsidRPr="000E0369">
        <w:rPr>
          <w:i/>
          <w:iCs/>
          <w:sz w:val="20"/>
          <w:lang w:eastAsia="en-AU"/>
        </w:rPr>
        <w:t>omit</w:t>
      </w:r>
      <w:r w:rsidR="00135D96" w:rsidRPr="000E0369">
        <w:rPr>
          <w:i/>
          <w:iCs/>
          <w:sz w:val="20"/>
          <w:lang w:eastAsia="en-AU"/>
        </w:rPr>
        <w:t>:</w:t>
      </w:r>
    </w:p>
    <w:tbl>
      <w:tblPr>
        <w:tblW w:w="4790" w:type="pct"/>
        <w:tblBorders>
          <w:top w:val="single" w:sz="4" w:space="0" w:color="auto"/>
          <w:left w:val="single" w:sz="4" w:space="0" w:color="auto"/>
          <w:bottom w:val="single" w:sz="4" w:space="0" w:color="auto"/>
          <w:right w:val="single" w:sz="4" w:space="0" w:color="auto"/>
        </w:tblBorders>
        <w:tblLayout w:type="fixed"/>
        <w:tblCellMar>
          <w:top w:w="57" w:type="dxa"/>
          <w:left w:w="85" w:type="dxa"/>
          <w:right w:w="85" w:type="dxa"/>
        </w:tblCellMar>
        <w:tblLook w:val="04A0" w:firstRow="1" w:lastRow="0" w:firstColumn="1" w:lastColumn="0" w:noHBand="0" w:noVBand="1"/>
      </w:tblPr>
      <w:tblGrid>
        <w:gridCol w:w="1475"/>
        <w:gridCol w:w="2884"/>
        <w:gridCol w:w="1078"/>
        <w:gridCol w:w="1591"/>
        <w:gridCol w:w="1361"/>
        <w:gridCol w:w="1361"/>
        <w:gridCol w:w="1351"/>
        <w:gridCol w:w="1022"/>
        <w:gridCol w:w="1017"/>
      </w:tblGrid>
      <w:tr w:rsidR="0024362E" w:rsidRPr="000E0369" w14:paraId="7DEB4EAF" w14:textId="77777777" w:rsidTr="0079457F">
        <w:trPr>
          <w:trHeight w:val="20"/>
        </w:trPr>
        <w:tc>
          <w:tcPr>
            <w:tcW w:w="561" w:type="pct"/>
            <w:shd w:val="clear" w:color="auto" w:fill="auto"/>
          </w:tcPr>
          <w:p w14:paraId="606C1B57"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1097" w:type="pct"/>
            <w:shd w:val="clear" w:color="auto" w:fill="auto"/>
          </w:tcPr>
          <w:p w14:paraId="2E61B059" w14:textId="52756912"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Injection containing calcium folinate equivalent to 100 mg folinic acid in 10 mL</w:t>
            </w:r>
          </w:p>
        </w:tc>
        <w:tc>
          <w:tcPr>
            <w:tcW w:w="410" w:type="pct"/>
            <w:shd w:val="clear" w:color="auto" w:fill="auto"/>
            <w:noWrap/>
          </w:tcPr>
          <w:p w14:paraId="74B714B4" w14:textId="57B3F952"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Injection</w:t>
            </w:r>
          </w:p>
        </w:tc>
        <w:tc>
          <w:tcPr>
            <w:tcW w:w="605" w:type="pct"/>
            <w:shd w:val="clear" w:color="auto" w:fill="auto"/>
          </w:tcPr>
          <w:p w14:paraId="2EA23D72" w14:textId="2E70A751"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Leucovorin Calcium (Pfizer Australia Pty Ltd)</w:t>
            </w:r>
          </w:p>
        </w:tc>
        <w:tc>
          <w:tcPr>
            <w:tcW w:w="518" w:type="pct"/>
            <w:shd w:val="clear" w:color="auto" w:fill="auto"/>
            <w:noWrap/>
          </w:tcPr>
          <w:p w14:paraId="211C023A" w14:textId="7BA15A88"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518" w:type="pct"/>
            <w:shd w:val="clear" w:color="auto" w:fill="auto"/>
            <w:noWrap/>
          </w:tcPr>
          <w:p w14:paraId="4A8E2D4E" w14:textId="4818D49D" w:rsidR="0024362E" w:rsidRPr="000E0369" w:rsidRDefault="0024362E" w:rsidP="002C361A">
            <w:pPr>
              <w:widowControl w:val="0"/>
              <w:spacing w:before="60" w:after="60" w:line="240" w:lineRule="auto"/>
              <w:rPr>
                <w:rFonts w:ascii="Arial" w:eastAsia="Arial" w:hAnsi="Arial" w:cs="Arial"/>
                <w:sz w:val="16"/>
                <w:szCs w:val="22"/>
                <w:lang w:eastAsia="zh-CN"/>
              </w:rPr>
            </w:pPr>
          </w:p>
        </w:tc>
        <w:tc>
          <w:tcPr>
            <w:tcW w:w="514" w:type="pct"/>
            <w:shd w:val="clear" w:color="auto" w:fill="auto"/>
          </w:tcPr>
          <w:p w14:paraId="4B6CF90E" w14:textId="32CF90D0"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10</w:t>
            </w:r>
          </w:p>
        </w:tc>
        <w:tc>
          <w:tcPr>
            <w:tcW w:w="389" w:type="pct"/>
            <w:shd w:val="clear" w:color="auto" w:fill="auto"/>
          </w:tcPr>
          <w:p w14:paraId="2E9B6142" w14:textId="5FF352DA" w:rsidR="0024362E" w:rsidRPr="000E0369" w:rsidRDefault="0024362E" w:rsidP="002C361A">
            <w:pPr>
              <w:widowControl w:val="0"/>
              <w:spacing w:before="60" w:after="60" w:line="240" w:lineRule="auto"/>
              <w:rPr>
                <w:rFonts w:ascii="Arial" w:eastAsia="Arial" w:hAnsi="Arial" w:cs="Arial"/>
                <w:sz w:val="16"/>
                <w:szCs w:val="22"/>
                <w:lang w:eastAsia="zh-CN"/>
              </w:rPr>
            </w:pPr>
            <w:r w:rsidRPr="000E0369">
              <w:rPr>
                <w:rFonts w:ascii="Arial" w:eastAsia="Times New Roman" w:hAnsi="Arial" w:cs="Arial"/>
                <w:bCs/>
                <w:color w:val="000000"/>
                <w:sz w:val="16"/>
                <w:szCs w:val="16"/>
                <w:lang w:eastAsia="en-AU"/>
              </w:rPr>
              <w:t>1</w:t>
            </w:r>
          </w:p>
        </w:tc>
        <w:tc>
          <w:tcPr>
            <w:tcW w:w="387" w:type="pct"/>
            <w:shd w:val="clear" w:color="auto" w:fill="auto"/>
            <w:noWrap/>
          </w:tcPr>
          <w:p w14:paraId="19EEEC48" w14:textId="77777777" w:rsidR="0024362E" w:rsidRPr="000E0369" w:rsidRDefault="0024362E" w:rsidP="002C361A">
            <w:pPr>
              <w:widowControl w:val="0"/>
              <w:spacing w:before="60" w:after="60" w:line="240" w:lineRule="auto"/>
              <w:rPr>
                <w:rFonts w:ascii="Arial" w:eastAsia="Arial" w:hAnsi="Arial" w:cs="Arial"/>
                <w:sz w:val="16"/>
                <w:szCs w:val="22"/>
                <w:lang w:eastAsia="zh-CN"/>
              </w:rPr>
            </w:pPr>
          </w:p>
        </w:tc>
      </w:tr>
    </w:tbl>
    <w:p w14:paraId="1F428B78" w14:textId="5B58C116" w:rsidR="009611D5" w:rsidRPr="000E0369" w:rsidRDefault="00C80707"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 xml:space="preserve">Schedule </w:t>
      </w:r>
      <w:r w:rsidR="009611D5" w:rsidRPr="000E0369">
        <w:rPr>
          <w:rFonts w:ascii="Arial" w:hAnsi="Arial" w:cs="Arial"/>
          <w:b/>
          <w:bCs/>
          <w:sz w:val="20"/>
          <w:szCs w:val="20"/>
        </w:rPr>
        <w:t>3</w:t>
      </w:r>
      <w:r w:rsidRPr="000E0369">
        <w:rPr>
          <w:rFonts w:ascii="Arial" w:hAnsi="Arial" w:cs="Arial"/>
          <w:b/>
          <w:bCs/>
          <w:sz w:val="20"/>
          <w:szCs w:val="20"/>
        </w:rPr>
        <w:t xml:space="preserve">, </w:t>
      </w:r>
      <w:r w:rsidR="009611D5" w:rsidRPr="000E0369">
        <w:rPr>
          <w:rFonts w:ascii="Arial" w:hAnsi="Arial" w:cs="Arial"/>
          <w:b/>
          <w:bCs/>
          <w:sz w:val="20"/>
          <w:szCs w:val="20"/>
        </w:rPr>
        <w:t>Part 1, omit entry for Circumstances Code “</w:t>
      </w:r>
      <w:proofErr w:type="gramStart"/>
      <w:r w:rsidR="0024362E" w:rsidRPr="000E0369">
        <w:rPr>
          <w:rFonts w:ascii="Arial" w:hAnsi="Arial" w:cs="Arial"/>
          <w:b/>
          <w:bCs/>
          <w:sz w:val="20"/>
          <w:szCs w:val="20"/>
        </w:rPr>
        <w:t>C10126</w:t>
      </w:r>
      <w:r w:rsidR="009611D5" w:rsidRPr="000E0369">
        <w:rPr>
          <w:rFonts w:ascii="Arial" w:hAnsi="Arial" w:cs="Arial"/>
          <w:b/>
          <w:bCs/>
          <w:sz w:val="20"/>
          <w:szCs w:val="20"/>
        </w:rPr>
        <w:t>”</w:t>
      </w:r>
      <w:proofErr w:type="gramEnd"/>
    </w:p>
    <w:p w14:paraId="169D358F" w14:textId="350AD5BD" w:rsidR="0024362E" w:rsidRPr="000E0369" w:rsidRDefault="0024362E"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t>Schedule 3, Part 1, omit entry for Circumstances Code “</w:t>
      </w:r>
      <w:proofErr w:type="gramStart"/>
      <w:r w:rsidRPr="000E0369">
        <w:rPr>
          <w:rFonts w:ascii="Arial" w:hAnsi="Arial" w:cs="Arial"/>
          <w:b/>
          <w:bCs/>
          <w:sz w:val="20"/>
          <w:szCs w:val="20"/>
        </w:rPr>
        <w:t>C13313”</w:t>
      </w:r>
      <w:proofErr w:type="gramEnd"/>
    </w:p>
    <w:p w14:paraId="14E6F471" w14:textId="5FB1EA3D" w:rsidR="0024362E" w:rsidRPr="000E0369" w:rsidRDefault="0024362E" w:rsidP="002C361A">
      <w:pPr>
        <w:pStyle w:val="ListParagraph"/>
        <w:widowControl w:val="0"/>
        <w:numPr>
          <w:ilvl w:val="0"/>
          <w:numId w:val="5"/>
        </w:numPr>
        <w:spacing w:before="120" w:line="260" w:lineRule="exact"/>
        <w:ind w:left="567" w:hanging="567"/>
        <w:contextualSpacing w:val="0"/>
        <w:rPr>
          <w:rFonts w:ascii="Arial" w:hAnsi="Arial" w:cs="Arial"/>
          <w:b/>
          <w:bCs/>
          <w:sz w:val="20"/>
          <w:szCs w:val="20"/>
        </w:rPr>
      </w:pPr>
      <w:r w:rsidRPr="000E0369">
        <w:rPr>
          <w:rFonts w:ascii="Arial" w:hAnsi="Arial" w:cs="Arial"/>
          <w:b/>
          <w:bCs/>
          <w:sz w:val="20"/>
          <w:szCs w:val="20"/>
        </w:rPr>
        <w:lastRenderedPageBreak/>
        <w:t>Schedule 3, Part 1, after entry for Circumstances Code “C15205”</w:t>
      </w:r>
    </w:p>
    <w:p w14:paraId="4AF111FD" w14:textId="03A6DE52" w:rsidR="0024362E" w:rsidRPr="000E0369" w:rsidRDefault="0024362E" w:rsidP="002C361A">
      <w:pPr>
        <w:widowControl w:val="0"/>
        <w:spacing w:before="40" w:after="60" w:line="260" w:lineRule="exact"/>
        <w:ind w:left="1134" w:hanging="567"/>
        <w:rPr>
          <w:rFonts w:cs="Times New Roman"/>
          <w:sz w:val="20"/>
        </w:rPr>
      </w:pPr>
      <w:r w:rsidRPr="000E0369">
        <w:rPr>
          <w:rFonts w:cs="Times New Roman"/>
          <w:i/>
          <w:iCs/>
          <w:sz w:val="20"/>
        </w:rPr>
        <w:t>insert:</w:t>
      </w:r>
    </w:p>
    <w:tbl>
      <w:tblPr>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50"/>
        <w:gridCol w:w="850"/>
        <w:gridCol w:w="2128"/>
        <w:gridCol w:w="7088"/>
        <w:gridCol w:w="2041"/>
      </w:tblGrid>
      <w:tr w:rsidR="0024362E" w:rsidRPr="000E0369" w14:paraId="0DA01EAC" w14:textId="77777777" w:rsidTr="0079457F">
        <w:tc>
          <w:tcPr>
            <w:tcW w:w="850" w:type="dxa"/>
            <w:tcBorders>
              <w:top w:val="single" w:sz="4" w:space="0" w:color="auto"/>
              <w:bottom w:val="single" w:sz="4" w:space="0" w:color="auto"/>
            </w:tcBorders>
            <w:shd w:val="clear" w:color="auto" w:fill="auto"/>
          </w:tcPr>
          <w:p w14:paraId="3BC3BEC3" w14:textId="55FAB334" w:rsidR="0024362E" w:rsidRPr="000E0369" w:rsidRDefault="0024362E" w:rsidP="002C361A">
            <w:pPr>
              <w:pStyle w:val="mps3-heading"/>
              <w:widowControl w:val="0"/>
              <w:rPr>
                <w:b w:val="0"/>
                <w:bCs/>
                <w:szCs w:val="16"/>
              </w:rPr>
            </w:pPr>
            <w:r w:rsidRPr="000E0369">
              <w:rPr>
                <w:b w:val="0"/>
                <w:bCs/>
              </w:rPr>
              <w:t>C15455</w:t>
            </w:r>
          </w:p>
        </w:tc>
        <w:tc>
          <w:tcPr>
            <w:tcW w:w="850" w:type="dxa"/>
            <w:tcBorders>
              <w:top w:val="single" w:sz="4" w:space="0" w:color="auto"/>
              <w:bottom w:val="single" w:sz="4" w:space="0" w:color="auto"/>
            </w:tcBorders>
            <w:shd w:val="clear" w:color="auto" w:fill="auto"/>
          </w:tcPr>
          <w:p w14:paraId="5F7A0199" w14:textId="0DB9BC38" w:rsidR="0024362E" w:rsidRPr="000E0369" w:rsidRDefault="0024362E" w:rsidP="002C361A">
            <w:pPr>
              <w:pStyle w:val="mps3-heading"/>
              <w:widowControl w:val="0"/>
              <w:rPr>
                <w:b w:val="0"/>
                <w:bCs/>
                <w:szCs w:val="16"/>
              </w:rPr>
            </w:pPr>
            <w:r w:rsidRPr="000E0369">
              <w:rPr>
                <w:b w:val="0"/>
                <w:bCs/>
              </w:rPr>
              <w:t>P15455</w:t>
            </w:r>
          </w:p>
        </w:tc>
        <w:tc>
          <w:tcPr>
            <w:tcW w:w="2128" w:type="dxa"/>
            <w:tcBorders>
              <w:top w:val="single" w:sz="4" w:space="0" w:color="auto"/>
              <w:bottom w:val="single" w:sz="4" w:space="0" w:color="auto"/>
            </w:tcBorders>
            <w:shd w:val="clear" w:color="auto" w:fill="auto"/>
          </w:tcPr>
          <w:p w14:paraId="669C44B7" w14:textId="29765A28" w:rsidR="0024362E" w:rsidRPr="000E0369" w:rsidRDefault="0024362E" w:rsidP="002C361A">
            <w:pPr>
              <w:pStyle w:val="mps3-heading"/>
              <w:widowControl w:val="0"/>
              <w:rPr>
                <w:b w:val="0"/>
                <w:bCs/>
                <w:szCs w:val="16"/>
              </w:rPr>
            </w:pPr>
            <w:r w:rsidRPr="000E0369">
              <w:rPr>
                <w:b w:val="0"/>
                <w:bCs/>
              </w:rPr>
              <w:t>Atezolizumab</w:t>
            </w:r>
          </w:p>
        </w:tc>
        <w:tc>
          <w:tcPr>
            <w:tcW w:w="7088" w:type="dxa"/>
            <w:tcBorders>
              <w:top w:val="single" w:sz="4" w:space="0" w:color="auto"/>
              <w:bottom w:val="single" w:sz="4" w:space="0" w:color="auto"/>
            </w:tcBorders>
            <w:shd w:val="clear" w:color="auto" w:fill="auto"/>
          </w:tcPr>
          <w:p w14:paraId="3C6D71A5" w14:textId="77777777" w:rsidR="0024362E" w:rsidRPr="000E0369" w:rsidRDefault="0024362E" w:rsidP="002C361A">
            <w:pPr>
              <w:pStyle w:val="mps3-data"/>
              <w:widowControl w:val="0"/>
            </w:pPr>
            <w:r w:rsidRPr="000E0369">
              <w:t>Resected early stage (Stage II to IIIA) non-small cell lung cancer (NSCLC)</w:t>
            </w:r>
          </w:p>
          <w:p w14:paraId="4DAD9ADC" w14:textId="77777777" w:rsidR="0024362E" w:rsidRPr="000E0369" w:rsidRDefault="0024362E" w:rsidP="002C361A">
            <w:pPr>
              <w:pStyle w:val="mps3-data"/>
              <w:widowControl w:val="0"/>
            </w:pPr>
            <w:r w:rsidRPr="000E0369">
              <w:t xml:space="preserve">1,875 mg administered once every 3 </w:t>
            </w:r>
            <w:proofErr w:type="gramStart"/>
            <w:r w:rsidRPr="000E0369">
              <w:t>weeks</w:t>
            </w:r>
            <w:proofErr w:type="gramEnd"/>
          </w:p>
          <w:p w14:paraId="181AD48C" w14:textId="77777777" w:rsidR="0024362E" w:rsidRPr="000E0369" w:rsidRDefault="0024362E" w:rsidP="002C361A">
            <w:pPr>
              <w:pStyle w:val="mps3-data"/>
              <w:widowControl w:val="0"/>
            </w:pPr>
            <w:r w:rsidRPr="000E0369">
              <w:t>Patient must be both: (</w:t>
            </w:r>
            <w:proofErr w:type="spellStart"/>
            <w:r w:rsidRPr="000E0369">
              <w:t>i</w:t>
            </w:r>
            <w:proofErr w:type="spellEnd"/>
            <w:r w:rsidRPr="000E0369">
              <w:t>) initiating treatment, (ii) untreated with programmed cell death-1/ligand 1 (PD-1/PD-L1) inhibitor therapy; OR</w:t>
            </w:r>
          </w:p>
          <w:p w14:paraId="5858C48B" w14:textId="77777777" w:rsidR="0024362E" w:rsidRPr="000E0369" w:rsidRDefault="0024362E" w:rsidP="002C361A">
            <w:pPr>
              <w:pStyle w:val="mps3-data"/>
              <w:widowControl w:val="0"/>
            </w:pPr>
            <w:r w:rsidRPr="000E0369">
              <w:t xml:space="preserve">Patient must be continuing existing PBS-subsidised treatment with this </w:t>
            </w:r>
            <w:proofErr w:type="gramStart"/>
            <w:r w:rsidRPr="000E0369">
              <w:t>drug;</w:t>
            </w:r>
            <w:proofErr w:type="gramEnd"/>
            <w:r w:rsidRPr="000E0369">
              <w:t xml:space="preserve"> OR</w:t>
            </w:r>
          </w:p>
          <w:p w14:paraId="6078DF7C" w14:textId="77777777" w:rsidR="0024362E" w:rsidRPr="000E0369" w:rsidRDefault="0024362E" w:rsidP="002C361A">
            <w:pPr>
              <w:pStyle w:val="mps3-data"/>
              <w:widowControl w:val="0"/>
            </w:pPr>
            <w:r w:rsidRPr="000E0369">
              <w:t>Patient must be both: (</w:t>
            </w:r>
            <w:proofErr w:type="spellStart"/>
            <w:r w:rsidRPr="000E0369">
              <w:t>i</w:t>
            </w:r>
            <w:proofErr w:type="spellEnd"/>
            <w:r w:rsidRPr="000E0369">
              <w:t>) transitioning from existing non-PBS to PBS subsidised supply of this drug, (ii) untreated with programmed cell death-1/ligand 1 (PD-1/PD-L1) inhibitor therapy at the time this drug was initiated.</w:t>
            </w:r>
          </w:p>
          <w:p w14:paraId="182293D5" w14:textId="77777777" w:rsidR="0024362E" w:rsidRPr="000E0369" w:rsidRDefault="0024362E" w:rsidP="002C361A">
            <w:pPr>
              <w:pStyle w:val="mps3-data"/>
              <w:widowControl w:val="0"/>
            </w:pPr>
            <w:r w:rsidRPr="000E0369">
              <w:t>Patient must have/have had a WHO performance status score of no greater than 1 at treatment initiation with this drug.</w:t>
            </w:r>
          </w:p>
          <w:p w14:paraId="018E088E" w14:textId="77777777" w:rsidR="0024362E" w:rsidRPr="000E0369" w:rsidRDefault="0024362E" w:rsidP="002C361A">
            <w:pPr>
              <w:pStyle w:val="mps3-data"/>
              <w:widowControl w:val="0"/>
            </w:pPr>
            <w:r w:rsidRPr="000E0369">
              <w:t xml:space="preserve">The treatment must be for the purpose of adjuvant therapy following </w:t>
            </w:r>
            <w:proofErr w:type="gramStart"/>
            <w:r w:rsidRPr="000E0369">
              <w:t>all of</w:t>
            </w:r>
            <w:proofErr w:type="gramEnd"/>
            <w:r w:rsidRPr="000E0369">
              <w:t>: (</w:t>
            </w:r>
            <w:proofErr w:type="spellStart"/>
            <w:r w:rsidRPr="000E0369">
              <w:t>i</w:t>
            </w:r>
            <w:proofErr w:type="spellEnd"/>
            <w:r w:rsidRPr="000E0369">
              <w:t>) surgical resection, (ii) platinum-based chemotherapy; AND</w:t>
            </w:r>
          </w:p>
          <w:p w14:paraId="40EAEF93" w14:textId="77777777" w:rsidR="0024362E" w:rsidRPr="000E0369" w:rsidRDefault="0024362E" w:rsidP="002C361A">
            <w:pPr>
              <w:pStyle w:val="mps3-data"/>
              <w:widowControl w:val="0"/>
            </w:pPr>
            <w:r w:rsidRPr="000E0369">
              <w:t xml:space="preserve">The condition </w:t>
            </w:r>
            <w:proofErr w:type="gramStart"/>
            <w:r w:rsidRPr="000E0369">
              <w:t>must have/have had,</w:t>
            </w:r>
            <w:proofErr w:type="gramEnd"/>
            <w:r w:rsidRPr="000E0369">
              <w:t xml:space="preserve"> at treatment commencement, an absence of each of the following gene abnormalities confirmed via tumour material sampling: (</w:t>
            </w:r>
            <w:proofErr w:type="spellStart"/>
            <w:r w:rsidRPr="000E0369">
              <w:t>i</w:t>
            </w:r>
            <w:proofErr w:type="spellEnd"/>
            <w:r w:rsidRPr="000E0369">
              <w:t>) an activating epidermal growth factor receptor (EGFR) gene mutation, (ii) an anaplastic lymphoma kinase (ALK) gene rearrangement; AND</w:t>
            </w:r>
          </w:p>
          <w:p w14:paraId="0FF5B8E4" w14:textId="77777777" w:rsidR="0024362E" w:rsidRPr="000E0369" w:rsidRDefault="0024362E" w:rsidP="002C361A">
            <w:pPr>
              <w:pStyle w:val="mps3-data"/>
              <w:widowControl w:val="0"/>
            </w:pPr>
            <w:r w:rsidRPr="000E0369">
              <w:t xml:space="preserve">The condition </w:t>
            </w:r>
            <w:proofErr w:type="gramStart"/>
            <w:r w:rsidRPr="000E0369">
              <w:t>must have/have had,</w:t>
            </w:r>
            <w:proofErr w:type="gramEnd"/>
            <w:r w:rsidRPr="000E0369">
              <w:t xml:space="preserve"> at treatment commencement, confirmation of programmed cell death ligand 1 (PD-L1) expression on at least 50% of tumour cells; AND</w:t>
            </w:r>
          </w:p>
          <w:p w14:paraId="60C2C3A4" w14:textId="77777777" w:rsidR="0024362E" w:rsidRPr="000E0369" w:rsidRDefault="0024362E" w:rsidP="002C361A">
            <w:pPr>
              <w:pStyle w:val="mps3-data"/>
              <w:widowControl w:val="0"/>
            </w:pPr>
            <w:r w:rsidRPr="000E0369">
              <w:t>The treatment must be the sole PBS-subsidised systemic anti-cancer therapy for this condition.</w:t>
            </w:r>
          </w:p>
          <w:p w14:paraId="7D844F9D" w14:textId="2AD848FD" w:rsidR="0024362E" w:rsidRPr="000E0369" w:rsidRDefault="0024362E" w:rsidP="002C361A">
            <w:pPr>
              <w:pStyle w:val="mps3-heading"/>
              <w:widowControl w:val="0"/>
              <w:rPr>
                <w:b w:val="0"/>
                <w:bCs/>
                <w:szCs w:val="16"/>
              </w:rPr>
            </w:pPr>
            <w:r w:rsidRPr="000E0369">
              <w:rPr>
                <w:b w:val="0"/>
              </w:rPr>
              <w:t>Patient must be undergoing treatment that does not occur beyond the following, whichever comes first: (</w:t>
            </w:r>
            <w:proofErr w:type="spellStart"/>
            <w:r w:rsidRPr="000E0369">
              <w:rPr>
                <w:b w:val="0"/>
              </w:rPr>
              <w:t>i</w:t>
            </w:r>
            <w:proofErr w:type="spellEnd"/>
            <w:r w:rsidRPr="000E0369">
              <w:rPr>
                <w:b w:val="0"/>
              </w:rPr>
              <w:t>) the first instance of disease progression/recurrence, (ii) 12 months in total for this condition from the first administered dose; mark any remaining repeat prescriptions with the words 'cancelled' where (</w:t>
            </w:r>
            <w:proofErr w:type="spellStart"/>
            <w:r w:rsidRPr="000E0369">
              <w:rPr>
                <w:b w:val="0"/>
              </w:rPr>
              <w:t>i</w:t>
            </w:r>
            <w:proofErr w:type="spellEnd"/>
            <w:r w:rsidRPr="000E0369">
              <w:rPr>
                <w:b w:val="0"/>
              </w:rPr>
              <w:t>)/(ii) has occurred.</w:t>
            </w:r>
          </w:p>
        </w:tc>
        <w:tc>
          <w:tcPr>
            <w:tcW w:w="2041" w:type="dxa"/>
            <w:tcBorders>
              <w:top w:val="single" w:sz="4" w:space="0" w:color="auto"/>
              <w:bottom w:val="single" w:sz="4" w:space="0" w:color="auto"/>
            </w:tcBorders>
            <w:shd w:val="clear" w:color="auto" w:fill="auto"/>
          </w:tcPr>
          <w:p w14:paraId="57EF2D0D" w14:textId="4674E6A7" w:rsidR="0024362E" w:rsidRPr="000E0369" w:rsidRDefault="0024362E" w:rsidP="002C361A">
            <w:pPr>
              <w:pStyle w:val="mps3-heading"/>
              <w:widowControl w:val="0"/>
              <w:rPr>
                <w:b w:val="0"/>
                <w:bCs/>
                <w:szCs w:val="16"/>
              </w:rPr>
            </w:pPr>
            <w:r w:rsidRPr="000E0369">
              <w:rPr>
                <w:b w:val="0"/>
              </w:rPr>
              <w:t>Compliance with Authority Required procedures - Streamlined Authority Code 15455</w:t>
            </w:r>
          </w:p>
        </w:tc>
      </w:tr>
      <w:tr w:rsidR="0024362E" w:rsidRPr="000E0369" w14:paraId="520A3E4C" w14:textId="77777777" w:rsidTr="0079457F">
        <w:tc>
          <w:tcPr>
            <w:tcW w:w="850" w:type="dxa"/>
            <w:tcBorders>
              <w:top w:val="single" w:sz="4" w:space="0" w:color="auto"/>
              <w:bottom w:val="single" w:sz="4" w:space="0" w:color="auto"/>
            </w:tcBorders>
            <w:shd w:val="clear" w:color="auto" w:fill="auto"/>
          </w:tcPr>
          <w:p w14:paraId="78B819CF" w14:textId="0DC17F38" w:rsidR="0024362E" w:rsidRPr="000E0369" w:rsidRDefault="0024362E" w:rsidP="002C361A">
            <w:pPr>
              <w:pStyle w:val="mps3-heading"/>
              <w:widowControl w:val="0"/>
              <w:rPr>
                <w:b w:val="0"/>
                <w:bCs/>
                <w:szCs w:val="16"/>
              </w:rPr>
            </w:pPr>
            <w:r w:rsidRPr="000E0369">
              <w:rPr>
                <w:b w:val="0"/>
                <w:bCs/>
              </w:rPr>
              <w:t>C15471</w:t>
            </w:r>
          </w:p>
        </w:tc>
        <w:tc>
          <w:tcPr>
            <w:tcW w:w="850" w:type="dxa"/>
            <w:tcBorders>
              <w:top w:val="single" w:sz="4" w:space="0" w:color="auto"/>
              <w:bottom w:val="single" w:sz="4" w:space="0" w:color="auto"/>
            </w:tcBorders>
            <w:shd w:val="clear" w:color="auto" w:fill="auto"/>
          </w:tcPr>
          <w:p w14:paraId="49C302A6" w14:textId="533A460F" w:rsidR="0024362E" w:rsidRPr="000E0369" w:rsidRDefault="0024362E" w:rsidP="002C361A">
            <w:pPr>
              <w:pStyle w:val="mps3-heading"/>
              <w:widowControl w:val="0"/>
              <w:rPr>
                <w:b w:val="0"/>
                <w:bCs/>
                <w:szCs w:val="16"/>
              </w:rPr>
            </w:pPr>
            <w:r w:rsidRPr="000E0369">
              <w:rPr>
                <w:b w:val="0"/>
                <w:bCs/>
              </w:rPr>
              <w:t>P15471</w:t>
            </w:r>
          </w:p>
        </w:tc>
        <w:tc>
          <w:tcPr>
            <w:tcW w:w="2128" w:type="dxa"/>
            <w:tcBorders>
              <w:top w:val="single" w:sz="4" w:space="0" w:color="auto"/>
              <w:bottom w:val="single" w:sz="4" w:space="0" w:color="auto"/>
            </w:tcBorders>
            <w:shd w:val="clear" w:color="auto" w:fill="auto"/>
          </w:tcPr>
          <w:p w14:paraId="59497C3C" w14:textId="7D9E888F" w:rsidR="0024362E" w:rsidRPr="000E0369" w:rsidRDefault="0024362E" w:rsidP="002C361A">
            <w:pPr>
              <w:pStyle w:val="mps3-heading"/>
              <w:widowControl w:val="0"/>
              <w:rPr>
                <w:b w:val="0"/>
                <w:bCs/>
                <w:szCs w:val="16"/>
              </w:rPr>
            </w:pPr>
            <w:r w:rsidRPr="000E0369">
              <w:rPr>
                <w:b w:val="0"/>
                <w:bCs/>
              </w:rPr>
              <w:t>Nivolumab</w:t>
            </w:r>
          </w:p>
        </w:tc>
        <w:tc>
          <w:tcPr>
            <w:tcW w:w="7088" w:type="dxa"/>
            <w:tcBorders>
              <w:top w:val="single" w:sz="4" w:space="0" w:color="auto"/>
              <w:bottom w:val="single" w:sz="4" w:space="0" w:color="auto"/>
            </w:tcBorders>
            <w:shd w:val="clear" w:color="auto" w:fill="auto"/>
          </w:tcPr>
          <w:p w14:paraId="45E9D15B" w14:textId="77777777" w:rsidR="0024362E" w:rsidRPr="000E0369" w:rsidRDefault="0024362E" w:rsidP="002C361A">
            <w:pPr>
              <w:pStyle w:val="mps3-data"/>
              <w:widowControl w:val="0"/>
              <w:rPr>
                <w:bCs/>
              </w:rPr>
            </w:pPr>
            <w:proofErr w:type="spellStart"/>
            <w:r w:rsidRPr="000E0369">
              <w:rPr>
                <w:bCs/>
              </w:rPr>
              <w:t>Resectable</w:t>
            </w:r>
            <w:proofErr w:type="spellEnd"/>
            <w:r w:rsidRPr="000E0369">
              <w:rPr>
                <w:bCs/>
              </w:rPr>
              <w:t xml:space="preserve"> non-small cell lung cancer (NSCLC)</w:t>
            </w:r>
          </w:p>
          <w:p w14:paraId="36117031" w14:textId="77777777" w:rsidR="0024362E" w:rsidRPr="000E0369" w:rsidRDefault="0024362E" w:rsidP="002C361A">
            <w:pPr>
              <w:pStyle w:val="mps3-data"/>
              <w:widowControl w:val="0"/>
              <w:rPr>
                <w:bCs/>
              </w:rPr>
            </w:pPr>
            <w:r w:rsidRPr="000E0369">
              <w:rPr>
                <w:bCs/>
              </w:rPr>
              <w:t>The condition must be at least one of: (</w:t>
            </w:r>
            <w:proofErr w:type="spellStart"/>
            <w:r w:rsidRPr="000E0369">
              <w:rPr>
                <w:bCs/>
              </w:rPr>
              <w:t>i</w:t>
            </w:r>
            <w:proofErr w:type="spellEnd"/>
            <w:r w:rsidRPr="000E0369">
              <w:rPr>
                <w:bCs/>
              </w:rPr>
              <w:t>) node positive, (ii) at least 4 cm in size; AND</w:t>
            </w:r>
          </w:p>
          <w:p w14:paraId="5609E35D" w14:textId="77777777" w:rsidR="0024362E" w:rsidRPr="000E0369" w:rsidRDefault="0024362E" w:rsidP="002C361A">
            <w:pPr>
              <w:pStyle w:val="mps3-data"/>
              <w:widowControl w:val="0"/>
              <w:rPr>
                <w:bCs/>
              </w:rPr>
            </w:pPr>
            <w:r w:rsidRPr="000E0369">
              <w:rPr>
                <w:bCs/>
              </w:rPr>
              <w:t>The treatment must be for neoadjuvant use in a patient preparing for surgical resection; AND</w:t>
            </w:r>
          </w:p>
          <w:p w14:paraId="54643F46" w14:textId="77777777" w:rsidR="0024362E" w:rsidRPr="000E0369" w:rsidRDefault="0024362E" w:rsidP="002C361A">
            <w:pPr>
              <w:pStyle w:val="mps3-data"/>
              <w:widowControl w:val="0"/>
              <w:rPr>
                <w:bCs/>
              </w:rPr>
            </w:pPr>
            <w:r w:rsidRPr="000E0369">
              <w:rPr>
                <w:bCs/>
              </w:rPr>
              <w:t>Patient must have a WHO performance status of 0 or 1; AND</w:t>
            </w:r>
          </w:p>
          <w:p w14:paraId="24DC4E20" w14:textId="77777777" w:rsidR="0024362E" w:rsidRPr="000E0369" w:rsidRDefault="0024362E" w:rsidP="002C361A">
            <w:pPr>
              <w:pStyle w:val="mps3-data"/>
              <w:widowControl w:val="0"/>
              <w:rPr>
                <w:bCs/>
              </w:rPr>
            </w:pPr>
            <w:r w:rsidRPr="000E0369">
              <w:rPr>
                <w:bCs/>
              </w:rPr>
              <w:t>The treatment must be in combination with platinum-based chemotherapy.</w:t>
            </w:r>
          </w:p>
          <w:p w14:paraId="32ADF878" w14:textId="77777777" w:rsidR="0024362E" w:rsidRPr="000E0369" w:rsidRDefault="0024362E" w:rsidP="002C361A">
            <w:pPr>
              <w:pStyle w:val="mps3-data"/>
              <w:widowControl w:val="0"/>
              <w:rPr>
                <w:bCs/>
              </w:rPr>
            </w:pPr>
            <w:r w:rsidRPr="000E0369">
              <w:rPr>
                <w:bCs/>
              </w:rPr>
              <w:t>Patient must not be undergoing treatment with more than 3 PBS-subsidised doses of this drug per lifetime for this indication.</w:t>
            </w:r>
          </w:p>
          <w:p w14:paraId="732FF325" w14:textId="5721DB13" w:rsidR="0024362E" w:rsidRPr="000E0369" w:rsidRDefault="0024362E" w:rsidP="002C361A">
            <w:pPr>
              <w:pStyle w:val="mps3-heading"/>
              <w:widowControl w:val="0"/>
              <w:rPr>
                <w:b w:val="0"/>
                <w:bCs/>
                <w:szCs w:val="16"/>
              </w:rPr>
            </w:pPr>
            <w:r w:rsidRPr="000E0369">
              <w:rPr>
                <w:b w:val="0"/>
                <w:bCs/>
              </w:rPr>
              <w:t>In non-squamous type NSCLC where any of the following is known to be present, this drug must not be a PBS benefit: (</w:t>
            </w:r>
            <w:proofErr w:type="spellStart"/>
            <w:r w:rsidRPr="000E0369">
              <w:rPr>
                <w:b w:val="0"/>
                <w:bCs/>
              </w:rPr>
              <w:t>i</w:t>
            </w:r>
            <w:proofErr w:type="spellEnd"/>
            <w:r w:rsidRPr="000E0369">
              <w:rPr>
                <w:b w:val="0"/>
                <w:bCs/>
              </w:rPr>
              <w:t>) activating epidermal growth factor receptor (EGFR) gene mutation, (ii) anaplastic lymphoma kinase (ALK) gene rearrangement.</w:t>
            </w:r>
          </w:p>
        </w:tc>
        <w:tc>
          <w:tcPr>
            <w:tcW w:w="2041" w:type="dxa"/>
            <w:tcBorders>
              <w:top w:val="single" w:sz="4" w:space="0" w:color="auto"/>
              <w:bottom w:val="single" w:sz="4" w:space="0" w:color="auto"/>
            </w:tcBorders>
            <w:shd w:val="clear" w:color="auto" w:fill="auto"/>
          </w:tcPr>
          <w:p w14:paraId="118FBB1F" w14:textId="48DE4CAE" w:rsidR="0024362E" w:rsidRPr="000E0369" w:rsidRDefault="0024362E" w:rsidP="002C361A">
            <w:pPr>
              <w:pStyle w:val="mps3-heading"/>
              <w:widowControl w:val="0"/>
              <w:rPr>
                <w:b w:val="0"/>
                <w:bCs/>
                <w:szCs w:val="16"/>
              </w:rPr>
            </w:pPr>
            <w:r w:rsidRPr="000E0369">
              <w:rPr>
                <w:b w:val="0"/>
                <w:bCs/>
              </w:rPr>
              <w:t>Compliance with Authority Required procedures - Streamlined Authority Code 15471</w:t>
            </w:r>
          </w:p>
        </w:tc>
      </w:tr>
      <w:tr w:rsidR="0024362E" w:rsidRPr="000E0369" w14:paraId="69149C45" w14:textId="77777777" w:rsidTr="0079457F">
        <w:tc>
          <w:tcPr>
            <w:tcW w:w="850" w:type="dxa"/>
            <w:tcBorders>
              <w:top w:val="single" w:sz="4" w:space="0" w:color="auto"/>
              <w:bottom w:val="single" w:sz="4" w:space="0" w:color="auto"/>
            </w:tcBorders>
            <w:shd w:val="clear" w:color="auto" w:fill="auto"/>
          </w:tcPr>
          <w:p w14:paraId="59645671" w14:textId="133094D1" w:rsidR="0024362E" w:rsidRPr="000E0369" w:rsidRDefault="0024362E" w:rsidP="002C361A">
            <w:pPr>
              <w:pStyle w:val="mps3-heading"/>
              <w:widowControl w:val="0"/>
              <w:rPr>
                <w:b w:val="0"/>
                <w:bCs/>
                <w:szCs w:val="16"/>
              </w:rPr>
            </w:pPr>
            <w:r w:rsidRPr="000E0369">
              <w:rPr>
                <w:b w:val="0"/>
                <w:bCs/>
              </w:rPr>
              <w:t>C15485</w:t>
            </w:r>
          </w:p>
        </w:tc>
        <w:tc>
          <w:tcPr>
            <w:tcW w:w="850" w:type="dxa"/>
            <w:tcBorders>
              <w:top w:val="single" w:sz="4" w:space="0" w:color="auto"/>
              <w:bottom w:val="single" w:sz="4" w:space="0" w:color="auto"/>
            </w:tcBorders>
            <w:shd w:val="clear" w:color="auto" w:fill="auto"/>
          </w:tcPr>
          <w:p w14:paraId="79551DF7" w14:textId="49C9D517" w:rsidR="0024362E" w:rsidRPr="000E0369" w:rsidRDefault="0024362E" w:rsidP="002C361A">
            <w:pPr>
              <w:pStyle w:val="mps3-heading"/>
              <w:widowControl w:val="0"/>
              <w:rPr>
                <w:b w:val="0"/>
                <w:bCs/>
                <w:szCs w:val="16"/>
              </w:rPr>
            </w:pPr>
            <w:r w:rsidRPr="000E0369">
              <w:rPr>
                <w:b w:val="0"/>
                <w:bCs/>
              </w:rPr>
              <w:t>P15485</w:t>
            </w:r>
          </w:p>
        </w:tc>
        <w:tc>
          <w:tcPr>
            <w:tcW w:w="2128" w:type="dxa"/>
            <w:tcBorders>
              <w:top w:val="single" w:sz="4" w:space="0" w:color="auto"/>
              <w:bottom w:val="single" w:sz="4" w:space="0" w:color="auto"/>
            </w:tcBorders>
            <w:shd w:val="clear" w:color="auto" w:fill="auto"/>
          </w:tcPr>
          <w:p w14:paraId="516B82AB" w14:textId="5F00B1EA" w:rsidR="0024362E" w:rsidRPr="000E0369" w:rsidRDefault="0024362E" w:rsidP="002C361A">
            <w:pPr>
              <w:pStyle w:val="mps3-heading"/>
              <w:widowControl w:val="0"/>
              <w:rPr>
                <w:b w:val="0"/>
                <w:bCs/>
                <w:szCs w:val="16"/>
              </w:rPr>
            </w:pPr>
            <w:r w:rsidRPr="000E0369">
              <w:rPr>
                <w:b w:val="0"/>
                <w:bCs/>
              </w:rPr>
              <w:t>Avelumab</w:t>
            </w:r>
          </w:p>
        </w:tc>
        <w:tc>
          <w:tcPr>
            <w:tcW w:w="7088" w:type="dxa"/>
            <w:tcBorders>
              <w:top w:val="single" w:sz="4" w:space="0" w:color="auto"/>
              <w:bottom w:val="single" w:sz="4" w:space="0" w:color="auto"/>
            </w:tcBorders>
            <w:shd w:val="clear" w:color="auto" w:fill="auto"/>
          </w:tcPr>
          <w:p w14:paraId="38B640B0" w14:textId="77777777" w:rsidR="0024362E" w:rsidRPr="000E0369" w:rsidRDefault="0024362E" w:rsidP="002C361A">
            <w:pPr>
              <w:pStyle w:val="mps3-data"/>
              <w:widowControl w:val="0"/>
              <w:rPr>
                <w:bCs/>
              </w:rPr>
            </w:pPr>
            <w:r w:rsidRPr="000E0369">
              <w:rPr>
                <w:bCs/>
              </w:rPr>
              <w:t>Locally advanced (Stage III) or metastatic (Stage IV) urothelial cancer</w:t>
            </w:r>
          </w:p>
          <w:p w14:paraId="42DC823E" w14:textId="77777777" w:rsidR="0024362E" w:rsidRPr="000E0369" w:rsidRDefault="0024362E" w:rsidP="002C361A">
            <w:pPr>
              <w:pStyle w:val="mps3-data"/>
              <w:widowControl w:val="0"/>
              <w:rPr>
                <w:bCs/>
              </w:rPr>
            </w:pPr>
            <w:r w:rsidRPr="000E0369">
              <w:rPr>
                <w:bCs/>
              </w:rPr>
              <w:lastRenderedPageBreak/>
              <w:t>Maintenance therapy - Initial treatment</w:t>
            </w:r>
          </w:p>
          <w:p w14:paraId="207D6A5A" w14:textId="77777777" w:rsidR="0024362E" w:rsidRPr="000E0369" w:rsidRDefault="0024362E" w:rsidP="002C361A">
            <w:pPr>
              <w:pStyle w:val="mps3-data"/>
              <w:widowControl w:val="0"/>
              <w:rPr>
                <w:bCs/>
              </w:rPr>
            </w:pPr>
            <w:r w:rsidRPr="000E0369">
              <w:rPr>
                <w:bCs/>
              </w:rPr>
              <w:t>Patient must have received first-line platinum-based chemotherapy; AND</w:t>
            </w:r>
          </w:p>
          <w:p w14:paraId="0665D2C5" w14:textId="77777777" w:rsidR="0024362E" w:rsidRPr="000E0369" w:rsidRDefault="0024362E" w:rsidP="002C361A">
            <w:pPr>
              <w:pStyle w:val="mps3-data"/>
              <w:widowControl w:val="0"/>
              <w:rPr>
                <w:bCs/>
              </w:rPr>
            </w:pPr>
            <w:r w:rsidRPr="000E0369">
              <w:rPr>
                <w:bCs/>
              </w:rPr>
              <w:t>Patient must not have progressive disease following first-line platinum-based chemotherapy; AND</w:t>
            </w:r>
          </w:p>
          <w:p w14:paraId="0B537B67" w14:textId="77777777" w:rsidR="0024362E" w:rsidRPr="000E0369" w:rsidRDefault="0024362E" w:rsidP="002C361A">
            <w:pPr>
              <w:pStyle w:val="mps3-data"/>
              <w:widowControl w:val="0"/>
              <w:rPr>
                <w:bCs/>
              </w:rPr>
            </w:pPr>
            <w:r w:rsidRPr="000E0369">
              <w:rPr>
                <w:bCs/>
              </w:rPr>
              <w:t>Patient must have a WHO performance status of 0 or 1; AND</w:t>
            </w:r>
          </w:p>
          <w:p w14:paraId="1CB1DBDD" w14:textId="77777777" w:rsidR="0024362E" w:rsidRPr="000E0369" w:rsidRDefault="0024362E" w:rsidP="002C361A">
            <w:pPr>
              <w:pStyle w:val="mps3-data"/>
              <w:widowControl w:val="0"/>
              <w:rPr>
                <w:bCs/>
              </w:rPr>
            </w:pPr>
            <w:r w:rsidRPr="000E0369">
              <w:rPr>
                <w:bCs/>
              </w:rPr>
              <w:t>The treatment must be the sole PBS-subsidised therapy for this condition; AND</w:t>
            </w:r>
          </w:p>
          <w:p w14:paraId="2480B05E" w14:textId="6E4C5EA9" w:rsidR="0024362E" w:rsidRPr="000E0369" w:rsidRDefault="0024362E" w:rsidP="002C361A">
            <w:pPr>
              <w:pStyle w:val="mps3-heading"/>
              <w:widowControl w:val="0"/>
              <w:rPr>
                <w:b w:val="0"/>
                <w:bCs/>
                <w:szCs w:val="16"/>
              </w:rPr>
            </w:pPr>
            <w:r w:rsidRPr="000E0369">
              <w:rPr>
                <w:b w:val="0"/>
                <w:bCs/>
              </w:rPr>
              <w:t>Patient must not have received prior treatment with a programmed cell death-1 (PD-1) inhibitor or a programmed cell death ligand-1 (PD-L1) inhibitor for this condition.</w:t>
            </w:r>
          </w:p>
        </w:tc>
        <w:tc>
          <w:tcPr>
            <w:tcW w:w="2041" w:type="dxa"/>
            <w:tcBorders>
              <w:top w:val="single" w:sz="4" w:space="0" w:color="auto"/>
              <w:bottom w:val="single" w:sz="4" w:space="0" w:color="auto"/>
            </w:tcBorders>
            <w:shd w:val="clear" w:color="auto" w:fill="auto"/>
          </w:tcPr>
          <w:p w14:paraId="77FABC3E" w14:textId="02D86E23" w:rsidR="0024362E" w:rsidRPr="000E0369" w:rsidRDefault="0024362E" w:rsidP="002C361A">
            <w:pPr>
              <w:pStyle w:val="mps3-heading"/>
              <w:widowControl w:val="0"/>
              <w:rPr>
                <w:b w:val="0"/>
                <w:bCs/>
                <w:szCs w:val="16"/>
              </w:rPr>
            </w:pPr>
            <w:r w:rsidRPr="000E0369">
              <w:rPr>
                <w:b w:val="0"/>
                <w:bCs/>
              </w:rPr>
              <w:lastRenderedPageBreak/>
              <w:t xml:space="preserve">Compliance with Authority Required </w:t>
            </w:r>
            <w:r w:rsidRPr="000E0369">
              <w:rPr>
                <w:b w:val="0"/>
                <w:bCs/>
              </w:rPr>
              <w:lastRenderedPageBreak/>
              <w:t>procedures - Streamlined Authority Code 15485</w:t>
            </w:r>
          </w:p>
        </w:tc>
      </w:tr>
      <w:tr w:rsidR="0024362E" w:rsidRPr="000E0369" w14:paraId="6532FC59" w14:textId="77777777" w:rsidTr="0079457F">
        <w:tc>
          <w:tcPr>
            <w:tcW w:w="850" w:type="dxa"/>
            <w:tcBorders>
              <w:top w:val="single" w:sz="4" w:space="0" w:color="auto"/>
              <w:bottom w:val="single" w:sz="4" w:space="0" w:color="auto"/>
            </w:tcBorders>
            <w:shd w:val="clear" w:color="auto" w:fill="auto"/>
          </w:tcPr>
          <w:p w14:paraId="0E0C7AF6" w14:textId="4405E831" w:rsidR="0024362E" w:rsidRPr="000E0369" w:rsidRDefault="0024362E" w:rsidP="002C361A">
            <w:pPr>
              <w:pStyle w:val="mps3-heading"/>
              <w:widowControl w:val="0"/>
              <w:rPr>
                <w:b w:val="0"/>
                <w:bCs/>
                <w:szCs w:val="16"/>
              </w:rPr>
            </w:pPr>
            <w:r w:rsidRPr="000E0369">
              <w:rPr>
                <w:b w:val="0"/>
                <w:bCs/>
              </w:rPr>
              <w:lastRenderedPageBreak/>
              <w:t>C15500</w:t>
            </w:r>
          </w:p>
        </w:tc>
        <w:tc>
          <w:tcPr>
            <w:tcW w:w="850" w:type="dxa"/>
            <w:tcBorders>
              <w:top w:val="single" w:sz="4" w:space="0" w:color="auto"/>
              <w:bottom w:val="single" w:sz="4" w:space="0" w:color="auto"/>
            </w:tcBorders>
            <w:shd w:val="clear" w:color="auto" w:fill="auto"/>
          </w:tcPr>
          <w:p w14:paraId="0FD5F667" w14:textId="31A9717A" w:rsidR="0024362E" w:rsidRPr="000E0369" w:rsidRDefault="0024362E" w:rsidP="002C361A">
            <w:pPr>
              <w:pStyle w:val="mps3-heading"/>
              <w:widowControl w:val="0"/>
              <w:rPr>
                <w:b w:val="0"/>
                <w:bCs/>
                <w:szCs w:val="16"/>
              </w:rPr>
            </w:pPr>
            <w:r w:rsidRPr="000E0369">
              <w:rPr>
                <w:b w:val="0"/>
                <w:bCs/>
              </w:rPr>
              <w:t>P15500</w:t>
            </w:r>
          </w:p>
        </w:tc>
        <w:tc>
          <w:tcPr>
            <w:tcW w:w="2128" w:type="dxa"/>
            <w:tcBorders>
              <w:top w:val="single" w:sz="4" w:space="0" w:color="auto"/>
              <w:bottom w:val="single" w:sz="4" w:space="0" w:color="auto"/>
            </w:tcBorders>
            <w:shd w:val="clear" w:color="auto" w:fill="auto"/>
          </w:tcPr>
          <w:p w14:paraId="1E5A8864" w14:textId="4C731F59" w:rsidR="0024362E" w:rsidRPr="000E0369" w:rsidRDefault="0024362E" w:rsidP="002C361A">
            <w:pPr>
              <w:pStyle w:val="mps3-heading"/>
              <w:widowControl w:val="0"/>
              <w:rPr>
                <w:b w:val="0"/>
                <w:bCs/>
                <w:szCs w:val="16"/>
              </w:rPr>
            </w:pPr>
            <w:r w:rsidRPr="000E0369">
              <w:rPr>
                <w:b w:val="0"/>
                <w:bCs/>
              </w:rPr>
              <w:t>Durvalumab</w:t>
            </w:r>
          </w:p>
        </w:tc>
        <w:tc>
          <w:tcPr>
            <w:tcW w:w="7088" w:type="dxa"/>
            <w:tcBorders>
              <w:top w:val="single" w:sz="4" w:space="0" w:color="auto"/>
              <w:bottom w:val="single" w:sz="4" w:space="0" w:color="auto"/>
            </w:tcBorders>
            <w:shd w:val="clear" w:color="auto" w:fill="auto"/>
          </w:tcPr>
          <w:p w14:paraId="778684DA" w14:textId="77777777" w:rsidR="0024362E" w:rsidRPr="000E0369" w:rsidRDefault="0024362E" w:rsidP="002C361A">
            <w:pPr>
              <w:pStyle w:val="mps3-data"/>
              <w:widowControl w:val="0"/>
              <w:rPr>
                <w:bCs/>
              </w:rPr>
            </w:pPr>
            <w:r w:rsidRPr="000E0369">
              <w:rPr>
                <w:bCs/>
              </w:rPr>
              <w:t>Unresectable Stage III non-small cell lung cancer</w:t>
            </w:r>
          </w:p>
          <w:p w14:paraId="7EA39222" w14:textId="77777777" w:rsidR="0024362E" w:rsidRPr="000E0369" w:rsidRDefault="0024362E" w:rsidP="002C361A">
            <w:pPr>
              <w:pStyle w:val="mps3-data"/>
              <w:widowControl w:val="0"/>
              <w:rPr>
                <w:bCs/>
              </w:rPr>
            </w:pPr>
            <w:r w:rsidRPr="000E0369">
              <w:rPr>
                <w:bCs/>
              </w:rPr>
              <w:t>Initial treatment</w:t>
            </w:r>
          </w:p>
          <w:p w14:paraId="642A14C4" w14:textId="77777777" w:rsidR="0024362E" w:rsidRPr="000E0369" w:rsidRDefault="0024362E" w:rsidP="002C361A">
            <w:pPr>
              <w:pStyle w:val="mps3-data"/>
              <w:widowControl w:val="0"/>
              <w:rPr>
                <w:bCs/>
              </w:rPr>
            </w:pPr>
            <w:r w:rsidRPr="000E0369">
              <w:rPr>
                <w:bCs/>
              </w:rPr>
              <w:t>Patient must have received platinum based chemoradiation therapy; AND</w:t>
            </w:r>
          </w:p>
          <w:p w14:paraId="3D6B8B21" w14:textId="77777777" w:rsidR="0024362E" w:rsidRPr="000E0369" w:rsidRDefault="0024362E" w:rsidP="002C361A">
            <w:pPr>
              <w:pStyle w:val="mps3-data"/>
              <w:widowControl w:val="0"/>
              <w:rPr>
                <w:bCs/>
              </w:rPr>
            </w:pPr>
            <w:r w:rsidRPr="000E0369">
              <w:rPr>
                <w:bCs/>
              </w:rPr>
              <w:t>The condition must not have progressed following platinum based chemoradiation therapy; AND</w:t>
            </w:r>
          </w:p>
          <w:p w14:paraId="61C5485A" w14:textId="77777777" w:rsidR="0024362E" w:rsidRPr="000E0369" w:rsidRDefault="0024362E" w:rsidP="002C361A">
            <w:pPr>
              <w:pStyle w:val="mps3-data"/>
              <w:widowControl w:val="0"/>
              <w:rPr>
                <w:bCs/>
              </w:rPr>
            </w:pPr>
            <w:r w:rsidRPr="000E0369">
              <w:rPr>
                <w:bCs/>
              </w:rPr>
              <w:t>Patient must have a WHO performance status of 0 or 1; AND</w:t>
            </w:r>
          </w:p>
          <w:p w14:paraId="68759CF4" w14:textId="77777777" w:rsidR="0024362E" w:rsidRPr="000E0369" w:rsidRDefault="0024362E" w:rsidP="002C361A">
            <w:pPr>
              <w:pStyle w:val="mps3-data"/>
              <w:widowControl w:val="0"/>
              <w:rPr>
                <w:bCs/>
              </w:rPr>
            </w:pPr>
            <w:r w:rsidRPr="000E0369">
              <w:rPr>
                <w:bCs/>
              </w:rPr>
              <w:t>Patient must be untreated with immunotherapy at commencement of this drug; AND</w:t>
            </w:r>
          </w:p>
          <w:p w14:paraId="122F15EF" w14:textId="03132AF0" w:rsidR="0024362E" w:rsidRPr="000E0369" w:rsidRDefault="0024362E" w:rsidP="002C361A">
            <w:pPr>
              <w:pStyle w:val="mps3-heading"/>
              <w:widowControl w:val="0"/>
              <w:rPr>
                <w:b w:val="0"/>
                <w:bCs/>
                <w:szCs w:val="16"/>
              </w:rPr>
            </w:pPr>
            <w:r w:rsidRPr="000E0369">
              <w:rPr>
                <w:b w:val="0"/>
                <w:bCs/>
              </w:rPr>
              <w:t>The treatment must be the sole PBS-subsidised systemic anti-cancer therapy for this condition.</w:t>
            </w:r>
          </w:p>
        </w:tc>
        <w:tc>
          <w:tcPr>
            <w:tcW w:w="2041" w:type="dxa"/>
            <w:tcBorders>
              <w:top w:val="single" w:sz="4" w:space="0" w:color="auto"/>
              <w:bottom w:val="single" w:sz="4" w:space="0" w:color="auto"/>
            </w:tcBorders>
            <w:shd w:val="clear" w:color="auto" w:fill="auto"/>
          </w:tcPr>
          <w:p w14:paraId="33692EBE" w14:textId="1162FB0D" w:rsidR="0024362E" w:rsidRPr="000E0369" w:rsidRDefault="0024362E" w:rsidP="002C361A">
            <w:pPr>
              <w:pStyle w:val="mps3-heading"/>
              <w:widowControl w:val="0"/>
              <w:rPr>
                <w:b w:val="0"/>
                <w:bCs/>
                <w:szCs w:val="16"/>
              </w:rPr>
            </w:pPr>
            <w:r w:rsidRPr="000E0369">
              <w:rPr>
                <w:b w:val="0"/>
                <w:bCs/>
              </w:rPr>
              <w:t>Compliance with Authority Required procedures - Streamlined Authority Code 15500</w:t>
            </w:r>
          </w:p>
        </w:tc>
      </w:tr>
      <w:tr w:rsidR="0024362E" w:rsidRPr="00252623" w14:paraId="57DF5EE7" w14:textId="77777777" w:rsidTr="0079457F">
        <w:tc>
          <w:tcPr>
            <w:tcW w:w="850" w:type="dxa"/>
            <w:tcBorders>
              <w:top w:val="single" w:sz="4" w:space="0" w:color="auto"/>
              <w:bottom w:val="single" w:sz="4" w:space="0" w:color="auto"/>
            </w:tcBorders>
            <w:shd w:val="clear" w:color="auto" w:fill="auto"/>
          </w:tcPr>
          <w:p w14:paraId="66292654" w14:textId="1D45EE9B" w:rsidR="0024362E" w:rsidRPr="000E0369" w:rsidRDefault="0024362E" w:rsidP="002C361A">
            <w:pPr>
              <w:pStyle w:val="mps3-heading"/>
              <w:widowControl w:val="0"/>
              <w:rPr>
                <w:b w:val="0"/>
                <w:bCs/>
                <w:szCs w:val="16"/>
              </w:rPr>
            </w:pPr>
            <w:r w:rsidRPr="000E0369">
              <w:rPr>
                <w:b w:val="0"/>
                <w:bCs/>
              </w:rPr>
              <w:t>C15527</w:t>
            </w:r>
          </w:p>
        </w:tc>
        <w:tc>
          <w:tcPr>
            <w:tcW w:w="850" w:type="dxa"/>
            <w:tcBorders>
              <w:top w:val="single" w:sz="4" w:space="0" w:color="auto"/>
              <w:bottom w:val="single" w:sz="4" w:space="0" w:color="auto"/>
            </w:tcBorders>
            <w:shd w:val="clear" w:color="auto" w:fill="auto"/>
          </w:tcPr>
          <w:p w14:paraId="53B04B51" w14:textId="1EDF625D" w:rsidR="0024362E" w:rsidRPr="000E0369" w:rsidRDefault="0024362E" w:rsidP="002C361A">
            <w:pPr>
              <w:pStyle w:val="mps3-heading"/>
              <w:widowControl w:val="0"/>
              <w:rPr>
                <w:b w:val="0"/>
                <w:bCs/>
                <w:szCs w:val="16"/>
              </w:rPr>
            </w:pPr>
            <w:r w:rsidRPr="000E0369">
              <w:rPr>
                <w:b w:val="0"/>
                <w:bCs/>
              </w:rPr>
              <w:t>P15527</w:t>
            </w:r>
          </w:p>
        </w:tc>
        <w:tc>
          <w:tcPr>
            <w:tcW w:w="2128" w:type="dxa"/>
            <w:tcBorders>
              <w:top w:val="single" w:sz="4" w:space="0" w:color="auto"/>
              <w:bottom w:val="single" w:sz="4" w:space="0" w:color="auto"/>
            </w:tcBorders>
            <w:shd w:val="clear" w:color="auto" w:fill="auto"/>
          </w:tcPr>
          <w:p w14:paraId="2D46445C" w14:textId="7ACD4A25" w:rsidR="0024362E" w:rsidRPr="000E0369" w:rsidRDefault="0024362E" w:rsidP="002C361A">
            <w:pPr>
              <w:pStyle w:val="mps3-heading"/>
              <w:widowControl w:val="0"/>
              <w:rPr>
                <w:b w:val="0"/>
                <w:bCs/>
                <w:szCs w:val="16"/>
              </w:rPr>
            </w:pPr>
            <w:r w:rsidRPr="000E0369">
              <w:rPr>
                <w:b w:val="0"/>
                <w:bCs/>
              </w:rPr>
              <w:t>Nivolumab</w:t>
            </w:r>
          </w:p>
        </w:tc>
        <w:tc>
          <w:tcPr>
            <w:tcW w:w="7088" w:type="dxa"/>
            <w:tcBorders>
              <w:top w:val="single" w:sz="4" w:space="0" w:color="auto"/>
              <w:bottom w:val="single" w:sz="4" w:space="0" w:color="auto"/>
            </w:tcBorders>
            <w:shd w:val="clear" w:color="auto" w:fill="auto"/>
          </w:tcPr>
          <w:p w14:paraId="30A26EC5" w14:textId="77777777" w:rsidR="0024362E" w:rsidRPr="000E0369" w:rsidRDefault="0024362E" w:rsidP="002C361A">
            <w:pPr>
              <w:pStyle w:val="mps3-data"/>
              <w:widowControl w:val="0"/>
              <w:rPr>
                <w:bCs/>
              </w:rPr>
            </w:pPr>
            <w:r w:rsidRPr="000E0369">
              <w:rPr>
                <w:bCs/>
              </w:rPr>
              <w:t>Urothelial carcinoma</w:t>
            </w:r>
          </w:p>
          <w:p w14:paraId="628042D2" w14:textId="77777777" w:rsidR="0024362E" w:rsidRPr="000E0369" w:rsidRDefault="0024362E" w:rsidP="002C361A">
            <w:pPr>
              <w:pStyle w:val="mps3-data"/>
              <w:widowControl w:val="0"/>
              <w:rPr>
                <w:bCs/>
              </w:rPr>
            </w:pPr>
            <w:r w:rsidRPr="000E0369">
              <w:rPr>
                <w:bCs/>
              </w:rPr>
              <w:t>The treatment must be for each of: (</w:t>
            </w:r>
            <w:proofErr w:type="spellStart"/>
            <w:r w:rsidRPr="000E0369">
              <w:rPr>
                <w:bCs/>
              </w:rPr>
              <w:t>i</w:t>
            </w:r>
            <w:proofErr w:type="spellEnd"/>
            <w:r w:rsidRPr="000E0369">
              <w:rPr>
                <w:bCs/>
              </w:rPr>
              <w:t xml:space="preserve">) adjuvant therapy that is/was initiated within 120 days of radical surgical resection, (ii) muscle invasive type disease, (iii) disease considered to be at high risk of recurrence based on pathologic staging of radical surgery tissue (ypT2-ypT4a or </w:t>
            </w:r>
            <w:proofErr w:type="spellStart"/>
            <w:r w:rsidRPr="000E0369">
              <w:rPr>
                <w:bCs/>
              </w:rPr>
              <w:t>ypN</w:t>
            </w:r>
            <w:proofErr w:type="spellEnd"/>
            <w:r w:rsidRPr="000E0369">
              <w:rPr>
                <w:bCs/>
              </w:rPr>
              <w:t>+), but yet to recur, (iv) use as the sole PBS-subsidised anti-cancer treatment for this condition; AND</w:t>
            </w:r>
          </w:p>
          <w:p w14:paraId="6D906886" w14:textId="77777777" w:rsidR="0024362E" w:rsidRPr="000E0369" w:rsidRDefault="0024362E" w:rsidP="002C361A">
            <w:pPr>
              <w:pStyle w:val="mps3-data"/>
              <w:widowControl w:val="0"/>
              <w:rPr>
                <w:bCs/>
              </w:rPr>
            </w:pPr>
            <w:r w:rsidRPr="000E0369">
              <w:rPr>
                <w:bCs/>
              </w:rPr>
              <w:t>Patient must have received prior platinum containing neoadjuvant chemotherapy; AND</w:t>
            </w:r>
          </w:p>
          <w:p w14:paraId="5806CEA5" w14:textId="77777777" w:rsidR="0024362E" w:rsidRPr="000E0369" w:rsidRDefault="0024362E" w:rsidP="002C361A">
            <w:pPr>
              <w:pStyle w:val="mps3-data"/>
              <w:widowControl w:val="0"/>
              <w:rPr>
                <w:bCs/>
              </w:rPr>
            </w:pPr>
            <w:r w:rsidRPr="000E0369">
              <w:rPr>
                <w:bCs/>
              </w:rPr>
              <w:t>Patient must have/have had, at the time of initiating treatment with this drug, a WHO performance status no higher than 1.</w:t>
            </w:r>
          </w:p>
          <w:p w14:paraId="1832746C" w14:textId="77777777" w:rsidR="0024362E" w:rsidRPr="000E0369" w:rsidRDefault="0024362E" w:rsidP="002C361A">
            <w:pPr>
              <w:pStyle w:val="mps3-data"/>
              <w:widowControl w:val="0"/>
              <w:rPr>
                <w:bCs/>
              </w:rPr>
            </w:pPr>
            <w:r w:rsidRPr="000E0369">
              <w:rPr>
                <w:bCs/>
              </w:rPr>
              <w:t>Patient must be undergoing treatment with a dosing regimen as set out in the drug's Therapeutic Goods Administration (TGA) approved Product Information; AND</w:t>
            </w:r>
          </w:p>
          <w:p w14:paraId="62A91CF6" w14:textId="77777777" w:rsidR="0024362E" w:rsidRPr="000E0369" w:rsidRDefault="0024362E" w:rsidP="002C361A">
            <w:pPr>
              <w:pStyle w:val="mps3-data"/>
              <w:widowControl w:val="0"/>
              <w:rPr>
                <w:bCs/>
              </w:rPr>
            </w:pPr>
            <w:r w:rsidRPr="000E0369">
              <w:rPr>
                <w:bCs/>
              </w:rPr>
              <w:t>Patient must be undergoing treatment that does not occur beyond the following, whichever comes first: (</w:t>
            </w:r>
            <w:proofErr w:type="spellStart"/>
            <w:r w:rsidRPr="000E0369">
              <w:rPr>
                <w:bCs/>
              </w:rPr>
              <w:t>i</w:t>
            </w:r>
            <w:proofErr w:type="spellEnd"/>
            <w:r w:rsidRPr="000E0369">
              <w:rPr>
                <w:bCs/>
              </w:rPr>
              <w:t>) the first instance of disease progression/recurrence, (ii) 12 months in total for this condition from the first administered dose; mark any remaining repeat prescriptions with the words 'cancelled' where (</w:t>
            </w:r>
            <w:proofErr w:type="spellStart"/>
            <w:r w:rsidRPr="000E0369">
              <w:rPr>
                <w:bCs/>
              </w:rPr>
              <w:t>i</w:t>
            </w:r>
            <w:proofErr w:type="spellEnd"/>
            <w:r w:rsidRPr="000E0369">
              <w:rPr>
                <w:bCs/>
              </w:rPr>
              <w:t>)/(ii) has occurred.</w:t>
            </w:r>
          </w:p>
          <w:p w14:paraId="7BB94068" w14:textId="0CC8FF62" w:rsidR="0024362E" w:rsidRPr="000E0369" w:rsidRDefault="0024362E" w:rsidP="002C361A">
            <w:pPr>
              <w:pStyle w:val="mps3-heading"/>
              <w:widowControl w:val="0"/>
              <w:rPr>
                <w:b w:val="0"/>
                <w:bCs/>
                <w:szCs w:val="16"/>
              </w:rPr>
            </w:pPr>
            <w:r w:rsidRPr="000E0369">
              <w:rPr>
                <w:b w:val="0"/>
                <w:bCs/>
              </w:rPr>
              <w:t>An increase in repeat prescriptions, up to a value of 11, may only be sought where the prescribed dosing is 240 mg administered fortnightly.</w:t>
            </w:r>
          </w:p>
        </w:tc>
        <w:tc>
          <w:tcPr>
            <w:tcW w:w="2041" w:type="dxa"/>
            <w:tcBorders>
              <w:top w:val="single" w:sz="4" w:space="0" w:color="auto"/>
              <w:bottom w:val="single" w:sz="4" w:space="0" w:color="auto"/>
            </w:tcBorders>
            <w:shd w:val="clear" w:color="auto" w:fill="auto"/>
          </w:tcPr>
          <w:p w14:paraId="0CE8BE76" w14:textId="15FA094D" w:rsidR="0024362E" w:rsidRPr="00252623" w:rsidRDefault="0024362E" w:rsidP="002C361A">
            <w:pPr>
              <w:pStyle w:val="mps3-heading"/>
              <w:widowControl w:val="0"/>
              <w:rPr>
                <w:b w:val="0"/>
                <w:bCs/>
                <w:szCs w:val="16"/>
              </w:rPr>
            </w:pPr>
            <w:r w:rsidRPr="000E0369">
              <w:rPr>
                <w:b w:val="0"/>
                <w:bCs/>
              </w:rPr>
              <w:t>Compliance with Authority Required procedures</w:t>
            </w:r>
          </w:p>
        </w:tc>
      </w:tr>
    </w:tbl>
    <w:p w14:paraId="65368C44" w14:textId="77777777" w:rsidR="0024362E" w:rsidRPr="007C5A48" w:rsidRDefault="0024362E" w:rsidP="002C361A">
      <w:pPr>
        <w:widowControl w:val="0"/>
        <w:spacing w:before="40" w:after="60" w:line="260" w:lineRule="exact"/>
        <w:ind w:left="1134" w:hanging="567"/>
        <w:rPr>
          <w:rFonts w:cs="Times New Roman"/>
          <w:sz w:val="20"/>
        </w:rPr>
      </w:pPr>
    </w:p>
    <w:sectPr w:rsidR="0024362E" w:rsidRPr="007C5A48" w:rsidSect="00581BB9">
      <w:footerReference w:type="even" r:id="rId21"/>
      <w:footerReference w:type="default" r:id="rId22"/>
      <w:pgSz w:w="16839" w:h="11907" w:orient="landscape"/>
      <w:pgMar w:top="1701" w:right="1673" w:bottom="113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369A" w14:textId="77777777" w:rsidR="00CC6608" w:rsidRDefault="00CC6608" w:rsidP="0048364F">
      <w:pPr>
        <w:spacing w:line="240" w:lineRule="auto"/>
      </w:pPr>
      <w:r>
        <w:separator/>
      </w:r>
    </w:p>
  </w:endnote>
  <w:endnote w:type="continuationSeparator" w:id="0">
    <w:p w14:paraId="5EDE980A" w14:textId="77777777" w:rsidR="00CC6608" w:rsidRDefault="00CC660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D158C0" w:rsidRPr="00E33C1C" w:rsidRDefault="00D158C0" w:rsidP="00EF607D">
    <w:pPr>
      <w:pBdr>
        <w:top w:val="single" w:sz="6" w:space="1" w:color="auto"/>
      </w:pBdr>
      <w:spacing w:before="120" w:line="0" w:lineRule="atLeast"/>
      <w:rPr>
        <w:sz w:val="16"/>
        <w:szCs w:val="16"/>
      </w:rPr>
    </w:pPr>
  </w:p>
  <w:p w14:paraId="07509E07" w14:textId="547AF567" w:rsidR="00D158C0" w:rsidRDefault="00D158C0" w:rsidP="00EF607D">
    <w:pPr>
      <w:rPr>
        <w:i/>
        <w:noProof/>
        <w:sz w:val="18"/>
      </w:rPr>
    </w:pPr>
    <w:r w:rsidRPr="008253D2">
      <w:rPr>
        <w:i/>
        <w:sz w:val="18"/>
      </w:rPr>
      <w:ptab w:relativeTo="margin" w:alignment="center" w:leader="none"/>
    </w:r>
    <w:r w:rsidRPr="00EF607D">
      <w:rPr>
        <w:i/>
        <w:sz w:val="16"/>
        <w:szCs w:val="14"/>
      </w:rPr>
      <w:t xml:space="preserve">National Health (Efficient Funding of Chemotherapy) Special Arrangement Amendment Instrument 2021 </w:t>
    </w:r>
    <w:r>
      <w:rPr>
        <w:i/>
        <w:sz w:val="16"/>
        <w:szCs w:val="14"/>
      </w:rPr>
      <w:t>(No. 9)</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D158C0" w:rsidRDefault="00D158C0" w:rsidP="00EF607D">
    <w:pPr>
      <w:rPr>
        <w:i/>
        <w:noProof/>
        <w:sz w:val="18"/>
      </w:rPr>
    </w:pPr>
  </w:p>
  <w:p w14:paraId="207E0878" w14:textId="77777777" w:rsidR="00D158C0" w:rsidRPr="00EF607D" w:rsidRDefault="00D158C0"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D158C0" w:rsidRDefault="00D158C0" w:rsidP="00E32692">
    <w:pPr>
      <w:rPr>
        <w:i/>
        <w:sz w:val="18"/>
      </w:rPr>
    </w:pPr>
  </w:p>
  <w:p w14:paraId="0E47EFB8" w14:textId="77777777" w:rsidR="00D158C0" w:rsidRPr="008253D2" w:rsidRDefault="00D158C0"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D158C0" w:rsidRDefault="00D158C0" w:rsidP="0042665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158C0" w14:paraId="3765E653" w14:textId="77777777" w:rsidTr="00426657">
      <w:tc>
        <w:tcPr>
          <w:tcW w:w="5000" w:type="pct"/>
        </w:tcPr>
        <w:p w14:paraId="7199E151" w14:textId="77777777" w:rsidR="00D158C0" w:rsidRDefault="00D158C0" w:rsidP="00426657">
          <w:pPr>
            <w:rPr>
              <w:sz w:val="18"/>
            </w:rPr>
          </w:pPr>
        </w:p>
      </w:tc>
    </w:tr>
  </w:tbl>
  <w:p w14:paraId="5B41C868" w14:textId="77777777" w:rsidR="00D158C0" w:rsidRPr="00486382" w:rsidRDefault="00D158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D158C0" w:rsidRPr="00E33C1C" w:rsidRDefault="00D158C0" w:rsidP="00E32692">
    <w:pPr>
      <w:pBdr>
        <w:top w:val="single" w:sz="6" w:space="1" w:color="auto"/>
      </w:pBdr>
      <w:spacing w:before="120" w:line="0" w:lineRule="atLeast"/>
      <w:rPr>
        <w:sz w:val="16"/>
        <w:szCs w:val="16"/>
      </w:rPr>
    </w:pPr>
  </w:p>
  <w:p w14:paraId="5129D8E6" w14:textId="51184160" w:rsidR="00D158C0" w:rsidRDefault="00D158C0" w:rsidP="00E32692">
    <w:pPr>
      <w:rPr>
        <w:i/>
        <w:noProof/>
        <w:sz w:val="18"/>
      </w:rPr>
    </w:pPr>
    <w:r w:rsidRPr="00D60DE4">
      <w:rPr>
        <w:i/>
        <w:sz w:val="18"/>
      </w:rPr>
      <w:ptab w:relativeTo="margin" w:alignment="center" w:leader="none"/>
    </w:r>
    <w:r w:rsidRPr="00461B28">
      <w:rPr>
        <w:i/>
        <w:sz w:val="16"/>
        <w:szCs w:val="16"/>
      </w:rPr>
      <w:t xml:space="preserve">National Health (Efficient Funding of Chemotherapy) </w:t>
    </w:r>
    <w:r w:rsidRPr="000C2F0E">
      <w:rPr>
        <w:i/>
        <w:sz w:val="16"/>
        <w:szCs w:val="16"/>
      </w:rPr>
      <w:t>Special Arrangement Amendme</w:t>
    </w:r>
    <w:r w:rsidRPr="000E0D77">
      <w:rPr>
        <w:i/>
        <w:sz w:val="16"/>
        <w:szCs w:val="16"/>
      </w:rPr>
      <w:t xml:space="preserve">nt </w:t>
    </w:r>
    <w:r w:rsidR="00E96A97" w:rsidRPr="000E0D77">
      <w:rPr>
        <w:i/>
        <w:sz w:val="16"/>
        <w:szCs w:val="16"/>
      </w:rPr>
      <w:t>(</w:t>
    </w:r>
    <w:r w:rsidR="00DA2666" w:rsidRPr="000E0D77">
      <w:rPr>
        <w:i/>
        <w:sz w:val="16"/>
        <w:szCs w:val="16"/>
      </w:rPr>
      <w:t>August</w:t>
    </w:r>
    <w:r w:rsidR="00C2329E" w:rsidRPr="000E0D77">
      <w:rPr>
        <w:i/>
        <w:sz w:val="16"/>
        <w:szCs w:val="16"/>
      </w:rPr>
      <w:t xml:space="preserve"> </w:t>
    </w:r>
    <w:r w:rsidR="00E96A97" w:rsidRPr="000E0D77">
      <w:rPr>
        <w:i/>
        <w:sz w:val="16"/>
        <w:szCs w:val="16"/>
      </w:rPr>
      <w:t xml:space="preserve">Update) </w:t>
    </w:r>
    <w:r w:rsidRPr="000E0D77">
      <w:rPr>
        <w:i/>
        <w:sz w:val="16"/>
        <w:szCs w:val="16"/>
      </w:rPr>
      <w:t>Instrument 202</w:t>
    </w:r>
    <w:r w:rsidR="003D3C9B" w:rsidRPr="000E0D77">
      <w:rPr>
        <w:i/>
        <w:sz w:val="16"/>
        <w:szCs w:val="16"/>
      </w:rPr>
      <w:t>4</w:t>
    </w:r>
    <w:r w:rsidRPr="000E0D77">
      <w:rPr>
        <w:i/>
        <w:sz w:val="18"/>
      </w:rPr>
      <w:ptab w:relativeTo="margin" w:alignment="right" w:leader="none"/>
    </w:r>
    <w:proofErr w:type="spellStart"/>
    <w:r w:rsidRPr="000E0D77">
      <w:rPr>
        <w:i/>
        <w:sz w:val="18"/>
      </w:rPr>
      <w:t>i</w:t>
    </w:r>
    <w:proofErr w:type="spellEnd"/>
  </w:p>
  <w:p w14:paraId="4D72C26D" w14:textId="77777777" w:rsidR="00D158C0" w:rsidRDefault="00D158C0" w:rsidP="00E32692">
    <w:pPr>
      <w:rPr>
        <w:i/>
        <w:noProof/>
        <w:sz w:val="18"/>
      </w:rPr>
    </w:pPr>
  </w:p>
  <w:p w14:paraId="4699A564" w14:textId="77777777" w:rsidR="00D158C0" w:rsidRPr="008253D2" w:rsidRDefault="00D158C0"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D158C0" w:rsidRDefault="00D158C0" w:rsidP="00A136F5">
    <w:pPr>
      <w:pBdr>
        <w:top w:val="single" w:sz="6" w:space="1" w:color="auto"/>
      </w:pBdr>
      <w:spacing w:line="0" w:lineRule="atLeast"/>
      <w:rPr>
        <w:sz w:val="16"/>
        <w:szCs w:val="16"/>
      </w:rPr>
    </w:pPr>
  </w:p>
  <w:p w14:paraId="3012D85E" w14:textId="301DD9A3" w:rsidR="00D158C0" w:rsidRPr="00E33C1C" w:rsidRDefault="00D158C0"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 xml:space="preserve">National Health (Efficient Funding of Chemotherapy) Special Arrangement Amendment Instrument 2021 </w:t>
    </w:r>
    <w:r>
      <w:rPr>
        <w:i/>
        <w:sz w:val="16"/>
        <w:szCs w:val="18"/>
      </w:rPr>
      <w:t>(No. 9)</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D158C0" w:rsidRDefault="00D158C0" w:rsidP="00A136F5">
    <w:pPr>
      <w:rPr>
        <w:i/>
        <w:sz w:val="18"/>
      </w:rPr>
    </w:pPr>
  </w:p>
  <w:p w14:paraId="30739223" w14:textId="77777777" w:rsidR="00D158C0" w:rsidRPr="00EF607D" w:rsidRDefault="00D158C0"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3223701E" w:rsidR="00D158C0" w:rsidRPr="00E33C1C" w:rsidRDefault="00D158C0" w:rsidP="00E32692">
    <w:pPr>
      <w:pBdr>
        <w:top w:val="single" w:sz="6" w:space="1" w:color="auto"/>
      </w:pBdr>
      <w:spacing w:before="120" w:line="0" w:lineRule="atLeast"/>
      <w:rPr>
        <w:sz w:val="16"/>
        <w:szCs w:val="16"/>
      </w:rPr>
    </w:pPr>
  </w:p>
  <w:p w14:paraId="3ABFDA16" w14:textId="28807183" w:rsidR="00D158C0" w:rsidRPr="00B323CC" w:rsidRDefault="00D158C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w:t>
    </w:r>
    <w:r w:rsidRPr="000E0D77">
      <w:rPr>
        <w:i/>
        <w:sz w:val="16"/>
        <w:szCs w:val="16"/>
      </w:rPr>
      <w:t>mendment</w:t>
    </w:r>
    <w:r w:rsidR="00DB0543" w:rsidRPr="000E0D77">
      <w:rPr>
        <w:i/>
        <w:sz w:val="16"/>
        <w:szCs w:val="16"/>
      </w:rPr>
      <w:t xml:space="preserve"> (</w:t>
    </w:r>
    <w:r w:rsidR="00DA2666" w:rsidRPr="000E0D77">
      <w:rPr>
        <w:i/>
        <w:sz w:val="16"/>
        <w:szCs w:val="16"/>
      </w:rPr>
      <w:t xml:space="preserve">August </w:t>
    </w:r>
    <w:r w:rsidR="00DB0543" w:rsidRPr="000E0D77">
      <w:rPr>
        <w:i/>
        <w:sz w:val="16"/>
        <w:szCs w:val="16"/>
      </w:rPr>
      <w:t xml:space="preserve">Update) </w:t>
    </w:r>
    <w:r w:rsidRPr="000E0D77">
      <w:rPr>
        <w:i/>
        <w:sz w:val="16"/>
        <w:szCs w:val="16"/>
      </w:rPr>
      <w:t>Instrument 202</w:t>
    </w:r>
    <w:r w:rsidR="00DB0543" w:rsidRPr="000E0D77">
      <w:rPr>
        <w:i/>
        <w:sz w:val="16"/>
        <w:szCs w:val="16"/>
      </w:rPr>
      <w:t>4</w:t>
    </w:r>
    <w:r w:rsidR="00215A10">
      <w:rPr>
        <w:i/>
        <w:sz w:val="16"/>
        <w:szCs w:val="16"/>
      </w:rPr>
      <w:t xml:space="preserve">        </w:t>
    </w:r>
    <w:r w:rsidRPr="009C4EDB">
      <w:rPr>
        <w:i/>
        <w:sz w:val="18"/>
        <w:szCs w:val="18"/>
      </w:rPr>
      <w:t xml:space="preserve"> </w:t>
    </w:r>
    <w:r w:rsidRPr="009C4EDB">
      <w:rPr>
        <w:i/>
        <w:sz w:val="18"/>
        <w:szCs w:val="18"/>
      </w:rPr>
      <w:fldChar w:fldCharType="begin"/>
    </w:r>
    <w:r w:rsidRPr="009C4EDB">
      <w:rPr>
        <w:i/>
        <w:sz w:val="18"/>
        <w:szCs w:val="18"/>
      </w:rPr>
      <w:instrText xml:space="preserve"> PAGE   \* MERGEFORMAT </w:instrText>
    </w:r>
    <w:r w:rsidRPr="009C4EDB">
      <w:rPr>
        <w:i/>
        <w:sz w:val="18"/>
        <w:szCs w:val="18"/>
      </w:rPr>
      <w:fldChar w:fldCharType="separate"/>
    </w:r>
    <w:r w:rsidRPr="009C4EDB">
      <w:rPr>
        <w:i/>
        <w:sz w:val="18"/>
        <w:szCs w:val="18"/>
      </w:rPr>
      <w:t>1</w:t>
    </w:r>
    <w:r w:rsidRPr="009C4EDB">
      <w:rPr>
        <w:i/>
        <w:noProof/>
        <w:sz w:val="18"/>
        <w:szCs w:val="18"/>
      </w:rPr>
      <w:fldChar w:fldCharType="end"/>
    </w:r>
  </w:p>
  <w:p w14:paraId="6D1E57C1" w14:textId="77777777" w:rsidR="00D158C0" w:rsidRDefault="00D158C0" w:rsidP="00E32692">
    <w:pPr>
      <w:rPr>
        <w:i/>
        <w:noProof/>
        <w:sz w:val="18"/>
      </w:rPr>
    </w:pPr>
  </w:p>
  <w:p w14:paraId="4019782E" w14:textId="77777777" w:rsidR="00D158C0" w:rsidRPr="008253D2" w:rsidRDefault="00D158C0"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D158C0" w:rsidRPr="00E33C1C" w:rsidRDefault="00D158C0"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D158C0" w14:paraId="4EAEA115" w14:textId="77777777" w:rsidTr="000A4401">
      <w:trPr>
        <w:trHeight w:val="34"/>
      </w:trPr>
      <w:tc>
        <w:tcPr>
          <w:tcW w:w="1146" w:type="dxa"/>
          <w:tcBorders>
            <w:top w:val="nil"/>
            <w:left w:val="nil"/>
            <w:bottom w:val="nil"/>
            <w:right w:val="nil"/>
          </w:tcBorders>
        </w:tcPr>
        <w:p w14:paraId="176076F8" w14:textId="77777777" w:rsidR="00D158C0" w:rsidRDefault="00D158C0" w:rsidP="00EE57E8">
          <w:pPr>
            <w:spacing w:line="0" w:lineRule="atLeast"/>
            <w:rPr>
              <w:sz w:val="18"/>
            </w:rPr>
          </w:pPr>
        </w:p>
      </w:tc>
      <w:tc>
        <w:tcPr>
          <w:tcW w:w="11754" w:type="dxa"/>
          <w:tcBorders>
            <w:top w:val="nil"/>
            <w:left w:val="nil"/>
            <w:bottom w:val="nil"/>
            <w:right w:val="nil"/>
          </w:tcBorders>
        </w:tcPr>
        <w:p w14:paraId="6AC0D3D8" w14:textId="4F923760" w:rsidR="00D158C0" w:rsidRDefault="00D158C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7DD6">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D158C0" w:rsidRDefault="00D158C0" w:rsidP="00EE57E8">
          <w:pPr>
            <w:spacing w:line="0" w:lineRule="atLeast"/>
            <w:jc w:val="right"/>
            <w:rPr>
              <w:sz w:val="18"/>
            </w:rPr>
          </w:pPr>
          <w:r>
            <w:rPr>
              <w:sz w:val="18"/>
            </w:rPr>
            <w:t>3</w:t>
          </w:r>
        </w:p>
      </w:tc>
    </w:tr>
    <w:tr w:rsidR="00D158C0"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1B74BFF3" w:rsidR="00D158C0" w:rsidRDefault="00D158C0" w:rsidP="001A286A">
          <w:pPr>
            <w:rPr>
              <w:sz w:val="18"/>
            </w:rPr>
          </w:pPr>
          <w:r w:rsidRPr="00462D05">
            <w:rPr>
              <w:i/>
              <w:sz w:val="16"/>
              <w:szCs w:val="14"/>
            </w:rPr>
            <w:t xml:space="preserve">National Health (Efficient Funding of Chemotherapy) Special Arrangement Amendment Instrument 2021 </w:t>
          </w:r>
          <w:r>
            <w:rPr>
              <w:i/>
              <w:sz w:val="16"/>
              <w:szCs w:val="14"/>
            </w:rPr>
            <w:t>(No. 9)</w:t>
          </w:r>
        </w:p>
      </w:tc>
    </w:tr>
  </w:tbl>
  <w:p w14:paraId="6FA3F926" w14:textId="77777777" w:rsidR="00D158C0" w:rsidRPr="00ED79B6" w:rsidRDefault="00D158C0"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D6F" w14:textId="77777777" w:rsidR="00215A10" w:rsidRPr="00E33C1C" w:rsidRDefault="00215A10" w:rsidP="00E32692">
    <w:pPr>
      <w:pBdr>
        <w:top w:val="single" w:sz="6" w:space="1" w:color="auto"/>
      </w:pBdr>
      <w:spacing w:before="120" w:line="0" w:lineRule="atLeast"/>
      <w:rPr>
        <w:sz w:val="16"/>
        <w:szCs w:val="16"/>
      </w:rPr>
    </w:pPr>
  </w:p>
  <w:p w14:paraId="7AE9C7D4" w14:textId="2CBC5994" w:rsidR="00215A10" w:rsidRPr="00B323CC" w:rsidRDefault="00215A1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Ame</w:t>
    </w:r>
    <w:r w:rsidRPr="000C2F0E">
      <w:rPr>
        <w:i/>
        <w:sz w:val="16"/>
        <w:szCs w:val="16"/>
      </w:rPr>
      <w:t>nd</w:t>
    </w:r>
    <w:r w:rsidRPr="00375819">
      <w:rPr>
        <w:i/>
        <w:sz w:val="16"/>
        <w:szCs w:val="16"/>
      </w:rPr>
      <w:t>men</w:t>
    </w:r>
    <w:r w:rsidRPr="000E0D77">
      <w:rPr>
        <w:i/>
        <w:sz w:val="16"/>
        <w:szCs w:val="16"/>
      </w:rPr>
      <w:t xml:space="preserve">t </w:t>
    </w:r>
    <w:r w:rsidR="00241AA9" w:rsidRPr="000E0D77">
      <w:rPr>
        <w:i/>
        <w:sz w:val="16"/>
        <w:szCs w:val="16"/>
      </w:rPr>
      <w:t>(</w:t>
    </w:r>
    <w:r w:rsidR="00B3141C" w:rsidRPr="000E0D77">
      <w:rPr>
        <w:i/>
        <w:sz w:val="16"/>
        <w:szCs w:val="16"/>
      </w:rPr>
      <w:t>August</w:t>
    </w:r>
    <w:r w:rsidR="00241AA9" w:rsidRPr="000E0D77">
      <w:rPr>
        <w:i/>
        <w:sz w:val="16"/>
        <w:szCs w:val="16"/>
      </w:rPr>
      <w:t xml:space="preserve"> Update) </w:t>
    </w:r>
    <w:r w:rsidRPr="000E0D77">
      <w:rPr>
        <w:i/>
        <w:sz w:val="16"/>
        <w:szCs w:val="16"/>
      </w:rPr>
      <w:t>Instrument 2024</w:t>
    </w:r>
    <w:r>
      <w:rPr>
        <w:i/>
        <w:sz w:val="16"/>
        <w:szCs w:val="16"/>
      </w:rPr>
      <w:tab/>
    </w:r>
    <w:r>
      <w:rPr>
        <w:i/>
        <w:sz w:val="16"/>
        <w:szCs w:val="16"/>
      </w:rPr>
      <w:tab/>
    </w:r>
    <w:r>
      <w:rPr>
        <w:i/>
        <w:sz w:val="16"/>
        <w:szCs w:val="16"/>
      </w:rPr>
      <w:tab/>
    </w:r>
    <w:r>
      <w:rPr>
        <w:i/>
        <w:sz w:val="16"/>
        <w:szCs w:val="16"/>
      </w:rPr>
      <w:tab/>
      <w:t xml:space="preserve"> </w:t>
    </w:r>
    <w:r w:rsidRPr="009C4EDB">
      <w:rPr>
        <w:i/>
        <w:sz w:val="18"/>
        <w:szCs w:val="18"/>
      </w:rPr>
      <w:fldChar w:fldCharType="begin"/>
    </w:r>
    <w:r w:rsidRPr="009C4EDB">
      <w:rPr>
        <w:i/>
        <w:sz w:val="18"/>
        <w:szCs w:val="18"/>
      </w:rPr>
      <w:instrText xml:space="preserve"> PAGE   \* MERGEFORMAT </w:instrText>
    </w:r>
    <w:r w:rsidRPr="009C4EDB">
      <w:rPr>
        <w:i/>
        <w:sz w:val="18"/>
        <w:szCs w:val="18"/>
      </w:rPr>
      <w:fldChar w:fldCharType="separate"/>
    </w:r>
    <w:r w:rsidRPr="009C4EDB">
      <w:rPr>
        <w:i/>
        <w:sz w:val="18"/>
        <w:szCs w:val="18"/>
      </w:rPr>
      <w:t>1</w:t>
    </w:r>
    <w:r w:rsidRPr="009C4EDB">
      <w:rPr>
        <w:i/>
        <w:noProof/>
        <w:sz w:val="18"/>
        <w:szCs w:val="18"/>
      </w:rPr>
      <w:fldChar w:fldCharType="end"/>
    </w:r>
  </w:p>
  <w:p w14:paraId="75A40C2B" w14:textId="77777777" w:rsidR="00215A10" w:rsidRDefault="00215A10" w:rsidP="00E32692">
    <w:pPr>
      <w:rPr>
        <w:i/>
        <w:noProof/>
        <w:sz w:val="18"/>
      </w:rPr>
    </w:pPr>
  </w:p>
  <w:p w14:paraId="3173CD13" w14:textId="77777777" w:rsidR="00215A10" w:rsidRPr="008253D2" w:rsidRDefault="00215A10" w:rsidP="00E32692">
    <w:pPr>
      <w:rPr>
        <w: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2794" w14:textId="77777777" w:rsidR="00CC6608" w:rsidRDefault="00CC6608" w:rsidP="0048364F">
      <w:pPr>
        <w:spacing w:line="240" w:lineRule="auto"/>
      </w:pPr>
      <w:r>
        <w:separator/>
      </w:r>
    </w:p>
  </w:footnote>
  <w:footnote w:type="continuationSeparator" w:id="0">
    <w:p w14:paraId="2F11EF67" w14:textId="77777777" w:rsidR="00CC6608" w:rsidRDefault="00CC660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D158C0" w:rsidRPr="005F1388" w:rsidRDefault="00D158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D158C0" w:rsidRPr="005F1388" w:rsidRDefault="00D158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D158C0" w:rsidRPr="00ED79B6" w:rsidRDefault="00D158C0" w:rsidP="00EF607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D158C0" w:rsidRPr="00A961C4" w:rsidRDefault="00D158C0" w:rsidP="0048364F">
    <w:pPr>
      <w:rPr>
        <w:b/>
        <w:sz w:val="20"/>
      </w:rPr>
    </w:pPr>
  </w:p>
  <w:p w14:paraId="2E714C95" w14:textId="77777777" w:rsidR="00D158C0" w:rsidRPr="00A961C4" w:rsidRDefault="00D158C0" w:rsidP="0048364F">
    <w:pPr>
      <w:rPr>
        <w:b/>
        <w:sz w:val="20"/>
      </w:rPr>
    </w:pPr>
  </w:p>
  <w:p w14:paraId="4B93BE34" w14:textId="77777777" w:rsidR="00D158C0" w:rsidRPr="00A961C4" w:rsidRDefault="00D158C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64F8042B" w:rsidR="00D158C0" w:rsidRPr="00A961C4" w:rsidRDefault="00D158C0" w:rsidP="0048364F">
    <w:pPr>
      <w:jc w:val="right"/>
      <w:rPr>
        <w:sz w:val="20"/>
      </w:rPr>
    </w:pPr>
  </w:p>
  <w:p w14:paraId="5774BD9C" w14:textId="77777777" w:rsidR="00D158C0" w:rsidRPr="00A961C4" w:rsidRDefault="00D158C0" w:rsidP="0048364F">
    <w:pPr>
      <w:jc w:val="right"/>
      <w:rPr>
        <w:b/>
        <w:sz w:val="20"/>
      </w:rPr>
    </w:pPr>
  </w:p>
  <w:p w14:paraId="5B160F46" w14:textId="77777777" w:rsidR="00D158C0" w:rsidRDefault="00D158C0" w:rsidP="00D158C0">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D158C0" w:rsidRPr="00ED79B6" w:rsidRDefault="00D158C0"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30C2218"/>
    <w:lvl w:ilvl="0">
      <w:start w:val="1"/>
      <w:numFmt w:val="bullet"/>
      <w:pStyle w:val="Amendment1"/>
      <w:lvlText w:val=""/>
      <w:lvlJc w:val="left"/>
      <w:pPr>
        <w:tabs>
          <w:tab w:val="num" w:pos="1492"/>
        </w:tabs>
        <w:ind w:left="1492" w:hanging="360"/>
      </w:pPr>
      <w:rPr>
        <w:rFonts w:ascii="Symbol" w:hAnsi="Symbol" w:hint="default"/>
      </w:rPr>
    </w:lvl>
  </w:abstractNum>
  <w:abstractNum w:abstractNumId="1" w15:restartNumberingAfterBreak="0">
    <w:nsid w:val="025943FF"/>
    <w:multiLevelType w:val="hybridMultilevel"/>
    <w:tmpl w:val="92C8870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59844D9"/>
    <w:multiLevelType w:val="hybridMultilevel"/>
    <w:tmpl w:val="806E9D50"/>
    <w:lvl w:ilvl="0" w:tplc="FBD60C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F205EF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0FA67F0"/>
    <w:multiLevelType w:val="hybridMultilevel"/>
    <w:tmpl w:val="1080710E"/>
    <w:lvl w:ilvl="0" w:tplc="886C2C8A">
      <w:start w:val="1"/>
      <w:numFmt w:val="lowerLetter"/>
      <w:lvlText w:val="%1)"/>
      <w:lvlJc w:val="left"/>
      <w:pPr>
        <w:ind w:left="1287" w:hanging="360"/>
      </w:pPr>
      <w:rPr>
        <w:rFonts w:ascii="Arial" w:hAnsi="Arial" w:cs="Arial" w:hint="default"/>
        <w:b/>
        <w:bCs/>
        <w:i w:val="0"/>
        <w:i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1B1768C"/>
    <w:multiLevelType w:val="multilevel"/>
    <w:tmpl w:val="EC48069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F504B1"/>
    <w:multiLevelType w:val="hybridMultilevel"/>
    <w:tmpl w:val="46D24894"/>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3A3762C"/>
    <w:multiLevelType w:val="hybridMultilevel"/>
    <w:tmpl w:val="2B14FA3C"/>
    <w:lvl w:ilvl="0" w:tplc="23A4C3D8">
      <w:start w:val="1"/>
      <w:numFmt w:val="decimal"/>
      <w:lvlText w:val="[%1]"/>
      <w:lvlJc w:val="left"/>
      <w:pPr>
        <w:ind w:left="360" w:hanging="360"/>
      </w:pPr>
      <w:rPr>
        <w:rFonts w:ascii="Arial" w:hAnsi="Arial" w:cs="Arial" w:hint="default"/>
        <w:b/>
        <w:i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9C3601"/>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4033FD7"/>
    <w:multiLevelType w:val="hybridMultilevel"/>
    <w:tmpl w:val="6470831A"/>
    <w:lvl w:ilvl="0" w:tplc="0B80718A">
      <w:start w:val="1"/>
      <w:numFmt w:val="lowerLetter"/>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7A67B5"/>
    <w:multiLevelType w:val="hybridMultilevel"/>
    <w:tmpl w:val="AD10C7EC"/>
    <w:lvl w:ilvl="0" w:tplc="46DA7B3A">
      <w:start w:val="1"/>
      <w:numFmt w:val="lowerLetter"/>
      <w:lvlText w:val="%1)"/>
      <w:lvlJc w:val="left"/>
      <w:pPr>
        <w:ind w:left="927" w:hanging="360"/>
      </w:pPr>
      <w:rPr>
        <w:rFonts w:ascii="Arial" w:hAnsi="Arial" w:cs="Arial"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3282654D"/>
    <w:multiLevelType w:val="hybridMultilevel"/>
    <w:tmpl w:val="19BCC7BE"/>
    <w:lvl w:ilvl="0" w:tplc="7960D04A">
      <w:start w:val="1"/>
      <w:numFmt w:val="decimal"/>
      <w:lvlText w:val="%1"/>
      <w:lvlJc w:val="left"/>
      <w:pPr>
        <w:ind w:left="720" w:hanging="360"/>
      </w:pPr>
      <w:rPr>
        <w:rFonts w:ascii="Times New Roman" w:hAnsi="Times New Roman" w:cs="Times New Roman"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18664E"/>
    <w:multiLevelType w:val="hybridMultilevel"/>
    <w:tmpl w:val="D16E2410"/>
    <w:lvl w:ilvl="0" w:tplc="646CF85E">
      <w:start w:val="1"/>
      <w:numFmt w:val="lowerLetter"/>
      <w:lvlText w:val="(%1)"/>
      <w:lvlJc w:val="left"/>
      <w:pPr>
        <w:ind w:left="1728" w:hanging="34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79247C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59FD0886"/>
    <w:multiLevelType w:val="hybridMultilevel"/>
    <w:tmpl w:val="45F8AA24"/>
    <w:lvl w:ilvl="0" w:tplc="E94219AC">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D777841"/>
    <w:multiLevelType w:val="hybridMultilevel"/>
    <w:tmpl w:val="CBF2BED4"/>
    <w:lvl w:ilvl="0" w:tplc="72A6DD50">
      <w:start w:val="1"/>
      <w:numFmt w:val="decimal"/>
      <w:pStyle w:val="Amendment10"/>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19" w15:restartNumberingAfterBreak="0">
    <w:nsid w:val="5E24593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64B71432"/>
    <w:multiLevelType w:val="hybridMultilevel"/>
    <w:tmpl w:val="078CC2DC"/>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C30E0F"/>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75191975"/>
    <w:multiLevelType w:val="hybridMultilevel"/>
    <w:tmpl w:val="9326A2A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302E9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788B3653"/>
    <w:multiLevelType w:val="hybridMultilevel"/>
    <w:tmpl w:val="AA2CDA82"/>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691876484">
    <w:abstractNumId w:val="0"/>
  </w:num>
  <w:num w:numId="2" w16cid:durableId="1717853197">
    <w:abstractNumId w:val="15"/>
  </w:num>
  <w:num w:numId="3" w16cid:durableId="1539244189">
    <w:abstractNumId w:val="9"/>
  </w:num>
  <w:num w:numId="4" w16cid:durableId="1405840572">
    <w:abstractNumId w:val="25"/>
  </w:num>
  <w:num w:numId="5" w16cid:durableId="1853369892">
    <w:abstractNumId w:val="7"/>
  </w:num>
  <w:num w:numId="6" w16cid:durableId="1330522097">
    <w:abstractNumId w:val="8"/>
  </w:num>
  <w:num w:numId="7" w16cid:durableId="1103770450">
    <w:abstractNumId w:val="2"/>
  </w:num>
  <w:num w:numId="8" w16cid:durableId="2115901162">
    <w:abstractNumId w:val="18"/>
  </w:num>
  <w:num w:numId="9" w16cid:durableId="641810281">
    <w:abstractNumId w:val="5"/>
  </w:num>
  <w:num w:numId="10" w16cid:durableId="988367021">
    <w:abstractNumId w:val="17"/>
  </w:num>
  <w:num w:numId="11" w16cid:durableId="2014452744">
    <w:abstractNumId w:val="11"/>
  </w:num>
  <w:num w:numId="12" w16cid:durableId="1693260493">
    <w:abstractNumId w:val="16"/>
  </w:num>
  <w:num w:numId="13" w16cid:durableId="899483355">
    <w:abstractNumId w:val="12"/>
  </w:num>
  <w:num w:numId="14" w16cid:durableId="1508402190">
    <w:abstractNumId w:val="4"/>
  </w:num>
  <w:num w:numId="15" w16cid:durableId="1223952363">
    <w:abstractNumId w:val="20"/>
  </w:num>
  <w:num w:numId="16" w16cid:durableId="1202941726">
    <w:abstractNumId w:val="19"/>
  </w:num>
  <w:num w:numId="17" w16cid:durableId="2071413976">
    <w:abstractNumId w:val="10"/>
  </w:num>
  <w:num w:numId="18" w16cid:durableId="1520117023">
    <w:abstractNumId w:val="3"/>
  </w:num>
  <w:num w:numId="19" w16cid:durableId="378818491">
    <w:abstractNumId w:val="23"/>
  </w:num>
  <w:num w:numId="20" w16cid:durableId="1963070212">
    <w:abstractNumId w:val="21"/>
  </w:num>
  <w:num w:numId="21" w16cid:durableId="1927300083">
    <w:abstractNumId w:val="24"/>
  </w:num>
  <w:num w:numId="22" w16cid:durableId="1122113752">
    <w:abstractNumId w:val="14"/>
  </w:num>
  <w:num w:numId="23" w16cid:durableId="499197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060257">
    <w:abstractNumId w:val="6"/>
  </w:num>
  <w:num w:numId="25" w16cid:durableId="181820024">
    <w:abstractNumId w:val="1"/>
  </w:num>
  <w:num w:numId="26" w16cid:durableId="4896786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668"/>
    <w:rsid w:val="00002BCC"/>
    <w:rsid w:val="0000375B"/>
    <w:rsid w:val="000113BC"/>
    <w:rsid w:val="00012EE4"/>
    <w:rsid w:val="000136AF"/>
    <w:rsid w:val="0001380C"/>
    <w:rsid w:val="00015149"/>
    <w:rsid w:val="00015C23"/>
    <w:rsid w:val="0002051A"/>
    <w:rsid w:val="00021675"/>
    <w:rsid w:val="0002391D"/>
    <w:rsid w:val="000254D0"/>
    <w:rsid w:val="00025824"/>
    <w:rsid w:val="00032831"/>
    <w:rsid w:val="00035D3A"/>
    <w:rsid w:val="00037734"/>
    <w:rsid w:val="0004044E"/>
    <w:rsid w:val="000447C8"/>
    <w:rsid w:val="00044D83"/>
    <w:rsid w:val="0005120E"/>
    <w:rsid w:val="00053793"/>
    <w:rsid w:val="00053A1B"/>
    <w:rsid w:val="00054577"/>
    <w:rsid w:val="00055FFE"/>
    <w:rsid w:val="0005723D"/>
    <w:rsid w:val="000614BF"/>
    <w:rsid w:val="00063E24"/>
    <w:rsid w:val="00065892"/>
    <w:rsid w:val="0007169C"/>
    <w:rsid w:val="000720E1"/>
    <w:rsid w:val="00076EEF"/>
    <w:rsid w:val="00077593"/>
    <w:rsid w:val="00077788"/>
    <w:rsid w:val="00077CB3"/>
    <w:rsid w:val="00083F48"/>
    <w:rsid w:val="00084052"/>
    <w:rsid w:val="0008479E"/>
    <w:rsid w:val="000848E9"/>
    <w:rsid w:val="00084BC8"/>
    <w:rsid w:val="00084E97"/>
    <w:rsid w:val="0008582F"/>
    <w:rsid w:val="00087B32"/>
    <w:rsid w:val="000A37AD"/>
    <w:rsid w:val="000A4401"/>
    <w:rsid w:val="000A479A"/>
    <w:rsid w:val="000A73B4"/>
    <w:rsid w:val="000A7DF9"/>
    <w:rsid w:val="000A7FD7"/>
    <w:rsid w:val="000B1C26"/>
    <w:rsid w:val="000B4FC5"/>
    <w:rsid w:val="000B6CF5"/>
    <w:rsid w:val="000C2F0E"/>
    <w:rsid w:val="000C69D8"/>
    <w:rsid w:val="000C7782"/>
    <w:rsid w:val="000D05EF"/>
    <w:rsid w:val="000D1D02"/>
    <w:rsid w:val="000D3A7D"/>
    <w:rsid w:val="000D3FB9"/>
    <w:rsid w:val="000D4852"/>
    <w:rsid w:val="000D51AA"/>
    <w:rsid w:val="000D51BF"/>
    <w:rsid w:val="000D5485"/>
    <w:rsid w:val="000D5F52"/>
    <w:rsid w:val="000E0369"/>
    <w:rsid w:val="000E0D77"/>
    <w:rsid w:val="000E12E5"/>
    <w:rsid w:val="000E134F"/>
    <w:rsid w:val="000E598E"/>
    <w:rsid w:val="000E5A3D"/>
    <w:rsid w:val="000F0ADA"/>
    <w:rsid w:val="000F21C1"/>
    <w:rsid w:val="000F2851"/>
    <w:rsid w:val="000F65E4"/>
    <w:rsid w:val="00100566"/>
    <w:rsid w:val="00100F47"/>
    <w:rsid w:val="001011A4"/>
    <w:rsid w:val="0010745C"/>
    <w:rsid w:val="001121E8"/>
    <w:rsid w:val="001122FF"/>
    <w:rsid w:val="00113943"/>
    <w:rsid w:val="00116001"/>
    <w:rsid w:val="00120A14"/>
    <w:rsid w:val="001233EC"/>
    <w:rsid w:val="00124074"/>
    <w:rsid w:val="0012523F"/>
    <w:rsid w:val="001259FD"/>
    <w:rsid w:val="00135D96"/>
    <w:rsid w:val="00144EFA"/>
    <w:rsid w:val="00150228"/>
    <w:rsid w:val="001511A2"/>
    <w:rsid w:val="00160BD7"/>
    <w:rsid w:val="00161023"/>
    <w:rsid w:val="001643C9"/>
    <w:rsid w:val="00165568"/>
    <w:rsid w:val="00166082"/>
    <w:rsid w:val="00166C2F"/>
    <w:rsid w:val="001716C9"/>
    <w:rsid w:val="00175CBC"/>
    <w:rsid w:val="00177047"/>
    <w:rsid w:val="00181E2F"/>
    <w:rsid w:val="0018399D"/>
    <w:rsid w:val="00184261"/>
    <w:rsid w:val="00190DD7"/>
    <w:rsid w:val="0019193F"/>
    <w:rsid w:val="00193461"/>
    <w:rsid w:val="001939E1"/>
    <w:rsid w:val="0019452E"/>
    <w:rsid w:val="00195047"/>
    <w:rsid w:val="00195382"/>
    <w:rsid w:val="001A286A"/>
    <w:rsid w:val="001A3956"/>
    <w:rsid w:val="001A3B9F"/>
    <w:rsid w:val="001A5520"/>
    <w:rsid w:val="001A5DC8"/>
    <w:rsid w:val="001A65C0"/>
    <w:rsid w:val="001A786B"/>
    <w:rsid w:val="001A7D09"/>
    <w:rsid w:val="001B7A5D"/>
    <w:rsid w:val="001C69C4"/>
    <w:rsid w:val="001D736A"/>
    <w:rsid w:val="001E0A8D"/>
    <w:rsid w:val="001E2DEB"/>
    <w:rsid w:val="001E3419"/>
    <w:rsid w:val="001E3590"/>
    <w:rsid w:val="001E3879"/>
    <w:rsid w:val="001E39B6"/>
    <w:rsid w:val="001E3F1B"/>
    <w:rsid w:val="001E4839"/>
    <w:rsid w:val="001E4B63"/>
    <w:rsid w:val="001E4C79"/>
    <w:rsid w:val="001E7407"/>
    <w:rsid w:val="001F1A46"/>
    <w:rsid w:val="001F45AD"/>
    <w:rsid w:val="001F4C69"/>
    <w:rsid w:val="001F4D60"/>
    <w:rsid w:val="001F60E5"/>
    <w:rsid w:val="00201D27"/>
    <w:rsid w:val="0021153A"/>
    <w:rsid w:val="00215A10"/>
    <w:rsid w:val="002233CA"/>
    <w:rsid w:val="002245A6"/>
    <w:rsid w:val="00224A36"/>
    <w:rsid w:val="0022642A"/>
    <w:rsid w:val="00227A02"/>
    <w:rsid w:val="002302EA"/>
    <w:rsid w:val="00232825"/>
    <w:rsid w:val="00234060"/>
    <w:rsid w:val="0023465A"/>
    <w:rsid w:val="0023605E"/>
    <w:rsid w:val="00237614"/>
    <w:rsid w:val="00240749"/>
    <w:rsid w:val="00241AA9"/>
    <w:rsid w:val="00241C84"/>
    <w:rsid w:val="0024362E"/>
    <w:rsid w:val="002468D7"/>
    <w:rsid w:val="00246E76"/>
    <w:rsid w:val="00247E97"/>
    <w:rsid w:val="002517A8"/>
    <w:rsid w:val="00252527"/>
    <w:rsid w:val="00256C81"/>
    <w:rsid w:val="00257CB8"/>
    <w:rsid w:val="00260858"/>
    <w:rsid w:val="00260C2C"/>
    <w:rsid w:val="00262A2F"/>
    <w:rsid w:val="00267E0C"/>
    <w:rsid w:val="00270A14"/>
    <w:rsid w:val="002720FA"/>
    <w:rsid w:val="00277028"/>
    <w:rsid w:val="002809A8"/>
    <w:rsid w:val="00281AB1"/>
    <w:rsid w:val="00285CDD"/>
    <w:rsid w:val="0028692F"/>
    <w:rsid w:val="00291167"/>
    <w:rsid w:val="002945BD"/>
    <w:rsid w:val="0029489E"/>
    <w:rsid w:val="00296A64"/>
    <w:rsid w:val="00297D5A"/>
    <w:rsid w:val="00297ECB"/>
    <w:rsid w:val="002A0326"/>
    <w:rsid w:val="002A11BB"/>
    <w:rsid w:val="002A2495"/>
    <w:rsid w:val="002A3B30"/>
    <w:rsid w:val="002A48AA"/>
    <w:rsid w:val="002B0AEF"/>
    <w:rsid w:val="002B0D3E"/>
    <w:rsid w:val="002B139F"/>
    <w:rsid w:val="002B1BAD"/>
    <w:rsid w:val="002B4E22"/>
    <w:rsid w:val="002B51A4"/>
    <w:rsid w:val="002B55E2"/>
    <w:rsid w:val="002B5CE1"/>
    <w:rsid w:val="002C053F"/>
    <w:rsid w:val="002C0968"/>
    <w:rsid w:val="002C0A93"/>
    <w:rsid w:val="002C152A"/>
    <w:rsid w:val="002C2546"/>
    <w:rsid w:val="002C361A"/>
    <w:rsid w:val="002C4543"/>
    <w:rsid w:val="002D043A"/>
    <w:rsid w:val="002E1E70"/>
    <w:rsid w:val="002E2C58"/>
    <w:rsid w:val="002E3086"/>
    <w:rsid w:val="002E3437"/>
    <w:rsid w:val="002F0628"/>
    <w:rsid w:val="002F6C6E"/>
    <w:rsid w:val="002F6D86"/>
    <w:rsid w:val="00301881"/>
    <w:rsid w:val="00303ECE"/>
    <w:rsid w:val="00304492"/>
    <w:rsid w:val="00304FF6"/>
    <w:rsid w:val="00305108"/>
    <w:rsid w:val="0030558D"/>
    <w:rsid w:val="00307C89"/>
    <w:rsid w:val="00311F3B"/>
    <w:rsid w:val="00312A5C"/>
    <w:rsid w:val="00312B32"/>
    <w:rsid w:val="00313433"/>
    <w:rsid w:val="0031713F"/>
    <w:rsid w:val="00317D24"/>
    <w:rsid w:val="003222D1"/>
    <w:rsid w:val="003230FF"/>
    <w:rsid w:val="0032750F"/>
    <w:rsid w:val="00332275"/>
    <w:rsid w:val="0033267B"/>
    <w:rsid w:val="00333D59"/>
    <w:rsid w:val="00333E26"/>
    <w:rsid w:val="00335E84"/>
    <w:rsid w:val="003415D3"/>
    <w:rsid w:val="003442F6"/>
    <w:rsid w:val="00345CEF"/>
    <w:rsid w:val="00345DA3"/>
    <w:rsid w:val="00346335"/>
    <w:rsid w:val="0034775E"/>
    <w:rsid w:val="00347E24"/>
    <w:rsid w:val="00350BF6"/>
    <w:rsid w:val="00350DF9"/>
    <w:rsid w:val="00352B0F"/>
    <w:rsid w:val="003543E0"/>
    <w:rsid w:val="00354488"/>
    <w:rsid w:val="00355866"/>
    <w:rsid w:val="003561B0"/>
    <w:rsid w:val="00360127"/>
    <w:rsid w:val="00360F81"/>
    <w:rsid w:val="00372095"/>
    <w:rsid w:val="00372AB8"/>
    <w:rsid w:val="00375819"/>
    <w:rsid w:val="00383301"/>
    <w:rsid w:val="0038353B"/>
    <w:rsid w:val="003852A3"/>
    <w:rsid w:val="00391953"/>
    <w:rsid w:val="003957A9"/>
    <w:rsid w:val="00396537"/>
    <w:rsid w:val="00397893"/>
    <w:rsid w:val="003A15AC"/>
    <w:rsid w:val="003A192E"/>
    <w:rsid w:val="003A3D74"/>
    <w:rsid w:val="003A4314"/>
    <w:rsid w:val="003A49B8"/>
    <w:rsid w:val="003A4AE4"/>
    <w:rsid w:val="003A4E60"/>
    <w:rsid w:val="003B0627"/>
    <w:rsid w:val="003B2DEF"/>
    <w:rsid w:val="003B5BC6"/>
    <w:rsid w:val="003C0587"/>
    <w:rsid w:val="003C2B6B"/>
    <w:rsid w:val="003C456A"/>
    <w:rsid w:val="003C5F2B"/>
    <w:rsid w:val="003C7D35"/>
    <w:rsid w:val="003D0BFE"/>
    <w:rsid w:val="003D105E"/>
    <w:rsid w:val="003D12FC"/>
    <w:rsid w:val="003D3C9B"/>
    <w:rsid w:val="003D5479"/>
    <w:rsid w:val="003D5700"/>
    <w:rsid w:val="003E0C81"/>
    <w:rsid w:val="003E18BF"/>
    <w:rsid w:val="003F1832"/>
    <w:rsid w:val="003F6F52"/>
    <w:rsid w:val="003F7235"/>
    <w:rsid w:val="004002A3"/>
    <w:rsid w:val="004022CA"/>
    <w:rsid w:val="00402496"/>
    <w:rsid w:val="00406A87"/>
    <w:rsid w:val="00406D05"/>
    <w:rsid w:val="004116CD"/>
    <w:rsid w:val="0041368C"/>
    <w:rsid w:val="00414ADE"/>
    <w:rsid w:val="00424CA9"/>
    <w:rsid w:val="004257BB"/>
    <w:rsid w:val="00426657"/>
    <w:rsid w:val="00427E05"/>
    <w:rsid w:val="00432941"/>
    <w:rsid w:val="00434894"/>
    <w:rsid w:val="004366A1"/>
    <w:rsid w:val="00437221"/>
    <w:rsid w:val="00437F05"/>
    <w:rsid w:val="0044291A"/>
    <w:rsid w:val="0045002B"/>
    <w:rsid w:val="00452549"/>
    <w:rsid w:val="00455683"/>
    <w:rsid w:val="0045648E"/>
    <w:rsid w:val="00456D86"/>
    <w:rsid w:val="004600B0"/>
    <w:rsid w:val="00460499"/>
    <w:rsid w:val="00460FA5"/>
    <w:rsid w:val="00460FBA"/>
    <w:rsid w:val="0046105E"/>
    <w:rsid w:val="00461B28"/>
    <w:rsid w:val="00462D05"/>
    <w:rsid w:val="00462E24"/>
    <w:rsid w:val="004640C8"/>
    <w:rsid w:val="00464BBF"/>
    <w:rsid w:val="0046733C"/>
    <w:rsid w:val="004717E9"/>
    <w:rsid w:val="004724A9"/>
    <w:rsid w:val="00472D70"/>
    <w:rsid w:val="004730EB"/>
    <w:rsid w:val="00474835"/>
    <w:rsid w:val="00474C1A"/>
    <w:rsid w:val="004819C7"/>
    <w:rsid w:val="0048364F"/>
    <w:rsid w:val="00483CBC"/>
    <w:rsid w:val="004877FC"/>
    <w:rsid w:val="00490F2E"/>
    <w:rsid w:val="00496F97"/>
    <w:rsid w:val="004A0D86"/>
    <w:rsid w:val="004A116A"/>
    <w:rsid w:val="004A2F15"/>
    <w:rsid w:val="004A53EA"/>
    <w:rsid w:val="004A5D77"/>
    <w:rsid w:val="004B35E7"/>
    <w:rsid w:val="004B60C6"/>
    <w:rsid w:val="004B6643"/>
    <w:rsid w:val="004B7397"/>
    <w:rsid w:val="004C0890"/>
    <w:rsid w:val="004C3709"/>
    <w:rsid w:val="004C4716"/>
    <w:rsid w:val="004C72AC"/>
    <w:rsid w:val="004C7FAC"/>
    <w:rsid w:val="004D0A4B"/>
    <w:rsid w:val="004D4A35"/>
    <w:rsid w:val="004E1CD8"/>
    <w:rsid w:val="004E1E67"/>
    <w:rsid w:val="004E2BC3"/>
    <w:rsid w:val="004E6376"/>
    <w:rsid w:val="004F15E6"/>
    <w:rsid w:val="004F1FAC"/>
    <w:rsid w:val="004F676E"/>
    <w:rsid w:val="004F71C0"/>
    <w:rsid w:val="005008AD"/>
    <w:rsid w:val="00500E8F"/>
    <w:rsid w:val="00503DE9"/>
    <w:rsid w:val="005059A0"/>
    <w:rsid w:val="00506C21"/>
    <w:rsid w:val="005100EA"/>
    <w:rsid w:val="00516B8D"/>
    <w:rsid w:val="00524554"/>
    <w:rsid w:val="00524939"/>
    <w:rsid w:val="005252B4"/>
    <w:rsid w:val="00525653"/>
    <w:rsid w:val="0052756C"/>
    <w:rsid w:val="00530230"/>
    <w:rsid w:val="00530CC9"/>
    <w:rsid w:val="005314B4"/>
    <w:rsid w:val="00531B46"/>
    <w:rsid w:val="00537FBC"/>
    <w:rsid w:val="00541AFB"/>
    <w:rsid w:val="00541D73"/>
    <w:rsid w:val="00543469"/>
    <w:rsid w:val="005441C6"/>
    <w:rsid w:val="00546FA3"/>
    <w:rsid w:val="00551041"/>
    <w:rsid w:val="0055204A"/>
    <w:rsid w:val="0055310F"/>
    <w:rsid w:val="00553BA1"/>
    <w:rsid w:val="00557C7A"/>
    <w:rsid w:val="00562A58"/>
    <w:rsid w:val="0056541A"/>
    <w:rsid w:val="0056603D"/>
    <w:rsid w:val="00566C8D"/>
    <w:rsid w:val="00575466"/>
    <w:rsid w:val="00577DA0"/>
    <w:rsid w:val="00581211"/>
    <w:rsid w:val="00581BB9"/>
    <w:rsid w:val="005834B9"/>
    <w:rsid w:val="00584811"/>
    <w:rsid w:val="00592CCE"/>
    <w:rsid w:val="00593AA6"/>
    <w:rsid w:val="00594161"/>
    <w:rsid w:val="00594749"/>
    <w:rsid w:val="00594956"/>
    <w:rsid w:val="00595A98"/>
    <w:rsid w:val="005A091D"/>
    <w:rsid w:val="005A2F55"/>
    <w:rsid w:val="005A5AFC"/>
    <w:rsid w:val="005B1555"/>
    <w:rsid w:val="005B3DE3"/>
    <w:rsid w:val="005B4067"/>
    <w:rsid w:val="005B6647"/>
    <w:rsid w:val="005B667E"/>
    <w:rsid w:val="005B71DD"/>
    <w:rsid w:val="005C0DF1"/>
    <w:rsid w:val="005C2066"/>
    <w:rsid w:val="005C2E9D"/>
    <w:rsid w:val="005C3F41"/>
    <w:rsid w:val="005C465D"/>
    <w:rsid w:val="005C4EF0"/>
    <w:rsid w:val="005C76CE"/>
    <w:rsid w:val="005D00EF"/>
    <w:rsid w:val="005D1F0E"/>
    <w:rsid w:val="005D5EA1"/>
    <w:rsid w:val="005D6563"/>
    <w:rsid w:val="005D700E"/>
    <w:rsid w:val="005E098C"/>
    <w:rsid w:val="005E1F8D"/>
    <w:rsid w:val="005E317F"/>
    <w:rsid w:val="005E3D5F"/>
    <w:rsid w:val="005E4F13"/>
    <w:rsid w:val="005E5494"/>
    <w:rsid w:val="005E61D3"/>
    <w:rsid w:val="005F08B2"/>
    <w:rsid w:val="005F0A7C"/>
    <w:rsid w:val="005F2C15"/>
    <w:rsid w:val="005F4BD7"/>
    <w:rsid w:val="005F514C"/>
    <w:rsid w:val="005F606A"/>
    <w:rsid w:val="005F7D81"/>
    <w:rsid w:val="00600219"/>
    <w:rsid w:val="006065DA"/>
    <w:rsid w:val="00606AA4"/>
    <w:rsid w:val="00610A0A"/>
    <w:rsid w:val="00611639"/>
    <w:rsid w:val="00612A00"/>
    <w:rsid w:val="0062381B"/>
    <w:rsid w:val="006255A3"/>
    <w:rsid w:val="00630F1C"/>
    <w:rsid w:val="00632D5F"/>
    <w:rsid w:val="00640402"/>
    <w:rsid w:val="00640F78"/>
    <w:rsid w:val="00641140"/>
    <w:rsid w:val="0064690E"/>
    <w:rsid w:val="006536C8"/>
    <w:rsid w:val="006548FF"/>
    <w:rsid w:val="00655D6A"/>
    <w:rsid w:val="00656DE9"/>
    <w:rsid w:val="00664415"/>
    <w:rsid w:val="00665505"/>
    <w:rsid w:val="00666639"/>
    <w:rsid w:val="00666C08"/>
    <w:rsid w:val="00670FAC"/>
    <w:rsid w:val="00671066"/>
    <w:rsid w:val="006723C0"/>
    <w:rsid w:val="00672876"/>
    <w:rsid w:val="00674707"/>
    <w:rsid w:val="00676517"/>
    <w:rsid w:val="00677972"/>
    <w:rsid w:val="00677CC2"/>
    <w:rsid w:val="00681322"/>
    <w:rsid w:val="0068168A"/>
    <w:rsid w:val="006832B7"/>
    <w:rsid w:val="006848C0"/>
    <w:rsid w:val="0068569D"/>
    <w:rsid w:val="00685F42"/>
    <w:rsid w:val="0068677D"/>
    <w:rsid w:val="0069207B"/>
    <w:rsid w:val="00695BBA"/>
    <w:rsid w:val="00696C5F"/>
    <w:rsid w:val="006A1795"/>
    <w:rsid w:val="006A1E0A"/>
    <w:rsid w:val="006A304E"/>
    <w:rsid w:val="006A5241"/>
    <w:rsid w:val="006A6CA4"/>
    <w:rsid w:val="006B3CB4"/>
    <w:rsid w:val="006B4809"/>
    <w:rsid w:val="006B7006"/>
    <w:rsid w:val="006C2B58"/>
    <w:rsid w:val="006C3619"/>
    <w:rsid w:val="006C7F8C"/>
    <w:rsid w:val="006D6213"/>
    <w:rsid w:val="006D7AB9"/>
    <w:rsid w:val="006E0934"/>
    <w:rsid w:val="006E4F41"/>
    <w:rsid w:val="006F09CF"/>
    <w:rsid w:val="006F1A19"/>
    <w:rsid w:val="006F2406"/>
    <w:rsid w:val="0070073E"/>
    <w:rsid w:val="00700B2C"/>
    <w:rsid w:val="0070698F"/>
    <w:rsid w:val="0070745A"/>
    <w:rsid w:val="00713084"/>
    <w:rsid w:val="00717463"/>
    <w:rsid w:val="00720FC2"/>
    <w:rsid w:val="00722E89"/>
    <w:rsid w:val="0072628D"/>
    <w:rsid w:val="00731E00"/>
    <w:rsid w:val="00733612"/>
    <w:rsid w:val="007339C7"/>
    <w:rsid w:val="00733BFD"/>
    <w:rsid w:val="007359FD"/>
    <w:rsid w:val="00742AB0"/>
    <w:rsid w:val="00743722"/>
    <w:rsid w:val="007440B7"/>
    <w:rsid w:val="00747298"/>
    <w:rsid w:val="00747993"/>
    <w:rsid w:val="007560B4"/>
    <w:rsid w:val="00756384"/>
    <w:rsid w:val="00760413"/>
    <w:rsid w:val="007615A1"/>
    <w:rsid w:val="007634AD"/>
    <w:rsid w:val="007715C9"/>
    <w:rsid w:val="00774EDD"/>
    <w:rsid w:val="007757EC"/>
    <w:rsid w:val="007808D1"/>
    <w:rsid w:val="00786EBF"/>
    <w:rsid w:val="00786F65"/>
    <w:rsid w:val="00787223"/>
    <w:rsid w:val="00790BD6"/>
    <w:rsid w:val="00791032"/>
    <w:rsid w:val="007914D7"/>
    <w:rsid w:val="007A18D3"/>
    <w:rsid w:val="007A435D"/>
    <w:rsid w:val="007A6863"/>
    <w:rsid w:val="007A6E62"/>
    <w:rsid w:val="007A7A00"/>
    <w:rsid w:val="007A7AA8"/>
    <w:rsid w:val="007C5A48"/>
    <w:rsid w:val="007C6403"/>
    <w:rsid w:val="007C70F2"/>
    <w:rsid w:val="007C78B4"/>
    <w:rsid w:val="007C7EFF"/>
    <w:rsid w:val="007D1325"/>
    <w:rsid w:val="007D19E5"/>
    <w:rsid w:val="007D1EDC"/>
    <w:rsid w:val="007D287C"/>
    <w:rsid w:val="007D30F8"/>
    <w:rsid w:val="007D3F37"/>
    <w:rsid w:val="007D42F5"/>
    <w:rsid w:val="007D6864"/>
    <w:rsid w:val="007E32B6"/>
    <w:rsid w:val="007E486B"/>
    <w:rsid w:val="007E6B9F"/>
    <w:rsid w:val="007E7CC1"/>
    <w:rsid w:val="007E7D4A"/>
    <w:rsid w:val="007F2DAC"/>
    <w:rsid w:val="007F30EB"/>
    <w:rsid w:val="007F3EC1"/>
    <w:rsid w:val="007F4155"/>
    <w:rsid w:val="007F4620"/>
    <w:rsid w:val="007F48ED"/>
    <w:rsid w:val="007F5E3F"/>
    <w:rsid w:val="00807A00"/>
    <w:rsid w:val="008119E1"/>
    <w:rsid w:val="00812824"/>
    <w:rsid w:val="00812F0E"/>
    <w:rsid w:val="00812F45"/>
    <w:rsid w:val="008156F7"/>
    <w:rsid w:val="008161C3"/>
    <w:rsid w:val="00817CD1"/>
    <w:rsid w:val="00824CF7"/>
    <w:rsid w:val="00825137"/>
    <w:rsid w:val="00827541"/>
    <w:rsid w:val="00831732"/>
    <w:rsid w:val="00831B04"/>
    <w:rsid w:val="00833A5A"/>
    <w:rsid w:val="00836FE9"/>
    <w:rsid w:val="00840182"/>
    <w:rsid w:val="0084172C"/>
    <w:rsid w:val="00842B90"/>
    <w:rsid w:val="00846D19"/>
    <w:rsid w:val="0085175E"/>
    <w:rsid w:val="0085440F"/>
    <w:rsid w:val="00854E7E"/>
    <w:rsid w:val="00856A31"/>
    <w:rsid w:val="008608E6"/>
    <w:rsid w:val="00861839"/>
    <w:rsid w:val="00865CE6"/>
    <w:rsid w:val="008669F4"/>
    <w:rsid w:val="00867BB9"/>
    <w:rsid w:val="00872B3E"/>
    <w:rsid w:val="00873D63"/>
    <w:rsid w:val="008754D0"/>
    <w:rsid w:val="00877C69"/>
    <w:rsid w:val="00877D48"/>
    <w:rsid w:val="0088345B"/>
    <w:rsid w:val="00891595"/>
    <w:rsid w:val="00893C8F"/>
    <w:rsid w:val="008945F2"/>
    <w:rsid w:val="00895DEC"/>
    <w:rsid w:val="008978ED"/>
    <w:rsid w:val="008A08B6"/>
    <w:rsid w:val="008A16A5"/>
    <w:rsid w:val="008A5C57"/>
    <w:rsid w:val="008B09C7"/>
    <w:rsid w:val="008B6E20"/>
    <w:rsid w:val="008B7D8E"/>
    <w:rsid w:val="008C0629"/>
    <w:rsid w:val="008C475A"/>
    <w:rsid w:val="008C51FC"/>
    <w:rsid w:val="008D0EE0"/>
    <w:rsid w:val="008D40D6"/>
    <w:rsid w:val="008D548A"/>
    <w:rsid w:val="008D7A27"/>
    <w:rsid w:val="008D7E7C"/>
    <w:rsid w:val="008E1DD3"/>
    <w:rsid w:val="008E1FB7"/>
    <w:rsid w:val="008E2244"/>
    <w:rsid w:val="008E4702"/>
    <w:rsid w:val="008E69AA"/>
    <w:rsid w:val="008F4F1C"/>
    <w:rsid w:val="008F6E5E"/>
    <w:rsid w:val="0090216B"/>
    <w:rsid w:val="009031D4"/>
    <w:rsid w:val="009069AD"/>
    <w:rsid w:val="00910E64"/>
    <w:rsid w:val="00911C6E"/>
    <w:rsid w:val="009132DE"/>
    <w:rsid w:val="00916878"/>
    <w:rsid w:val="00916BEB"/>
    <w:rsid w:val="00920224"/>
    <w:rsid w:val="00920897"/>
    <w:rsid w:val="00921F33"/>
    <w:rsid w:val="00922764"/>
    <w:rsid w:val="009278C1"/>
    <w:rsid w:val="00932377"/>
    <w:rsid w:val="00933500"/>
    <w:rsid w:val="009346E3"/>
    <w:rsid w:val="00937A8B"/>
    <w:rsid w:val="009410D2"/>
    <w:rsid w:val="009414A5"/>
    <w:rsid w:val="00941A07"/>
    <w:rsid w:val="00943C3E"/>
    <w:rsid w:val="00944B9B"/>
    <w:rsid w:val="0094523D"/>
    <w:rsid w:val="009454A3"/>
    <w:rsid w:val="00952711"/>
    <w:rsid w:val="009548EF"/>
    <w:rsid w:val="009611D5"/>
    <w:rsid w:val="00961229"/>
    <w:rsid w:val="00963391"/>
    <w:rsid w:val="009646C3"/>
    <w:rsid w:val="00965E0E"/>
    <w:rsid w:val="009741C4"/>
    <w:rsid w:val="009755D0"/>
    <w:rsid w:val="00975A6D"/>
    <w:rsid w:val="00976A63"/>
    <w:rsid w:val="00981D9C"/>
    <w:rsid w:val="009A64C9"/>
    <w:rsid w:val="009B0106"/>
    <w:rsid w:val="009B0E8B"/>
    <w:rsid w:val="009B2490"/>
    <w:rsid w:val="009B384B"/>
    <w:rsid w:val="009B50E5"/>
    <w:rsid w:val="009B751F"/>
    <w:rsid w:val="009C3431"/>
    <w:rsid w:val="009C4EDB"/>
    <w:rsid w:val="009C52F3"/>
    <w:rsid w:val="009C56C5"/>
    <w:rsid w:val="009C5989"/>
    <w:rsid w:val="009C6A32"/>
    <w:rsid w:val="009D003B"/>
    <w:rsid w:val="009D08DA"/>
    <w:rsid w:val="009D5846"/>
    <w:rsid w:val="009D59BF"/>
    <w:rsid w:val="009D702D"/>
    <w:rsid w:val="009E2488"/>
    <w:rsid w:val="00A0055D"/>
    <w:rsid w:val="00A06860"/>
    <w:rsid w:val="00A132E2"/>
    <w:rsid w:val="00A136F5"/>
    <w:rsid w:val="00A14102"/>
    <w:rsid w:val="00A14CC4"/>
    <w:rsid w:val="00A15A31"/>
    <w:rsid w:val="00A223E2"/>
    <w:rsid w:val="00A22A70"/>
    <w:rsid w:val="00A231E2"/>
    <w:rsid w:val="00A245D4"/>
    <w:rsid w:val="00A2550D"/>
    <w:rsid w:val="00A3196F"/>
    <w:rsid w:val="00A3356C"/>
    <w:rsid w:val="00A3386A"/>
    <w:rsid w:val="00A34067"/>
    <w:rsid w:val="00A3717E"/>
    <w:rsid w:val="00A379BB"/>
    <w:rsid w:val="00A4169B"/>
    <w:rsid w:val="00A4419E"/>
    <w:rsid w:val="00A45C02"/>
    <w:rsid w:val="00A50D55"/>
    <w:rsid w:val="00A52FDA"/>
    <w:rsid w:val="00A53105"/>
    <w:rsid w:val="00A54490"/>
    <w:rsid w:val="00A54D19"/>
    <w:rsid w:val="00A54F52"/>
    <w:rsid w:val="00A6176B"/>
    <w:rsid w:val="00A64912"/>
    <w:rsid w:val="00A65EDC"/>
    <w:rsid w:val="00A70A74"/>
    <w:rsid w:val="00A73746"/>
    <w:rsid w:val="00A84295"/>
    <w:rsid w:val="00A8444A"/>
    <w:rsid w:val="00A8497E"/>
    <w:rsid w:val="00A9089A"/>
    <w:rsid w:val="00A9231A"/>
    <w:rsid w:val="00A95BC7"/>
    <w:rsid w:val="00A968FE"/>
    <w:rsid w:val="00A96DC0"/>
    <w:rsid w:val="00AA0343"/>
    <w:rsid w:val="00AA17C5"/>
    <w:rsid w:val="00AA755B"/>
    <w:rsid w:val="00AA78CE"/>
    <w:rsid w:val="00AA7B26"/>
    <w:rsid w:val="00AA7B40"/>
    <w:rsid w:val="00AC0B39"/>
    <w:rsid w:val="00AC2EC7"/>
    <w:rsid w:val="00AC4A41"/>
    <w:rsid w:val="00AC5837"/>
    <w:rsid w:val="00AC652C"/>
    <w:rsid w:val="00AC767C"/>
    <w:rsid w:val="00AC7C25"/>
    <w:rsid w:val="00AD1C8D"/>
    <w:rsid w:val="00AD3467"/>
    <w:rsid w:val="00AD5641"/>
    <w:rsid w:val="00AD67B8"/>
    <w:rsid w:val="00AF00F3"/>
    <w:rsid w:val="00AF0D3D"/>
    <w:rsid w:val="00AF33DB"/>
    <w:rsid w:val="00AF6A91"/>
    <w:rsid w:val="00B011CD"/>
    <w:rsid w:val="00B01413"/>
    <w:rsid w:val="00B02B6A"/>
    <w:rsid w:val="00B032D8"/>
    <w:rsid w:val="00B0436A"/>
    <w:rsid w:val="00B05D72"/>
    <w:rsid w:val="00B0784C"/>
    <w:rsid w:val="00B12E1C"/>
    <w:rsid w:val="00B17A89"/>
    <w:rsid w:val="00B20990"/>
    <w:rsid w:val="00B23E74"/>
    <w:rsid w:val="00B23FAF"/>
    <w:rsid w:val="00B25EAA"/>
    <w:rsid w:val="00B26B94"/>
    <w:rsid w:val="00B30E1A"/>
    <w:rsid w:val="00B3141C"/>
    <w:rsid w:val="00B323CC"/>
    <w:rsid w:val="00B33B3C"/>
    <w:rsid w:val="00B35A7A"/>
    <w:rsid w:val="00B36540"/>
    <w:rsid w:val="00B40D74"/>
    <w:rsid w:val="00B42649"/>
    <w:rsid w:val="00B44538"/>
    <w:rsid w:val="00B46467"/>
    <w:rsid w:val="00B504C5"/>
    <w:rsid w:val="00B52663"/>
    <w:rsid w:val="00B56C48"/>
    <w:rsid w:val="00B56DCB"/>
    <w:rsid w:val="00B60810"/>
    <w:rsid w:val="00B6128C"/>
    <w:rsid w:val="00B61728"/>
    <w:rsid w:val="00B64C86"/>
    <w:rsid w:val="00B715FD"/>
    <w:rsid w:val="00B74365"/>
    <w:rsid w:val="00B746EA"/>
    <w:rsid w:val="00B770D2"/>
    <w:rsid w:val="00B80306"/>
    <w:rsid w:val="00B836E5"/>
    <w:rsid w:val="00B86BD9"/>
    <w:rsid w:val="00B907F2"/>
    <w:rsid w:val="00B93516"/>
    <w:rsid w:val="00B94BAD"/>
    <w:rsid w:val="00B96776"/>
    <w:rsid w:val="00B973E5"/>
    <w:rsid w:val="00BA0450"/>
    <w:rsid w:val="00BA17CF"/>
    <w:rsid w:val="00BA47A3"/>
    <w:rsid w:val="00BA5026"/>
    <w:rsid w:val="00BA7B5B"/>
    <w:rsid w:val="00BB2018"/>
    <w:rsid w:val="00BB6E79"/>
    <w:rsid w:val="00BD4EBF"/>
    <w:rsid w:val="00BD7575"/>
    <w:rsid w:val="00BE2D50"/>
    <w:rsid w:val="00BE3676"/>
    <w:rsid w:val="00BE3E3A"/>
    <w:rsid w:val="00BE42C5"/>
    <w:rsid w:val="00BE719A"/>
    <w:rsid w:val="00BE720A"/>
    <w:rsid w:val="00BF0723"/>
    <w:rsid w:val="00BF13C5"/>
    <w:rsid w:val="00BF18F9"/>
    <w:rsid w:val="00BF6650"/>
    <w:rsid w:val="00BF71E6"/>
    <w:rsid w:val="00C038AD"/>
    <w:rsid w:val="00C067E5"/>
    <w:rsid w:val="00C07DD6"/>
    <w:rsid w:val="00C13DAF"/>
    <w:rsid w:val="00C14211"/>
    <w:rsid w:val="00C164CA"/>
    <w:rsid w:val="00C1795C"/>
    <w:rsid w:val="00C200B8"/>
    <w:rsid w:val="00C2329E"/>
    <w:rsid w:val="00C2336C"/>
    <w:rsid w:val="00C25AFD"/>
    <w:rsid w:val="00C26051"/>
    <w:rsid w:val="00C30953"/>
    <w:rsid w:val="00C35191"/>
    <w:rsid w:val="00C42350"/>
    <w:rsid w:val="00C4267E"/>
    <w:rsid w:val="00C42BF8"/>
    <w:rsid w:val="00C44325"/>
    <w:rsid w:val="00C452F4"/>
    <w:rsid w:val="00C460AE"/>
    <w:rsid w:val="00C50043"/>
    <w:rsid w:val="00C5015F"/>
    <w:rsid w:val="00C505F0"/>
    <w:rsid w:val="00C50A0F"/>
    <w:rsid w:val="00C50F4A"/>
    <w:rsid w:val="00C51B6A"/>
    <w:rsid w:val="00C53CBB"/>
    <w:rsid w:val="00C568CF"/>
    <w:rsid w:val="00C703EB"/>
    <w:rsid w:val="00C72D10"/>
    <w:rsid w:val="00C74464"/>
    <w:rsid w:val="00C7573B"/>
    <w:rsid w:val="00C76CF3"/>
    <w:rsid w:val="00C80707"/>
    <w:rsid w:val="00C81CE2"/>
    <w:rsid w:val="00C82763"/>
    <w:rsid w:val="00C83869"/>
    <w:rsid w:val="00C904FE"/>
    <w:rsid w:val="00C93179"/>
    <w:rsid w:val="00C93205"/>
    <w:rsid w:val="00C945DC"/>
    <w:rsid w:val="00C95DD6"/>
    <w:rsid w:val="00C95E9E"/>
    <w:rsid w:val="00CA7525"/>
    <w:rsid w:val="00CA7844"/>
    <w:rsid w:val="00CB3D8B"/>
    <w:rsid w:val="00CB4308"/>
    <w:rsid w:val="00CB58EF"/>
    <w:rsid w:val="00CB61AB"/>
    <w:rsid w:val="00CC0D20"/>
    <w:rsid w:val="00CC2AFE"/>
    <w:rsid w:val="00CC49E2"/>
    <w:rsid w:val="00CC64F8"/>
    <w:rsid w:val="00CC6608"/>
    <w:rsid w:val="00CD6A8D"/>
    <w:rsid w:val="00CE0A93"/>
    <w:rsid w:val="00CF0BB2"/>
    <w:rsid w:val="00D026FD"/>
    <w:rsid w:val="00D04A29"/>
    <w:rsid w:val="00D119D3"/>
    <w:rsid w:val="00D12732"/>
    <w:rsid w:val="00D12835"/>
    <w:rsid w:val="00D12B0D"/>
    <w:rsid w:val="00D13441"/>
    <w:rsid w:val="00D158C0"/>
    <w:rsid w:val="00D167F3"/>
    <w:rsid w:val="00D17C82"/>
    <w:rsid w:val="00D243A3"/>
    <w:rsid w:val="00D33440"/>
    <w:rsid w:val="00D334A6"/>
    <w:rsid w:val="00D35AD6"/>
    <w:rsid w:val="00D41ADA"/>
    <w:rsid w:val="00D452BA"/>
    <w:rsid w:val="00D45FF5"/>
    <w:rsid w:val="00D47267"/>
    <w:rsid w:val="00D474E4"/>
    <w:rsid w:val="00D52EFE"/>
    <w:rsid w:val="00D56A0D"/>
    <w:rsid w:val="00D57929"/>
    <w:rsid w:val="00D60DE4"/>
    <w:rsid w:val="00D63EF6"/>
    <w:rsid w:val="00D66518"/>
    <w:rsid w:val="00D706B6"/>
    <w:rsid w:val="00D70DFB"/>
    <w:rsid w:val="00D71EEA"/>
    <w:rsid w:val="00D735CD"/>
    <w:rsid w:val="00D74E4E"/>
    <w:rsid w:val="00D7613A"/>
    <w:rsid w:val="00D766DF"/>
    <w:rsid w:val="00D80C59"/>
    <w:rsid w:val="00D8375B"/>
    <w:rsid w:val="00D842F2"/>
    <w:rsid w:val="00D90841"/>
    <w:rsid w:val="00D92225"/>
    <w:rsid w:val="00D93850"/>
    <w:rsid w:val="00D95017"/>
    <w:rsid w:val="00D9686D"/>
    <w:rsid w:val="00D96AF5"/>
    <w:rsid w:val="00D97270"/>
    <w:rsid w:val="00DA0015"/>
    <w:rsid w:val="00DA0943"/>
    <w:rsid w:val="00DA2439"/>
    <w:rsid w:val="00DA2666"/>
    <w:rsid w:val="00DA6F05"/>
    <w:rsid w:val="00DB0543"/>
    <w:rsid w:val="00DB0BC4"/>
    <w:rsid w:val="00DB1B74"/>
    <w:rsid w:val="00DB64FC"/>
    <w:rsid w:val="00DB6A4D"/>
    <w:rsid w:val="00DC0B2E"/>
    <w:rsid w:val="00DD0D99"/>
    <w:rsid w:val="00DD2FD7"/>
    <w:rsid w:val="00DE1110"/>
    <w:rsid w:val="00DE149E"/>
    <w:rsid w:val="00DE56EC"/>
    <w:rsid w:val="00DE717B"/>
    <w:rsid w:val="00DF4B68"/>
    <w:rsid w:val="00DF4E9A"/>
    <w:rsid w:val="00E01DA8"/>
    <w:rsid w:val="00E021FA"/>
    <w:rsid w:val="00E034DB"/>
    <w:rsid w:val="00E04416"/>
    <w:rsid w:val="00E051AA"/>
    <w:rsid w:val="00E05704"/>
    <w:rsid w:val="00E105CC"/>
    <w:rsid w:val="00E12F1A"/>
    <w:rsid w:val="00E169B4"/>
    <w:rsid w:val="00E22935"/>
    <w:rsid w:val="00E24FDA"/>
    <w:rsid w:val="00E264D0"/>
    <w:rsid w:val="00E32692"/>
    <w:rsid w:val="00E4560E"/>
    <w:rsid w:val="00E535E3"/>
    <w:rsid w:val="00E54292"/>
    <w:rsid w:val="00E55967"/>
    <w:rsid w:val="00E60191"/>
    <w:rsid w:val="00E60737"/>
    <w:rsid w:val="00E611D0"/>
    <w:rsid w:val="00E61496"/>
    <w:rsid w:val="00E61AA2"/>
    <w:rsid w:val="00E6307B"/>
    <w:rsid w:val="00E66C4D"/>
    <w:rsid w:val="00E70081"/>
    <w:rsid w:val="00E71B3F"/>
    <w:rsid w:val="00E73A54"/>
    <w:rsid w:val="00E74DC7"/>
    <w:rsid w:val="00E87366"/>
    <w:rsid w:val="00E87699"/>
    <w:rsid w:val="00E904E1"/>
    <w:rsid w:val="00E925BD"/>
    <w:rsid w:val="00E92E27"/>
    <w:rsid w:val="00E955FA"/>
    <w:rsid w:val="00E9586B"/>
    <w:rsid w:val="00E96A97"/>
    <w:rsid w:val="00E97334"/>
    <w:rsid w:val="00E979BB"/>
    <w:rsid w:val="00EA1B26"/>
    <w:rsid w:val="00EA3B42"/>
    <w:rsid w:val="00EB3A99"/>
    <w:rsid w:val="00EB65F8"/>
    <w:rsid w:val="00EB660B"/>
    <w:rsid w:val="00EC2A44"/>
    <w:rsid w:val="00EC62FA"/>
    <w:rsid w:val="00ED193D"/>
    <w:rsid w:val="00ED2E35"/>
    <w:rsid w:val="00ED4508"/>
    <w:rsid w:val="00ED4928"/>
    <w:rsid w:val="00ED5046"/>
    <w:rsid w:val="00EE2F15"/>
    <w:rsid w:val="00EE3FFE"/>
    <w:rsid w:val="00EE48CC"/>
    <w:rsid w:val="00EE57E8"/>
    <w:rsid w:val="00EE6190"/>
    <w:rsid w:val="00EF2E3A"/>
    <w:rsid w:val="00EF607D"/>
    <w:rsid w:val="00EF6402"/>
    <w:rsid w:val="00EF79D1"/>
    <w:rsid w:val="00F043C5"/>
    <w:rsid w:val="00F047D0"/>
    <w:rsid w:val="00F047E2"/>
    <w:rsid w:val="00F04D57"/>
    <w:rsid w:val="00F054B7"/>
    <w:rsid w:val="00F05ED1"/>
    <w:rsid w:val="00F06663"/>
    <w:rsid w:val="00F078DC"/>
    <w:rsid w:val="00F10055"/>
    <w:rsid w:val="00F118BC"/>
    <w:rsid w:val="00F119EA"/>
    <w:rsid w:val="00F13E86"/>
    <w:rsid w:val="00F17171"/>
    <w:rsid w:val="00F20B52"/>
    <w:rsid w:val="00F217F2"/>
    <w:rsid w:val="00F22423"/>
    <w:rsid w:val="00F32FCB"/>
    <w:rsid w:val="00F33523"/>
    <w:rsid w:val="00F352D4"/>
    <w:rsid w:val="00F353E1"/>
    <w:rsid w:val="00F3676C"/>
    <w:rsid w:val="00F40614"/>
    <w:rsid w:val="00F41997"/>
    <w:rsid w:val="00F432C3"/>
    <w:rsid w:val="00F440F5"/>
    <w:rsid w:val="00F54761"/>
    <w:rsid w:val="00F562E2"/>
    <w:rsid w:val="00F66FF8"/>
    <w:rsid w:val="00F676E9"/>
    <w:rsid w:val="00F677A9"/>
    <w:rsid w:val="00F73DAC"/>
    <w:rsid w:val="00F8121C"/>
    <w:rsid w:val="00F815B3"/>
    <w:rsid w:val="00F819E7"/>
    <w:rsid w:val="00F84CF5"/>
    <w:rsid w:val="00F8612E"/>
    <w:rsid w:val="00F8693D"/>
    <w:rsid w:val="00F90DA1"/>
    <w:rsid w:val="00F91357"/>
    <w:rsid w:val="00F9384B"/>
    <w:rsid w:val="00F94583"/>
    <w:rsid w:val="00FA3B34"/>
    <w:rsid w:val="00FA420B"/>
    <w:rsid w:val="00FA587F"/>
    <w:rsid w:val="00FB1792"/>
    <w:rsid w:val="00FB6AEE"/>
    <w:rsid w:val="00FB7349"/>
    <w:rsid w:val="00FC1AB2"/>
    <w:rsid w:val="00FC3AF3"/>
    <w:rsid w:val="00FC3EAC"/>
    <w:rsid w:val="00FC58D6"/>
    <w:rsid w:val="00FD055D"/>
    <w:rsid w:val="00FD2C08"/>
    <w:rsid w:val="00FD360B"/>
    <w:rsid w:val="00FD531C"/>
    <w:rsid w:val="00FD55A7"/>
    <w:rsid w:val="00FD61EE"/>
    <w:rsid w:val="00FE0091"/>
    <w:rsid w:val="00FE2131"/>
    <w:rsid w:val="00FE313F"/>
    <w:rsid w:val="00FE3EDF"/>
    <w:rsid w:val="00FE4564"/>
    <w:rsid w:val="00FE55DE"/>
    <w:rsid w:val="00FE5A88"/>
    <w:rsid w:val="00FF0072"/>
    <w:rsid w:val="00FF39DE"/>
    <w:rsid w:val="00FF4408"/>
    <w:rsid w:val="00F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4C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3"/>
      </w:numPr>
      <w:spacing w:before="240" w:line="240" w:lineRule="auto"/>
    </w:pPr>
    <w:rPr>
      <w:sz w:val="24"/>
    </w:rPr>
  </w:style>
  <w:style w:type="paragraph" w:customStyle="1" w:styleId="BodyPara">
    <w:name w:val="BodyPara"/>
    <w:aliases w:val="ba"/>
    <w:basedOn w:val="OPCParaBase"/>
    <w:rsid w:val="006065DA"/>
    <w:pPr>
      <w:numPr>
        <w:ilvl w:val="1"/>
        <w:numId w:val="3"/>
      </w:numPr>
      <w:spacing w:before="240" w:line="240" w:lineRule="auto"/>
    </w:pPr>
    <w:rPr>
      <w:sz w:val="24"/>
    </w:rPr>
  </w:style>
  <w:style w:type="numbering" w:customStyle="1" w:styleId="OPCBodyList">
    <w:name w:val="OPCBodyList"/>
    <w:uiPriority w:val="99"/>
    <w:rsid w:val="006065DA"/>
    <w:pPr>
      <w:numPr>
        <w:numId w:val="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C93179"/>
    <w:pPr>
      <w:widowControl w:val="0"/>
      <w:numPr>
        <w:numId w:val="1"/>
      </w:numPr>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C93179"/>
    <w:rPr>
      <w:rFonts w:ascii="Arial" w:eastAsia="Times New Roman" w:hAnsi="Arial" w:cs="Arial"/>
      <w:b/>
      <w:bCs/>
      <w:lang w:eastAsia="en-AU"/>
    </w:rPr>
  </w:style>
  <w:style w:type="paragraph" w:customStyle="1" w:styleId="Amendment10">
    <w:name w:val="Amendment1"/>
    <w:basedOn w:val="Normal"/>
    <w:link w:val="Amendment1Char0"/>
    <w:qFormat/>
    <w:rsid w:val="00595A98"/>
    <w:pPr>
      <w:widowControl w:val="0"/>
      <w:numPr>
        <w:numId w:val="8"/>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0"/>
    <w:rsid w:val="00595A98"/>
    <w:rPr>
      <w:rFonts w:ascii="Arial" w:eastAsia="Times New Roman" w:hAnsi="Arial" w:cs="Times New Roman"/>
      <w:b/>
      <w:lang w:eastAsia="en-AU"/>
    </w:rPr>
  </w:style>
  <w:style w:type="character" w:customStyle="1" w:styleId="charAmendmentKeyword">
    <w:name w:val="charAmendment Keyword"/>
    <w:basedOn w:val="DefaultParagraphFont"/>
    <w:uiPriority w:val="1"/>
    <w:rsid w:val="00116001"/>
    <w:rPr>
      <w:rFonts w:ascii="Arial" w:hAnsi="Arial"/>
      <w:b/>
      <w:i w:val="0"/>
      <w:iCs/>
      <w:sz w:val="20"/>
      <w:szCs w:val="24"/>
      <w:lang w:eastAsia="en-US"/>
    </w:rPr>
  </w:style>
  <w:style w:type="paragraph" w:customStyle="1" w:styleId="Amendment2">
    <w:name w:val="Amendment 2"/>
    <w:basedOn w:val="Normal"/>
    <w:link w:val="Amendment2Char"/>
    <w:qFormat/>
    <w:rsid w:val="007F2DAC"/>
    <w:pPr>
      <w:widowControl w:val="0"/>
      <w:spacing w:before="60" w:after="60" w:line="260" w:lineRule="exact"/>
      <w:ind w:left="794" w:hanging="794"/>
      <w:outlineLvl w:val="2"/>
    </w:pPr>
    <w:rPr>
      <w:rFonts w:eastAsia="Times New Roman" w:cs="Times New Roman"/>
      <w:i/>
      <w:iCs/>
      <w:sz w:val="20"/>
      <w:lang w:eastAsia="en-AU"/>
    </w:rPr>
  </w:style>
  <w:style w:type="character" w:customStyle="1" w:styleId="Amendment2Char">
    <w:name w:val="Amendment 2 Char"/>
    <w:basedOn w:val="DefaultParagraphFont"/>
    <w:link w:val="Amendment2"/>
    <w:rsid w:val="007F2DAC"/>
    <w:rPr>
      <w:rFonts w:eastAsia="Times New Roman" w:cs="Times New Roman"/>
      <w:i/>
      <w:iCs/>
      <w:lang w:eastAsia="en-AU"/>
    </w:rPr>
  </w:style>
  <w:style w:type="numbering" w:customStyle="1" w:styleId="AmendmentInstruction">
    <w:name w:val="Amendment Instruction"/>
    <w:basedOn w:val="NoList"/>
    <w:uiPriority w:val="99"/>
    <w:rsid w:val="007F2DAC"/>
    <w:pPr>
      <w:numPr>
        <w:numId w:val="9"/>
      </w:numPr>
    </w:pPr>
  </w:style>
  <w:style w:type="character" w:customStyle="1" w:styleId="AmendmentKeyword">
    <w:name w:val="Amendment Keyword"/>
    <w:basedOn w:val="Amendment3Char"/>
    <w:uiPriority w:val="1"/>
    <w:rsid w:val="007F2DAC"/>
    <w:rPr>
      <w:rFonts w:ascii="Arial" w:eastAsia="Times New Roman" w:hAnsi="Arial" w:cs="Times New Roman"/>
      <w:b/>
      <w:i/>
      <w:iCs/>
      <w:sz w:val="20"/>
      <w:szCs w:val="24"/>
      <w:lang w:eastAsia="en-US"/>
    </w:rPr>
  </w:style>
  <w:style w:type="character" w:customStyle="1" w:styleId="TabletextChar">
    <w:name w:val="Tabletext Char"/>
    <w:aliases w:val="tt Char"/>
    <w:basedOn w:val="DefaultParagraphFont"/>
    <w:link w:val="Tabletext"/>
    <w:rsid w:val="00EA3B42"/>
    <w:rPr>
      <w:rFonts w:eastAsia="Times New Roman" w:cs="Times New Roman"/>
      <w:lang w:eastAsia="en-AU"/>
    </w:rPr>
  </w:style>
  <w:style w:type="table" w:styleId="TableGridLight">
    <w:name w:val="Grid Table Light"/>
    <w:basedOn w:val="TableNormal"/>
    <w:uiPriority w:val="40"/>
    <w:rsid w:val="00DC0B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065892"/>
    <w:rPr>
      <w:sz w:val="16"/>
      <w:szCs w:val="16"/>
    </w:rPr>
  </w:style>
  <w:style w:type="paragraph" w:styleId="CommentText">
    <w:name w:val="annotation text"/>
    <w:basedOn w:val="Normal"/>
    <w:link w:val="CommentTextChar"/>
    <w:unhideWhenUsed/>
    <w:rsid w:val="00065892"/>
    <w:pPr>
      <w:spacing w:line="240" w:lineRule="auto"/>
    </w:pPr>
    <w:rPr>
      <w:sz w:val="20"/>
    </w:rPr>
  </w:style>
  <w:style w:type="character" w:customStyle="1" w:styleId="CommentTextChar">
    <w:name w:val="Comment Text Char"/>
    <w:basedOn w:val="DefaultParagraphFont"/>
    <w:link w:val="CommentText"/>
    <w:rsid w:val="00065892"/>
  </w:style>
  <w:style w:type="paragraph" w:styleId="CommentSubject">
    <w:name w:val="annotation subject"/>
    <w:basedOn w:val="CommentText"/>
    <w:next w:val="CommentText"/>
    <w:link w:val="CommentSubjectChar"/>
    <w:uiPriority w:val="99"/>
    <w:semiHidden/>
    <w:unhideWhenUsed/>
    <w:rsid w:val="00065892"/>
    <w:rPr>
      <w:b/>
      <w:bCs/>
    </w:rPr>
  </w:style>
  <w:style w:type="character" w:customStyle="1" w:styleId="CommentSubjectChar">
    <w:name w:val="Comment Subject Char"/>
    <w:basedOn w:val="CommentTextChar"/>
    <w:link w:val="CommentSubject"/>
    <w:uiPriority w:val="99"/>
    <w:semiHidden/>
    <w:rsid w:val="00065892"/>
    <w:rPr>
      <w:b/>
      <w:bCs/>
    </w:rPr>
  </w:style>
  <w:style w:type="character" w:customStyle="1" w:styleId="item0">
    <w:name w:val="item"/>
    <w:basedOn w:val="DefaultParagraphFont"/>
    <w:uiPriority w:val="1"/>
    <w:qFormat/>
    <w:rsid w:val="00920224"/>
    <w:rPr>
      <w:vanish/>
      <w:color w:val="C00000"/>
    </w:rPr>
  </w:style>
  <w:style w:type="paragraph" w:styleId="Revision">
    <w:name w:val="Revision"/>
    <w:hidden/>
    <w:uiPriority w:val="99"/>
    <w:semiHidden/>
    <w:rsid w:val="00DE56EC"/>
    <w:rPr>
      <w:sz w:val="22"/>
    </w:rPr>
  </w:style>
  <w:style w:type="paragraph" w:customStyle="1" w:styleId="mps3-heading">
    <w:name w:val="mps3-heading"/>
    <w:basedOn w:val="Normal"/>
    <w:qFormat/>
    <w:rsid w:val="009611D5"/>
    <w:pPr>
      <w:spacing w:before="60" w:after="60" w:line="240" w:lineRule="auto"/>
    </w:pPr>
    <w:rPr>
      <w:rFonts w:ascii="Arial" w:eastAsia="Arial" w:hAnsi="Arial" w:cs="Arial"/>
      <w:b/>
      <w:sz w:val="16"/>
      <w:szCs w:val="22"/>
      <w:lang w:eastAsia="zh-CN"/>
    </w:rPr>
  </w:style>
  <w:style w:type="paragraph" w:customStyle="1" w:styleId="AS">
    <w:name w:val="AS"/>
    <w:aliases w:val="Schedule title Amendment"/>
    <w:basedOn w:val="Normal"/>
    <w:rsid w:val="00F119EA"/>
    <w:pPr>
      <w:keepNext/>
      <w:spacing w:before="480" w:line="240" w:lineRule="auto"/>
      <w:ind w:left="2410" w:hanging="2410"/>
    </w:pPr>
    <w:rPr>
      <w:rFonts w:ascii="Arial" w:hAnsi="Arial" w:cs="Arial"/>
      <w:b/>
      <w:bCs/>
      <w:sz w:val="32"/>
      <w:szCs w:val="32"/>
      <w:lang w:eastAsia="en-AU"/>
    </w:rPr>
  </w:style>
  <w:style w:type="table" w:styleId="ColorfulGrid-Accent6">
    <w:name w:val="Colorful Grid Accent 6"/>
    <w:basedOn w:val="TableNormal"/>
    <w:uiPriority w:val="73"/>
    <w:semiHidden/>
    <w:unhideWhenUsed/>
    <w:rsid w:val="002436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463">
      <w:bodyDiv w:val="1"/>
      <w:marLeft w:val="0"/>
      <w:marRight w:val="0"/>
      <w:marTop w:val="0"/>
      <w:marBottom w:val="0"/>
      <w:divBdr>
        <w:top w:val="none" w:sz="0" w:space="0" w:color="auto"/>
        <w:left w:val="none" w:sz="0" w:space="0" w:color="auto"/>
        <w:bottom w:val="none" w:sz="0" w:space="0" w:color="auto"/>
        <w:right w:val="none" w:sz="0" w:space="0" w:color="auto"/>
      </w:divBdr>
    </w:div>
    <w:div w:id="97993272">
      <w:bodyDiv w:val="1"/>
      <w:marLeft w:val="0"/>
      <w:marRight w:val="0"/>
      <w:marTop w:val="0"/>
      <w:marBottom w:val="0"/>
      <w:divBdr>
        <w:top w:val="none" w:sz="0" w:space="0" w:color="auto"/>
        <w:left w:val="none" w:sz="0" w:space="0" w:color="auto"/>
        <w:bottom w:val="none" w:sz="0" w:space="0" w:color="auto"/>
        <w:right w:val="none" w:sz="0" w:space="0" w:color="auto"/>
      </w:divBdr>
    </w:div>
    <w:div w:id="176698041">
      <w:bodyDiv w:val="1"/>
      <w:marLeft w:val="0"/>
      <w:marRight w:val="0"/>
      <w:marTop w:val="0"/>
      <w:marBottom w:val="0"/>
      <w:divBdr>
        <w:top w:val="none" w:sz="0" w:space="0" w:color="auto"/>
        <w:left w:val="none" w:sz="0" w:space="0" w:color="auto"/>
        <w:bottom w:val="none" w:sz="0" w:space="0" w:color="auto"/>
        <w:right w:val="none" w:sz="0" w:space="0" w:color="auto"/>
      </w:divBdr>
    </w:div>
    <w:div w:id="229846049">
      <w:bodyDiv w:val="1"/>
      <w:marLeft w:val="0"/>
      <w:marRight w:val="0"/>
      <w:marTop w:val="0"/>
      <w:marBottom w:val="0"/>
      <w:divBdr>
        <w:top w:val="none" w:sz="0" w:space="0" w:color="auto"/>
        <w:left w:val="none" w:sz="0" w:space="0" w:color="auto"/>
        <w:bottom w:val="none" w:sz="0" w:space="0" w:color="auto"/>
        <w:right w:val="none" w:sz="0" w:space="0" w:color="auto"/>
      </w:divBdr>
    </w:div>
    <w:div w:id="378434683">
      <w:bodyDiv w:val="1"/>
      <w:marLeft w:val="0"/>
      <w:marRight w:val="0"/>
      <w:marTop w:val="0"/>
      <w:marBottom w:val="0"/>
      <w:divBdr>
        <w:top w:val="none" w:sz="0" w:space="0" w:color="auto"/>
        <w:left w:val="none" w:sz="0" w:space="0" w:color="auto"/>
        <w:bottom w:val="none" w:sz="0" w:space="0" w:color="auto"/>
        <w:right w:val="none" w:sz="0" w:space="0" w:color="auto"/>
      </w:divBdr>
    </w:div>
    <w:div w:id="399792227">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
    <w:div w:id="525600806">
      <w:bodyDiv w:val="1"/>
      <w:marLeft w:val="0"/>
      <w:marRight w:val="0"/>
      <w:marTop w:val="0"/>
      <w:marBottom w:val="0"/>
      <w:divBdr>
        <w:top w:val="none" w:sz="0" w:space="0" w:color="auto"/>
        <w:left w:val="none" w:sz="0" w:space="0" w:color="auto"/>
        <w:bottom w:val="none" w:sz="0" w:space="0" w:color="auto"/>
        <w:right w:val="none" w:sz="0" w:space="0" w:color="auto"/>
      </w:divBdr>
    </w:div>
    <w:div w:id="529344713">
      <w:bodyDiv w:val="1"/>
      <w:marLeft w:val="0"/>
      <w:marRight w:val="0"/>
      <w:marTop w:val="0"/>
      <w:marBottom w:val="0"/>
      <w:divBdr>
        <w:top w:val="none" w:sz="0" w:space="0" w:color="auto"/>
        <w:left w:val="none" w:sz="0" w:space="0" w:color="auto"/>
        <w:bottom w:val="none" w:sz="0" w:space="0" w:color="auto"/>
        <w:right w:val="none" w:sz="0" w:space="0" w:color="auto"/>
      </w:divBdr>
    </w:div>
    <w:div w:id="584654149">
      <w:bodyDiv w:val="1"/>
      <w:marLeft w:val="0"/>
      <w:marRight w:val="0"/>
      <w:marTop w:val="0"/>
      <w:marBottom w:val="0"/>
      <w:divBdr>
        <w:top w:val="none" w:sz="0" w:space="0" w:color="auto"/>
        <w:left w:val="none" w:sz="0" w:space="0" w:color="auto"/>
        <w:bottom w:val="none" w:sz="0" w:space="0" w:color="auto"/>
        <w:right w:val="none" w:sz="0" w:space="0" w:color="auto"/>
      </w:divBdr>
    </w:div>
    <w:div w:id="625738103">
      <w:bodyDiv w:val="1"/>
      <w:marLeft w:val="0"/>
      <w:marRight w:val="0"/>
      <w:marTop w:val="0"/>
      <w:marBottom w:val="0"/>
      <w:divBdr>
        <w:top w:val="none" w:sz="0" w:space="0" w:color="auto"/>
        <w:left w:val="none" w:sz="0" w:space="0" w:color="auto"/>
        <w:bottom w:val="none" w:sz="0" w:space="0" w:color="auto"/>
        <w:right w:val="none" w:sz="0" w:space="0" w:color="auto"/>
      </w:divBdr>
    </w:div>
    <w:div w:id="655841630">
      <w:bodyDiv w:val="1"/>
      <w:marLeft w:val="0"/>
      <w:marRight w:val="0"/>
      <w:marTop w:val="0"/>
      <w:marBottom w:val="0"/>
      <w:divBdr>
        <w:top w:val="none" w:sz="0" w:space="0" w:color="auto"/>
        <w:left w:val="none" w:sz="0" w:space="0" w:color="auto"/>
        <w:bottom w:val="none" w:sz="0" w:space="0" w:color="auto"/>
        <w:right w:val="none" w:sz="0" w:space="0" w:color="auto"/>
      </w:divBdr>
    </w:div>
    <w:div w:id="696128379">
      <w:bodyDiv w:val="1"/>
      <w:marLeft w:val="0"/>
      <w:marRight w:val="0"/>
      <w:marTop w:val="0"/>
      <w:marBottom w:val="0"/>
      <w:divBdr>
        <w:top w:val="none" w:sz="0" w:space="0" w:color="auto"/>
        <w:left w:val="none" w:sz="0" w:space="0" w:color="auto"/>
        <w:bottom w:val="none" w:sz="0" w:space="0" w:color="auto"/>
        <w:right w:val="none" w:sz="0" w:space="0" w:color="auto"/>
      </w:divBdr>
    </w:div>
    <w:div w:id="796414713">
      <w:bodyDiv w:val="1"/>
      <w:marLeft w:val="0"/>
      <w:marRight w:val="0"/>
      <w:marTop w:val="0"/>
      <w:marBottom w:val="0"/>
      <w:divBdr>
        <w:top w:val="none" w:sz="0" w:space="0" w:color="auto"/>
        <w:left w:val="none" w:sz="0" w:space="0" w:color="auto"/>
        <w:bottom w:val="none" w:sz="0" w:space="0" w:color="auto"/>
        <w:right w:val="none" w:sz="0" w:space="0" w:color="auto"/>
      </w:divBdr>
    </w:div>
    <w:div w:id="892697491">
      <w:bodyDiv w:val="1"/>
      <w:marLeft w:val="0"/>
      <w:marRight w:val="0"/>
      <w:marTop w:val="0"/>
      <w:marBottom w:val="0"/>
      <w:divBdr>
        <w:top w:val="none" w:sz="0" w:space="0" w:color="auto"/>
        <w:left w:val="none" w:sz="0" w:space="0" w:color="auto"/>
        <w:bottom w:val="none" w:sz="0" w:space="0" w:color="auto"/>
        <w:right w:val="none" w:sz="0" w:space="0" w:color="auto"/>
      </w:divBdr>
    </w:div>
    <w:div w:id="1002004104">
      <w:bodyDiv w:val="1"/>
      <w:marLeft w:val="0"/>
      <w:marRight w:val="0"/>
      <w:marTop w:val="0"/>
      <w:marBottom w:val="0"/>
      <w:divBdr>
        <w:top w:val="none" w:sz="0" w:space="0" w:color="auto"/>
        <w:left w:val="none" w:sz="0" w:space="0" w:color="auto"/>
        <w:bottom w:val="none" w:sz="0" w:space="0" w:color="auto"/>
        <w:right w:val="none" w:sz="0" w:space="0" w:color="auto"/>
      </w:divBdr>
    </w:div>
    <w:div w:id="1028870947">
      <w:bodyDiv w:val="1"/>
      <w:marLeft w:val="0"/>
      <w:marRight w:val="0"/>
      <w:marTop w:val="0"/>
      <w:marBottom w:val="0"/>
      <w:divBdr>
        <w:top w:val="none" w:sz="0" w:space="0" w:color="auto"/>
        <w:left w:val="none" w:sz="0" w:space="0" w:color="auto"/>
        <w:bottom w:val="none" w:sz="0" w:space="0" w:color="auto"/>
        <w:right w:val="none" w:sz="0" w:space="0" w:color="auto"/>
      </w:divBdr>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103501404">
      <w:bodyDiv w:val="1"/>
      <w:marLeft w:val="0"/>
      <w:marRight w:val="0"/>
      <w:marTop w:val="0"/>
      <w:marBottom w:val="0"/>
      <w:divBdr>
        <w:top w:val="none" w:sz="0" w:space="0" w:color="auto"/>
        <w:left w:val="none" w:sz="0" w:space="0" w:color="auto"/>
        <w:bottom w:val="none" w:sz="0" w:space="0" w:color="auto"/>
        <w:right w:val="none" w:sz="0" w:space="0" w:color="auto"/>
      </w:divBdr>
    </w:div>
    <w:div w:id="1103955100">
      <w:bodyDiv w:val="1"/>
      <w:marLeft w:val="0"/>
      <w:marRight w:val="0"/>
      <w:marTop w:val="0"/>
      <w:marBottom w:val="0"/>
      <w:divBdr>
        <w:top w:val="none" w:sz="0" w:space="0" w:color="auto"/>
        <w:left w:val="none" w:sz="0" w:space="0" w:color="auto"/>
        <w:bottom w:val="none" w:sz="0" w:space="0" w:color="auto"/>
        <w:right w:val="none" w:sz="0" w:space="0" w:color="auto"/>
      </w:divBdr>
    </w:div>
    <w:div w:id="1215508845">
      <w:bodyDiv w:val="1"/>
      <w:marLeft w:val="0"/>
      <w:marRight w:val="0"/>
      <w:marTop w:val="0"/>
      <w:marBottom w:val="0"/>
      <w:divBdr>
        <w:top w:val="none" w:sz="0" w:space="0" w:color="auto"/>
        <w:left w:val="none" w:sz="0" w:space="0" w:color="auto"/>
        <w:bottom w:val="none" w:sz="0" w:space="0" w:color="auto"/>
        <w:right w:val="none" w:sz="0" w:space="0" w:color="auto"/>
      </w:divBdr>
    </w:div>
    <w:div w:id="1228028678">
      <w:bodyDiv w:val="1"/>
      <w:marLeft w:val="0"/>
      <w:marRight w:val="0"/>
      <w:marTop w:val="0"/>
      <w:marBottom w:val="0"/>
      <w:divBdr>
        <w:top w:val="none" w:sz="0" w:space="0" w:color="auto"/>
        <w:left w:val="none" w:sz="0" w:space="0" w:color="auto"/>
        <w:bottom w:val="none" w:sz="0" w:space="0" w:color="auto"/>
        <w:right w:val="none" w:sz="0" w:space="0" w:color="auto"/>
      </w:divBdr>
    </w:div>
    <w:div w:id="1411390127">
      <w:bodyDiv w:val="1"/>
      <w:marLeft w:val="0"/>
      <w:marRight w:val="0"/>
      <w:marTop w:val="0"/>
      <w:marBottom w:val="0"/>
      <w:divBdr>
        <w:top w:val="none" w:sz="0" w:space="0" w:color="auto"/>
        <w:left w:val="none" w:sz="0" w:space="0" w:color="auto"/>
        <w:bottom w:val="none" w:sz="0" w:space="0" w:color="auto"/>
        <w:right w:val="none" w:sz="0" w:space="0" w:color="auto"/>
      </w:divBdr>
    </w:div>
    <w:div w:id="1486816636">
      <w:bodyDiv w:val="1"/>
      <w:marLeft w:val="0"/>
      <w:marRight w:val="0"/>
      <w:marTop w:val="0"/>
      <w:marBottom w:val="0"/>
      <w:divBdr>
        <w:top w:val="none" w:sz="0" w:space="0" w:color="auto"/>
        <w:left w:val="none" w:sz="0" w:space="0" w:color="auto"/>
        <w:bottom w:val="none" w:sz="0" w:space="0" w:color="auto"/>
        <w:right w:val="none" w:sz="0" w:space="0" w:color="auto"/>
      </w:divBdr>
    </w:div>
    <w:div w:id="1584728200">
      <w:bodyDiv w:val="1"/>
      <w:marLeft w:val="0"/>
      <w:marRight w:val="0"/>
      <w:marTop w:val="0"/>
      <w:marBottom w:val="0"/>
      <w:divBdr>
        <w:top w:val="none" w:sz="0" w:space="0" w:color="auto"/>
        <w:left w:val="none" w:sz="0" w:space="0" w:color="auto"/>
        <w:bottom w:val="none" w:sz="0" w:space="0" w:color="auto"/>
        <w:right w:val="none" w:sz="0" w:space="0" w:color="auto"/>
      </w:divBdr>
    </w:div>
    <w:div w:id="1698771016">
      <w:bodyDiv w:val="1"/>
      <w:marLeft w:val="0"/>
      <w:marRight w:val="0"/>
      <w:marTop w:val="0"/>
      <w:marBottom w:val="0"/>
      <w:divBdr>
        <w:top w:val="none" w:sz="0" w:space="0" w:color="auto"/>
        <w:left w:val="none" w:sz="0" w:space="0" w:color="auto"/>
        <w:bottom w:val="none" w:sz="0" w:space="0" w:color="auto"/>
        <w:right w:val="none" w:sz="0" w:space="0" w:color="auto"/>
      </w:divBdr>
    </w:div>
    <w:div w:id="1750035194">
      <w:bodyDiv w:val="1"/>
      <w:marLeft w:val="0"/>
      <w:marRight w:val="0"/>
      <w:marTop w:val="0"/>
      <w:marBottom w:val="0"/>
      <w:divBdr>
        <w:top w:val="none" w:sz="0" w:space="0" w:color="auto"/>
        <w:left w:val="none" w:sz="0" w:space="0" w:color="auto"/>
        <w:bottom w:val="none" w:sz="0" w:space="0" w:color="auto"/>
        <w:right w:val="none" w:sz="0" w:space="0" w:color="auto"/>
      </w:divBdr>
    </w:div>
    <w:div w:id="1752003301">
      <w:bodyDiv w:val="1"/>
      <w:marLeft w:val="0"/>
      <w:marRight w:val="0"/>
      <w:marTop w:val="0"/>
      <w:marBottom w:val="0"/>
      <w:divBdr>
        <w:top w:val="none" w:sz="0" w:space="0" w:color="auto"/>
        <w:left w:val="none" w:sz="0" w:space="0" w:color="auto"/>
        <w:bottom w:val="none" w:sz="0" w:space="0" w:color="auto"/>
        <w:right w:val="none" w:sz="0" w:space="0" w:color="auto"/>
      </w:divBdr>
    </w:div>
    <w:div w:id="1765880979">
      <w:bodyDiv w:val="1"/>
      <w:marLeft w:val="0"/>
      <w:marRight w:val="0"/>
      <w:marTop w:val="0"/>
      <w:marBottom w:val="0"/>
      <w:divBdr>
        <w:top w:val="none" w:sz="0" w:space="0" w:color="auto"/>
        <w:left w:val="none" w:sz="0" w:space="0" w:color="auto"/>
        <w:bottom w:val="none" w:sz="0" w:space="0" w:color="auto"/>
        <w:right w:val="none" w:sz="0" w:space="0" w:color="auto"/>
      </w:divBdr>
    </w:div>
    <w:div w:id="1787461625">
      <w:bodyDiv w:val="1"/>
      <w:marLeft w:val="0"/>
      <w:marRight w:val="0"/>
      <w:marTop w:val="0"/>
      <w:marBottom w:val="0"/>
      <w:divBdr>
        <w:top w:val="none" w:sz="0" w:space="0" w:color="auto"/>
        <w:left w:val="none" w:sz="0" w:space="0" w:color="auto"/>
        <w:bottom w:val="none" w:sz="0" w:space="0" w:color="auto"/>
        <w:right w:val="none" w:sz="0" w:space="0" w:color="auto"/>
      </w:divBdr>
    </w:div>
    <w:div w:id="1830318098">
      <w:bodyDiv w:val="1"/>
      <w:marLeft w:val="0"/>
      <w:marRight w:val="0"/>
      <w:marTop w:val="0"/>
      <w:marBottom w:val="0"/>
      <w:divBdr>
        <w:top w:val="none" w:sz="0" w:space="0" w:color="auto"/>
        <w:left w:val="none" w:sz="0" w:space="0" w:color="auto"/>
        <w:bottom w:val="none" w:sz="0" w:space="0" w:color="auto"/>
        <w:right w:val="none" w:sz="0" w:space="0" w:color="auto"/>
      </w:divBdr>
    </w:div>
    <w:div w:id="1883323039">
      <w:bodyDiv w:val="1"/>
      <w:marLeft w:val="0"/>
      <w:marRight w:val="0"/>
      <w:marTop w:val="0"/>
      <w:marBottom w:val="0"/>
      <w:divBdr>
        <w:top w:val="none" w:sz="0" w:space="0" w:color="auto"/>
        <w:left w:val="none" w:sz="0" w:space="0" w:color="auto"/>
        <w:bottom w:val="none" w:sz="0" w:space="0" w:color="auto"/>
        <w:right w:val="none" w:sz="0" w:space="0" w:color="auto"/>
      </w:divBdr>
    </w:div>
    <w:div w:id="1891648734">
      <w:bodyDiv w:val="1"/>
      <w:marLeft w:val="0"/>
      <w:marRight w:val="0"/>
      <w:marTop w:val="0"/>
      <w:marBottom w:val="0"/>
      <w:divBdr>
        <w:top w:val="none" w:sz="0" w:space="0" w:color="auto"/>
        <w:left w:val="none" w:sz="0" w:space="0" w:color="auto"/>
        <w:bottom w:val="none" w:sz="0" w:space="0" w:color="auto"/>
        <w:right w:val="none" w:sz="0" w:space="0" w:color="auto"/>
      </w:divBdr>
    </w:div>
    <w:div w:id="1894123282">
      <w:bodyDiv w:val="1"/>
      <w:marLeft w:val="0"/>
      <w:marRight w:val="0"/>
      <w:marTop w:val="0"/>
      <w:marBottom w:val="0"/>
      <w:divBdr>
        <w:top w:val="none" w:sz="0" w:space="0" w:color="auto"/>
        <w:left w:val="none" w:sz="0" w:space="0" w:color="auto"/>
        <w:bottom w:val="none" w:sz="0" w:space="0" w:color="auto"/>
        <w:right w:val="none" w:sz="0" w:space="0" w:color="auto"/>
      </w:divBdr>
    </w:div>
    <w:div w:id="1894342514">
      <w:bodyDiv w:val="1"/>
      <w:marLeft w:val="0"/>
      <w:marRight w:val="0"/>
      <w:marTop w:val="0"/>
      <w:marBottom w:val="0"/>
      <w:divBdr>
        <w:top w:val="none" w:sz="0" w:space="0" w:color="auto"/>
        <w:left w:val="none" w:sz="0" w:space="0" w:color="auto"/>
        <w:bottom w:val="none" w:sz="0" w:space="0" w:color="auto"/>
        <w:right w:val="none" w:sz="0" w:space="0" w:color="auto"/>
      </w:divBdr>
    </w:div>
    <w:div w:id="1985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BELACIC, Diana</cp:lastModifiedBy>
  <cp:revision>5</cp:revision>
  <cp:lastPrinted>2023-09-27T22:13:00Z</cp:lastPrinted>
  <dcterms:created xsi:type="dcterms:W3CDTF">2024-07-23T05:09:00Z</dcterms:created>
  <dcterms:modified xsi:type="dcterms:W3CDTF">2024-07-31T01:59:00Z</dcterms:modified>
</cp:coreProperties>
</file>