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A6A4" w14:textId="77777777" w:rsidR="00602F5D" w:rsidRDefault="00D2586E" w:rsidP="00D2586E">
      <w:pPr>
        <w:pStyle w:val="LDAmendHeading"/>
        <w:ind w:left="0" w:firstLine="0"/>
      </w:pPr>
      <w:r w:rsidRPr="00097630">
        <w:t>Explanatory Statement</w:t>
      </w:r>
    </w:p>
    <w:p w14:paraId="1509D1D3" w14:textId="050323B9" w:rsidR="00602F5D" w:rsidRPr="00316B45" w:rsidRDefault="00602F5D" w:rsidP="00D2586E">
      <w:pPr>
        <w:pStyle w:val="LDAmendHeading"/>
        <w:ind w:left="0" w:firstLine="0"/>
      </w:pPr>
      <w:r>
        <w:t>Military Rehabilitation and Compensation</w:t>
      </w:r>
      <w:r w:rsidRPr="00316B45">
        <w:t xml:space="preserve"> (Multiple Entitlement Exclusion) Determination </w:t>
      </w:r>
      <w:r w:rsidR="001D7223" w:rsidRPr="00316B45">
        <w:t>20</w:t>
      </w:r>
      <w:r w:rsidR="001D7223">
        <w:t>24</w:t>
      </w:r>
    </w:p>
    <w:p w14:paraId="34C342E0" w14:textId="77777777" w:rsidR="00602F5D" w:rsidRDefault="00602F5D" w:rsidP="00DF051F">
      <w:pPr>
        <w:pStyle w:val="LDAmendHeading"/>
      </w:pPr>
      <w:r w:rsidRPr="00E81228">
        <w:t>Authority</w:t>
      </w:r>
    </w:p>
    <w:p w14:paraId="41E96032" w14:textId="05F9F639" w:rsidR="00602F5D" w:rsidRPr="00DF051F" w:rsidRDefault="00EA3E5E" w:rsidP="00D2586E">
      <w:pPr>
        <w:pStyle w:val="LDMinuteParagraph"/>
        <w:tabs>
          <w:tab w:val="clear" w:pos="360"/>
        </w:tabs>
      </w:pPr>
      <w:r>
        <w:t>T</w:t>
      </w:r>
      <w:r w:rsidR="003F3302" w:rsidRPr="00DF051F">
        <w:t xml:space="preserve">his </w:t>
      </w:r>
      <w:r w:rsidR="00F4312A">
        <w:t>i</w:t>
      </w:r>
      <w:r w:rsidR="003F3302" w:rsidRPr="00DF051F">
        <w:t xml:space="preserve">nstrument </w:t>
      </w:r>
      <w:r>
        <w:t>is made</w:t>
      </w:r>
      <w:r w:rsidR="001E6F88">
        <w:t xml:space="preserve"> by the Military Rehabilitation and Compensation Commission</w:t>
      </w:r>
      <w:r>
        <w:t xml:space="preserve"> </w:t>
      </w:r>
      <w:r w:rsidR="003F3302" w:rsidRPr="00DF051F">
        <w:t>under subsection 424</w:t>
      </w:r>
      <w:proofErr w:type="gramStart"/>
      <w:r w:rsidR="003F3302" w:rsidRPr="00DF051F">
        <w:t>L(</w:t>
      </w:r>
      <w:proofErr w:type="gramEnd"/>
      <w:r w:rsidR="003F3302" w:rsidRPr="00DF051F">
        <w:t xml:space="preserve">1) of the </w:t>
      </w:r>
      <w:r w:rsidR="003F3302" w:rsidRPr="00DF051F">
        <w:rPr>
          <w:i/>
        </w:rPr>
        <w:t>Military Rehabilitation and Compensation Act 2004</w:t>
      </w:r>
      <w:r w:rsidR="003F3302" w:rsidRPr="00DF051F">
        <w:t xml:space="preserve"> (the </w:t>
      </w:r>
      <w:r w:rsidR="003F3302" w:rsidRPr="00DF051F">
        <w:rPr>
          <w:rStyle w:val="LDBoldItal"/>
        </w:rPr>
        <w:t>Act</w:t>
      </w:r>
      <w:r w:rsidR="003F3302" w:rsidRPr="00DF051F">
        <w:t>).</w:t>
      </w:r>
    </w:p>
    <w:p w14:paraId="311C2952" w14:textId="77777777" w:rsidR="00602F5D" w:rsidRDefault="00602F5D" w:rsidP="00DF051F">
      <w:pPr>
        <w:pStyle w:val="LDAmendHeading"/>
      </w:pPr>
      <w:r>
        <w:t>Purpose</w:t>
      </w:r>
    </w:p>
    <w:p w14:paraId="2069E963" w14:textId="18345D2A" w:rsidR="009919AC" w:rsidRPr="00BF1C82" w:rsidRDefault="009919AC" w:rsidP="00D2586E">
      <w:pPr>
        <w:pStyle w:val="LDMinuteParagraph"/>
        <w:tabs>
          <w:tab w:val="clear" w:pos="360"/>
        </w:tabs>
      </w:pPr>
      <w:r w:rsidRPr="00BF1C82">
        <w:t xml:space="preserve">The </w:t>
      </w:r>
      <w:r w:rsidRPr="00EA3E5E">
        <w:rPr>
          <w:i/>
        </w:rPr>
        <w:t>Military Rehabilitation and Compensation (Multiple Entitlement Exclusion) Determination 2012</w:t>
      </w:r>
      <w:r w:rsidR="001E6F88">
        <w:rPr>
          <w:i/>
        </w:rPr>
        <w:t xml:space="preserve"> </w:t>
      </w:r>
      <w:r w:rsidR="001E6F88">
        <w:t xml:space="preserve">(the </w:t>
      </w:r>
      <w:r w:rsidR="001E6F88">
        <w:rPr>
          <w:b/>
          <w:i/>
        </w:rPr>
        <w:t>repealed instrument</w:t>
      </w:r>
      <w:r w:rsidR="001E6F88">
        <w:t>)</w:t>
      </w:r>
      <w:r w:rsidR="003632CE">
        <w:t xml:space="preserve"> </w:t>
      </w:r>
      <w:r w:rsidR="00EA3E5E">
        <w:t xml:space="preserve">automatically </w:t>
      </w:r>
      <w:r w:rsidRPr="00BF1C82">
        <w:t>repealed on 1 October 2022.</w:t>
      </w:r>
      <w:r w:rsidR="00EA3E5E">
        <w:t xml:space="preserve"> </w:t>
      </w:r>
      <w:r w:rsidR="007318D5">
        <w:t xml:space="preserve">However, the </w:t>
      </w:r>
      <w:r w:rsidR="001E6F88">
        <w:t xml:space="preserve">repealed </w:t>
      </w:r>
      <w:r w:rsidR="007318D5">
        <w:t>instrument dealt with an issue that continues to be relevant.</w:t>
      </w:r>
      <w:r w:rsidR="00F4312A">
        <w:t xml:space="preserve"> This i</w:t>
      </w:r>
      <w:r w:rsidR="003632CE">
        <w:t>nstrument replaces the repealed instrument.</w:t>
      </w:r>
    </w:p>
    <w:p w14:paraId="1A2B3017" w14:textId="590DC7FF" w:rsidR="009919AC" w:rsidRPr="00DF051F" w:rsidRDefault="009919AC" w:rsidP="00D2586E">
      <w:pPr>
        <w:pStyle w:val="LDMinuteParagraph"/>
        <w:tabs>
          <w:tab w:val="clear" w:pos="360"/>
        </w:tabs>
      </w:pPr>
      <w:r w:rsidRPr="00DF051F">
        <w:t>Th</w:t>
      </w:r>
      <w:r w:rsidR="00F4312A">
        <w:t>is i</w:t>
      </w:r>
      <w:r w:rsidR="007318D5">
        <w:t xml:space="preserve">nstrument </w:t>
      </w:r>
      <w:r w:rsidRPr="00DF051F">
        <w:t xml:space="preserve">is </w:t>
      </w:r>
      <w:r w:rsidR="007318D5">
        <w:t xml:space="preserve">intended </w:t>
      </w:r>
      <w:r w:rsidRPr="00DF051F">
        <w:t xml:space="preserve">to </w:t>
      </w:r>
      <w:r w:rsidR="007318D5">
        <w:t>avoid double payment of benefits.</w:t>
      </w:r>
    </w:p>
    <w:p w14:paraId="05E0B3E2" w14:textId="1E837B8C" w:rsidR="00E868D5" w:rsidRPr="00BF1C82" w:rsidRDefault="009919AC" w:rsidP="00D2586E">
      <w:pPr>
        <w:pStyle w:val="LDMinuteParagraph"/>
        <w:tabs>
          <w:tab w:val="clear" w:pos="360"/>
        </w:tabs>
      </w:pPr>
      <w:r w:rsidRPr="00BF1C82">
        <w:t>Th</w:t>
      </w:r>
      <w:r w:rsidR="001E6F88">
        <w:t>is</w:t>
      </w:r>
      <w:r w:rsidRPr="00BF1C82">
        <w:t xml:space="preserve"> </w:t>
      </w:r>
      <w:r w:rsidR="00F4312A">
        <w:rPr>
          <w:color w:val="000000"/>
        </w:rPr>
        <w:t>i</w:t>
      </w:r>
      <w:r w:rsidR="007318D5">
        <w:rPr>
          <w:color w:val="000000"/>
        </w:rPr>
        <w:t>nstrument</w:t>
      </w:r>
      <w:r w:rsidRPr="00BF1C82">
        <w:t xml:space="preserve"> is a legislative instrument.</w:t>
      </w:r>
    </w:p>
    <w:p w14:paraId="18618A32" w14:textId="77777777" w:rsidR="00602F5D" w:rsidRDefault="00602F5D" w:rsidP="00DF051F">
      <w:pPr>
        <w:pStyle w:val="LDAmendHeading"/>
      </w:pPr>
      <w:r>
        <w:t>Overview</w:t>
      </w:r>
    </w:p>
    <w:p w14:paraId="70FF5044" w14:textId="7CF64B55" w:rsidR="00602F5D" w:rsidRDefault="007318D5" w:rsidP="00D2586E">
      <w:pPr>
        <w:pStyle w:val="LDMinuteParagraph"/>
        <w:tabs>
          <w:tab w:val="clear" w:pos="360"/>
        </w:tabs>
        <w:rPr>
          <w:b/>
        </w:rPr>
      </w:pPr>
      <w:r>
        <w:t>Th</w:t>
      </w:r>
      <w:r w:rsidR="001E6F88">
        <w:t>is</w:t>
      </w:r>
      <w:r>
        <w:t xml:space="preserve"> </w:t>
      </w:r>
      <w:r w:rsidR="00F4312A">
        <w:t>i</w:t>
      </w:r>
      <w:r>
        <w:t>nstrument provides that a</w:t>
      </w:r>
      <w:r w:rsidR="003F3302" w:rsidRPr="003F3302">
        <w:t xml:space="preserve"> person is not </w:t>
      </w:r>
      <w:r w:rsidR="003F3302" w:rsidRPr="00D2586E">
        <w:rPr>
          <w:color w:val="000000"/>
        </w:rPr>
        <w:t>entitled</w:t>
      </w:r>
      <w:r w:rsidR="003F3302" w:rsidRPr="003F3302">
        <w:t xml:space="preserve"> to be paid an energy supplement under section 83A of the Act for a day if the person is paid a clean energy bonus for the day under section 209A of the Act or section 62A of the </w:t>
      </w:r>
      <w:r w:rsidR="003F3302" w:rsidRPr="003F3302">
        <w:rPr>
          <w:i/>
        </w:rPr>
        <w:t>Veterans’ Entitlements Act 1986</w:t>
      </w:r>
      <w:r w:rsidR="003F3302" w:rsidRPr="003F3302">
        <w:t>.</w:t>
      </w:r>
    </w:p>
    <w:p w14:paraId="0DB73213" w14:textId="77777777" w:rsidR="007318D5" w:rsidRDefault="007318D5" w:rsidP="00DF051F">
      <w:pPr>
        <w:pStyle w:val="LDAmendHeading"/>
      </w:pPr>
      <w:r>
        <w:t>Consultation</w:t>
      </w:r>
    </w:p>
    <w:p w14:paraId="4808AFA2" w14:textId="7CAC95CE" w:rsidR="007318D5" w:rsidRPr="007318D5" w:rsidRDefault="00CD2DE4" w:rsidP="007318D5">
      <w:pPr>
        <w:pStyle w:val="LDMinuteParagraph"/>
        <w:tabs>
          <w:tab w:val="clear" w:pos="360"/>
        </w:tabs>
      </w:pPr>
      <w:r>
        <w:t>Given this instrument simply remakes the previous instrument and maintains extant policy, consultation on this instrument was limited</w:t>
      </w:r>
      <w:r w:rsidR="000A3B8B">
        <w:t>.</w:t>
      </w:r>
    </w:p>
    <w:p w14:paraId="1046C48D" w14:textId="77777777" w:rsidR="00602F5D" w:rsidRDefault="00602F5D" w:rsidP="00DF051F">
      <w:pPr>
        <w:pStyle w:val="LDAmendHeading"/>
      </w:pPr>
      <w:r>
        <w:t>Commencement</w:t>
      </w:r>
    </w:p>
    <w:p w14:paraId="05EF21E1" w14:textId="03FC0224" w:rsidR="00AF6D5B" w:rsidRDefault="003F3302">
      <w:pPr>
        <w:pStyle w:val="LDMinuteParagraph"/>
        <w:tabs>
          <w:tab w:val="clear" w:pos="360"/>
        </w:tabs>
      </w:pPr>
      <w:r w:rsidRPr="003F3302">
        <w:t>Th</w:t>
      </w:r>
      <w:r w:rsidR="00F4312A">
        <w:rPr>
          <w:color w:val="000000"/>
        </w:rPr>
        <w:t>is i</w:t>
      </w:r>
      <w:r w:rsidRPr="00D2586E">
        <w:rPr>
          <w:color w:val="000000"/>
        </w:rPr>
        <w:t>nstrument</w:t>
      </w:r>
      <w:r w:rsidRPr="003F3302">
        <w:t xml:space="preserve"> commences on the day after </w:t>
      </w:r>
      <w:r w:rsidR="001E6F88">
        <w:t>the day it is registered</w:t>
      </w:r>
      <w:r w:rsidRPr="003F3302">
        <w:t>.</w:t>
      </w:r>
    </w:p>
    <w:p w14:paraId="2D47EC1C" w14:textId="77777777" w:rsidR="00AF6D5B" w:rsidRDefault="00AF6D5B">
      <w:pPr>
        <w:rPr>
          <w:rFonts w:ascii="Times New Roman" w:eastAsia="Times New Roman" w:hAnsi="Times New Roman" w:cs="Times New Roman"/>
          <w:sz w:val="24"/>
          <w:szCs w:val="20"/>
        </w:rPr>
      </w:pPr>
      <w:r>
        <w:br w:type="page"/>
      </w:r>
    </w:p>
    <w:p w14:paraId="4DF6D4F5" w14:textId="55EAEF3B" w:rsidR="00B50614" w:rsidRPr="00AF6D5B" w:rsidRDefault="00B50614" w:rsidP="00AF6D5B">
      <w:pPr>
        <w:pStyle w:val="LDAmendHeading"/>
        <w:rPr>
          <w:b w:val="0"/>
        </w:rPr>
      </w:pPr>
      <w:r w:rsidRPr="00AF6D5B">
        <w:lastRenderedPageBreak/>
        <w:t>Explanation of provisions</w:t>
      </w:r>
    </w:p>
    <w:p w14:paraId="5EB8BDA0" w14:textId="77777777" w:rsidR="006F2BB8" w:rsidRDefault="006F2BB8" w:rsidP="00AF6D5B">
      <w:pPr>
        <w:pStyle w:val="LDMinuteParagraph"/>
        <w:numPr>
          <w:ilvl w:val="0"/>
          <w:numId w:val="0"/>
        </w:numPr>
        <w:tabs>
          <w:tab w:val="clear" w:pos="360"/>
        </w:tabs>
        <w:ind w:left="142"/>
        <w:rPr>
          <w:b/>
        </w:rPr>
      </w:pPr>
    </w:p>
    <w:p w14:paraId="1154A09A" w14:textId="183B9762" w:rsidR="00B50614" w:rsidRPr="00AF6D5B" w:rsidRDefault="00B50614" w:rsidP="00AF6D5B">
      <w:pPr>
        <w:pStyle w:val="LDMinuteParagraph"/>
        <w:numPr>
          <w:ilvl w:val="0"/>
          <w:numId w:val="0"/>
        </w:numPr>
        <w:tabs>
          <w:tab w:val="clear" w:pos="360"/>
        </w:tabs>
      </w:pPr>
      <w:r w:rsidRPr="00AF6D5B">
        <w:rPr>
          <w:b/>
        </w:rPr>
        <w:t>Section 1</w:t>
      </w:r>
      <w:r w:rsidR="00F4312A" w:rsidRPr="001D7223">
        <w:t xml:space="preserve"> states the name of the i</w:t>
      </w:r>
      <w:r w:rsidRPr="00AF6D5B">
        <w:t>nstrument.</w:t>
      </w:r>
    </w:p>
    <w:p w14:paraId="76A1E3D2" w14:textId="30B5448D" w:rsidR="00B50614" w:rsidRPr="00AF6D5B" w:rsidRDefault="00B50614" w:rsidP="00AF6D5B">
      <w:pPr>
        <w:pStyle w:val="LDMinuteParagraph"/>
        <w:numPr>
          <w:ilvl w:val="0"/>
          <w:numId w:val="0"/>
        </w:numPr>
        <w:tabs>
          <w:tab w:val="clear" w:pos="360"/>
        </w:tabs>
      </w:pPr>
      <w:r w:rsidRPr="00AF6D5B">
        <w:rPr>
          <w:b/>
        </w:rPr>
        <w:t>Section 2</w:t>
      </w:r>
      <w:r w:rsidRPr="001D7223">
        <w:t xml:space="preserve"> provides</w:t>
      </w:r>
      <w:r w:rsidR="00F4312A" w:rsidRPr="001D7223">
        <w:t xml:space="preserve"> that the i</w:t>
      </w:r>
      <w:r w:rsidRPr="00AF6D5B">
        <w:t>nstrument commences at the start of the day after</w:t>
      </w:r>
      <w:r>
        <w:t xml:space="preserve"> the day it is registered on the Federal Register of Legislation</w:t>
      </w:r>
      <w:r w:rsidRPr="00AF6D5B">
        <w:t>.</w:t>
      </w:r>
      <w:r>
        <w:t xml:space="preserve"> This has the same effect as paragraph 12(1)(a) of the </w:t>
      </w:r>
      <w:r>
        <w:rPr>
          <w:i/>
        </w:rPr>
        <w:t>Legislation Act 2003</w:t>
      </w:r>
      <w:r>
        <w:t>.</w:t>
      </w:r>
    </w:p>
    <w:p w14:paraId="32E35565" w14:textId="442B5963" w:rsidR="006F2BB8" w:rsidRDefault="006F2BB8" w:rsidP="00AF6D5B">
      <w:pPr>
        <w:pStyle w:val="LDMinuteParagraph"/>
        <w:numPr>
          <w:ilvl w:val="0"/>
          <w:numId w:val="0"/>
        </w:numPr>
        <w:tabs>
          <w:tab w:val="clear" w:pos="360"/>
        </w:tabs>
      </w:pPr>
      <w:r w:rsidRPr="001D7223">
        <w:rPr>
          <w:b/>
        </w:rPr>
        <w:t>Section 3</w:t>
      </w:r>
      <w:r w:rsidR="00B50614" w:rsidRPr="00AF6D5B">
        <w:t xml:space="preserve"> </w:t>
      </w:r>
      <w:r>
        <w:t xml:space="preserve">provides that a person is not entitled to an energy supplement under section 83A of the Act for a particular day if the same person is already entitled to an energy supplement for that </w:t>
      </w:r>
      <w:proofErr w:type="gramStart"/>
      <w:r>
        <w:t>particular day</w:t>
      </w:r>
      <w:proofErr w:type="gramEnd"/>
      <w:r>
        <w:t xml:space="preserve"> under either section 209A of the Act or section 62A of the </w:t>
      </w:r>
      <w:r>
        <w:rPr>
          <w:i/>
        </w:rPr>
        <w:t>Veterans’ Entitlements Act 1986</w:t>
      </w:r>
      <w:r w:rsidR="0002249A">
        <w:t xml:space="preserve"> (an </w:t>
      </w:r>
      <w:r w:rsidR="0002249A">
        <w:rPr>
          <w:b/>
          <w:i/>
        </w:rPr>
        <w:t>excluded provision</w:t>
      </w:r>
      <w:r w:rsidR="0002249A">
        <w:t>)</w:t>
      </w:r>
      <w:r>
        <w:t>.</w:t>
      </w:r>
    </w:p>
    <w:p w14:paraId="43733324" w14:textId="7CD852CA" w:rsidR="006F2BB8" w:rsidRDefault="006F2BB8" w:rsidP="00AF6D5B">
      <w:pPr>
        <w:pStyle w:val="LDMinuteParagraph"/>
        <w:numPr>
          <w:ilvl w:val="0"/>
          <w:numId w:val="0"/>
        </w:numPr>
        <w:tabs>
          <w:tab w:val="clear" w:pos="360"/>
        </w:tabs>
      </w:pPr>
      <w:r>
        <w:t>This section is intended to avoid double payment of an energy supplement.</w:t>
      </w:r>
    </w:p>
    <w:p w14:paraId="1B3E9A26" w14:textId="5C0EE160" w:rsidR="0002249A" w:rsidRDefault="0002249A" w:rsidP="00AF6D5B">
      <w:pPr>
        <w:pStyle w:val="LDMinuteParagraph"/>
        <w:numPr>
          <w:ilvl w:val="0"/>
          <w:numId w:val="0"/>
        </w:numPr>
        <w:tabs>
          <w:tab w:val="clear" w:pos="360"/>
        </w:tabs>
      </w:pPr>
      <w:r>
        <w:t xml:space="preserve">Under this section, it is not relevant whether the person who is entitled to an energy supplement under an excluded provision has </w:t>
      </w:r>
      <w:proofErr w:type="gramStart"/>
      <w:r>
        <w:t>actually received</w:t>
      </w:r>
      <w:proofErr w:type="gramEnd"/>
      <w:r>
        <w:t xml:space="preserve"> the energy supplement. It is the person’s entitlement to the energy supplement that is the main relevant consideration here, not the receipt of the payment.</w:t>
      </w:r>
    </w:p>
    <w:p w14:paraId="502F459F" w14:textId="6E41C711" w:rsidR="00CD2DE4" w:rsidRPr="001D7223" w:rsidRDefault="00CD2DE4" w:rsidP="00AF6D5B">
      <w:pPr>
        <w:pStyle w:val="LDMinuteParagraph"/>
        <w:numPr>
          <w:ilvl w:val="0"/>
          <w:numId w:val="0"/>
        </w:numPr>
        <w:tabs>
          <w:tab w:val="clear" w:pos="360"/>
        </w:tabs>
      </w:pPr>
      <w:r>
        <w:t xml:space="preserve">The expression </w:t>
      </w:r>
      <w:r>
        <w:rPr>
          <w:b/>
          <w:i/>
        </w:rPr>
        <w:t>energy supplement</w:t>
      </w:r>
      <w:r>
        <w:t xml:space="preserve"> is defined in section 5 of the Act. Because of paragraph 13(1)(b) of the </w:t>
      </w:r>
      <w:r>
        <w:rPr>
          <w:i/>
        </w:rPr>
        <w:t>Legislation Act 2003</w:t>
      </w:r>
      <w:r>
        <w:t xml:space="preserve">, </w:t>
      </w:r>
      <w:r>
        <w:rPr>
          <w:b/>
          <w:i/>
        </w:rPr>
        <w:t>energy supplement</w:t>
      </w:r>
      <w:r>
        <w:t xml:space="preserve"> in this instrument has the same meaning as in the Act.</w:t>
      </w:r>
    </w:p>
    <w:p w14:paraId="2BAA8200" w14:textId="0E769B02" w:rsidR="006F2BB8" w:rsidRDefault="006F2BB8" w:rsidP="00AF6D5B">
      <w:pPr>
        <w:pStyle w:val="LDMinuteParagraph"/>
        <w:numPr>
          <w:ilvl w:val="0"/>
          <w:numId w:val="0"/>
        </w:numPr>
        <w:tabs>
          <w:tab w:val="clear" w:pos="360"/>
        </w:tabs>
      </w:pPr>
      <w:r>
        <w:br w:type="page"/>
      </w:r>
    </w:p>
    <w:p w14:paraId="3DB37431" w14:textId="77777777" w:rsidR="00FD7286" w:rsidRDefault="00FD7286" w:rsidP="00FD7286">
      <w:pPr>
        <w:pStyle w:val="Title"/>
      </w:pPr>
      <w:r>
        <w:lastRenderedPageBreak/>
        <w:t>Statement of Compatibility with Human Rights</w:t>
      </w:r>
    </w:p>
    <w:p w14:paraId="287D5D6F" w14:textId="0DEC9F09" w:rsidR="00FD7286" w:rsidRDefault="00FD7286" w:rsidP="00FD7286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662D9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04803A52" w14:textId="32520048" w:rsidR="00FD7286" w:rsidRPr="00FD7286" w:rsidRDefault="00FD7286" w:rsidP="00FD7286">
      <w:pPr>
        <w:pStyle w:val="LDAmendHeading"/>
        <w:ind w:left="0" w:firstLine="0"/>
        <w:jc w:val="center"/>
        <w:rPr>
          <w:rFonts w:cs="Arial"/>
          <w:bCs/>
          <w:i/>
        </w:rPr>
      </w:pPr>
      <w:r w:rsidRPr="00FD7286">
        <w:rPr>
          <w:rFonts w:cs="Arial"/>
          <w:bCs/>
          <w:i/>
        </w:rPr>
        <w:t xml:space="preserve">Military Rehabilitation and Compensation (Multiple Entitlement Exclusion) Determination </w:t>
      </w:r>
      <w:r w:rsidR="001D7223" w:rsidRPr="00FD7286">
        <w:rPr>
          <w:rFonts w:cs="Arial"/>
          <w:bCs/>
          <w:i/>
        </w:rPr>
        <w:t>202</w:t>
      </w:r>
      <w:r w:rsidR="001D7223">
        <w:rPr>
          <w:rFonts w:cs="Arial"/>
          <w:bCs/>
          <w:i/>
        </w:rPr>
        <w:t>4</w:t>
      </w:r>
    </w:p>
    <w:p w14:paraId="2B7785A0" w14:textId="659E47E1" w:rsidR="007A79BF" w:rsidRPr="00C04470" w:rsidRDefault="00FD7286" w:rsidP="00C0447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662D9">
        <w:rPr>
          <w:rFonts w:ascii="Times New Roman" w:hAnsi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0662D9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0662D9">
        <w:rPr>
          <w:rFonts w:ascii="Times New Roman" w:hAnsi="Times New Roman"/>
          <w:sz w:val="24"/>
          <w:szCs w:val="24"/>
        </w:rPr>
        <w:t>.</w:t>
      </w:r>
    </w:p>
    <w:p w14:paraId="439C9751" w14:textId="77777777" w:rsidR="003F3302" w:rsidRPr="005F5B31" w:rsidRDefault="003F3302" w:rsidP="00DF051F">
      <w:pPr>
        <w:pStyle w:val="LDAmendHeading"/>
        <w:rPr>
          <w:rFonts w:cs="Arial"/>
        </w:rPr>
      </w:pPr>
      <w:r w:rsidRPr="005F5B31">
        <w:rPr>
          <w:rFonts w:cs="Arial"/>
          <w:bCs/>
        </w:rPr>
        <w:t xml:space="preserve">Human </w:t>
      </w:r>
      <w:r w:rsidRPr="00DF051F">
        <w:t>rights</w:t>
      </w:r>
      <w:r w:rsidRPr="005F5B31">
        <w:rPr>
          <w:rFonts w:cs="Arial"/>
          <w:bCs/>
        </w:rPr>
        <w:t xml:space="preserve"> implications </w:t>
      </w:r>
    </w:p>
    <w:p w14:paraId="6965E8D2" w14:textId="69F05B21" w:rsidR="003F3302" w:rsidRPr="003F3302" w:rsidRDefault="003F3302" w:rsidP="00C04470">
      <w:pPr>
        <w:pStyle w:val="LDMinuteParagraph"/>
        <w:numPr>
          <w:ilvl w:val="0"/>
          <w:numId w:val="0"/>
        </w:numPr>
        <w:tabs>
          <w:tab w:val="clear" w:pos="360"/>
        </w:tabs>
        <w:rPr>
          <w:bCs/>
        </w:rPr>
      </w:pPr>
      <w:r w:rsidRPr="00226D67">
        <w:t>Th</w:t>
      </w:r>
      <w:r>
        <w:t xml:space="preserve">e </w:t>
      </w:r>
      <w:r w:rsidR="007318D5">
        <w:t>i</w:t>
      </w:r>
      <w:r w:rsidRPr="00226D67">
        <w:t xml:space="preserve">nstrument does engage an applicable right or freedom. It relates to the right to </w:t>
      </w:r>
      <w:r w:rsidRPr="00DF051F">
        <w:t>social</w:t>
      </w:r>
      <w:r w:rsidRPr="00226D67">
        <w:t xml:space="preserve"> security. </w:t>
      </w:r>
      <w:r w:rsidR="00C06268">
        <w:t>The right to social security is contained in Article 9 of the International Covenant on Economic Social and Cultural Rights (ICESCR).</w:t>
      </w:r>
      <w:r w:rsidRPr="00226D67">
        <w:t xml:space="preserve"> The right to social security requires, among other </w:t>
      </w:r>
      <w:r w:rsidRPr="00DF051F">
        <w:t>things</w:t>
      </w:r>
      <w:r w:rsidRPr="00226D67">
        <w:t>, the right to a minimu</w:t>
      </w:r>
      <w:r>
        <w:t>m essential level of benefits for</w:t>
      </w:r>
      <w:r w:rsidRPr="00226D67">
        <w:t xml:space="preserve"> all </w:t>
      </w:r>
      <w:r w:rsidRPr="00DF051F">
        <w:t>individuals</w:t>
      </w:r>
      <w:r w:rsidRPr="00226D67">
        <w:t xml:space="preserve"> and families that will enable them to acquire at least essential health care, basic shelter and housing, water and sanitation, foodstuffs, and the most basic forms of education.</w:t>
      </w:r>
    </w:p>
    <w:p w14:paraId="05A1BDCC" w14:textId="77777777" w:rsidR="003F3302" w:rsidRPr="00226D67" w:rsidRDefault="003F3302" w:rsidP="00C04470">
      <w:pPr>
        <w:pStyle w:val="LDMinuteParagraph"/>
        <w:numPr>
          <w:ilvl w:val="0"/>
          <w:numId w:val="0"/>
        </w:numPr>
        <w:tabs>
          <w:tab w:val="clear" w:pos="360"/>
        </w:tabs>
      </w:pPr>
      <w:r w:rsidRPr="00226D67">
        <w:t xml:space="preserve">This compensation is intended to enable people with limited means to continue to have adequate </w:t>
      </w:r>
      <w:r w:rsidRPr="00D2586E">
        <w:rPr>
          <w:color w:val="000000"/>
        </w:rPr>
        <w:t>access</w:t>
      </w:r>
      <w:r w:rsidRPr="00226D67">
        <w:t xml:space="preserve"> to essential services and would be in accordance with </w:t>
      </w:r>
      <w:r w:rsidRPr="00DF051F">
        <w:t>Australia’s</w:t>
      </w:r>
      <w:r w:rsidRPr="00226D67">
        <w:t xml:space="preserve"> social security obligations under the International Covenant on Economic, Social and Cultural Rights.</w:t>
      </w:r>
    </w:p>
    <w:p w14:paraId="28FAF81A" w14:textId="77777777" w:rsidR="003F3302" w:rsidRPr="003F3302" w:rsidRDefault="003F3302" w:rsidP="00C04470">
      <w:pPr>
        <w:pStyle w:val="LDMinuteParagraph"/>
        <w:numPr>
          <w:ilvl w:val="0"/>
          <w:numId w:val="0"/>
        </w:numPr>
        <w:tabs>
          <w:tab w:val="clear" w:pos="360"/>
        </w:tabs>
      </w:pPr>
      <w:r w:rsidRPr="003F3302">
        <w:t xml:space="preserve">The UN </w:t>
      </w:r>
      <w:r w:rsidRPr="00D2586E">
        <w:rPr>
          <w:color w:val="000000"/>
        </w:rPr>
        <w:t>Committee</w:t>
      </w:r>
      <w:r w:rsidRPr="003F3302">
        <w:t xml:space="preserve"> on Economic Social and Cultural Rights has stated that qualifying conditions for benefits must be reasonable, proportionate and transparent.</w:t>
      </w:r>
    </w:p>
    <w:p w14:paraId="3F0CD1BD" w14:textId="44E50157" w:rsidR="00BF1C82" w:rsidRPr="00DF051F" w:rsidRDefault="003F3302" w:rsidP="00C04470">
      <w:pPr>
        <w:pStyle w:val="LDMinuteParagraph"/>
        <w:numPr>
          <w:ilvl w:val="0"/>
          <w:numId w:val="0"/>
        </w:numPr>
        <w:tabs>
          <w:tab w:val="clear" w:pos="360"/>
        </w:tabs>
      </w:pPr>
      <w:r w:rsidRPr="00DF051F">
        <w:t xml:space="preserve">The instrument appears to satisfy these criteria.  It ensures that </w:t>
      </w:r>
      <w:r w:rsidR="007318D5">
        <w:t>a person</w:t>
      </w:r>
      <w:r w:rsidRPr="00DF051F">
        <w:t xml:space="preserve"> do</w:t>
      </w:r>
      <w:r w:rsidR="007318D5">
        <w:t>es</w:t>
      </w:r>
      <w:r w:rsidRPr="00DF051F">
        <w:t xml:space="preserve"> not receive </w:t>
      </w:r>
      <w:proofErr w:type="gramStart"/>
      <w:r w:rsidRPr="00D2586E">
        <w:rPr>
          <w:color w:val="000000"/>
        </w:rPr>
        <w:t>double</w:t>
      </w:r>
      <w:r w:rsidRPr="00DF051F">
        <w:t>-entitlements</w:t>
      </w:r>
      <w:proofErr w:type="gramEnd"/>
      <w:r w:rsidRPr="00DF051F">
        <w:t xml:space="preserve"> </w:t>
      </w:r>
      <w:r w:rsidR="007318D5">
        <w:t>when</w:t>
      </w:r>
      <w:r w:rsidRPr="00DF051F">
        <w:t xml:space="preserve"> only </w:t>
      </w:r>
      <w:r w:rsidR="00BC14AE">
        <w:t>one</w:t>
      </w:r>
      <w:r w:rsidR="00BC14AE" w:rsidRPr="00DF051F">
        <w:t xml:space="preserve"> </w:t>
      </w:r>
      <w:r w:rsidRPr="00DF051F">
        <w:t xml:space="preserve">entitlement is intended. </w:t>
      </w:r>
      <w:r w:rsidR="00CD2DE4">
        <w:t xml:space="preserve"> </w:t>
      </w:r>
      <w:r w:rsidRPr="00DF051F">
        <w:t>There is no scope for the exercise of a discretion under the instrument, the conditions are prescriptive.</w:t>
      </w:r>
    </w:p>
    <w:p w14:paraId="69D726C2" w14:textId="77777777" w:rsidR="00BF1C82" w:rsidRDefault="00BF1C82" w:rsidP="00DF051F">
      <w:pPr>
        <w:pStyle w:val="LDAmendHeading"/>
        <w:rPr>
          <w:rFonts w:cs="Arial"/>
          <w:bCs/>
        </w:rPr>
      </w:pPr>
      <w:r w:rsidRPr="00DF051F">
        <w:t>Conclusion</w:t>
      </w:r>
    </w:p>
    <w:p w14:paraId="7DF6DE47" w14:textId="77777777" w:rsidR="00BF1C82" w:rsidRPr="00BF1C82" w:rsidRDefault="00BF1C82" w:rsidP="00C04470">
      <w:pPr>
        <w:pStyle w:val="LDMinuteParagraph"/>
        <w:numPr>
          <w:ilvl w:val="0"/>
          <w:numId w:val="0"/>
        </w:numPr>
        <w:tabs>
          <w:tab w:val="clear" w:pos="360"/>
        </w:tabs>
      </w:pPr>
      <w:r w:rsidRPr="00BF1C82">
        <w:t xml:space="preserve">The instrument is compatible with human rights because it does not reduce the right to social security but merely ensures the right is exercised appropriately and not used </w:t>
      </w:r>
      <w:r w:rsidR="001E54DC">
        <w:rPr>
          <w:color w:val="000000"/>
        </w:rPr>
        <w:t>for unintended extra benefits.</w:t>
      </w:r>
      <w:r w:rsidRPr="00BF1C82">
        <w:t xml:space="preserve"> </w:t>
      </w:r>
      <w:r w:rsidR="001E54DC">
        <w:t>T</w:t>
      </w:r>
      <w:r w:rsidRPr="00BF1C82">
        <w:t xml:space="preserve">he conditions the instrument imposes on the entitlement are considered fair and reasonable in the policy context. </w:t>
      </w:r>
    </w:p>
    <w:p w14:paraId="7237C172" w14:textId="151BB476" w:rsidR="00C66293" w:rsidRDefault="00C66293" w:rsidP="00C66293">
      <w:pPr>
        <w:pStyle w:val="LDMinuteParagraph"/>
        <w:numPr>
          <w:ilvl w:val="0"/>
          <w:numId w:val="0"/>
        </w:numPr>
        <w:tabs>
          <w:tab w:val="clear" w:pos="360"/>
        </w:tabs>
      </w:pPr>
    </w:p>
    <w:p w14:paraId="62E6DAF2" w14:textId="77777777" w:rsidR="00C66293" w:rsidRDefault="00C66293" w:rsidP="00C66293">
      <w:pPr>
        <w:pStyle w:val="LDMinuteParagraph"/>
        <w:numPr>
          <w:ilvl w:val="0"/>
          <w:numId w:val="0"/>
        </w:numPr>
        <w:tabs>
          <w:tab w:val="clear" w:pos="360"/>
        </w:tabs>
      </w:pPr>
    </w:p>
    <w:p w14:paraId="196D4842" w14:textId="7B33184A" w:rsidR="001E54DC" w:rsidRDefault="00BF1C82" w:rsidP="00C66293">
      <w:pPr>
        <w:pStyle w:val="LDMinuteParagraph"/>
        <w:numPr>
          <w:ilvl w:val="0"/>
          <w:numId w:val="0"/>
        </w:numPr>
        <w:tabs>
          <w:tab w:val="clear" w:pos="360"/>
        </w:tabs>
        <w:spacing w:after="0"/>
      </w:pPr>
      <w:r>
        <w:t xml:space="preserve">Military </w:t>
      </w:r>
      <w:r w:rsidRPr="00D2586E">
        <w:rPr>
          <w:color w:val="000000"/>
        </w:rPr>
        <w:t>Rehabilitation</w:t>
      </w:r>
      <w:r>
        <w:t xml:space="preserve"> and Compensation Commission</w:t>
      </w:r>
    </w:p>
    <w:p w14:paraId="3A149F07" w14:textId="33DFB8AA" w:rsidR="00C66293" w:rsidRPr="00226D67" w:rsidRDefault="00C66293" w:rsidP="00C66293">
      <w:pPr>
        <w:pStyle w:val="LDMinuteParagraph"/>
        <w:numPr>
          <w:ilvl w:val="0"/>
          <w:numId w:val="0"/>
        </w:numPr>
        <w:tabs>
          <w:tab w:val="clear" w:pos="360"/>
        </w:tabs>
        <w:spacing w:after="0"/>
      </w:pPr>
      <w:r>
        <w:t>Rule-Maker</w:t>
      </w:r>
    </w:p>
    <w:sectPr w:rsidR="00C66293" w:rsidRPr="00226D67" w:rsidSect="00602F5D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C5A4" w14:textId="77777777" w:rsidR="00F13893" w:rsidRDefault="00F13893" w:rsidP="00602F5D">
      <w:pPr>
        <w:spacing w:after="0" w:line="240" w:lineRule="auto"/>
      </w:pPr>
      <w:r>
        <w:separator/>
      </w:r>
    </w:p>
  </w:endnote>
  <w:endnote w:type="continuationSeparator" w:id="0">
    <w:p w14:paraId="3A03028A" w14:textId="77777777" w:rsidR="00F13893" w:rsidRDefault="00F13893" w:rsidP="0060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="Times New Roman" w:hAnsi="Arial" w:cs="Arial"/>
        <w:b/>
        <w:bCs/>
        <w:sz w:val="24"/>
        <w:szCs w:val="24"/>
      </w:rPr>
      <w:id w:val="-1520153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27ABC" w14:textId="0E4F6647" w:rsidR="00602F5D" w:rsidRPr="00506142" w:rsidRDefault="00602F5D" w:rsidP="00602F5D">
        <w:pPr>
          <w:pStyle w:val="Footer"/>
          <w:pBdr>
            <w:top w:val="single" w:sz="4" w:space="1" w:color="auto"/>
          </w:pBdr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i/>
            <w:sz w:val="16"/>
            <w:szCs w:val="16"/>
          </w:rPr>
          <w:t xml:space="preserve">Military Rehabilitation and Compensation (Multiple Entitlement Exclusion Determination) </w:t>
        </w:r>
        <w:r w:rsidR="001D7223">
          <w:rPr>
            <w:rFonts w:ascii="Arial" w:hAnsi="Arial" w:cs="Arial"/>
            <w:i/>
            <w:sz w:val="16"/>
            <w:szCs w:val="16"/>
          </w:rPr>
          <w:t>2024</w:t>
        </w:r>
        <w:r>
          <w:rPr>
            <w:rFonts w:ascii="Arial" w:hAnsi="Arial" w:cs="Arial"/>
            <w:sz w:val="16"/>
            <w:szCs w:val="16"/>
          </w:rPr>
          <w:tab/>
        </w:r>
        <w:r w:rsidRPr="00DE2A5F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E2A5F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E2A5F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="00AF6D5B">
          <w:rPr>
            <w:rStyle w:val="PageNumber"/>
            <w:rFonts w:ascii="Arial" w:hAnsi="Arial" w:cs="Arial"/>
            <w:noProof/>
            <w:sz w:val="16"/>
            <w:szCs w:val="16"/>
          </w:rPr>
          <w:t>3</w:t>
        </w:r>
        <w:r w:rsidRPr="00DE2A5F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  <w:p w14:paraId="7B4B3EA8" w14:textId="77777777" w:rsidR="00602F5D" w:rsidRDefault="00CD2DE4" w:rsidP="00602F5D">
        <w:pPr>
          <w:pStyle w:val="Title"/>
          <w:jc w:val="left"/>
          <w:rPr>
            <w:rFonts w:ascii="Times New Roman" w:hAnsi="Times New Roman" w:cs="Times New Roman"/>
            <w:b w:val="0"/>
            <w:bCs w:val="0"/>
            <w:noProof/>
          </w:rPr>
        </w:pPr>
      </w:p>
    </w:sdtContent>
  </w:sdt>
  <w:p w14:paraId="10AFB45C" w14:textId="77777777" w:rsidR="00602F5D" w:rsidRDefault="0060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BB71A" w14:textId="77777777" w:rsidR="00F13893" w:rsidRDefault="00F13893" w:rsidP="00602F5D">
      <w:pPr>
        <w:spacing w:after="0" w:line="240" w:lineRule="auto"/>
      </w:pPr>
      <w:r>
        <w:separator/>
      </w:r>
    </w:p>
  </w:footnote>
  <w:footnote w:type="continuationSeparator" w:id="0">
    <w:p w14:paraId="5D67D0EB" w14:textId="77777777" w:rsidR="00F13893" w:rsidRDefault="00F13893" w:rsidP="0060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306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B64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729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92F0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E0D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8C3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A7A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F81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ECD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61194C"/>
    <w:multiLevelType w:val="hybridMultilevel"/>
    <w:tmpl w:val="3F9A8328"/>
    <w:lvl w:ilvl="0" w:tplc="302ED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256A3"/>
    <w:multiLevelType w:val="hybridMultilevel"/>
    <w:tmpl w:val="5A861D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07E89"/>
    <w:multiLevelType w:val="hybridMultilevel"/>
    <w:tmpl w:val="C518A30C"/>
    <w:lvl w:ilvl="0" w:tplc="9EC0A67A">
      <w:start w:val="1"/>
      <w:numFmt w:val="decimal"/>
      <w:pStyle w:val="LDMinuteParagraph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C1EB2"/>
    <w:multiLevelType w:val="hybridMultilevel"/>
    <w:tmpl w:val="AFB4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10665">
    <w:abstractNumId w:val="12"/>
  </w:num>
  <w:num w:numId="2" w16cid:durableId="677390238">
    <w:abstractNumId w:val="10"/>
  </w:num>
  <w:num w:numId="3" w16cid:durableId="512572573">
    <w:abstractNumId w:val="9"/>
  </w:num>
  <w:num w:numId="4" w16cid:durableId="1413089823">
    <w:abstractNumId w:val="7"/>
  </w:num>
  <w:num w:numId="5" w16cid:durableId="889072217">
    <w:abstractNumId w:val="6"/>
  </w:num>
  <w:num w:numId="6" w16cid:durableId="72044667">
    <w:abstractNumId w:val="5"/>
  </w:num>
  <w:num w:numId="7" w16cid:durableId="1392270175">
    <w:abstractNumId w:val="4"/>
  </w:num>
  <w:num w:numId="8" w16cid:durableId="1844858380">
    <w:abstractNumId w:val="8"/>
  </w:num>
  <w:num w:numId="9" w16cid:durableId="2036927545">
    <w:abstractNumId w:val="3"/>
  </w:num>
  <w:num w:numId="10" w16cid:durableId="1172599725">
    <w:abstractNumId w:val="2"/>
  </w:num>
  <w:num w:numId="11" w16cid:durableId="7173842">
    <w:abstractNumId w:val="1"/>
  </w:num>
  <w:num w:numId="12" w16cid:durableId="200368242">
    <w:abstractNumId w:val="0"/>
  </w:num>
  <w:num w:numId="13" w16cid:durableId="1002394998">
    <w:abstractNumId w:val="11"/>
  </w:num>
  <w:num w:numId="14" w16cid:durableId="1870871753">
    <w:abstractNumId w:val="12"/>
  </w:num>
  <w:num w:numId="15" w16cid:durableId="1146513654">
    <w:abstractNumId w:val="12"/>
  </w:num>
  <w:num w:numId="16" w16cid:durableId="576667240">
    <w:abstractNumId w:val="12"/>
  </w:num>
  <w:num w:numId="17" w16cid:durableId="955723231">
    <w:abstractNumId w:val="12"/>
  </w:num>
  <w:num w:numId="18" w16cid:durableId="1569536362">
    <w:abstractNumId w:val="12"/>
  </w:num>
  <w:num w:numId="19" w16cid:durableId="401294484">
    <w:abstractNumId w:val="13"/>
  </w:num>
  <w:num w:numId="20" w16cid:durableId="202137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F6"/>
    <w:rsid w:val="000008E9"/>
    <w:rsid w:val="0002249A"/>
    <w:rsid w:val="0008758E"/>
    <w:rsid w:val="000A3B8B"/>
    <w:rsid w:val="000A49CF"/>
    <w:rsid w:val="000D33F6"/>
    <w:rsid w:val="001877F6"/>
    <w:rsid w:val="001D7223"/>
    <w:rsid w:val="001E54DC"/>
    <w:rsid w:val="001E6F88"/>
    <w:rsid w:val="00210FCE"/>
    <w:rsid w:val="002674DD"/>
    <w:rsid w:val="003273FB"/>
    <w:rsid w:val="003632CE"/>
    <w:rsid w:val="00372CEA"/>
    <w:rsid w:val="003D54E5"/>
    <w:rsid w:val="003F0040"/>
    <w:rsid w:val="003F3302"/>
    <w:rsid w:val="00602F5D"/>
    <w:rsid w:val="00605A5C"/>
    <w:rsid w:val="006D1BB6"/>
    <w:rsid w:val="006D3736"/>
    <w:rsid w:val="006F2BB8"/>
    <w:rsid w:val="007318D5"/>
    <w:rsid w:val="007A79BF"/>
    <w:rsid w:val="008A2BDE"/>
    <w:rsid w:val="008F0D55"/>
    <w:rsid w:val="00940F4C"/>
    <w:rsid w:val="00941153"/>
    <w:rsid w:val="009919AC"/>
    <w:rsid w:val="00A1112D"/>
    <w:rsid w:val="00A5252B"/>
    <w:rsid w:val="00AB2D92"/>
    <w:rsid w:val="00AF6D5B"/>
    <w:rsid w:val="00B50614"/>
    <w:rsid w:val="00B51C18"/>
    <w:rsid w:val="00BC14AE"/>
    <w:rsid w:val="00BF1C82"/>
    <w:rsid w:val="00C04470"/>
    <w:rsid w:val="00C06268"/>
    <w:rsid w:val="00C66293"/>
    <w:rsid w:val="00CD2DE4"/>
    <w:rsid w:val="00D2586E"/>
    <w:rsid w:val="00DF051F"/>
    <w:rsid w:val="00E868D5"/>
    <w:rsid w:val="00EA3E5E"/>
    <w:rsid w:val="00EE7B38"/>
    <w:rsid w:val="00F13893"/>
    <w:rsid w:val="00F4312A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05A1"/>
  <w15:chartTrackingRefBased/>
  <w15:docId w15:val="{894E3A90-D56A-4DCC-9608-0A5D0587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Description">
    <w:name w:val="LD Description"/>
    <w:rsid w:val="00210FCE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210FC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10FCE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602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2F5D"/>
  </w:style>
  <w:style w:type="paragraph" w:styleId="Footer">
    <w:name w:val="footer"/>
    <w:basedOn w:val="Normal"/>
    <w:link w:val="FooterChar"/>
    <w:unhideWhenUsed/>
    <w:rsid w:val="00602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F5D"/>
  </w:style>
  <w:style w:type="character" w:styleId="PageNumber">
    <w:name w:val="page number"/>
    <w:basedOn w:val="DefaultParagraphFont"/>
    <w:rsid w:val="00602F5D"/>
  </w:style>
  <w:style w:type="paragraph" w:customStyle="1" w:styleId="LDBodytext">
    <w:name w:val="LDBody text"/>
    <w:link w:val="LDBodytextChar"/>
    <w:rsid w:val="00DF051F"/>
    <w:pPr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DF051F"/>
    <w:rPr>
      <w:rFonts w:ascii="Times New Roman" w:eastAsia="Times New Roman" w:hAnsi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3F3302"/>
    <w:rPr>
      <w:b/>
      <w:i/>
    </w:rPr>
  </w:style>
  <w:style w:type="paragraph" w:customStyle="1" w:styleId="Default">
    <w:name w:val="Default"/>
    <w:rsid w:val="003F33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F051F"/>
    <w:pPr>
      <w:ind w:left="720" w:hanging="360"/>
      <w:contextualSpacing/>
      <w:jc w:val="both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Char">
    <w:name w:val="Char"/>
    <w:basedOn w:val="Normal"/>
    <w:rsid w:val="009919AC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LDAmendHeading">
    <w:name w:val="LDAmendHeading"/>
    <w:basedOn w:val="Normal"/>
    <w:next w:val="Normal"/>
    <w:rsid w:val="009919AC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MinuteParagraph">
    <w:name w:val="LDMinuteParagraph"/>
    <w:basedOn w:val="Normal"/>
    <w:rsid w:val="00D2586E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3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B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50614"/>
    <w:rPr>
      <w:color w:val="0000FF"/>
      <w:u w:val="single"/>
    </w:rPr>
  </w:style>
  <w:style w:type="paragraph" w:styleId="Revision">
    <w:name w:val="Revision"/>
    <w:hidden/>
    <w:uiPriority w:val="99"/>
    <w:semiHidden/>
    <w:rsid w:val="00CD2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5997-8D14-4929-A3D9-F990F42B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Vandayar, Mayuri</dc:creator>
  <cp:keywords/>
  <dc:description/>
  <cp:lastModifiedBy>Tan, Beng Chang</cp:lastModifiedBy>
  <cp:revision>2</cp:revision>
  <dcterms:created xsi:type="dcterms:W3CDTF">2024-08-02T02:27:00Z</dcterms:created>
  <dcterms:modified xsi:type="dcterms:W3CDTF">2024-08-02T02:27:00Z</dcterms:modified>
</cp:coreProperties>
</file>