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2CB8" w14:textId="77777777" w:rsidR="00AC335F" w:rsidRPr="00AF5E46" w:rsidRDefault="00AC335F" w:rsidP="00AC335F">
      <w:pPr>
        <w:rPr>
          <w:sz w:val="28"/>
        </w:rPr>
      </w:pPr>
      <w:bookmarkStart w:id="0" w:name="_Ref158387039"/>
      <w:r w:rsidRPr="00AF5E46">
        <w:rPr>
          <w:noProof/>
          <w:lang w:eastAsia="en-AU"/>
        </w:rPr>
        <w:drawing>
          <wp:inline distT="0" distB="0" distL="0" distR="0" wp14:anchorId="7EE96037" wp14:editId="332B882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5FDD86E1" w14:textId="77777777" w:rsidR="00AC335F" w:rsidRPr="00AF5E46" w:rsidRDefault="00AC335F" w:rsidP="00AC335F">
      <w:pPr>
        <w:rPr>
          <w:sz w:val="19"/>
        </w:rPr>
      </w:pPr>
    </w:p>
    <w:p w14:paraId="508C3F47" w14:textId="77777777" w:rsidR="00AC335F" w:rsidRPr="00AF5E46" w:rsidRDefault="00AC335F" w:rsidP="00AC335F">
      <w:pPr>
        <w:pStyle w:val="ShortT"/>
      </w:pPr>
      <w:r w:rsidRPr="00AF5E46">
        <w:t>National Health (Privacy) Rules 202</w:t>
      </w:r>
      <w:r w:rsidR="00C219C2" w:rsidRPr="00AF5E46">
        <w:t>5</w:t>
      </w:r>
    </w:p>
    <w:p w14:paraId="2F6462F5" w14:textId="77777777" w:rsidR="00AC335F" w:rsidRPr="00AF5E46" w:rsidRDefault="00AC335F" w:rsidP="00AC335F">
      <w:pPr>
        <w:pStyle w:val="SignCoverPageStart"/>
        <w:spacing w:before="240"/>
        <w:ind w:right="91"/>
        <w:rPr>
          <w:szCs w:val="22"/>
        </w:rPr>
      </w:pPr>
      <w:r w:rsidRPr="00AF5E46">
        <w:rPr>
          <w:szCs w:val="22"/>
        </w:rPr>
        <w:t>I, Angelene Falk, Information Commissioner, make the following rules.</w:t>
      </w:r>
    </w:p>
    <w:p w14:paraId="39351484" w14:textId="77777777" w:rsidR="00AC335F" w:rsidRPr="00AF5E46" w:rsidRDefault="00AC335F" w:rsidP="00AC335F">
      <w:pPr>
        <w:rPr>
          <w:lang w:eastAsia="en-AU"/>
        </w:rPr>
      </w:pPr>
    </w:p>
    <w:p w14:paraId="4460D8AE" w14:textId="380CEBB2" w:rsidR="00AC335F" w:rsidRPr="00AF5E46" w:rsidRDefault="00AC335F" w:rsidP="00AC335F">
      <w:pPr>
        <w:keepNext/>
        <w:spacing w:before="300" w:line="240" w:lineRule="atLeast"/>
        <w:ind w:right="397"/>
        <w:jc w:val="both"/>
        <w:rPr>
          <w:szCs w:val="22"/>
        </w:rPr>
      </w:pPr>
      <w:r w:rsidRPr="00AF5E46">
        <w:rPr>
          <w:szCs w:val="22"/>
        </w:rPr>
        <w:t>Dated</w:t>
      </w:r>
      <w:r w:rsidR="00110390">
        <w:rPr>
          <w:szCs w:val="22"/>
        </w:rPr>
        <w:t xml:space="preserve"> </w:t>
      </w:r>
      <w:r w:rsidR="001913E1">
        <w:rPr>
          <w:szCs w:val="22"/>
        </w:rPr>
        <w:tab/>
      </w:r>
      <w:r w:rsidR="00110390">
        <w:rPr>
          <w:szCs w:val="22"/>
        </w:rPr>
        <w:t>2 August 2024</w:t>
      </w:r>
      <w:r w:rsidRPr="00AF5E46">
        <w:rPr>
          <w:szCs w:val="22"/>
        </w:rPr>
        <w:tab/>
      </w:r>
      <w:r w:rsidRPr="00AF5E46">
        <w:rPr>
          <w:szCs w:val="22"/>
        </w:rPr>
        <w:tab/>
      </w:r>
    </w:p>
    <w:p w14:paraId="5265650D" w14:textId="77777777" w:rsidR="00AC335F" w:rsidRPr="00AF5E46" w:rsidRDefault="00AC335F" w:rsidP="00AC335F">
      <w:pPr>
        <w:keepNext/>
        <w:tabs>
          <w:tab w:val="left" w:pos="3402"/>
        </w:tabs>
        <w:spacing w:before="1440" w:line="300" w:lineRule="atLeast"/>
        <w:ind w:right="397"/>
        <w:rPr>
          <w:b/>
          <w:szCs w:val="22"/>
        </w:rPr>
      </w:pPr>
      <w:r w:rsidRPr="00AF5E46">
        <w:rPr>
          <w:szCs w:val="22"/>
        </w:rPr>
        <w:t>Angelene Falk</w:t>
      </w:r>
    </w:p>
    <w:p w14:paraId="16E27566" w14:textId="77777777" w:rsidR="00AC335F" w:rsidRPr="00AF5E46" w:rsidRDefault="00AC335F" w:rsidP="00AC335F">
      <w:pPr>
        <w:pStyle w:val="SignCoverPageEnd"/>
        <w:ind w:right="91"/>
        <w:rPr>
          <w:sz w:val="22"/>
        </w:rPr>
      </w:pPr>
      <w:r w:rsidRPr="00AF5E46">
        <w:rPr>
          <w:sz w:val="22"/>
        </w:rPr>
        <w:t>Information Commissioner</w:t>
      </w:r>
    </w:p>
    <w:p w14:paraId="08BE7D16" w14:textId="77777777" w:rsidR="00AC335F" w:rsidRPr="00AF5E46" w:rsidRDefault="00AC335F" w:rsidP="00AC335F"/>
    <w:p w14:paraId="0ED15CDB" w14:textId="77777777" w:rsidR="00554826" w:rsidRPr="00AF5E46" w:rsidRDefault="00554826" w:rsidP="00554826"/>
    <w:p w14:paraId="10E40950" w14:textId="77777777" w:rsidR="00F6696E" w:rsidRPr="00AF5E46" w:rsidRDefault="00F6696E" w:rsidP="00F6696E"/>
    <w:p w14:paraId="17460E0B" w14:textId="77777777" w:rsidR="009C457E" w:rsidRDefault="009C457E" w:rsidP="00F6696E"/>
    <w:p w14:paraId="75957683" w14:textId="77777777" w:rsidR="009C457E" w:rsidRPr="009C457E" w:rsidRDefault="009C457E" w:rsidP="009C457E"/>
    <w:p w14:paraId="01F07A7A" w14:textId="77777777" w:rsidR="009C457E" w:rsidRPr="009C457E" w:rsidRDefault="009C457E" w:rsidP="009C457E"/>
    <w:p w14:paraId="0197499B" w14:textId="77777777" w:rsidR="009C457E" w:rsidRPr="009C457E" w:rsidRDefault="009C457E" w:rsidP="009C457E"/>
    <w:p w14:paraId="23EF6407" w14:textId="77777777" w:rsidR="009C457E" w:rsidRPr="009C457E" w:rsidRDefault="009C457E" w:rsidP="009C457E"/>
    <w:p w14:paraId="31DD2B2B" w14:textId="77777777" w:rsidR="009C457E" w:rsidRPr="009C457E" w:rsidRDefault="009C457E" w:rsidP="009C457E"/>
    <w:p w14:paraId="0CCDD406" w14:textId="77777777" w:rsidR="009C457E" w:rsidRPr="009C457E" w:rsidRDefault="009C457E" w:rsidP="009C457E"/>
    <w:p w14:paraId="4F4B9946" w14:textId="77777777" w:rsidR="009C457E" w:rsidRPr="009C457E" w:rsidRDefault="009C457E" w:rsidP="009C457E"/>
    <w:p w14:paraId="2243DF45" w14:textId="77777777" w:rsidR="009C457E" w:rsidRPr="0060589E" w:rsidRDefault="009C457E" w:rsidP="009C457E"/>
    <w:p w14:paraId="20D92B24" w14:textId="77777777" w:rsidR="009C457E" w:rsidRPr="009C457E" w:rsidRDefault="009C457E" w:rsidP="009C457E"/>
    <w:p w14:paraId="4658CC16" w14:textId="77777777" w:rsidR="009C457E" w:rsidRPr="009C457E" w:rsidRDefault="009C457E" w:rsidP="009C457E"/>
    <w:p w14:paraId="579A30D2" w14:textId="77777777" w:rsidR="009C457E" w:rsidRPr="009C457E" w:rsidRDefault="009C457E" w:rsidP="009C457E"/>
    <w:p w14:paraId="514FD768" w14:textId="77777777" w:rsidR="009C457E" w:rsidRPr="009C457E" w:rsidRDefault="009C457E" w:rsidP="009C457E"/>
    <w:p w14:paraId="7F0798EE" w14:textId="77777777" w:rsidR="009C457E" w:rsidRPr="009C457E" w:rsidRDefault="009C457E" w:rsidP="009C457E"/>
    <w:p w14:paraId="6182CEBB" w14:textId="77777777" w:rsidR="009C457E" w:rsidRPr="009C457E" w:rsidRDefault="009C457E" w:rsidP="009C457E"/>
    <w:p w14:paraId="7241C7E7" w14:textId="77777777" w:rsidR="009C457E" w:rsidRPr="009C457E" w:rsidRDefault="009C457E" w:rsidP="009C457E"/>
    <w:p w14:paraId="609EDF4E" w14:textId="77777777" w:rsidR="009C457E" w:rsidRPr="009C457E" w:rsidRDefault="009C457E" w:rsidP="009C457E"/>
    <w:p w14:paraId="49E98CE0" w14:textId="77777777" w:rsidR="009C457E" w:rsidRDefault="009C457E" w:rsidP="009C457E">
      <w:pPr>
        <w:tabs>
          <w:tab w:val="left" w:pos="6240"/>
        </w:tabs>
      </w:pPr>
      <w:r>
        <w:tab/>
      </w:r>
    </w:p>
    <w:p w14:paraId="053E8541" w14:textId="77777777" w:rsidR="00F6696E" w:rsidRPr="009C457E" w:rsidRDefault="009C457E" w:rsidP="009C457E">
      <w:pPr>
        <w:tabs>
          <w:tab w:val="left" w:pos="6240"/>
        </w:tabs>
        <w:sectPr w:rsidR="00F6696E" w:rsidRPr="009C457E" w:rsidSect="004F1BE1">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r>
        <w:tab/>
      </w:r>
    </w:p>
    <w:p w14:paraId="4A8AD4AC" w14:textId="77777777" w:rsidR="007500C8" w:rsidRPr="00AF5E46" w:rsidRDefault="00715914" w:rsidP="00715914">
      <w:pPr>
        <w:outlineLvl w:val="0"/>
        <w:rPr>
          <w:sz w:val="36"/>
        </w:rPr>
      </w:pPr>
      <w:r w:rsidRPr="00AF5E46">
        <w:rPr>
          <w:sz w:val="36"/>
        </w:rPr>
        <w:lastRenderedPageBreak/>
        <w:t>Contents</w:t>
      </w:r>
    </w:p>
    <w:p w14:paraId="4B0D9DF4" w14:textId="77777777" w:rsidR="00B54999" w:rsidRDefault="00B418CB">
      <w:pPr>
        <w:pStyle w:val="TOC2"/>
        <w:rPr>
          <w:rFonts w:asciiTheme="minorHAnsi" w:eastAsiaTheme="minorEastAsia" w:hAnsiTheme="minorHAnsi" w:cstheme="minorBidi"/>
          <w:b w:val="0"/>
          <w:noProof/>
          <w:kern w:val="0"/>
          <w:sz w:val="22"/>
          <w:szCs w:val="22"/>
        </w:rPr>
      </w:pPr>
      <w:r w:rsidRPr="00AF5E46">
        <w:rPr>
          <w:sz w:val="18"/>
        </w:rPr>
        <w:fldChar w:fldCharType="begin"/>
      </w:r>
      <w:r w:rsidRPr="00AF5E46">
        <w:instrText xml:space="preserve"> TOC \o "1-9" </w:instrText>
      </w:r>
      <w:r w:rsidRPr="00AF5E46">
        <w:rPr>
          <w:sz w:val="18"/>
        </w:rPr>
        <w:fldChar w:fldCharType="separate"/>
      </w:r>
      <w:r w:rsidR="00B54999">
        <w:rPr>
          <w:noProof/>
        </w:rPr>
        <w:t>Part 1—Preliminary</w:t>
      </w:r>
      <w:r w:rsidR="00B54999">
        <w:rPr>
          <w:noProof/>
        </w:rPr>
        <w:tab/>
      </w:r>
      <w:r w:rsidR="00B54999">
        <w:rPr>
          <w:noProof/>
        </w:rPr>
        <w:fldChar w:fldCharType="begin"/>
      </w:r>
      <w:r w:rsidR="00B54999">
        <w:rPr>
          <w:noProof/>
        </w:rPr>
        <w:instrText xml:space="preserve"> PAGEREF _Toc171078072 \h </w:instrText>
      </w:r>
      <w:r w:rsidR="00B54999">
        <w:rPr>
          <w:noProof/>
        </w:rPr>
      </w:r>
      <w:r w:rsidR="00B54999">
        <w:rPr>
          <w:noProof/>
        </w:rPr>
        <w:fldChar w:fldCharType="separate"/>
      </w:r>
      <w:r w:rsidR="00A81CAB">
        <w:rPr>
          <w:noProof/>
        </w:rPr>
        <w:t>1</w:t>
      </w:r>
      <w:r w:rsidR="00B54999">
        <w:rPr>
          <w:noProof/>
        </w:rPr>
        <w:fldChar w:fldCharType="end"/>
      </w:r>
    </w:p>
    <w:p w14:paraId="647180D1" w14:textId="77777777" w:rsidR="00B54999" w:rsidRDefault="00B5499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_Toc171078073 \h </w:instrText>
      </w:r>
      <w:r>
        <w:rPr>
          <w:noProof/>
        </w:rPr>
      </w:r>
      <w:r>
        <w:rPr>
          <w:noProof/>
        </w:rPr>
        <w:fldChar w:fldCharType="separate"/>
      </w:r>
      <w:r w:rsidR="00A81CAB">
        <w:rPr>
          <w:noProof/>
        </w:rPr>
        <w:t>1</w:t>
      </w:r>
      <w:r>
        <w:rPr>
          <w:noProof/>
        </w:rPr>
        <w:fldChar w:fldCharType="end"/>
      </w:r>
    </w:p>
    <w:p w14:paraId="7167B055" w14:textId="77777777" w:rsidR="00B54999" w:rsidRDefault="00B5499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_Toc171078074 \h </w:instrText>
      </w:r>
      <w:r>
        <w:rPr>
          <w:noProof/>
        </w:rPr>
      </w:r>
      <w:r>
        <w:rPr>
          <w:noProof/>
        </w:rPr>
        <w:fldChar w:fldCharType="separate"/>
      </w:r>
      <w:r w:rsidR="00A81CAB">
        <w:rPr>
          <w:noProof/>
        </w:rPr>
        <w:t>1</w:t>
      </w:r>
      <w:r>
        <w:rPr>
          <w:noProof/>
        </w:rPr>
        <w:fldChar w:fldCharType="end"/>
      </w:r>
    </w:p>
    <w:p w14:paraId="31E4A7FD" w14:textId="77777777" w:rsidR="00B54999" w:rsidRDefault="00B5499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_Toc171078075 \h </w:instrText>
      </w:r>
      <w:r>
        <w:rPr>
          <w:noProof/>
        </w:rPr>
      </w:r>
      <w:r>
        <w:rPr>
          <w:noProof/>
        </w:rPr>
        <w:fldChar w:fldCharType="separate"/>
      </w:r>
      <w:r w:rsidR="00A81CAB">
        <w:rPr>
          <w:noProof/>
        </w:rPr>
        <w:t>1</w:t>
      </w:r>
      <w:r>
        <w:rPr>
          <w:noProof/>
        </w:rPr>
        <w:fldChar w:fldCharType="end"/>
      </w:r>
    </w:p>
    <w:p w14:paraId="2C0D592C" w14:textId="77777777" w:rsidR="00B54999" w:rsidRDefault="00B54999">
      <w:pPr>
        <w:pStyle w:val="TOC5"/>
        <w:rPr>
          <w:rFonts w:asciiTheme="minorHAnsi" w:eastAsiaTheme="minorEastAsia" w:hAnsiTheme="minorHAnsi" w:cstheme="minorBidi"/>
          <w:noProof/>
          <w:kern w:val="0"/>
          <w:sz w:val="22"/>
          <w:szCs w:val="22"/>
        </w:rPr>
      </w:pPr>
      <w:r>
        <w:rPr>
          <w:noProof/>
        </w:rPr>
        <w:t>4  Schedule 2</w:t>
      </w:r>
      <w:r>
        <w:rPr>
          <w:noProof/>
        </w:rPr>
        <w:tab/>
      </w:r>
      <w:r>
        <w:rPr>
          <w:noProof/>
        </w:rPr>
        <w:fldChar w:fldCharType="begin"/>
      </w:r>
      <w:r>
        <w:rPr>
          <w:noProof/>
        </w:rPr>
        <w:instrText xml:space="preserve"> PAGEREF _Toc171078076 \h </w:instrText>
      </w:r>
      <w:r>
        <w:rPr>
          <w:noProof/>
        </w:rPr>
      </w:r>
      <w:r>
        <w:rPr>
          <w:noProof/>
        </w:rPr>
        <w:fldChar w:fldCharType="separate"/>
      </w:r>
      <w:r w:rsidR="00A81CAB">
        <w:rPr>
          <w:noProof/>
        </w:rPr>
        <w:t>1</w:t>
      </w:r>
      <w:r>
        <w:rPr>
          <w:noProof/>
        </w:rPr>
        <w:fldChar w:fldCharType="end"/>
      </w:r>
    </w:p>
    <w:p w14:paraId="1722B2AC" w14:textId="77777777" w:rsidR="00B54999" w:rsidRDefault="00B54999">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_Toc171078077 \h </w:instrText>
      </w:r>
      <w:r>
        <w:rPr>
          <w:noProof/>
        </w:rPr>
      </w:r>
      <w:r>
        <w:rPr>
          <w:noProof/>
        </w:rPr>
        <w:fldChar w:fldCharType="separate"/>
      </w:r>
      <w:r w:rsidR="00A81CAB">
        <w:rPr>
          <w:noProof/>
        </w:rPr>
        <w:t>1</w:t>
      </w:r>
      <w:r>
        <w:rPr>
          <w:noProof/>
        </w:rPr>
        <w:fldChar w:fldCharType="end"/>
      </w:r>
    </w:p>
    <w:p w14:paraId="292D211D" w14:textId="77777777" w:rsidR="00B54999" w:rsidRDefault="00B54999">
      <w:pPr>
        <w:pStyle w:val="TOC5"/>
        <w:rPr>
          <w:rFonts w:asciiTheme="minorHAnsi" w:eastAsiaTheme="minorEastAsia" w:hAnsiTheme="minorHAnsi" w:cstheme="minorBidi"/>
          <w:noProof/>
          <w:kern w:val="0"/>
          <w:sz w:val="22"/>
          <w:szCs w:val="22"/>
        </w:rPr>
      </w:pPr>
      <w:r>
        <w:rPr>
          <w:noProof/>
        </w:rPr>
        <w:t>6  Simplified outline of this instrument</w:t>
      </w:r>
      <w:r>
        <w:rPr>
          <w:noProof/>
        </w:rPr>
        <w:tab/>
      </w:r>
      <w:r>
        <w:rPr>
          <w:noProof/>
        </w:rPr>
        <w:fldChar w:fldCharType="begin"/>
      </w:r>
      <w:r>
        <w:rPr>
          <w:noProof/>
        </w:rPr>
        <w:instrText xml:space="preserve"> PAGEREF _Toc171078078 \h </w:instrText>
      </w:r>
      <w:r>
        <w:rPr>
          <w:noProof/>
        </w:rPr>
      </w:r>
      <w:r>
        <w:rPr>
          <w:noProof/>
        </w:rPr>
        <w:fldChar w:fldCharType="separate"/>
      </w:r>
      <w:r w:rsidR="00A81CAB">
        <w:rPr>
          <w:noProof/>
        </w:rPr>
        <w:t>3</w:t>
      </w:r>
      <w:r>
        <w:rPr>
          <w:noProof/>
        </w:rPr>
        <w:fldChar w:fldCharType="end"/>
      </w:r>
    </w:p>
    <w:p w14:paraId="435C2AF4" w14:textId="77777777" w:rsidR="00B54999" w:rsidRDefault="00B54999">
      <w:pPr>
        <w:pStyle w:val="TOC2"/>
        <w:rPr>
          <w:rFonts w:asciiTheme="minorHAnsi" w:eastAsiaTheme="minorEastAsia" w:hAnsiTheme="minorHAnsi" w:cstheme="minorBidi"/>
          <w:b w:val="0"/>
          <w:noProof/>
          <w:kern w:val="0"/>
          <w:sz w:val="22"/>
          <w:szCs w:val="22"/>
        </w:rPr>
      </w:pPr>
      <w:r>
        <w:rPr>
          <w:noProof/>
        </w:rPr>
        <w:t>Part 2—Ways in which claims information may be stored</w:t>
      </w:r>
      <w:r>
        <w:rPr>
          <w:noProof/>
        </w:rPr>
        <w:tab/>
      </w:r>
      <w:r>
        <w:rPr>
          <w:noProof/>
        </w:rPr>
        <w:fldChar w:fldCharType="begin"/>
      </w:r>
      <w:r>
        <w:rPr>
          <w:noProof/>
        </w:rPr>
        <w:instrText xml:space="preserve"> PAGEREF _Toc171078079 \h </w:instrText>
      </w:r>
      <w:r>
        <w:rPr>
          <w:noProof/>
        </w:rPr>
      </w:r>
      <w:r>
        <w:rPr>
          <w:noProof/>
        </w:rPr>
        <w:fldChar w:fldCharType="separate"/>
      </w:r>
      <w:r w:rsidR="00A81CAB">
        <w:rPr>
          <w:noProof/>
        </w:rPr>
        <w:t>5</w:t>
      </w:r>
      <w:r>
        <w:rPr>
          <w:noProof/>
        </w:rPr>
        <w:fldChar w:fldCharType="end"/>
      </w:r>
    </w:p>
    <w:p w14:paraId="41E8AF2D" w14:textId="77777777" w:rsidR="00B54999" w:rsidRDefault="00B54999">
      <w:pPr>
        <w:pStyle w:val="TOC5"/>
        <w:rPr>
          <w:rFonts w:asciiTheme="minorHAnsi" w:eastAsiaTheme="minorEastAsia" w:hAnsiTheme="minorHAnsi" w:cstheme="minorBidi"/>
          <w:noProof/>
          <w:kern w:val="0"/>
          <w:sz w:val="22"/>
          <w:szCs w:val="22"/>
        </w:rPr>
      </w:pPr>
      <w:r>
        <w:rPr>
          <w:noProof/>
        </w:rPr>
        <w:t>7  Storage of claims information</w:t>
      </w:r>
      <w:r>
        <w:rPr>
          <w:noProof/>
        </w:rPr>
        <w:tab/>
      </w:r>
      <w:r>
        <w:rPr>
          <w:noProof/>
        </w:rPr>
        <w:fldChar w:fldCharType="begin"/>
      </w:r>
      <w:r>
        <w:rPr>
          <w:noProof/>
        </w:rPr>
        <w:instrText xml:space="preserve"> PAGEREF _Toc171078080 \h </w:instrText>
      </w:r>
      <w:r>
        <w:rPr>
          <w:noProof/>
        </w:rPr>
      </w:r>
      <w:r>
        <w:rPr>
          <w:noProof/>
        </w:rPr>
        <w:fldChar w:fldCharType="separate"/>
      </w:r>
      <w:r w:rsidR="00A81CAB">
        <w:rPr>
          <w:noProof/>
        </w:rPr>
        <w:t>5</w:t>
      </w:r>
      <w:r>
        <w:rPr>
          <w:noProof/>
        </w:rPr>
        <w:fldChar w:fldCharType="end"/>
      </w:r>
    </w:p>
    <w:p w14:paraId="169537B4" w14:textId="77777777" w:rsidR="00B54999" w:rsidRDefault="00B54999">
      <w:pPr>
        <w:pStyle w:val="TOC5"/>
        <w:rPr>
          <w:rFonts w:asciiTheme="minorHAnsi" w:eastAsiaTheme="minorEastAsia" w:hAnsiTheme="minorHAnsi" w:cstheme="minorBidi"/>
          <w:noProof/>
          <w:kern w:val="0"/>
          <w:sz w:val="22"/>
          <w:szCs w:val="22"/>
        </w:rPr>
      </w:pPr>
      <w:r>
        <w:rPr>
          <w:noProof/>
        </w:rPr>
        <w:t>8  Prohibition relating to storing claims information with enrolment and entitlement database</w:t>
      </w:r>
      <w:r>
        <w:rPr>
          <w:noProof/>
        </w:rPr>
        <w:tab/>
      </w:r>
      <w:r>
        <w:rPr>
          <w:noProof/>
        </w:rPr>
        <w:fldChar w:fldCharType="begin"/>
      </w:r>
      <w:r>
        <w:rPr>
          <w:noProof/>
        </w:rPr>
        <w:instrText xml:space="preserve"> PAGEREF _Toc171078081 \h </w:instrText>
      </w:r>
      <w:r>
        <w:rPr>
          <w:noProof/>
        </w:rPr>
      </w:r>
      <w:r>
        <w:rPr>
          <w:noProof/>
        </w:rPr>
        <w:fldChar w:fldCharType="separate"/>
      </w:r>
      <w:r w:rsidR="00A81CAB">
        <w:rPr>
          <w:noProof/>
        </w:rPr>
        <w:t>5</w:t>
      </w:r>
      <w:r>
        <w:rPr>
          <w:noProof/>
        </w:rPr>
        <w:fldChar w:fldCharType="end"/>
      </w:r>
    </w:p>
    <w:p w14:paraId="7586AC82" w14:textId="77777777" w:rsidR="00B54999" w:rsidRDefault="00B54999">
      <w:pPr>
        <w:pStyle w:val="TOC5"/>
        <w:rPr>
          <w:rFonts w:asciiTheme="minorHAnsi" w:eastAsiaTheme="minorEastAsia" w:hAnsiTheme="minorHAnsi" w:cstheme="minorBidi"/>
          <w:noProof/>
          <w:kern w:val="0"/>
          <w:sz w:val="22"/>
          <w:szCs w:val="22"/>
        </w:rPr>
      </w:pPr>
      <w:r>
        <w:rPr>
          <w:noProof/>
        </w:rPr>
        <w:t>9  Circumstances in which creating copies of claims information in paper or similar form is prohibited</w:t>
      </w:r>
      <w:r>
        <w:rPr>
          <w:noProof/>
        </w:rPr>
        <w:tab/>
      </w:r>
      <w:r>
        <w:rPr>
          <w:noProof/>
        </w:rPr>
        <w:fldChar w:fldCharType="begin"/>
      </w:r>
      <w:r>
        <w:rPr>
          <w:noProof/>
        </w:rPr>
        <w:instrText xml:space="preserve"> PAGEREF _Toc171078082 \h </w:instrText>
      </w:r>
      <w:r>
        <w:rPr>
          <w:noProof/>
        </w:rPr>
      </w:r>
      <w:r>
        <w:rPr>
          <w:noProof/>
        </w:rPr>
        <w:fldChar w:fldCharType="separate"/>
      </w:r>
      <w:r w:rsidR="00A81CAB">
        <w:rPr>
          <w:noProof/>
        </w:rPr>
        <w:t>6</w:t>
      </w:r>
      <w:r>
        <w:rPr>
          <w:noProof/>
        </w:rPr>
        <w:fldChar w:fldCharType="end"/>
      </w:r>
    </w:p>
    <w:p w14:paraId="4A94F94D" w14:textId="77777777" w:rsidR="00B54999" w:rsidRDefault="00B54999">
      <w:pPr>
        <w:pStyle w:val="TOC2"/>
        <w:rPr>
          <w:rFonts w:asciiTheme="minorHAnsi" w:eastAsiaTheme="minorEastAsia" w:hAnsiTheme="minorHAnsi" w:cstheme="minorBidi"/>
          <w:b w:val="0"/>
          <w:noProof/>
          <w:kern w:val="0"/>
          <w:sz w:val="22"/>
          <w:szCs w:val="22"/>
        </w:rPr>
      </w:pPr>
      <w:r>
        <w:rPr>
          <w:noProof/>
        </w:rPr>
        <w:t>Part 3—Uses to which agencies may put claims information</w:t>
      </w:r>
      <w:r>
        <w:rPr>
          <w:noProof/>
        </w:rPr>
        <w:tab/>
      </w:r>
      <w:r>
        <w:rPr>
          <w:noProof/>
        </w:rPr>
        <w:fldChar w:fldCharType="begin"/>
      </w:r>
      <w:r>
        <w:rPr>
          <w:noProof/>
        </w:rPr>
        <w:instrText xml:space="preserve"> PAGEREF _Toc171078083 \h </w:instrText>
      </w:r>
      <w:r>
        <w:rPr>
          <w:noProof/>
        </w:rPr>
      </w:r>
      <w:r>
        <w:rPr>
          <w:noProof/>
        </w:rPr>
        <w:fldChar w:fldCharType="separate"/>
      </w:r>
      <w:r w:rsidR="00A81CAB">
        <w:rPr>
          <w:noProof/>
        </w:rPr>
        <w:t>7</w:t>
      </w:r>
      <w:r>
        <w:rPr>
          <w:noProof/>
        </w:rPr>
        <w:fldChar w:fldCharType="end"/>
      </w:r>
    </w:p>
    <w:p w14:paraId="502CE566" w14:textId="77777777" w:rsidR="00B54999" w:rsidRDefault="00B54999">
      <w:pPr>
        <w:pStyle w:val="TOC5"/>
        <w:rPr>
          <w:rFonts w:asciiTheme="minorHAnsi" w:eastAsiaTheme="minorEastAsia" w:hAnsiTheme="minorHAnsi" w:cstheme="minorBidi"/>
          <w:noProof/>
          <w:kern w:val="0"/>
          <w:sz w:val="22"/>
          <w:szCs w:val="22"/>
        </w:rPr>
      </w:pPr>
      <w:r>
        <w:rPr>
          <w:noProof/>
        </w:rPr>
        <w:t>10  Use of claims information</w:t>
      </w:r>
      <w:r>
        <w:rPr>
          <w:noProof/>
        </w:rPr>
        <w:tab/>
      </w:r>
      <w:r>
        <w:rPr>
          <w:noProof/>
        </w:rPr>
        <w:fldChar w:fldCharType="begin"/>
      </w:r>
      <w:r>
        <w:rPr>
          <w:noProof/>
        </w:rPr>
        <w:instrText xml:space="preserve"> PAGEREF _Toc171078084 \h </w:instrText>
      </w:r>
      <w:r>
        <w:rPr>
          <w:noProof/>
        </w:rPr>
      </w:r>
      <w:r>
        <w:rPr>
          <w:noProof/>
        </w:rPr>
        <w:fldChar w:fldCharType="separate"/>
      </w:r>
      <w:r w:rsidR="00A81CAB">
        <w:rPr>
          <w:noProof/>
        </w:rPr>
        <w:t>7</w:t>
      </w:r>
      <w:r>
        <w:rPr>
          <w:noProof/>
        </w:rPr>
        <w:fldChar w:fldCharType="end"/>
      </w:r>
    </w:p>
    <w:p w14:paraId="65695F81" w14:textId="77777777" w:rsidR="00B54999" w:rsidRDefault="00B54999">
      <w:pPr>
        <w:pStyle w:val="TOC2"/>
        <w:rPr>
          <w:rFonts w:asciiTheme="minorHAnsi" w:eastAsiaTheme="minorEastAsia" w:hAnsiTheme="minorHAnsi" w:cstheme="minorBidi"/>
          <w:b w:val="0"/>
          <w:noProof/>
          <w:kern w:val="0"/>
          <w:sz w:val="22"/>
          <w:szCs w:val="22"/>
        </w:rPr>
      </w:pPr>
      <w:r>
        <w:rPr>
          <w:noProof/>
        </w:rPr>
        <w:t>Part 4—Circumstances in which agencies may disclose claims information</w:t>
      </w:r>
      <w:r>
        <w:rPr>
          <w:noProof/>
        </w:rPr>
        <w:tab/>
      </w:r>
      <w:r>
        <w:rPr>
          <w:noProof/>
        </w:rPr>
        <w:fldChar w:fldCharType="begin"/>
      </w:r>
      <w:r>
        <w:rPr>
          <w:noProof/>
        </w:rPr>
        <w:instrText xml:space="preserve"> PAGEREF _Toc171078085 \h </w:instrText>
      </w:r>
      <w:r>
        <w:rPr>
          <w:noProof/>
        </w:rPr>
      </w:r>
      <w:r>
        <w:rPr>
          <w:noProof/>
        </w:rPr>
        <w:fldChar w:fldCharType="separate"/>
      </w:r>
      <w:r w:rsidR="00A81CAB">
        <w:rPr>
          <w:noProof/>
        </w:rPr>
        <w:t>8</w:t>
      </w:r>
      <w:r>
        <w:rPr>
          <w:noProof/>
        </w:rPr>
        <w:fldChar w:fldCharType="end"/>
      </w:r>
    </w:p>
    <w:p w14:paraId="1681D5D2" w14:textId="77777777" w:rsidR="00B54999" w:rsidRDefault="00B54999">
      <w:pPr>
        <w:pStyle w:val="TOC5"/>
        <w:rPr>
          <w:rFonts w:asciiTheme="minorHAnsi" w:eastAsiaTheme="minorEastAsia" w:hAnsiTheme="minorHAnsi" w:cstheme="minorBidi"/>
          <w:noProof/>
          <w:kern w:val="0"/>
          <w:sz w:val="22"/>
          <w:szCs w:val="22"/>
        </w:rPr>
      </w:pPr>
      <w:r>
        <w:rPr>
          <w:noProof/>
        </w:rPr>
        <w:t>11  Circumstances in which agencies may disclose claims information</w:t>
      </w:r>
      <w:r>
        <w:rPr>
          <w:noProof/>
        </w:rPr>
        <w:tab/>
      </w:r>
      <w:r>
        <w:rPr>
          <w:noProof/>
        </w:rPr>
        <w:fldChar w:fldCharType="begin"/>
      </w:r>
      <w:r>
        <w:rPr>
          <w:noProof/>
        </w:rPr>
        <w:instrText xml:space="preserve"> PAGEREF _Toc171078086 \h </w:instrText>
      </w:r>
      <w:r>
        <w:rPr>
          <w:noProof/>
        </w:rPr>
      </w:r>
      <w:r>
        <w:rPr>
          <w:noProof/>
        </w:rPr>
        <w:fldChar w:fldCharType="separate"/>
      </w:r>
      <w:r w:rsidR="00A81CAB">
        <w:rPr>
          <w:noProof/>
        </w:rPr>
        <w:t>8</w:t>
      </w:r>
      <w:r>
        <w:rPr>
          <w:noProof/>
        </w:rPr>
        <w:fldChar w:fldCharType="end"/>
      </w:r>
    </w:p>
    <w:p w14:paraId="0DF499BB" w14:textId="77777777" w:rsidR="00B54999" w:rsidRDefault="00B54999">
      <w:pPr>
        <w:pStyle w:val="TOC2"/>
        <w:rPr>
          <w:rFonts w:asciiTheme="minorHAnsi" w:eastAsiaTheme="minorEastAsia" w:hAnsiTheme="minorHAnsi" w:cstheme="minorBidi"/>
          <w:b w:val="0"/>
          <w:noProof/>
          <w:kern w:val="0"/>
          <w:sz w:val="22"/>
          <w:szCs w:val="22"/>
        </w:rPr>
      </w:pPr>
      <w:r>
        <w:rPr>
          <w:noProof/>
        </w:rPr>
        <w:t>Part 5—Prohibition relating to storage of claims information in the same database</w:t>
      </w:r>
      <w:r>
        <w:rPr>
          <w:noProof/>
        </w:rPr>
        <w:tab/>
      </w:r>
      <w:r>
        <w:rPr>
          <w:noProof/>
        </w:rPr>
        <w:fldChar w:fldCharType="begin"/>
      </w:r>
      <w:r>
        <w:rPr>
          <w:noProof/>
        </w:rPr>
        <w:instrText xml:space="preserve"> PAGEREF _Toc171078087 \h </w:instrText>
      </w:r>
      <w:r>
        <w:rPr>
          <w:noProof/>
        </w:rPr>
      </w:r>
      <w:r>
        <w:rPr>
          <w:noProof/>
        </w:rPr>
        <w:fldChar w:fldCharType="separate"/>
      </w:r>
      <w:r w:rsidR="00A81CAB">
        <w:rPr>
          <w:noProof/>
        </w:rPr>
        <w:t>10</w:t>
      </w:r>
      <w:r>
        <w:rPr>
          <w:noProof/>
        </w:rPr>
        <w:fldChar w:fldCharType="end"/>
      </w:r>
    </w:p>
    <w:p w14:paraId="7BBA5680" w14:textId="77777777" w:rsidR="00B54999" w:rsidRDefault="00B54999">
      <w:pPr>
        <w:pStyle w:val="TOC5"/>
        <w:rPr>
          <w:rFonts w:asciiTheme="minorHAnsi" w:eastAsiaTheme="minorEastAsia" w:hAnsiTheme="minorHAnsi" w:cstheme="minorBidi"/>
          <w:noProof/>
          <w:kern w:val="0"/>
          <w:sz w:val="22"/>
          <w:szCs w:val="22"/>
        </w:rPr>
      </w:pPr>
      <w:r>
        <w:rPr>
          <w:noProof/>
        </w:rPr>
        <w:t>12  Prohibition relating to storage of claims information in the same database</w:t>
      </w:r>
      <w:r>
        <w:rPr>
          <w:noProof/>
        </w:rPr>
        <w:tab/>
      </w:r>
      <w:r>
        <w:rPr>
          <w:noProof/>
        </w:rPr>
        <w:fldChar w:fldCharType="begin"/>
      </w:r>
      <w:r>
        <w:rPr>
          <w:noProof/>
        </w:rPr>
        <w:instrText xml:space="preserve"> PAGEREF _Toc171078088 \h </w:instrText>
      </w:r>
      <w:r>
        <w:rPr>
          <w:noProof/>
        </w:rPr>
      </w:r>
      <w:r>
        <w:rPr>
          <w:noProof/>
        </w:rPr>
        <w:fldChar w:fldCharType="separate"/>
      </w:r>
      <w:r w:rsidR="00A81CAB">
        <w:rPr>
          <w:noProof/>
        </w:rPr>
        <w:t>10</w:t>
      </w:r>
      <w:r>
        <w:rPr>
          <w:noProof/>
        </w:rPr>
        <w:fldChar w:fldCharType="end"/>
      </w:r>
    </w:p>
    <w:p w14:paraId="369555DA" w14:textId="77777777" w:rsidR="00B54999" w:rsidRDefault="00B54999">
      <w:pPr>
        <w:pStyle w:val="TOC2"/>
        <w:rPr>
          <w:rFonts w:asciiTheme="minorHAnsi" w:eastAsiaTheme="minorEastAsia" w:hAnsiTheme="minorHAnsi" w:cstheme="minorBidi"/>
          <w:b w:val="0"/>
          <w:noProof/>
          <w:kern w:val="0"/>
          <w:sz w:val="22"/>
          <w:szCs w:val="22"/>
        </w:rPr>
      </w:pPr>
      <w:r>
        <w:rPr>
          <w:noProof/>
        </w:rPr>
        <w:t>Part 6—Prohibitions on linkage, and authorisations</w:t>
      </w:r>
      <w:r>
        <w:rPr>
          <w:noProof/>
        </w:rPr>
        <w:tab/>
      </w:r>
      <w:r>
        <w:rPr>
          <w:noProof/>
        </w:rPr>
        <w:fldChar w:fldCharType="begin"/>
      </w:r>
      <w:r>
        <w:rPr>
          <w:noProof/>
        </w:rPr>
        <w:instrText xml:space="preserve"> PAGEREF _Toc171078089 \h </w:instrText>
      </w:r>
      <w:r>
        <w:rPr>
          <w:noProof/>
        </w:rPr>
      </w:r>
      <w:r>
        <w:rPr>
          <w:noProof/>
        </w:rPr>
        <w:fldChar w:fldCharType="separate"/>
      </w:r>
      <w:r w:rsidR="00A81CAB">
        <w:rPr>
          <w:noProof/>
        </w:rPr>
        <w:t>11</w:t>
      </w:r>
      <w:r>
        <w:rPr>
          <w:noProof/>
        </w:rPr>
        <w:fldChar w:fldCharType="end"/>
      </w:r>
    </w:p>
    <w:p w14:paraId="1A0B4EA9" w14:textId="77777777" w:rsidR="00B54999" w:rsidRDefault="00B54999">
      <w:pPr>
        <w:pStyle w:val="TOC3"/>
        <w:rPr>
          <w:rFonts w:asciiTheme="minorHAnsi" w:eastAsiaTheme="minorEastAsia" w:hAnsiTheme="minorHAnsi" w:cstheme="minorBidi"/>
          <w:b w:val="0"/>
          <w:noProof/>
          <w:kern w:val="0"/>
          <w:szCs w:val="22"/>
        </w:rPr>
      </w:pPr>
      <w:r>
        <w:rPr>
          <w:noProof/>
        </w:rPr>
        <w:t>Division 1—Prohibition on linkage of claims information</w:t>
      </w:r>
      <w:r>
        <w:rPr>
          <w:noProof/>
        </w:rPr>
        <w:tab/>
      </w:r>
      <w:r>
        <w:rPr>
          <w:noProof/>
        </w:rPr>
        <w:fldChar w:fldCharType="begin"/>
      </w:r>
      <w:r>
        <w:rPr>
          <w:noProof/>
        </w:rPr>
        <w:instrText xml:space="preserve"> PAGEREF _Toc171078090 \h </w:instrText>
      </w:r>
      <w:r>
        <w:rPr>
          <w:noProof/>
        </w:rPr>
      </w:r>
      <w:r>
        <w:rPr>
          <w:noProof/>
        </w:rPr>
        <w:fldChar w:fldCharType="separate"/>
      </w:r>
      <w:r w:rsidR="00A81CAB">
        <w:rPr>
          <w:noProof/>
        </w:rPr>
        <w:t>11</w:t>
      </w:r>
      <w:r>
        <w:rPr>
          <w:noProof/>
        </w:rPr>
        <w:fldChar w:fldCharType="end"/>
      </w:r>
    </w:p>
    <w:p w14:paraId="3ED5614B" w14:textId="77777777" w:rsidR="00B54999" w:rsidRDefault="00B54999">
      <w:pPr>
        <w:pStyle w:val="TOC5"/>
        <w:rPr>
          <w:rFonts w:asciiTheme="minorHAnsi" w:eastAsiaTheme="minorEastAsia" w:hAnsiTheme="minorHAnsi" w:cstheme="minorBidi"/>
          <w:noProof/>
          <w:kern w:val="0"/>
          <w:sz w:val="22"/>
          <w:szCs w:val="22"/>
        </w:rPr>
      </w:pPr>
      <w:r>
        <w:rPr>
          <w:noProof/>
        </w:rPr>
        <w:t>13  Prohibition of linkage of claims information</w:t>
      </w:r>
      <w:r>
        <w:rPr>
          <w:noProof/>
        </w:rPr>
        <w:tab/>
      </w:r>
      <w:r>
        <w:rPr>
          <w:noProof/>
        </w:rPr>
        <w:fldChar w:fldCharType="begin"/>
      </w:r>
      <w:r>
        <w:rPr>
          <w:noProof/>
        </w:rPr>
        <w:instrText xml:space="preserve"> PAGEREF _Toc171078091 \h </w:instrText>
      </w:r>
      <w:r>
        <w:rPr>
          <w:noProof/>
        </w:rPr>
      </w:r>
      <w:r>
        <w:rPr>
          <w:noProof/>
        </w:rPr>
        <w:fldChar w:fldCharType="separate"/>
      </w:r>
      <w:r w:rsidR="00A81CAB">
        <w:rPr>
          <w:noProof/>
        </w:rPr>
        <w:t>11</w:t>
      </w:r>
      <w:r>
        <w:rPr>
          <w:noProof/>
        </w:rPr>
        <w:fldChar w:fldCharType="end"/>
      </w:r>
    </w:p>
    <w:p w14:paraId="1B02410E" w14:textId="77777777" w:rsidR="00B54999" w:rsidRDefault="00B54999">
      <w:pPr>
        <w:pStyle w:val="TOC3"/>
        <w:rPr>
          <w:rFonts w:asciiTheme="minorHAnsi" w:eastAsiaTheme="minorEastAsia" w:hAnsiTheme="minorHAnsi" w:cstheme="minorBidi"/>
          <w:b w:val="0"/>
          <w:noProof/>
          <w:kern w:val="0"/>
          <w:szCs w:val="22"/>
        </w:rPr>
      </w:pPr>
      <w:r>
        <w:rPr>
          <w:noProof/>
        </w:rPr>
        <w:t>Division 2—General authorisations for linkage of claims information</w:t>
      </w:r>
      <w:r>
        <w:rPr>
          <w:noProof/>
        </w:rPr>
        <w:tab/>
      </w:r>
      <w:r>
        <w:rPr>
          <w:noProof/>
        </w:rPr>
        <w:fldChar w:fldCharType="begin"/>
      </w:r>
      <w:r>
        <w:rPr>
          <w:noProof/>
        </w:rPr>
        <w:instrText xml:space="preserve"> PAGEREF _Toc171078092 \h </w:instrText>
      </w:r>
      <w:r>
        <w:rPr>
          <w:noProof/>
        </w:rPr>
      </w:r>
      <w:r>
        <w:rPr>
          <w:noProof/>
        </w:rPr>
        <w:fldChar w:fldCharType="separate"/>
      </w:r>
      <w:r w:rsidR="00A81CAB">
        <w:rPr>
          <w:noProof/>
        </w:rPr>
        <w:t>12</w:t>
      </w:r>
      <w:r>
        <w:rPr>
          <w:noProof/>
        </w:rPr>
        <w:fldChar w:fldCharType="end"/>
      </w:r>
    </w:p>
    <w:p w14:paraId="40868283" w14:textId="77777777" w:rsidR="00B54999" w:rsidRDefault="00B54999">
      <w:pPr>
        <w:pStyle w:val="TOC5"/>
        <w:rPr>
          <w:rFonts w:asciiTheme="minorHAnsi" w:eastAsiaTheme="minorEastAsia" w:hAnsiTheme="minorHAnsi" w:cstheme="minorBidi"/>
          <w:noProof/>
          <w:kern w:val="0"/>
          <w:sz w:val="22"/>
          <w:szCs w:val="22"/>
        </w:rPr>
      </w:pPr>
      <w:r>
        <w:rPr>
          <w:noProof/>
        </w:rPr>
        <w:t>14  Authorised linkages—all agencies</w:t>
      </w:r>
      <w:r>
        <w:rPr>
          <w:noProof/>
        </w:rPr>
        <w:tab/>
      </w:r>
      <w:r>
        <w:rPr>
          <w:noProof/>
        </w:rPr>
        <w:fldChar w:fldCharType="begin"/>
      </w:r>
      <w:r>
        <w:rPr>
          <w:noProof/>
        </w:rPr>
        <w:instrText xml:space="preserve"> PAGEREF _Toc171078093 \h </w:instrText>
      </w:r>
      <w:r>
        <w:rPr>
          <w:noProof/>
        </w:rPr>
      </w:r>
      <w:r>
        <w:rPr>
          <w:noProof/>
        </w:rPr>
        <w:fldChar w:fldCharType="separate"/>
      </w:r>
      <w:r w:rsidR="00A81CAB">
        <w:rPr>
          <w:noProof/>
        </w:rPr>
        <w:t>12</w:t>
      </w:r>
      <w:r>
        <w:rPr>
          <w:noProof/>
        </w:rPr>
        <w:fldChar w:fldCharType="end"/>
      </w:r>
    </w:p>
    <w:p w14:paraId="0349BFEC" w14:textId="77777777" w:rsidR="00B54999" w:rsidRDefault="00B54999">
      <w:pPr>
        <w:pStyle w:val="TOC5"/>
        <w:rPr>
          <w:rFonts w:asciiTheme="minorHAnsi" w:eastAsiaTheme="minorEastAsia" w:hAnsiTheme="minorHAnsi" w:cstheme="minorBidi"/>
          <w:noProof/>
          <w:kern w:val="0"/>
          <w:sz w:val="22"/>
          <w:szCs w:val="22"/>
        </w:rPr>
      </w:pPr>
      <w:r>
        <w:rPr>
          <w:noProof/>
        </w:rPr>
        <w:t>15  Authorised linkages—primary agencies only</w:t>
      </w:r>
      <w:r>
        <w:rPr>
          <w:noProof/>
        </w:rPr>
        <w:tab/>
      </w:r>
      <w:r>
        <w:rPr>
          <w:noProof/>
        </w:rPr>
        <w:fldChar w:fldCharType="begin"/>
      </w:r>
      <w:r>
        <w:rPr>
          <w:noProof/>
        </w:rPr>
        <w:instrText xml:space="preserve"> PAGEREF _Toc171078094 \h </w:instrText>
      </w:r>
      <w:r>
        <w:rPr>
          <w:noProof/>
        </w:rPr>
      </w:r>
      <w:r>
        <w:rPr>
          <w:noProof/>
        </w:rPr>
        <w:fldChar w:fldCharType="separate"/>
      </w:r>
      <w:r w:rsidR="00A81CAB">
        <w:rPr>
          <w:noProof/>
        </w:rPr>
        <w:t>12</w:t>
      </w:r>
      <w:r>
        <w:rPr>
          <w:noProof/>
        </w:rPr>
        <w:fldChar w:fldCharType="end"/>
      </w:r>
    </w:p>
    <w:p w14:paraId="3F547C87" w14:textId="77777777" w:rsidR="00B54999" w:rsidRDefault="00B54999">
      <w:pPr>
        <w:pStyle w:val="TOC5"/>
        <w:rPr>
          <w:rFonts w:asciiTheme="minorHAnsi" w:eastAsiaTheme="minorEastAsia" w:hAnsiTheme="minorHAnsi" w:cstheme="minorBidi"/>
          <w:noProof/>
          <w:kern w:val="0"/>
          <w:sz w:val="22"/>
          <w:szCs w:val="22"/>
        </w:rPr>
      </w:pPr>
      <w:r>
        <w:rPr>
          <w:noProof/>
        </w:rPr>
        <w:t>16  Circumstance in which linkage is not authorised</w:t>
      </w:r>
      <w:r>
        <w:rPr>
          <w:noProof/>
        </w:rPr>
        <w:tab/>
      </w:r>
      <w:r>
        <w:rPr>
          <w:noProof/>
        </w:rPr>
        <w:fldChar w:fldCharType="begin"/>
      </w:r>
      <w:r>
        <w:rPr>
          <w:noProof/>
        </w:rPr>
        <w:instrText xml:space="preserve"> PAGEREF _Toc171078095 \h </w:instrText>
      </w:r>
      <w:r>
        <w:rPr>
          <w:noProof/>
        </w:rPr>
      </w:r>
      <w:r>
        <w:rPr>
          <w:noProof/>
        </w:rPr>
        <w:fldChar w:fldCharType="separate"/>
      </w:r>
      <w:r w:rsidR="00A81CAB">
        <w:rPr>
          <w:noProof/>
        </w:rPr>
        <w:t>14</w:t>
      </w:r>
      <w:r>
        <w:rPr>
          <w:noProof/>
        </w:rPr>
        <w:fldChar w:fldCharType="end"/>
      </w:r>
    </w:p>
    <w:p w14:paraId="273A1EF0" w14:textId="77777777" w:rsidR="00B54999" w:rsidRDefault="00B54999">
      <w:pPr>
        <w:pStyle w:val="TOC5"/>
        <w:rPr>
          <w:rFonts w:asciiTheme="minorHAnsi" w:eastAsiaTheme="minorEastAsia" w:hAnsiTheme="minorHAnsi" w:cstheme="minorBidi"/>
          <w:noProof/>
          <w:kern w:val="0"/>
          <w:sz w:val="22"/>
          <w:szCs w:val="22"/>
        </w:rPr>
      </w:pPr>
      <w:r>
        <w:rPr>
          <w:noProof/>
        </w:rPr>
        <w:t>17  Reporting requirements in relation to linkages</w:t>
      </w:r>
      <w:r>
        <w:rPr>
          <w:noProof/>
        </w:rPr>
        <w:tab/>
      </w:r>
      <w:r>
        <w:rPr>
          <w:noProof/>
        </w:rPr>
        <w:fldChar w:fldCharType="begin"/>
      </w:r>
      <w:r>
        <w:rPr>
          <w:noProof/>
        </w:rPr>
        <w:instrText xml:space="preserve"> PAGEREF _Toc171078096 \h </w:instrText>
      </w:r>
      <w:r>
        <w:rPr>
          <w:noProof/>
        </w:rPr>
      </w:r>
      <w:r>
        <w:rPr>
          <w:noProof/>
        </w:rPr>
        <w:fldChar w:fldCharType="separate"/>
      </w:r>
      <w:r w:rsidR="00A81CAB">
        <w:rPr>
          <w:noProof/>
        </w:rPr>
        <w:t>14</w:t>
      </w:r>
      <w:r>
        <w:rPr>
          <w:noProof/>
        </w:rPr>
        <w:fldChar w:fldCharType="end"/>
      </w:r>
    </w:p>
    <w:p w14:paraId="7BC1AA23" w14:textId="77777777" w:rsidR="00B54999" w:rsidRDefault="00B54999">
      <w:pPr>
        <w:pStyle w:val="TOC2"/>
        <w:rPr>
          <w:rFonts w:asciiTheme="minorHAnsi" w:eastAsiaTheme="minorEastAsia" w:hAnsiTheme="minorHAnsi" w:cstheme="minorBidi"/>
          <w:b w:val="0"/>
          <w:noProof/>
          <w:kern w:val="0"/>
          <w:sz w:val="22"/>
          <w:szCs w:val="22"/>
        </w:rPr>
      </w:pPr>
      <w:r>
        <w:rPr>
          <w:noProof/>
        </w:rPr>
        <w:t>Part 7—Requirements with which agencies must comply in relation to old information</w:t>
      </w:r>
      <w:r>
        <w:rPr>
          <w:noProof/>
        </w:rPr>
        <w:tab/>
      </w:r>
      <w:r>
        <w:rPr>
          <w:noProof/>
        </w:rPr>
        <w:fldChar w:fldCharType="begin"/>
      </w:r>
      <w:r>
        <w:rPr>
          <w:noProof/>
        </w:rPr>
        <w:instrText xml:space="preserve"> PAGEREF _Toc171078097 \h </w:instrText>
      </w:r>
      <w:r>
        <w:rPr>
          <w:noProof/>
        </w:rPr>
      </w:r>
      <w:r>
        <w:rPr>
          <w:noProof/>
        </w:rPr>
        <w:fldChar w:fldCharType="separate"/>
      </w:r>
      <w:r w:rsidR="00A81CAB">
        <w:rPr>
          <w:noProof/>
        </w:rPr>
        <w:t>15</w:t>
      </w:r>
      <w:r>
        <w:rPr>
          <w:noProof/>
        </w:rPr>
        <w:fldChar w:fldCharType="end"/>
      </w:r>
    </w:p>
    <w:p w14:paraId="4FA8EF75" w14:textId="77777777" w:rsidR="00B54999" w:rsidRDefault="00B54999">
      <w:pPr>
        <w:pStyle w:val="TOC5"/>
        <w:rPr>
          <w:rFonts w:asciiTheme="minorHAnsi" w:eastAsiaTheme="minorEastAsia" w:hAnsiTheme="minorHAnsi" w:cstheme="minorBidi"/>
          <w:noProof/>
          <w:kern w:val="0"/>
          <w:sz w:val="22"/>
          <w:szCs w:val="22"/>
        </w:rPr>
      </w:pPr>
      <w:r>
        <w:rPr>
          <w:noProof/>
        </w:rPr>
        <w:t>18  Requirements relating to storage of old information</w:t>
      </w:r>
      <w:r>
        <w:rPr>
          <w:noProof/>
        </w:rPr>
        <w:tab/>
      </w:r>
      <w:r>
        <w:rPr>
          <w:noProof/>
        </w:rPr>
        <w:fldChar w:fldCharType="begin"/>
      </w:r>
      <w:r>
        <w:rPr>
          <w:noProof/>
        </w:rPr>
        <w:instrText xml:space="preserve"> PAGEREF _Toc171078098 \h </w:instrText>
      </w:r>
      <w:r>
        <w:rPr>
          <w:noProof/>
        </w:rPr>
      </w:r>
      <w:r>
        <w:rPr>
          <w:noProof/>
        </w:rPr>
        <w:fldChar w:fldCharType="separate"/>
      </w:r>
      <w:r w:rsidR="00A81CAB">
        <w:rPr>
          <w:noProof/>
        </w:rPr>
        <w:t>15</w:t>
      </w:r>
      <w:r>
        <w:rPr>
          <w:noProof/>
        </w:rPr>
        <w:fldChar w:fldCharType="end"/>
      </w:r>
    </w:p>
    <w:p w14:paraId="1EF74754" w14:textId="77777777" w:rsidR="00B54999" w:rsidRDefault="00B54999">
      <w:pPr>
        <w:pStyle w:val="TOC5"/>
        <w:rPr>
          <w:rFonts w:asciiTheme="minorHAnsi" w:eastAsiaTheme="minorEastAsia" w:hAnsiTheme="minorHAnsi" w:cstheme="minorBidi"/>
          <w:noProof/>
          <w:kern w:val="0"/>
          <w:sz w:val="22"/>
          <w:szCs w:val="22"/>
        </w:rPr>
      </w:pPr>
      <w:r>
        <w:rPr>
          <w:noProof/>
        </w:rPr>
        <w:t>19  Requirements relating to the re-linking of old information with personal identification components</w:t>
      </w:r>
      <w:r>
        <w:rPr>
          <w:noProof/>
        </w:rPr>
        <w:tab/>
      </w:r>
      <w:r>
        <w:rPr>
          <w:noProof/>
        </w:rPr>
        <w:fldChar w:fldCharType="begin"/>
      </w:r>
      <w:r>
        <w:rPr>
          <w:noProof/>
        </w:rPr>
        <w:instrText xml:space="preserve"> PAGEREF _Toc171078099 \h </w:instrText>
      </w:r>
      <w:r>
        <w:rPr>
          <w:noProof/>
        </w:rPr>
      </w:r>
      <w:r>
        <w:rPr>
          <w:noProof/>
        </w:rPr>
        <w:fldChar w:fldCharType="separate"/>
      </w:r>
      <w:r w:rsidR="00A81CAB">
        <w:rPr>
          <w:noProof/>
        </w:rPr>
        <w:t>15</w:t>
      </w:r>
      <w:r>
        <w:rPr>
          <w:noProof/>
        </w:rPr>
        <w:fldChar w:fldCharType="end"/>
      </w:r>
    </w:p>
    <w:p w14:paraId="0F78239B" w14:textId="77777777" w:rsidR="00B54999" w:rsidRDefault="00B54999">
      <w:pPr>
        <w:pStyle w:val="TOC5"/>
        <w:rPr>
          <w:rFonts w:asciiTheme="minorHAnsi" w:eastAsiaTheme="minorEastAsia" w:hAnsiTheme="minorHAnsi" w:cstheme="minorBidi"/>
          <w:noProof/>
          <w:kern w:val="0"/>
          <w:sz w:val="22"/>
          <w:szCs w:val="22"/>
        </w:rPr>
      </w:pPr>
      <w:r>
        <w:rPr>
          <w:noProof/>
        </w:rPr>
        <w:t>20  Requirements relating to reporting—old information</w:t>
      </w:r>
      <w:r>
        <w:rPr>
          <w:noProof/>
        </w:rPr>
        <w:tab/>
      </w:r>
      <w:r>
        <w:rPr>
          <w:noProof/>
        </w:rPr>
        <w:fldChar w:fldCharType="begin"/>
      </w:r>
      <w:r>
        <w:rPr>
          <w:noProof/>
        </w:rPr>
        <w:instrText xml:space="preserve"> PAGEREF _Toc171078100 \h </w:instrText>
      </w:r>
      <w:r>
        <w:rPr>
          <w:noProof/>
        </w:rPr>
      </w:r>
      <w:r>
        <w:rPr>
          <w:noProof/>
        </w:rPr>
        <w:fldChar w:fldCharType="separate"/>
      </w:r>
      <w:r w:rsidR="00A81CAB">
        <w:rPr>
          <w:noProof/>
        </w:rPr>
        <w:t>15</w:t>
      </w:r>
      <w:r>
        <w:rPr>
          <w:noProof/>
        </w:rPr>
        <w:fldChar w:fldCharType="end"/>
      </w:r>
    </w:p>
    <w:p w14:paraId="0EFAACBB" w14:textId="77777777" w:rsidR="00B54999" w:rsidRDefault="00B54999">
      <w:pPr>
        <w:pStyle w:val="TOC2"/>
        <w:rPr>
          <w:rFonts w:asciiTheme="minorHAnsi" w:eastAsiaTheme="minorEastAsia" w:hAnsiTheme="minorHAnsi" w:cstheme="minorBidi"/>
          <w:b w:val="0"/>
          <w:noProof/>
          <w:kern w:val="0"/>
          <w:sz w:val="22"/>
          <w:szCs w:val="22"/>
        </w:rPr>
      </w:pPr>
      <w:r>
        <w:rPr>
          <w:noProof/>
        </w:rPr>
        <w:t>Part 8—Application and transitional provisions</w:t>
      </w:r>
      <w:r>
        <w:rPr>
          <w:noProof/>
        </w:rPr>
        <w:tab/>
      </w:r>
      <w:r>
        <w:rPr>
          <w:noProof/>
        </w:rPr>
        <w:fldChar w:fldCharType="begin"/>
      </w:r>
      <w:r>
        <w:rPr>
          <w:noProof/>
        </w:rPr>
        <w:instrText xml:space="preserve"> PAGEREF _Toc171078101 \h </w:instrText>
      </w:r>
      <w:r>
        <w:rPr>
          <w:noProof/>
        </w:rPr>
      </w:r>
      <w:r>
        <w:rPr>
          <w:noProof/>
        </w:rPr>
        <w:fldChar w:fldCharType="separate"/>
      </w:r>
      <w:r w:rsidR="00A81CAB">
        <w:rPr>
          <w:noProof/>
        </w:rPr>
        <w:t>17</w:t>
      </w:r>
      <w:r>
        <w:rPr>
          <w:noProof/>
        </w:rPr>
        <w:fldChar w:fldCharType="end"/>
      </w:r>
    </w:p>
    <w:p w14:paraId="41C136FC" w14:textId="77777777" w:rsidR="00B54999" w:rsidRDefault="00B54999">
      <w:pPr>
        <w:pStyle w:val="TOC5"/>
        <w:rPr>
          <w:rFonts w:asciiTheme="minorHAnsi" w:eastAsiaTheme="minorEastAsia" w:hAnsiTheme="minorHAnsi" w:cstheme="minorBidi"/>
          <w:noProof/>
          <w:kern w:val="0"/>
          <w:sz w:val="22"/>
          <w:szCs w:val="22"/>
        </w:rPr>
      </w:pPr>
      <w:r>
        <w:rPr>
          <w:noProof/>
        </w:rPr>
        <w:t xml:space="preserve">21  Agency may comply with certain provisions of the </w:t>
      </w:r>
      <w:r w:rsidRPr="00B2466F">
        <w:rPr>
          <w:i/>
          <w:noProof/>
        </w:rPr>
        <w:t xml:space="preserve">National Health (Privacy) Rules 2021 </w:t>
      </w:r>
      <w:r>
        <w:rPr>
          <w:noProof/>
        </w:rPr>
        <w:t>during the grace period</w:t>
      </w:r>
      <w:r>
        <w:rPr>
          <w:noProof/>
        </w:rPr>
        <w:tab/>
      </w:r>
      <w:r>
        <w:rPr>
          <w:noProof/>
        </w:rPr>
        <w:fldChar w:fldCharType="begin"/>
      </w:r>
      <w:r>
        <w:rPr>
          <w:noProof/>
        </w:rPr>
        <w:instrText xml:space="preserve"> PAGEREF _Toc171078102 \h </w:instrText>
      </w:r>
      <w:r>
        <w:rPr>
          <w:noProof/>
        </w:rPr>
      </w:r>
      <w:r>
        <w:rPr>
          <w:noProof/>
        </w:rPr>
        <w:fldChar w:fldCharType="separate"/>
      </w:r>
      <w:r w:rsidR="00A81CAB">
        <w:rPr>
          <w:noProof/>
        </w:rPr>
        <w:t>17</w:t>
      </w:r>
      <w:r>
        <w:rPr>
          <w:noProof/>
        </w:rPr>
        <w:fldChar w:fldCharType="end"/>
      </w:r>
    </w:p>
    <w:p w14:paraId="2C672C1A" w14:textId="77777777" w:rsidR="00B54999" w:rsidRDefault="00B54999">
      <w:pPr>
        <w:pStyle w:val="TOC1"/>
        <w:rPr>
          <w:rFonts w:asciiTheme="minorHAnsi" w:eastAsiaTheme="minorEastAsia" w:hAnsiTheme="minorHAnsi" w:cstheme="minorBidi"/>
          <w:b w:val="0"/>
          <w:noProof/>
          <w:kern w:val="0"/>
          <w:sz w:val="22"/>
          <w:szCs w:val="22"/>
        </w:rPr>
      </w:pPr>
      <w:r>
        <w:rPr>
          <w:noProof/>
        </w:rPr>
        <w:t>Schedule 1—Data sharing agreements</w:t>
      </w:r>
      <w:r>
        <w:rPr>
          <w:noProof/>
        </w:rPr>
        <w:tab/>
      </w:r>
      <w:r>
        <w:rPr>
          <w:noProof/>
        </w:rPr>
        <w:fldChar w:fldCharType="begin"/>
      </w:r>
      <w:r>
        <w:rPr>
          <w:noProof/>
        </w:rPr>
        <w:instrText xml:space="preserve"> PAGEREF _Toc171078103 \h </w:instrText>
      </w:r>
      <w:r>
        <w:rPr>
          <w:noProof/>
        </w:rPr>
      </w:r>
      <w:r>
        <w:rPr>
          <w:noProof/>
        </w:rPr>
        <w:fldChar w:fldCharType="separate"/>
      </w:r>
      <w:r w:rsidR="00A81CAB">
        <w:rPr>
          <w:noProof/>
        </w:rPr>
        <w:t>18</w:t>
      </w:r>
      <w:r>
        <w:rPr>
          <w:noProof/>
        </w:rPr>
        <w:fldChar w:fldCharType="end"/>
      </w:r>
    </w:p>
    <w:p w14:paraId="0D13B106" w14:textId="77777777" w:rsidR="00B54999" w:rsidRDefault="00B54999">
      <w:pPr>
        <w:pStyle w:val="TOC5"/>
        <w:rPr>
          <w:rFonts w:asciiTheme="minorHAnsi" w:eastAsiaTheme="minorEastAsia" w:hAnsiTheme="minorHAnsi" w:cstheme="minorBidi"/>
          <w:noProof/>
          <w:kern w:val="0"/>
          <w:sz w:val="22"/>
          <w:szCs w:val="22"/>
        </w:rPr>
      </w:pPr>
      <w:r>
        <w:rPr>
          <w:noProof/>
        </w:rPr>
        <w:t>1  Requirements for data sharing agreements</w:t>
      </w:r>
      <w:r>
        <w:rPr>
          <w:noProof/>
        </w:rPr>
        <w:tab/>
      </w:r>
      <w:r>
        <w:rPr>
          <w:noProof/>
        </w:rPr>
        <w:fldChar w:fldCharType="begin"/>
      </w:r>
      <w:r>
        <w:rPr>
          <w:noProof/>
        </w:rPr>
        <w:instrText xml:space="preserve"> PAGEREF _Toc171078104 \h </w:instrText>
      </w:r>
      <w:r>
        <w:rPr>
          <w:noProof/>
        </w:rPr>
      </w:r>
      <w:r>
        <w:rPr>
          <w:noProof/>
        </w:rPr>
        <w:fldChar w:fldCharType="separate"/>
      </w:r>
      <w:r w:rsidR="00A81CAB">
        <w:rPr>
          <w:noProof/>
        </w:rPr>
        <w:t>18</w:t>
      </w:r>
      <w:r>
        <w:rPr>
          <w:noProof/>
        </w:rPr>
        <w:fldChar w:fldCharType="end"/>
      </w:r>
    </w:p>
    <w:p w14:paraId="477AE2E9" w14:textId="77777777" w:rsidR="00B54999" w:rsidRDefault="00B54999">
      <w:pPr>
        <w:pStyle w:val="TOC5"/>
        <w:rPr>
          <w:rFonts w:asciiTheme="minorHAnsi" w:eastAsiaTheme="minorEastAsia" w:hAnsiTheme="minorHAnsi" w:cstheme="minorBidi"/>
          <w:noProof/>
          <w:kern w:val="0"/>
          <w:sz w:val="22"/>
          <w:szCs w:val="22"/>
        </w:rPr>
      </w:pPr>
      <w:r>
        <w:rPr>
          <w:noProof/>
        </w:rPr>
        <w:t>2  Data sharing agreements—disclosure under subsection 11(6)</w:t>
      </w:r>
      <w:r>
        <w:rPr>
          <w:noProof/>
        </w:rPr>
        <w:tab/>
      </w:r>
      <w:r>
        <w:rPr>
          <w:noProof/>
        </w:rPr>
        <w:fldChar w:fldCharType="begin"/>
      </w:r>
      <w:r>
        <w:rPr>
          <w:noProof/>
        </w:rPr>
        <w:instrText xml:space="preserve"> PAGEREF _Toc171078105 \h </w:instrText>
      </w:r>
      <w:r>
        <w:rPr>
          <w:noProof/>
        </w:rPr>
      </w:r>
      <w:r>
        <w:rPr>
          <w:noProof/>
        </w:rPr>
        <w:fldChar w:fldCharType="separate"/>
      </w:r>
      <w:r w:rsidR="00A81CAB">
        <w:rPr>
          <w:noProof/>
        </w:rPr>
        <w:t>18</w:t>
      </w:r>
      <w:r>
        <w:rPr>
          <w:noProof/>
        </w:rPr>
        <w:fldChar w:fldCharType="end"/>
      </w:r>
    </w:p>
    <w:p w14:paraId="505FD32B" w14:textId="77777777" w:rsidR="00B54999" w:rsidRDefault="00B54999">
      <w:pPr>
        <w:pStyle w:val="TOC5"/>
        <w:rPr>
          <w:rFonts w:asciiTheme="minorHAnsi" w:eastAsiaTheme="minorEastAsia" w:hAnsiTheme="minorHAnsi" w:cstheme="minorBidi"/>
          <w:noProof/>
          <w:kern w:val="0"/>
          <w:sz w:val="22"/>
          <w:szCs w:val="22"/>
        </w:rPr>
      </w:pPr>
      <w:r>
        <w:rPr>
          <w:noProof/>
        </w:rPr>
        <w:t>3  Data sharing agreements—disclosure under subsection 11(7)</w:t>
      </w:r>
      <w:r>
        <w:rPr>
          <w:noProof/>
        </w:rPr>
        <w:tab/>
      </w:r>
      <w:r>
        <w:rPr>
          <w:noProof/>
        </w:rPr>
        <w:fldChar w:fldCharType="begin"/>
      </w:r>
      <w:r>
        <w:rPr>
          <w:noProof/>
        </w:rPr>
        <w:instrText xml:space="preserve"> PAGEREF _Toc171078106 \h </w:instrText>
      </w:r>
      <w:r>
        <w:rPr>
          <w:noProof/>
        </w:rPr>
      </w:r>
      <w:r>
        <w:rPr>
          <w:noProof/>
        </w:rPr>
        <w:fldChar w:fldCharType="separate"/>
      </w:r>
      <w:r w:rsidR="00A81CAB">
        <w:rPr>
          <w:noProof/>
        </w:rPr>
        <w:t>19</w:t>
      </w:r>
      <w:r>
        <w:rPr>
          <w:noProof/>
        </w:rPr>
        <w:fldChar w:fldCharType="end"/>
      </w:r>
    </w:p>
    <w:p w14:paraId="07350040" w14:textId="77777777" w:rsidR="00B54999" w:rsidRDefault="00B54999">
      <w:pPr>
        <w:pStyle w:val="TOC1"/>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_Toc171078107 \h </w:instrText>
      </w:r>
      <w:r>
        <w:rPr>
          <w:noProof/>
        </w:rPr>
      </w:r>
      <w:r>
        <w:rPr>
          <w:noProof/>
        </w:rPr>
        <w:fldChar w:fldCharType="separate"/>
      </w:r>
      <w:r w:rsidR="00A81CAB">
        <w:rPr>
          <w:noProof/>
        </w:rPr>
        <w:t>21</w:t>
      </w:r>
      <w:r>
        <w:rPr>
          <w:noProof/>
        </w:rPr>
        <w:fldChar w:fldCharType="end"/>
      </w:r>
    </w:p>
    <w:p w14:paraId="175752BF" w14:textId="77777777" w:rsidR="00B54999" w:rsidRDefault="00B54999">
      <w:pPr>
        <w:pStyle w:val="TOC9"/>
        <w:rPr>
          <w:rFonts w:asciiTheme="minorHAnsi" w:eastAsiaTheme="minorEastAsia" w:hAnsiTheme="minorHAnsi" w:cstheme="minorBidi"/>
          <w:i w:val="0"/>
          <w:noProof/>
          <w:kern w:val="0"/>
          <w:sz w:val="22"/>
          <w:szCs w:val="22"/>
        </w:rPr>
      </w:pPr>
      <w:r>
        <w:rPr>
          <w:noProof/>
        </w:rPr>
        <w:t>National Health (Privacy) Rules 2021</w:t>
      </w:r>
      <w:r>
        <w:rPr>
          <w:noProof/>
        </w:rPr>
        <w:tab/>
      </w:r>
      <w:r>
        <w:rPr>
          <w:noProof/>
        </w:rPr>
        <w:fldChar w:fldCharType="begin"/>
      </w:r>
      <w:r>
        <w:rPr>
          <w:noProof/>
        </w:rPr>
        <w:instrText xml:space="preserve"> PAGEREF _Toc171078108 \h </w:instrText>
      </w:r>
      <w:r>
        <w:rPr>
          <w:noProof/>
        </w:rPr>
      </w:r>
      <w:r>
        <w:rPr>
          <w:noProof/>
        </w:rPr>
        <w:fldChar w:fldCharType="separate"/>
      </w:r>
      <w:r w:rsidR="00A81CAB">
        <w:rPr>
          <w:noProof/>
        </w:rPr>
        <w:t>21</w:t>
      </w:r>
      <w:r>
        <w:rPr>
          <w:noProof/>
        </w:rPr>
        <w:fldChar w:fldCharType="end"/>
      </w:r>
    </w:p>
    <w:p w14:paraId="49D5FC79" w14:textId="77777777" w:rsidR="00F6696E" w:rsidRPr="00AF5E46" w:rsidRDefault="00B418CB" w:rsidP="00C4526C">
      <w:pPr>
        <w:outlineLvl w:val="0"/>
        <w:sectPr w:rsidR="00F6696E" w:rsidRPr="00AF5E46" w:rsidSect="00674CB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AF5E46">
        <w:fldChar w:fldCharType="end"/>
      </w:r>
    </w:p>
    <w:p w14:paraId="31437A76" w14:textId="77777777" w:rsidR="00746704" w:rsidRPr="00AF5E46" w:rsidRDefault="00E30146" w:rsidP="00746704">
      <w:pPr>
        <w:pStyle w:val="ActHead2"/>
      </w:pPr>
      <w:bookmarkStart w:id="1" w:name="_Toc456608637"/>
      <w:bookmarkStart w:id="2" w:name="_Toc171078072"/>
      <w:r>
        <w:lastRenderedPageBreak/>
        <w:t>Part 1</w:t>
      </w:r>
      <w:r w:rsidR="00746704" w:rsidRPr="00AF5E46">
        <w:t>—</w:t>
      </w:r>
      <w:bookmarkStart w:id="3" w:name="_Toc405889304"/>
      <w:r w:rsidR="00746704" w:rsidRPr="00AF5E46">
        <w:t>Preliminary</w:t>
      </w:r>
      <w:bookmarkEnd w:id="1"/>
      <w:bookmarkEnd w:id="2"/>
      <w:bookmarkEnd w:id="3"/>
    </w:p>
    <w:p w14:paraId="04BDC5CE" w14:textId="77777777" w:rsidR="00554826" w:rsidRPr="00AF5E46" w:rsidRDefault="00E30146" w:rsidP="001D0A72">
      <w:pPr>
        <w:pStyle w:val="ActHead5"/>
      </w:pPr>
      <w:bookmarkStart w:id="4" w:name="_Toc171078073"/>
      <w:proofErr w:type="gramStart"/>
      <w:r>
        <w:t>1</w:t>
      </w:r>
      <w:r w:rsidR="001D0A72" w:rsidRPr="00AF5E46">
        <w:t xml:space="preserve">  </w:t>
      </w:r>
      <w:r w:rsidR="00554826" w:rsidRPr="00AF5E46">
        <w:t>Name</w:t>
      </w:r>
      <w:bookmarkEnd w:id="4"/>
      <w:proofErr w:type="gramEnd"/>
    </w:p>
    <w:p w14:paraId="7F5A2781" w14:textId="77777777" w:rsidR="00554826" w:rsidRPr="00AF5E46" w:rsidRDefault="00554826" w:rsidP="00554826">
      <w:pPr>
        <w:pStyle w:val="subsection"/>
      </w:pPr>
      <w:r w:rsidRPr="00AF5E46">
        <w:tab/>
      </w:r>
      <w:r w:rsidRPr="00AF5E46">
        <w:tab/>
        <w:t xml:space="preserve">This instrument is the </w:t>
      </w:r>
      <w:r w:rsidR="00521D37">
        <w:rPr>
          <w:i/>
          <w:noProof/>
        </w:rPr>
        <w:t>National Health (Privacy) Rules 2025</w:t>
      </w:r>
      <w:r w:rsidRPr="00AF5E46">
        <w:t>.</w:t>
      </w:r>
    </w:p>
    <w:p w14:paraId="40AA7E7E" w14:textId="77777777" w:rsidR="00554826" w:rsidRPr="00AF5E46" w:rsidRDefault="00E30146" w:rsidP="00314493">
      <w:pPr>
        <w:pStyle w:val="ActHead5"/>
      </w:pPr>
      <w:bookmarkStart w:id="5" w:name="_Toc171078074"/>
      <w:proofErr w:type="gramStart"/>
      <w:r>
        <w:t>2</w:t>
      </w:r>
      <w:r w:rsidR="00314493" w:rsidRPr="00AF5E46">
        <w:t xml:space="preserve">  </w:t>
      </w:r>
      <w:r w:rsidR="00554826" w:rsidRPr="00AF5E46">
        <w:t>Commencement</w:t>
      </w:r>
      <w:bookmarkEnd w:id="5"/>
      <w:proofErr w:type="gramEnd"/>
    </w:p>
    <w:p w14:paraId="67C380B6" w14:textId="77777777" w:rsidR="00E67AE3" w:rsidRPr="00AF5E46" w:rsidRDefault="00E67AE3" w:rsidP="00E67AE3">
      <w:pPr>
        <w:pStyle w:val="subsection"/>
      </w:pPr>
      <w:r w:rsidRPr="00AF5E46">
        <w:tab/>
      </w:r>
      <w:r w:rsidR="00E30146">
        <w:t>(1)</w:t>
      </w:r>
      <w:r w:rsidRPr="00AF5E46">
        <w:tab/>
        <w:t>Each provision of this instrument specified in column 1 of the table commences, or is taken to have commenced, in accordance with column 2 of the table. Any other statement in column 2 has effect according to its terms.</w:t>
      </w:r>
    </w:p>
    <w:p w14:paraId="522DB742" w14:textId="77777777" w:rsidR="00E67AE3" w:rsidRPr="00AF5E46" w:rsidRDefault="00E67AE3" w:rsidP="00E67AE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67AE3" w:rsidRPr="00AF5E46" w14:paraId="2314A93C" w14:textId="77777777" w:rsidTr="00674CB3">
        <w:trPr>
          <w:tblHeader/>
        </w:trPr>
        <w:tc>
          <w:tcPr>
            <w:tcW w:w="8364" w:type="dxa"/>
            <w:gridSpan w:val="3"/>
            <w:tcBorders>
              <w:top w:val="single" w:sz="12" w:space="0" w:color="auto"/>
              <w:bottom w:val="single" w:sz="2" w:space="0" w:color="auto"/>
            </w:tcBorders>
            <w:shd w:val="clear" w:color="auto" w:fill="auto"/>
            <w:hideMark/>
          </w:tcPr>
          <w:p w14:paraId="3EDC4375" w14:textId="77777777" w:rsidR="00E67AE3" w:rsidRPr="00AF5E46" w:rsidRDefault="00E67AE3" w:rsidP="00674CB3">
            <w:pPr>
              <w:pStyle w:val="TableHeading"/>
            </w:pPr>
            <w:r w:rsidRPr="00AF5E46">
              <w:t>Commencement information</w:t>
            </w:r>
          </w:p>
        </w:tc>
      </w:tr>
      <w:tr w:rsidR="00E67AE3" w:rsidRPr="00AF5E46" w14:paraId="20BD2736" w14:textId="77777777" w:rsidTr="00674CB3">
        <w:trPr>
          <w:tblHeader/>
        </w:trPr>
        <w:tc>
          <w:tcPr>
            <w:tcW w:w="2127" w:type="dxa"/>
            <w:tcBorders>
              <w:top w:val="single" w:sz="2" w:space="0" w:color="auto"/>
              <w:bottom w:val="single" w:sz="2" w:space="0" w:color="auto"/>
            </w:tcBorders>
            <w:shd w:val="clear" w:color="auto" w:fill="auto"/>
            <w:hideMark/>
          </w:tcPr>
          <w:p w14:paraId="6AAD3272" w14:textId="77777777" w:rsidR="00E67AE3" w:rsidRPr="00AF5E46" w:rsidRDefault="00E67AE3" w:rsidP="00674CB3">
            <w:pPr>
              <w:pStyle w:val="TableHeading"/>
            </w:pPr>
            <w:r w:rsidRPr="00AF5E46">
              <w:t>Column 1</w:t>
            </w:r>
          </w:p>
        </w:tc>
        <w:tc>
          <w:tcPr>
            <w:tcW w:w="4394" w:type="dxa"/>
            <w:tcBorders>
              <w:top w:val="single" w:sz="2" w:space="0" w:color="auto"/>
              <w:bottom w:val="single" w:sz="2" w:space="0" w:color="auto"/>
            </w:tcBorders>
            <w:shd w:val="clear" w:color="auto" w:fill="auto"/>
            <w:hideMark/>
          </w:tcPr>
          <w:p w14:paraId="11751C7A" w14:textId="77777777" w:rsidR="00E67AE3" w:rsidRPr="00AF5E46" w:rsidRDefault="00E67AE3" w:rsidP="00674CB3">
            <w:pPr>
              <w:pStyle w:val="TableHeading"/>
            </w:pPr>
            <w:r w:rsidRPr="00AF5E46">
              <w:t>Column 2</w:t>
            </w:r>
          </w:p>
        </w:tc>
        <w:tc>
          <w:tcPr>
            <w:tcW w:w="1843" w:type="dxa"/>
            <w:tcBorders>
              <w:top w:val="single" w:sz="2" w:space="0" w:color="auto"/>
              <w:bottom w:val="single" w:sz="2" w:space="0" w:color="auto"/>
            </w:tcBorders>
            <w:shd w:val="clear" w:color="auto" w:fill="auto"/>
            <w:hideMark/>
          </w:tcPr>
          <w:p w14:paraId="54D23EB9" w14:textId="77777777" w:rsidR="00E67AE3" w:rsidRPr="00AF5E46" w:rsidRDefault="00E67AE3" w:rsidP="00674CB3">
            <w:pPr>
              <w:pStyle w:val="TableHeading"/>
            </w:pPr>
            <w:r w:rsidRPr="00AF5E46">
              <w:t>Column 3</w:t>
            </w:r>
          </w:p>
        </w:tc>
      </w:tr>
      <w:tr w:rsidR="00E67AE3" w:rsidRPr="00AF5E46" w14:paraId="1C089650" w14:textId="77777777" w:rsidTr="00192732">
        <w:trPr>
          <w:tblHeader/>
        </w:trPr>
        <w:tc>
          <w:tcPr>
            <w:tcW w:w="2127" w:type="dxa"/>
            <w:tcBorders>
              <w:top w:val="single" w:sz="2" w:space="0" w:color="auto"/>
              <w:bottom w:val="single" w:sz="12" w:space="0" w:color="auto"/>
            </w:tcBorders>
            <w:shd w:val="clear" w:color="auto" w:fill="auto"/>
            <w:hideMark/>
          </w:tcPr>
          <w:p w14:paraId="1395FA97" w14:textId="77777777" w:rsidR="00E67AE3" w:rsidRPr="00AF5E46" w:rsidRDefault="00E67AE3" w:rsidP="00674CB3">
            <w:pPr>
              <w:pStyle w:val="TableHeading"/>
            </w:pPr>
            <w:r w:rsidRPr="00AF5E46">
              <w:t>Provisions</w:t>
            </w:r>
          </w:p>
        </w:tc>
        <w:tc>
          <w:tcPr>
            <w:tcW w:w="4394" w:type="dxa"/>
            <w:tcBorders>
              <w:top w:val="single" w:sz="2" w:space="0" w:color="auto"/>
              <w:bottom w:val="single" w:sz="12" w:space="0" w:color="auto"/>
            </w:tcBorders>
            <w:shd w:val="clear" w:color="auto" w:fill="auto"/>
            <w:hideMark/>
          </w:tcPr>
          <w:p w14:paraId="7BBB40A1" w14:textId="77777777" w:rsidR="00E67AE3" w:rsidRPr="00AF5E46" w:rsidRDefault="00E67AE3" w:rsidP="00674CB3">
            <w:pPr>
              <w:pStyle w:val="TableHeading"/>
            </w:pPr>
            <w:r w:rsidRPr="00AF5E46">
              <w:t>Commencement</w:t>
            </w:r>
          </w:p>
        </w:tc>
        <w:tc>
          <w:tcPr>
            <w:tcW w:w="1843" w:type="dxa"/>
            <w:tcBorders>
              <w:top w:val="single" w:sz="2" w:space="0" w:color="auto"/>
              <w:bottom w:val="single" w:sz="12" w:space="0" w:color="auto"/>
            </w:tcBorders>
            <w:shd w:val="clear" w:color="auto" w:fill="auto"/>
            <w:hideMark/>
          </w:tcPr>
          <w:p w14:paraId="59AB4F28" w14:textId="77777777" w:rsidR="00E67AE3" w:rsidRPr="00AF5E46" w:rsidRDefault="00E67AE3" w:rsidP="00674CB3">
            <w:pPr>
              <w:pStyle w:val="TableHeading"/>
            </w:pPr>
            <w:r w:rsidRPr="00AF5E46">
              <w:t>Date/Details</w:t>
            </w:r>
          </w:p>
        </w:tc>
      </w:tr>
      <w:tr w:rsidR="00E67AE3" w:rsidRPr="00AF5E46" w14:paraId="28166B13" w14:textId="77777777" w:rsidTr="00192732">
        <w:tc>
          <w:tcPr>
            <w:tcW w:w="2127" w:type="dxa"/>
            <w:tcBorders>
              <w:top w:val="single" w:sz="12" w:space="0" w:color="auto"/>
              <w:bottom w:val="single" w:sz="12" w:space="0" w:color="auto"/>
            </w:tcBorders>
            <w:shd w:val="clear" w:color="auto" w:fill="auto"/>
            <w:hideMark/>
          </w:tcPr>
          <w:p w14:paraId="107B3A4E" w14:textId="77777777" w:rsidR="00E67AE3" w:rsidRPr="00AF5E46" w:rsidRDefault="008A020F" w:rsidP="00674CB3">
            <w:pPr>
              <w:pStyle w:val="Tabletext"/>
            </w:pPr>
            <w:r w:rsidRPr="00AF5E46">
              <w:t>The whole of this instrument</w:t>
            </w:r>
          </w:p>
        </w:tc>
        <w:tc>
          <w:tcPr>
            <w:tcW w:w="4394" w:type="dxa"/>
            <w:tcBorders>
              <w:top w:val="single" w:sz="12" w:space="0" w:color="auto"/>
              <w:bottom w:val="single" w:sz="12" w:space="0" w:color="auto"/>
            </w:tcBorders>
            <w:shd w:val="clear" w:color="auto" w:fill="auto"/>
            <w:hideMark/>
          </w:tcPr>
          <w:p w14:paraId="62788180" w14:textId="77777777" w:rsidR="00E67AE3" w:rsidRPr="00AF5E46" w:rsidRDefault="00AC335F" w:rsidP="001B7ED6">
            <w:pPr>
              <w:pStyle w:val="Tabletext"/>
            </w:pPr>
            <w:r w:rsidRPr="00AF5E46">
              <w:t>The later of:</w:t>
            </w:r>
          </w:p>
          <w:p w14:paraId="440CEA0F" w14:textId="77777777" w:rsidR="00AC335F" w:rsidRPr="00AF5E46" w:rsidRDefault="00AC335F" w:rsidP="00AC335F">
            <w:pPr>
              <w:pStyle w:val="Tablea"/>
            </w:pPr>
            <w:r w:rsidRPr="00AF5E46">
              <w:t>(a)</w:t>
            </w:r>
            <w:r w:rsidRPr="00AF5E46">
              <w:tab/>
              <w:t xml:space="preserve">the day after the first day on which </w:t>
            </w:r>
            <w:r w:rsidR="003679AF" w:rsidRPr="00AF5E46">
              <w:t>this instrument is</w:t>
            </w:r>
            <w:r w:rsidRPr="00AF5E46">
              <w:t xml:space="preserve"> no longer liable to be disallowed; or</w:t>
            </w:r>
          </w:p>
          <w:p w14:paraId="3E7C2421" w14:textId="77777777" w:rsidR="001B7ED6" w:rsidRPr="00AF5E46" w:rsidRDefault="00AC335F" w:rsidP="00AC335F">
            <w:pPr>
              <w:pStyle w:val="Tablea"/>
            </w:pPr>
            <w:r w:rsidRPr="00AF5E46">
              <w:t>(b)</w:t>
            </w:r>
            <w:r w:rsidRPr="00AF5E46">
              <w:tab/>
            </w:r>
            <w:r w:rsidR="000D7DBA" w:rsidRPr="00AF5E46">
              <w:t>1 April 2025.</w:t>
            </w:r>
          </w:p>
        </w:tc>
        <w:tc>
          <w:tcPr>
            <w:tcW w:w="1843" w:type="dxa"/>
            <w:tcBorders>
              <w:top w:val="single" w:sz="12" w:space="0" w:color="auto"/>
              <w:bottom w:val="single" w:sz="12" w:space="0" w:color="auto"/>
            </w:tcBorders>
            <w:shd w:val="clear" w:color="auto" w:fill="auto"/>
          </w:tcPr>
          <w:p w14:paraId="3B82E84B" w14:textId="77777777" w:rsidR="00E67AE3" w:rsidRPr="00AF5E46" w:rsidRDefault="00E67AE3" w:rsidP="00674CB3">
            <w:pPr>
              <w:pStyle w:val="Tabletext"/>
            </w:pPr>
          </w:p>
        </w:tc>
      </w:tr>
    </w:tbl>
    <w:p w14:paraId="7F168BF8" w14:textId="77777777" w:rsidR="00E67AE3" w:rsidRPr="00AF5E46" w:rsidRDefault="00E67AE3" w:rsidP="00E67AE3">
      <w:pPr>
        <w:pStyle w:val="notetext"/>
        <w:rPr>
          <w:snapToGrid w:val="0"/>
          <w:lang w:eastAsia="en-US"/>
        </w:rPr>
      </w:pPr>
      <w:r w:rsidRPr="00AF5E46">
        <w:rPr>
          <w:snapToGrid w:val="0"/>
          <w:lang w:eastAsia="en-US"/>
        </w:rPr>
        <w:t>Note</w:t>
      </w:r>
      <w:r w:rsidR="00AC335F" w:rsidRPr="00AF5E46">
        <w:rPr>
          <w:snapToGrid w:val="0"/>
          <w:lang w:eastAsia="en-US"/>
        </w:rPr>
        <w:t xml:space="preserve"> 1</w:t>
      </w:r>
      <w:r w:rsidRPr="00AF5E46">
        <w:rPr>
          <w:snapToGrid w:val="0"/>
          <w:lang w:eastAsia="en-US"/>
        </w:rPr>
        <w:t>:</w:t>
      </w:r>
      <w:r w:rsidRPr="00AF5E46">
        <w:rPr>
          <w:snapToGrid w:val="0"/>
          <w:lang w:eastAsia="en-US"/>
        </w:rPr>
        <w:tab/>
        <w:t>This table relates only to the provisions of this instrument</w:t>
      </w:r>
      <w:r w:rsidRPr="00AF5E46">
        <w:t xml:space="preserve"> </w:t>
      </w:r>
      <w:r w:rsidRPr="00AF5E46">
        <w:rPr>
          <w:snapToGrid w:val="0"/>
          <w:lang w:eastAsia="en-US"/>
        </w:rPr>
        <w:t>as originally made. It will not be amended to deal with any later amendments of this instrument.</w:t>
      </w:r>
    </w:p>
    <w:p w14:paraId="1F04A1A8" w14:textId="77777777" w:rsidR="00AC335F" w:rsidRPr="00AF5E46" w:rsidRDefault="00AC335F" w:rsidP="00E67AE3">
      <w:pPr>
        <w:pStyle w:val="notetext"/>
      </w:pPr>
      <w:r w:rsidRPr="00AF5E46">
        <w:t>Note 2:</w:t>
      </w:r>
      <w:r w:rsidRPr="00AF5E46">
        <w:tab/>
        <w:t>See subsection </w:t>
      </w:r>
      <w:r w:rsidR="00FC683E" w:rsidRPr="0060589E">
        <w:t>135</w:t>
      </w:r>
      <w:proofErr w:type="gramStart"/>
      <w:r w:rsidR="00FC683E" w:rsidRPr="0060589E">
        <w:t>AA(</w:t>
      </w:r>
      <w:proofErr w:type="gramEnd"/>
      <w:r w:rsidR="00FC683E" w:rsidRPr="0060589E">
        <w:t xml:space="preserve">8) </w:t>
      </w:r>
      <w:r w:rsidRPr="00AF5E46">
        <w:t>of the Act.</w:t>
      </w:r>
    </w:p>
    <w:p w14:paraId="0FBA678D" w14:textId="77777777" w:rsidR="00E67AE3" w:rsidRPr="00AF5E46" w:rsidRDefault="00E67AE3" w:rsidP="00E67AE3">
      <w:pPr>
        <w:pStyle w:val="subsection"/>
      </w:pPr>
      <w:r w:rsidRPr="00AF5E46">
        <w:tab/>
      </w:r>
      <w:r w:rsidR="00E30146">
        <w:t>(2)</w:t>
      </w:r>
      <w:r w:rsidRPr="00AF5E46">
        <w:tab/>
        <w:t>Any information in column 3 of the table is not part of this instrument. Information may be inserted in this column, or information in it may be edited, in any published version of this instrument.</w:t>
      </w:r>
    </w:p>
    <w:p w14:paraId="7D234491" w14:textId="77777777" w:rsidR="00554826" w:rsidRPr="00AF5E46" w:rsidRDefault="00E30146" w:rsidP="00056495">
      <w:pPr>
        <w:pStyle w:val="ActHead5"/>
      </w:pPr>
      <w:bookmarkStart w:id="6" w:name="_Toc171078075"/>
      <w:proofErr w:type="gramStart"/>
      <w:r>
        <w:t>3</w:t>
      </w:r>
      <w:r w:rsidR="00056495" w:rsidRPr="00AF5E46">
        <w:t xml:space="preserve">  </w:t>
      </w:r>
      <w:r w:rsidR="00554826" w:rsidRPr="00AF5E46">
        <w:t>Authority</w:t>
      </w:r>
      <w:bookmarkEnd w:id="6"/>
      <w:proofErr w:type="gramEnd"/>
    </w:p>
    <w:p w14:paraId="4D0A5F4B" w14:textId="77777777" w:rsidR="00E67AE3" w:rsidRPr="00AF5E46" w:rsidRDefault="00554826" w:rsidP="00E67AE3">
      <w:pPr>
        <w:pStyle w:val="subsection"/>
      </w:pPr>
      <w:r w:rsidRPr="00AF5E46">
        <w:tab/>
      </w:r>
      <w:r w:rsidRPr="00AF5E46">
        <w:tab/>
        <w:t xml:space="preserve">This instrument is made under </w:t>
      </w:r>
      <w:r w:rsidR="00847D06" w:rsidRPr="00AF5E46">
        <w:t>section</w:t>
      </w:r>
      <w:r w:rsidR="00AC335F" w:rsidRPr="00AF5E46">
        <w:t xml:space="preserve"> 135AA of the </w:t>
      </w:r>
      <w:r w:rsidR="00AC335F" w:rsidRPr="00AF5E46">
        <w:rPr>
          <w:i/>
        </w:rPr>
        <w:t>National Health Act 1953</w:t>
      </w:r>
      <w:r w:rsidRPr="00AF5E46">
        <w:t>.</w:t>
      </w:r>
    </w:p>
    <w:p w14:paraId="21F69A63" w14:textId="77777777" w:rsidR="008F718F" w:rsidRPr="0060589E" w:rsidRDefault="00E30146" w:rsidP="008F718F">
      <w:pPr>
        <w:pStyle w:val="ActHead5"/>
      </w:pPr>
      <w:bookmarkStart w:id="7" w:name="_Toc171078076"/>
      <w:proofErr w:type="gramStart"/>
      <w:r>
        <w:t>4</w:t>
      </w:r>
      <w:r w:rsidR="008F718F" w:rsidRPr="00597DFC">
        <w:t xml:space="preserve">  </w:t>
      </w:r>
      <w:r w:rsidR="008F718F" w:rsidRPr="0060589E">
        <w:t>Schedule</w:t>
      </w:r>
      <w:proofErr w:type="gramEnd"/>
      <w:r w:rsidR="008F718F" w:rsidRPr="0060589E">
        <w:t> 2</w:t>
      </w:r>
      <w:bookmarkEnd w:id="7"/>
    </w:p>
    <w:p w14:paraId="0C8D8F26" w14:textId="77777777" w:rsidR="008F718F" w:rsidRDefault="008F718F" w:rsidP="008F718F">
      <w:pPr>
        <w:pStyle w:val="subsection"/>
      </w:pPr>
      <w:r w:rsidRPr="0060589E">
        <w:tab/>
      </w:r>
      <w:r w:rsidRPr="0060589E">
        <w:tab/>
        <w:t>Each instrument that is specified in Schedule 2 to this instrument is amended or repealed as set out in the applicable items in the Schedule concerned, and any other item in a Schedule to this instrument has effect according to its terms.</w:t>
      </w:r>
    </w:p>
    <w:p w14:paraId="2DB96DB6" w14:textId="77777777" w:rsidR="00554826" w:rsidRPr="00AF5E46" w:rsidRDefault="00E30146" w:rsidP="001D0A72">
      <w:pPr>
        <w:pStyle w:val="ActHead5"/>
      </w:pPr>
      <w:bookmarkStart w:id="8" w:name="_Toc171078077"/>
      <w:proofErr w:type="gramStart"/>
      <w:r>
        <w:t>5</w:t>
      </w:r>
      <w:r w:rsidR="001D0A72" w:rsidRPr="00AF5E46">
        <w:t xml:space="preserve">  </w:t>
      </w:r>
      <w:r w:rsidR="00554826" w:rsidRPr="00AF5E46">
        <w:t>Definitions</w:t>
      </w:r>
      <w:bookmarkEnd w:id="8"/>
      <w:proofErr w:type="gramEnd"/>
    </w:p>
    <w:p w14:paraId="3DB2AED7" w14:textId="77777777" w:rsidR="00554826" w:rsidRPr="0060589E" w:rsidRDefault="00554826" w:rsidP="00554826">
      <w:pPr>
        <w:pStyle w:val="notetext"/>
      </w:pPr>
      <w:r w:rsidRPr="00AF5E46">
        <w:t>Note:</w:t>
      </w:r>
      <w:r w:rsidRPr="00AF5E46">
        <w:tab/>
        <w:t xml:space="preserve">A number of expressions used in this instrument are defined in </w:t>
      </w:r>
      <w:r w:rsidR="00FC683E" w:rsidRPr="0060589E">
        <w:t xml:space="preserve">subsection 4(1) or </w:t>
      </w:r>
      <w:r w:rsidR="002176CE" w:rsidRPr="0060589E">
        <w:t>sub</w:t>
      </w:r>
      <w:r w:rsidR="002B7EEA" w:rsidRPr="0060589E">
        <w:t>section </w:t>
      </w:r>
      <w:r w:rsidR="002176CE" w:rsidRPr="0060589E">
        <w:t>135</w:t>
      </w:r>
      <w:proofErr w:type="gramStart"/>
      <w:r w:rsidR="002176CE" w:rsidRPr="0060589E">
        <w:t>AA(</w:t>
      </w:r>
      <w:proofErr w:type="gramEnd"/>
      <w:r w:rsidR="002176CE" w:rsidRPr="0060589E">
        <w:t>11)</w:t>
      </w:r>
      <w:r w:rsidR="00A24139" w:rsidRPr="0060589E">
        <w:t xml:space="preserve"> </w:t>
      </w:r>
      <w:r w:rsidR="002B7EEA" w:rsidRPr="0060589E">
        <w:t xml:space="preserve">of </w:t>
      </w:r>
      <w:r w:rsidRPr="0060589E">
        <w:t>the Act, including the following:</w:t>
      </w:r>
    </w:p>
    <w:p w14:paraId="0AEA5223" w14:textId="77777777" w:rsidR="00AC335F" w:rsidRPr="0060589E" w:rsidRDefault="00AC335F" w:rsidP="00AC335F">
      <w:pPr>
        <w:pStyle w:val="notepara"/>
      </w:pPr>
      <w:r w:rsidRPr="0060589E">
        <w:t>(a)</w:t>
      </w:r>
      <w:r w:rsidRPr="0060589E">
        <w:tab/>
        <w:t>agency;</w:t>
      </w:r>
    </w:p>
    <w:p w14:paraId="5A5DCEFF" w14:textId="77777777" w:rsidR="00777823" w:rsidRPr="0060589E" w:rsidRDefault="00AC335F" w:rsidP="00AC335F">
      <w:pPr>
        <w:pStyle w:val="notepara"/>
      </w:pPr>
      <w:r w:rsidRPr="0060589E">
        <w:t>(b)</w:t>
      </w:r>
      <w:r w:rsidRPr="0060589E">
        <w:tab/>
      </w:r>
      <w:r w:rsidR="00777823" w:rsidRPr="0060589E">
        <w:t xml:space="preserve">Chief Executive </w:t>
      </w:r>
      <w:r w:rsidR="00FC683E" w:rsidRPr="0060589E">
        <w:t>Medicare</w:t>
      </w:r>
      <w:r w:rsidR="00777823" w:rsidRPr="0060589E">
        <w:t>;</w:t>
      </w:r>
    </w:p>
    <w:p w14:paraId="5BDAF503" w14:textId="77777777" w:rsidR="00AC335F" w:rsidRPr="00AF5E46" w:rsidRDefault="00777823" w:rsidP="00AC335F">
      <w:pPr>
        <w:pStyle w:val="notepara"/>
      </w:pPr>
      <w:r>
        <w:t>(c)</w:t>
      </w:r>
      <w:r>
        <w:tab/>
      </w:r>
      <w:r w:rsidR="00AC335F" w:rsidRPr="00AF5E46">
        <w:t>database;</w:t>
      </w:r>
    </w:p>
    <w:p w14:paraId="79F64EE6" w14:textId="77777777" w:rsidR="00AC335F" w:rsidRPr="00AF5E46" w:rsidRDefault="00AC335F" w:rsidP="00AC335F">
      <w:pPr>
        <w:pStyle w:val="notepara"/>
      </w:pPr>
      <w:r w:rsidRPr="00AF5E46">
        <w:t>(</w:t>
      </w:r>
      <w:r w:rsidR="00777823">
        <w:t>d</w:t>
      </w:r>
      <w:r w:rsidRPr="00AF5E46">
        <w:t>)</w:t>
      </w:r>
      <w:r w:rsidRPr="00AF5E46">
        <w:tab/>
        <w:t>Medicare Benefits Program;</w:t>
      </w:r>
    </w:p>
    <w:p w14:paraId="793DD373" w14:textId="77777777" w:rsidR="00AC335F" w:rsidRPr="00AF5E46" w:rsidRDefault="00AC335F" w:rsidP="00AC335F">
      <w:pPr>
        <w:pStyle w:val="notepara"/>
      </w:pPr>
      <w:r w:rsidRPr="00AF5E46">
        <w:t>(</w:t>
      </w:r>
      <w:r w:rsidR="00777823">
        <w:t>e</w:t>
      </w:r>
      <w:r w:rsidRPr="00AF5E46">
        <w:t>)</w:t>
      </w:r>
      <w:r w:rsidRPr="00AF5E46">
        <w:tab/>
        <w:t>old information;</w:t>
      </w:r>
    </w:p>
    <w:p w14:paraId="53E5D365" w14:textId="77777777" w:rsidR="00AC335F" w:rsidRPr="00AF5E46" w:rsidRDefault="00AC335F" w:rsidP="00AC335F">
      <w:pPr>
        <w:pStyle w:val="notepara"/>
      </w:pPr>
      <w:r w:rsidRPr="00AF5E46">
        <w:t>(</w:t>
      </w:r>
      <w:r w:rsidR="00777823">
        <w:t>f</w:t>
      </w:r>
      <w:r w:rsidRPr="00AF5E46">
        <w:t>)</w:t>
      </w:r>
      <w:r w:rsidRPr="00AF5E46">
        <w:tab/>
        <w:t>personal identification components;</w:t>
      </w:r>
    </w:p>
    <w:p w14:paraId="32EBA3D5" w14:textId="77777777" w:rsidR="00AC335F" w:rsidRPr="00AF5E46" w:rsidRDefault="00AC335F" w:rsidP="00AC335F">
      <w:pPr>
        <w:pStyle w:val="notepara"/>
      </w:pPr>
      <w:r w:rsidRPr="00AF5E46">
        <w:t>(</w:t>
      </w:r>
      <w:r w:rsidR="00777823">
        <w:t>g</w:t>
      </w:r>
      <w:r w:rsidRPr="00AF5E46">
        <w:t>)</w:t>
      </w:r>
      <w:r w:rsidRPr="00AF5E46">
        <w:tab/>
        <w:t>Pharmaceutical Benefits Program;</w:t>
      </w:r>
    </w:p>
    <w:p w14:paraId="14F8E990" w14:textId="77777777" w:rsidR="00AC335F" w:rsidRPr="00AF5E46" w:rsidRDefault="00AC335F" w:rsidP="00AC335F">
      <w:pPr>
        <w:pStyle w:val="notepara"/>
      </w:pPr>
      <w:r w:rsidRPr="00AF5E46">
        <w:t>(</w:t>
      </w:r>
      <w:r w:rsidR="00777823">
        <w:t>h</w:t>
      </w:r>
      <w:r w:rsidRPr="00AF5E46">
        <w:t xml:space="preserve">) </w:t>
      </w:r>
      <w:r w:rsidRPr="00AF5E46">
        <w:tab/>
        <w:t>pharmaceutical entitlements number.</w:t>
      </w:r>
      <w:r w:rsidR="00554826" w:rsidRPr="00AF5E46">
        <w:tab/>
      </w:r>
    </w:p>
    <w:p w14:paraId="2C250238" w14:textId="77777777" w:rsidR="00554826" w:rsidRDefault="00DC044F" w:rsidP="00DC044F">
      <w:pPr>
        <w:pStyle w:val="subsection"/>
      </w:pPr>
      <w:r w:rsidRPr="00AF5E46">
        <w:lastRenderedPageBreak/>
        <w:tab/>
      </w:r>
      <w:r w:rsidR="00E30146">
        <w:t>(1)</w:t>
      </w:r>
      <w:r w:rsidRPr="00AF5E46">
        <w:tab/>
      </w:r>
      <w:r w:rsidR="00554826" w:rsidRPr="00AF5E46">
        <w:t xml:space="preserve">In this </w:t>
      </w:r>
      <w:r w:rsidR="00AC335F" w:rsidRPr="00AF5E46">
        <w:t>instrument</w:t>
      </w:r>
      <w:r w:rsidR="00554826" w:rsidRPr="00AF5E46">
        <w:t>:</w:t>
      </w:r>
    </w:p>
    <w:p w14:paraId="22D2EE12" w14:textId="77777777" w:rsidR="00554826" w:rsidRPr="00AF5E46" w:rsidRDefault="00554826" w:rsidP="00554826">
      <w:pPr>
        <w:pStyle w:val="Definition"/>
      </w:pPr>
      <w:r w:rsidRPr="00AF5E46">
        <w:rPr>
          <w:b/>
          <w:i/>
        </w:rPr>
        <w:t>Act</w:t>
      </w:r>
      <w:r w:rsidRPr="00AF5E46">
        <w:t xml:space="preserve"> means the </w:t>
      </w:r>
      <w:r w:rsidR="00AC335F" w:rsidRPr="00AF5E46">
        <w:rPr>
          <w:i/>
        </w:rPr>
        <w:t>National Health Act 1953</w:t>
      </w:r>
      <w:r w:rsidRPr="00AF5E46">
        <w:t>.</w:t>
      </w:r>
    </w:p>
    <w:p w14:paraId="1103E635" w14:textId="77777777" w:rsidR="002176CE" w:rsidRPr="00AF5E46" w:rsidRDefault="00604E79" w:rsidP="00604E79">
      <w:pPr>
        <w:pStyle w:val="Definition"/>
      </w:pPr>
      <w:r w:rsidRPr="00AF5E46">
        <w:rPr>
          <w:b/>
          <w:bCs/>
          <w:i/>
        </w:rPr>
        <w:t>claims information</w:t>
      </w:r>
      <w:r w:rsidRPr="00AF5E46">
        <w:t xml:space="preserve"> means information to which </w:t>
      </w:r>
      <w:r w:rsidR="002176CE" w:rsidRPr="00AF5E46">
        <w:t>section 135AA of the Act applies.</w:t>
      </w:r>
    </w:p>
    <w:p w14:paraId="5DA34589" w14:textId="77777777" w:rsidR="00604E79" w:rsidRPr="00AF5E46" w:rsidRDefault="002176CE" w:rsidP="002176CE">
      <w:pPr>
        <w:pStyle w:val="notetext"/>
      </w:pPr>
      <w:r w:rsidRPr="00AF5E46">
        <w:t>Note:</w:t>
      </w:r>
      <w:r w:rsidRPr="00AF5E46">
        <w:tab/>
      </w:r>
      <w:r w:rsidR="007A4508">
        <w:t>This is set out in s</w:t>
      </w:r>
      <w:r w:rsidRPr="00AF5E46">
        <w:t>ubsection</w:t>
      </w:r>
      <w:r w:rsidR="007A4508">
        <w:t>s</w:t>
      </w:r>
      <w:r w:rsidRPr="00AF5E46">
        <w:t> </w:t>
      </w:r>
      <w:r w:rsidR="00604E79" w:rsidRPr="00AF5E46">
        <w:t>135</w:t>
      </w:r>
      <w:proofErr w:type="gramStart"/>
      <w:r w:rsidR="00604E79" w:rsidRPr="00AF5E46">
        <w:t>AA(</w:t>
      </w:r>
      <w:proofErr w:type="gramEnd"/>
      <w:r w:rsidR="00604E79" w:rsidRPr="00AF5E46">
        <w:t>1)</w:t>
      </w:r>
      <w:r w:rsidRPr="00AF5E46">
        <w:t xml:space="preserve"> </w:t>
      </w:r>
      <w:r w:rsidR="007A4508">
        <w:t xml:space="preserve">and (2) </w:t>
      </w:r>
      <w:r w:rsidR="005F7303" w:rsidRPr="00AF5E46">
        <w:t>of the Act</w:t>
      </w:r>
      <w:r w:rsidR="00604E79" w:rsidRPr="00AF5E46">
        <w:t>.</w:t>
      </w:r>
    </w:p>
    <w:p w14:paraId="5BAF8125" w14:textId="77777777" w:rsidR="009F126A" w:rsidRPr="00597DFC" w:rsidRDefault="00447083" w:rsidP="009F126A">
      <w:pPr>
        <w:pStyle w:val="Definition"/>
      </w:pPr>
      <w:r w:rsidRPr="00AF5E46">
        <w:rPr>
          <w:b/>
          <w:bCs/>
          <w:i/>
        </w:rPr>
        <w:t>data minimisation principle</w:t>
      </w:r>
      <w:r w:rsidRPr="00AF5E46">
        <w:rPr>
          <w:bCs/>
          <w:i/>
        </w:rPr>
        <w:t xml:space="preserve"> </w:t>
      </w:r>
      <w:r w:rsidRPr="00AF5E46">
        <w:rPr>
          <w:bCs/>
        </w:rPr>
        <w:t>means the principle that</w:t>
      </w:r>
      <w:r w:rsidR="009F126A" w:rsidRPr="00597DFC">
        <w:rPr>
          <w:bCs/>
        </w:rPr>
        <w:t>, when disclosing</w:t>
      </w:r>
      <w:r w:rsidR="008E4429" w:rsidRPr="00597DFC">
        <w:rPr>
          <w:bCs/>
        </w:rPr>
        <w:t>, using</w:t>
      </w:r>
      <w:r w:rsidR="00F64EE3" w:rsidRPr="00597DFC">
        <w:rPr>
          <w:bCs/>
        </w:rPr>
        <w:t>, linking</w:t>
      </w:r>
      <w:r w:rsidR="008E4429" w:rsidRPr="00597DFC">
        <w:rPr>
          <w:bCs/>
        </w:rPr>
        <w:t xml:space="preserve"> or </w:t>
      </w:r>
      <w:r w:rsidR="00F64EE3" w:rsidRPr="00597DFC">
        <w:rPr>
          <w:bCs/>
        </w:rPr>
        <w:t>re</w:t>
      </w:r>
      <w:r w:rsidR="00F64EE3" w:rsidRPr="00597DFC">
        <w:rPr>
          <w:bCs/>
        </w:rPr>
        <w:noBreakHyphen/>
      </w:r>
      <w:r w:rsidR="008E4429" w:rsidRPr="00597DFC">
        <w:rPr>
          <w:bCs/>
        </w:rPr>
        <w:t>linking</w:t>
      </w:r>
      <w:r w:rsidR="009F126A" w:rsidRPr="00597DFC">
        <w:rPr>
          <w:bCs/>
        </w:rPr>
        <w:t xml:space="preserve"> claims information for a particular purpose,</w:t>
      </w:r>
      <w:r w:rsidRPr="00597DFC">
        <w:rPr>
          <w:bCs/>
        </w:rPr>
        <w:t xml:space="preserve"> </w:t>
      </w:r>
      <w:r w:rsidR="009F126A" w:rsidRPr="00597DFC">
        <w:t xml:space="preserve">only the claims information reasonably </w:t>
      </w:r>
      <w:r w:rsidR="00EB2363" w:rsidRPr="00597DFC">
        <w:t>needed</w:t>
      </w:r>
      <w:r w:rsidR="009F126A" w:rsidRPr="00597DFC">
        <w:t xml:space="preserve"> to achieve the purpose is</w:t>
      </w:r>
      <w:r w:rsidR="00506760" w:rsidRPr="00597DFC">
        <w:t xml:space="preserve"> </w:t>
      </w:r>
      <w:r w:rsidR="009F126A" w:rsidRPr="00597DFC">
        <w:t>disclosed</w:t>
      </w:r>
      <w:r w:rsidR="008E4429" w:rsidRPr="00597DFC">
        <w:t>, used</w:t>
      </w:r>
      <w:r w:rsidR="00F64EE3" w:rsidRPr="00597DFC">
        <w:t>, linked</w:t>
      </w:r>
      <w:r w:rsidR="008E4429" w:rsidRPr="00597DFC">
        <w:t xml:space="preserve"> or </w:t>
      </w:r>
      <w:r w:rsidR="00F64EE3" w:rsidRPr="00597DFC">
        <w:t>re</w:t>
      </w:r>
      <w:r w:rsidR="00F64EE3" w:rsidRPr="00597DFC">
        <w:noBreakHyphen/>
      </w:r>
      <w:r w:rsidR="008E4429" w:rsidRPr="00597DFC">
        <w:t>linked</w:t>
      </w:r>
      <w:r w:rsidR="009F126A" w:rsidRPr="00597DFC">
        <w:t>.</w:t>
      </w:r>
    </w:p>
    <w:p w14:paraId="76FA4340" w14:textId="77777777" w:rsidR="003D1B32" w:rsidRPr="002621CB" w:rsidRDefault="003D1B32" w:rsidP="009F126A">
      <w:pPr>
        <w:pStyle w:val="Definition"/>
      </w:pPr>
      <w:r w:rsidRPr="002621CB">
        <w:rPr>
          <w:b/>
          <w:i/>
        </w:rPr>
        <w:t xml:space="preserve">data sharing agreement </w:t>
      </w:r>
      <w:r w:rsidRPr="002621CB">
        <w:t>means a data sharing agreement that complies with Schedule 1, or such an agreement as varied by the parties.</w:t>
      </w:r>
    </w:p>
    <w:p w14:paraId="79F2F425" w14:textId="77777777" w:rsidR="00604E79" w:rsidRPr="00AF5E46" w:rsidRDefault="00604E79" w:rsidP="00604E79">
      <w:pPr>
        <w:pStyle w:val="Definition"/>
      </w:pPr>
      <w:r w:rsidRPr="00AF5E46">
        <w:rPr>
          <w:b/>
          <w:bCs/>
          <w:i/>
        </w:rPr>
        <w:t>enforcement body</w:t>
      </w:r>
      <w:r w:rsidRPr="00AF5E46">
        <w:t xml:space="preserve"> </w:t>
      </w:r>
      <w:r w:rsidR="00705EAD" w:rsidRPr="00AF5E46">
        <w:t xml:space="preserve">has the same meaning as in </w:t>
      </w:r>
      <w:r w:rsidRPr="00AF5E46">
        <w:t xml:space="preserve">section 6 of the </w:t>
      </w:r>
      <w:r w:rsidRPr="00AF5E46">
        <w:rPr>
          <w:i/>
          <w:iCs/>
        </w:rPr>
        <w:t>Privacy Act 1988</w:t>
      </w:r>
      <w:r w:rsidRPr="00AF5E46">
        <w:t>.</w:t>
      </w:r>
    </w:p>
    <w:p w14:paraId="788D200E" w14:textId="77777777" w:rsidR="009C323A" w:rsidRDefault="009C323A" w:rsidP="009C323A">
      <w:pPr>
        <w:pStyle w:val="Definition"/>
      </w:pPr>
      <w:r w:rsidRPr="002621CB">
        <w:rPr>
          <w:b/>
          <w:bCs/>
          <w:i/>
        </w:rPr>
        <w:t>Health Department</w:t>
      </w:r>
      <w:r w:rsidR="002B3400">
        <w:rPr>
          <w:b/>
          <w:bCs/>
          <w:i/>
        </w:rPr>
        <w:t xml:space="preserve"> </w:t>
      </w:r>
      <w:r w:rsidR="002B3400" w:rsidRPr="002B3400">
        <w:t xml:space="preserve">means the Department administered by the Minister administering the </w:t>
      </w:r>
      <w:r w:rsidR="002B3400" w:rsidRPr="002B3400">
        <w:rPr>
          <w:i/>
          <w:iCs/>
        </w:rPr>
        <w:t>Health Insurance Act 1973</w:t>
      </w:r>
      <w:r w:rsidRPr="002621CB">
        <w:t>.</w:t>
      </w:r>
    </w:p>
    <w:p w14:paraId="5913B996" w14:textId="77777777" w:rsidR="003B6251" w:rsidRPr="00C95BDF" w:rsidRDefault="003B6251" w:rsidP="003B6251">
      <w:pPr>
        <w:pStyle w:val="Definition"/>
      </w:pPr>
      <w:r>
        <w:rPr>
          <w:b/>
          <w:i/>
        </w:rPr>
        <w:t>h</w:t>
      </w:r>
      <w:r w:rsidRPr="00244465">
        <w:rPr>
          <w:b/>
          <w:i/>
        </w:rPr>
        <w:t xml:space="preserve">ealth provider compliance function </w:t>
      </w:r>
      <w:r w:rsidRPr="00244465">
        <w:t xml:space="preserve">means a statutory function, duty or power of the </w:t>
      </w:r>
      <w:r>
        <w:t xml:space="preserve">Secretary under the Act, or the </w:t>
      </w:r>
      <w:r w:rsidRPr="00244465">
        <w:t xml:space="preserve">Chief Executive Medicare under the </w:t>
      </w:r>
      <w:r w:rsidRPr="005A6E38">
        <w:rPr>
          <w:i/>
        </w:rPr>
        <w:t>Human Services (Medicare) Act 1973</w:t>
      </w:r>
      <w:r w:rsidRPr="00244465">
        <w:t xml:space="preserve">, where a health provider is the subject of the performance of the function or the exercise of the </w:t>
      </w:r>
      <w:r w:rsidR="00C22BBE" w:rsidRPr="00B751B2">
        <w:t xml:space="preserve">duty or </w:t>
      </w:r>
      <w:r w:rsidRPr="00244465">
        <w:t>power.</w:t>
      </w:r>
    </w:p>
    <w:p w14:paraId="64C39D1C" w14:textId="77777777" w:rsidR="00B0002C" w:rsidRPr="00AF5E46" w:rsidRDefault="00B0002C" w:rsidP="002C4629">
      <w:pPr>
        <w:pStyle w:val="Definition"/>
      </w:pPr>
      <w:r w:rsidRPr="00AF5E46">
        <w:rPr>
          <w:b/>
          <w:i/>
        </w:rPr>
        <w:t xml:space="preserve">Medicare PIN </w:t>
      </w:r>
      <w:r w:rsidRPr="00AF5E46">
        <w:t>(short for Medicare personal identification number) means a number:</w:t>
      </w:r>
    </w:p>
    <w:p w14:paraId="3F6F3169" w14:textId="77777777" w:rsidR="00B0002C" w:rsidRPr="00AF5E46" w:rsidRDefault="00B0002C" w:rsidP="00B0002C">
      <w:pPr>
        <w:pStyle w:val="paragraph"/>
      </w:pPr>
      <w:r w:rsidRPr="00AF5E46">
        <w:tab/>
        <w:t>(a)</w:t>
      </w:r>
      <w:r w:rsidRPr="00AF5E46">
        <w:tab/>
        <w:t>that is maintained by Services Australia; and</w:t>
      </w:r>
    </w:p>
    <w:p w14:paraId="27C754C0" w14:textId="77777777" w:rsidR="00B0002C" w:rsidRPr="00AF5E46" w:rsidRDefault="00B0002C" w:rsidP="00B0002C">
      <w:pPr>
        <w:pStyle w:val="paragraph"/>
      </w:pPr>
      <w:r w:rsidRPr="00AF5E46">
        <w:tab/>
        <w:t>(b)</w:t>
      </w:r>
      <w:r w:rsidRPr="00AF5E46">
        <w:tab/>
        <w:t>that is used by Services Australia to identify a particular individual included in the Medicare Benefits Program or the Pharmaceutical Benefits Program; and</w:t>
      </w:r>
    </w:p>
    <w:p w14:paraId="250B07CB" w14:textId="77777777" w:rsidR="00B0002C" w:rsidRPr="00AF5E46" w:rsidRDefault="00B0002C" w:rsidP="00B0002C">
      <w:pPr>
        <w:pStyle w:val="paragraph"/>
      </w:pPr>
      <w:r w:rsidRPr="00AF5E46">
        <w:tab/>
        <w:t>(c)</w:t>
      </w:r>
      <w:r w:rsidRPr="00AF5E46">
        <w:tab/>
        <w:t>that is neither based on nor derived from the individual’s name, date of birth, address, telephone number or Medicare card number; and</w:t>
      </w:r>
    </w:p>
    <w:p w14:paraId="3336B982" w14:textId="77777777" w:rsidR="00B0002C" w:rsidRPr="00AF5E46" w:rsidRDefault="00B0002C" w:rsidP="00B0002C">
      <w:pPr>
        <w:pStyle w:val="paragraph"/>
      </w:pPr>
      <w:r w:rsidRPr="00AF5E46">
        <w:tab/>
        <w:t>(d)</w:t>
      </w:r>
      <w:r w:rsidRPr="00AF5E46">
        <w:tab/>
        <w:t>from which, on its own, the individual’s identity cannot reasonably be determined; and</w:t>
      </w:r>
    </w:p>
    <w:p w14:paraId="557783FF" w14:textId="77777777" w:rsidR="00B0002C" w:rsidRDefault="00B0002C" w:rsidP="00B0002C">
      <w:pPr>
        <w:pStyle w:val="paragraph"/>
      </w:pPr>
      <w:r w:rsidRPr="00AF5E46">
        <w:tab/>
        <w:t>(e)</w:t>
      </w:r>
      <w:r w:rsidRPr="00AF5E46">
        <w:tab/>
        <w:t>that does not</w:t>
      </w:r>
      <w:r w:rsidR="00A45D34">
        <w:t>, on its own,</w:t>
      </w:r>
      <w:r w:rsidRPr="00AF5E46">
        <w:t xml:space="preserve"> reveal any health-related or other personal information about the individual.</w:t>
      </w:r>
    </w:p>
    <w:p w14:paraId="650FAA52" w14:textId="77777777" w:rsidR="00A11646" w:rsidRPr="00A11646" w:rsidRDefault="00A11646" w:rsidP="00A11646">
      <w:pPr>
        <w:pStyle w:val="Definition"/>
      </w:pPr>
      <w:r w:rsidRPr="00A11646">
        <w:rPr>
          <w:b/>
          <w:i/>
        </w:rPr>
        <w:t>permitted purpose</w:t>
      </w:r>
      <w:r w:rsidRPr="00A11646">
        <w:t xml:space="preserve"> means:</w:t>
      </w:r>
    </w:p>
    <w:p w14:paraId="25060014" w14:textId="77777777" w:rsidR="00A11646" w:rsidRPr="00A11646" w:rsidRDefault="00A11646" w:rsidP="00A11646">
      <w:pPr>
        <w:pStyle w:val="paragraph"/>
      </w:pPr>
      <w:r w:rsidRPr="00A11646">
        <w:tab/>
        <w:t>(a)</w:t>
      </w:r>
      <w:r w:rsidRPr="00A11646">
        <w:tab/>
        <w:t xml:space="preserve">in relation to a linkage authorised by section </w:t>
      </w:r>
      <w:r w:rsidR="00521D37">
        <w:t>14</w:t>
      </w:r>
      <w:r w:rsidRPr="00A11646">
        <w:t xml:space="preserve">—the relevant permitted purpose under subsection </w:t>
      </w:r>
      <w:r w:rsidR="00521D37">
        <w:t>14(2)</w:t>
      </w:r>
      <w:r w:rsidRPr="00A11646">
        <w:t>; and</w:t>
      </w:r>
    </w:p>
    <w:p w14:paraId="723DD581" w14:textId="77777777" w:rsidR="00A11646" w:rsidRPr="00A11646" w:rsidRDefault="00A11646" w:rsidP="00A11646">
      <w:pPr>
        <w:pStyle w:val="paragraph"/>
      </w:pPr>
      <w:r w:rsidRPr="00A11646">
        <w:tab/>
        <w:t>(b)</w:t>
      </w:r>
      <w:r w:rsidRPr="00A11646">
        <w:tab/>
        <w:t xml:space="preserve">in relation to a linkage authorised by section </w:t>
      </w:r>
      <w:r w:rsidR="00521D37">
        <w:t>15</w:t>
      </w:r>
      <w:r w:rsidRPr="00A11646">
        <w:t xml:space="preserve">—the relevant permitted purpose under subsection </w:t>
      </w:r>
      <w:r w:rsidR="00521D37">
        <w:t>15(2)</w:t>
      </w:r>
      <w:r w:rsidRPr="00A11646">
        <w:t>.</w:t>
      </w:r>
    </w:p>
    <w:p w14:paraId="4934B8B0" w14:textId="77777777" w:rsidR="002657C2" w:rsidRPr="002B3400" w:rsidRDefault="009862E5" w:rsidP="002657C2">
      <w:pPr>
        <w:pStyle w:val="Definition"/>
      </w:pPr>
      <w:r w:rsidRPr="00AF5E46">
        <w:rPr>
          <w:b/>
          <w:i/>
        </w:rPr>
        <w:t>primary agency</w:t>
      </w:r>
      <w:r w:rsidRPr="00AF5E46">
        <w:rPr>
          <w:bCs/>
        </w:rPr>
        <w:t xml:space="preserve">: </w:t>
      </w:r>
      <w:r w:rsidR="002657C2" w:rsidRPr="002B3400">
        <w:t xml:space="preserve">each of the following is a </w:t>
      </w:r>
      <w:r w:rsidR="002657C2" w:rsidRPr="002B3400">
        <w:rPr>
          <w:b/>
          <w:i/>
        </w:rPr>
        <w:t>primary agency</w:t>
      </w:r>
      <w:r w:rsidR="002657C2" w:rsidRPr="002B3400">
        <w:t>:</w:t>
      </w:r>
    </w:p>
    <w:p w14:paraId="069E177A" w14:textId="77777777" w:rsidR="002657C2" w:rsidRPr="002B3400" w:rsidRDefault="002657C2" w:rsidP="002657C2">
      <w:pPr>
        <w:pStyle w:val="paragraph"/>
      </w:pPr>
      <w:r>
        <w:tab/>
        <w:t>(a)</w:t>
      </w:r>
      <w:r>
        <w:tab/>
      </w:r>
      <w:r w:rsidRPr="002B3400">
        <w:t>the Health Department;</w:t>
      </w:r>
    </w:p>
    <w:p w14:paraId="79F74722" w14:textId="77777777" w:rsidR="009862E5" w:rsidRPr="00AF5E46" w:rsidRDefault="002657C2" w:rsidP="002657C2">
      <w:pPr>
        <w:pStyle w:val="paragraph"/>
      </w:pPr>
      <w:r>
        <w:tab/>
        <w:t>(b)</w:t>
      </w:r>
      <w:r>
        <w:tab/>
      </w:r>
      <w:r w:rsidRPr="00AF5E46">
        <w:t>Services Australia</w:t>
      </w:r>
      <w:r>
        <w:t>.</w:t>
      </w:r>
    </w:p>
    <w:p w14:paraId="1E70DCD0" w14:textId="77777777" w:rsidR="002657C2" w:rsidRDefault="002657C2" w:rsidP="002657C2">
      <w:pPr>
        <w:pStyle w:val="notetext"/>
      </w:pPr>
      <w:r w:rsidRPr="00AF5E46">
        <w:t>Note:</w:t>
      </w:r>
      <w:r w:rsidRPr="00AF5E46">
        <w:tab/>
        <w:t xml:space="preserve">Services Australia is an Executive Agency that was established under section 65 of the </w:t>
      </w:r>
      <w:r w:rsidRPr="00AF5E46">
        <w:rPr>
          <w:i/>
        </w:rPr>
        <w:t>Public Service Act 1999</w:t>
      </w:r>
      <w:r w:rsidRPr="00AF5E46">
        <w:t xml:space="preserve"> by order on 5 December 2019.</w:t>
      </w:r>
    </w:p>
    <w:p w14:paraId="6AD3DBF8" w14:textId="77777777" w:rsidR="00644EB9" w:rsidRDefault="00644EB9" w:rsidP="00B93755">
      <w:pPr>
        <w:pStyle w:val="Definition"/>
      </w:pPr>
      <w:r w:rsidRPr="00AF5E46">
        <w:rPr>
          <w:b/>
          <w:i/>
        </w:rPr>
        <w:t xml:space="preserve">principal executive </w:t>
      </w:r>
      <w:r w:rsidRPr="00AF5E46">
        <w:t xml:space="preserve">has the same meaning as in the </w:t>
      </w:r>
      <w:r w:rsidRPr="00AF5E46">
        <w:rPr>
          <w:i/>
        </w:rPr>
        <w:t>Privacy Act 1988</w:t>
      </w:r>
      <w:r w:rsidRPr="00AF5E46">
        <w:t>.</w:t>
      </w:r>
    </w:p>
    <w:p w14:paraId="5CAAB313" w14:textId="77777777" w:rsidR="00465257" w:rsidRPr="00465257" w:rsidRDefault="00465257" w:rsidP="00B93755">
      <w:pPr>
        <w:pStyle w:val="Definition"/>
      </w:pPr>
      <w:r>
        <w:rPr>
          <w:b/>
          <w:i/>
        </w:rPr>
        <w:lastRenderedPageBreak/>
        <w:t xml:space="preserve">Secretary </w:t>
      </w:r>
      <w:r>
        <w:t>means the Secretary of the Health Department.</w:t>
      </w:r>
    </w:p>
    <w:p w14:paraId="1BA4D505" w14:textId="77777777" w:rsidR="002C4629" w:rsidRPr="00AF5E46" w:rsidRDefault="002C4629" w:rsidP="00604E79">
      <w:pPr>
        <w:pStyle w:val="Definition"/>
        <w:rPr>
          <w:bCs/>
        </w:rPr>
      </w:pPr>
      <w:r w:rsidRPr="00AF5E46">
        <w:rPr>
          <w:b/>
          <w:bCs/>
          <w:i/>
        </w:rPr>
        <w:t>secondary agency</w:t>
      </w:r>
      <w:r w:rsidR="002657C2">
        <w:rPr>
          <w:b/>
          <w:bCs/>
          <w:i/>
        </w:rPr>
        <w:t xml:space="preserve"> </w:t>
      </w:r>
      <w:r w:rsidR="002657C2">
        <w:rPr>
          <w:bCs/>
        </w:rPr>
        <w:t>means an agency that is not a primary agency</w:t>
      </w:r>
      <w:r w:rsidRPr="00AF5E46">
        <w:rPr>
          <w:bCs/>
        </w:rPr>
        <w:t>.</w:t>
      </w:r>
    </w:p>
    <w:p w14:paraId="1D8CD0A0" w14:textId="77777777" w:rsidR="00D01F0C" w:rsidRPr="00B751B2" w:rsidRDefault="00D01F0C" w:rsidP="00D01F0C">
      <w:pPr>
        <w:pStyle w:val="SubsectionHead"/>
      </w:pPr>
      <w:r w:rsidRPr="00B751B2">
        <w:t xml:space="preserve">Meaning of references to destroying linked </w:t>
      </w:r>
      <w:r w:rsidR="009F0C16" w:rsidRPr="00B751B2">
        <w:t>or re</w:t>
      </w:r>
      <w:r w:rsidR="009F0C16" w:rsidRPr="00B751B2">
        <w:noBreakHyphen/>
        <w:t xml:space="preserve">linked </w:t>
      </w:r>
      <w:r w:rsidRPr="00B751B2">
        <w:t>claims information</w:t>
      </w:r>
    </w:p>
    <w:p w14:paraId="3E2C3941" w14:textId="77777777" w:rsidR="00DC044F" w:rsidRPr="00B751B2" w:rsidRDefault="00DC044F" w:rsidP="00DC044F">
      <w:pPr>
        <w:pStyle w:val="subsection"/>
      </w:pPr>
      <w:r w:rsidRPr="00B751B2">
        <w:tab/>
      </w:r>
      <w:r w:rsidR="00E30146">
        <w:t>(2)</w:t>
      </w:r>
      <w:r w:rsidRPr="00B751B2">
        <w:tab/>
        <w:t>In this instrument, a reference to destroying linked</w:t>
      </w:r>
      <w:r w:rsidR="009F0C16" w:rsidRPr="00B751B2">
        <w:t xml:space="preserve"> </w:t>
      </w:r>
      <w:bookmarkStart w:id="9" w:name="_Hlk170120296"/>
      <w:r w:rsidR="009F0C16" w:rsidRPr="00B751B2">
        <w:t>or re</w:t>
      </w:r>
      <w:r w:rsidR="009F0C16" w:rsidRPr="00B751B2">
        <w:noBreakHyphen/>
        <w:t>linked</w:t>
      </w:r>
      <w:r w:rsidRPr="00B751B2">
        <w:t xml:space="preserve"> </w:t>
      </w:r>
      <w:bookmarkEnd w:id="9"/>
      <w:r w:rsidRPr="00B751B2">
        <w:t>claims information is a reference to doing any of the following:</w:t>
      </w:r>
    </w:p>
    <w:p w14:paraId="419D561E" w14:textId="77777777" w:rsidR="00DC044F" w:rsidRPr="00B751B2" w:rsidRDefault="00DC044F" w:rsidP="00DC044F">
      <w:pPr>
        <w:pStyle w:val="paragraph"/>
      </w:pPr>
      <w:r w:rsidRPr="00B751B2">
        <w:tab/>
      </w:r>
      <w:r w:rsidR="00E30146">
        <w:t>(a)</w:t>
      </w:r>
      <w:r w:rsidRPr="00B751B2">
        <w:tab/>
        <w:t xml:space="preserve">destroying the linked </w:t>
      </w:r>
      <w:r w:rsidR="009F0C16" w:rsidRPr="00B751B2">
        <w:t>or re</w:t>
      </w:r>
      <w:r w:rsidR="009F0C16" w:rsidRPr="00B751B2">
        <w:noBreakHyphen/>
        <w:t xml:space="preserve">linked </w:t>
      </w:r>
      <w:r w:rsidRPr="00B751B2">
        <w:t>claims information;</w:t>
      </w:r>
    </w:p>
    <w:p w14:paraId="4BFD9F21" w14:textId="77777777" w:rsidR="00DC044F" w:rsidRPr="00B751B2" w:rsidRDefault="00DC044F" w:rsidP="00DC044F">
      <w:pPr>
        <w:pStyle w:val="paragraph"/>
      </w:pPr>
      <w:r w:rsidRPr="00B751B2">
        <w:tab/>
      </w:r>
      <w:r w:rsidR="00E30146">
        <w:t>(b)</w:t>
      </w:r>
      <w:r w:rsidRPr="00B751B2">
        <w:tab/>
        <w:t xml:space="preserve">destroying any </w:t>
      </w:r>
      <w:r w:rsidR="00682162" w:rsidRPr="00B751B2">
        <w:t xml:space="preserve">additional </w:t>
      </w:r>
      <w:r w:rsidR="007022FE" w:rsidRPr="00B751B2">
        <w:t xml:space="preserve">information </w:t>
      </w:r>
      <w:r w:rsidRPr="00B751B2">
        <w:t xml:space="preserve">that was produced in order to link </w:t>
      </w:r>
      <w:r w:rsidR="009F0C16" w:rsidRPr="00B751B2">
        <w:t>or re</w:t>
      </w:r>
      <w:r w:rsidR="009F0C16" w:rsidRPr="00B751B2">
        <w:noBreakHyphen/>
        <w:t xml:space="preserve">link </w:t>
      </w:r>
      <w:r w:rsidRPr="00B751B2">
        <w:t>the claims information;</w:t>
      </w:r>
    </w:p>
    <w:p w14:paraId="5BCE93D9" w14:textId="77777777" w:rsidR="00DC044F" w:rsidRPr="00B751B2" w:rsidRDefault="00DC044F" w:rsidP="00DC044F">
      <w:pPr>
        <w:pStyle w:val="paragraph"/>
      </w:pPr>
      <w:r w:rsidRPr="00B751B2">
        <w:tab/>
      </w:r>
      <w:r w:rsidR="00E30146">
        <w:t>(c)</w:t>
      </w:r>
      <w:r w:rsidRPr="00B751B2">
        <w:tab/>
        <w:t>otherwise ensuring that</w:t>
      </w:r>
      <w:r w:rsidR="00682162" w:rsidRPr="00B751B2">
        <w:t xml:space="preserve"> the</w:t>
      </w:r>
      <w:r w:rsidRPr="00B751B2">
        <w:t xml:space="preserve"> claims information is no longer linked</w:t>
      </w:r>
      <w:r w:rsidR="009F0C16" w:rsidRPr="00B751B2">
        <w:t xml:space="preserve"> or re</w:t>
      </w:r>
      <w:r w:rsidR="009F0C16" w:rsidRPr="00B751B2">
        <w:noBreakHyphen/>
        <w:t>linked</w:t>
      </w:r>
      <w:r w:rsidR="00704634" w:rsidRPr="00B751B2">
        <w:t>,</w:t>
      </w:r>
      <w:r w:rsidRPr="00B751B2">
        <w:t xml:space="preserve"> and </w:t>
      </w:r>
      <w:r w:rsidR="00704634" w:rsidRPr="00B751B2">
        <w:t xml:space="preserve">that </w:t>
      </w:r>
      <w:r w:rsidRPr="00B751B2">
        <w:t xml:space="preserve">linked </w:t>
      </w:r>
      <w:r w:rsidR="009F0C16" w:rsidRPr="00B751B2">
        <w:t>or re</w:t>
      </w:r>
      <w:r w:rsidR="009F0C16" w:rsidRPr="00B751B2">
        <w:noBreakHyphen/>
        <w:t xml:space="preserve">linked </w:t>
      </w:r>
      <w:r w:rsidRPr="00B751B2">
        <w:t>claims information</w:t>
      </w:r>
      <w:r w:rsidR="00394B75" w:rsidRPr="00B751B2">
        <w:t xml:space="preserve"> is no longer stored</w:t>
      </w:r>
      <w:r w:rsidRPr="00B751B2">
        <w:t>.</w:t>
      </w:r>
    </w:p>
    <w:p w14:paraId="1F0AC406" w14:textId="77777777" w:rsidR="00D01F0C" w:rsidRPr="00B751B2" w:rsidRDefault="00D01F0C" w:rsidP="00D01F0C">
      <w:pPr>
        <w:pStyle w:val="SubsectionHead"/>
      </w:pPr>
      <w:r w:rsidRPr="00B751B2">
        <w:t>Meaning of references to tracing linkages</w:t>
      </w:r>
      <w:r w:rsidR="009F0C16" w:rsidRPr="00B751B2">
        <w:t xml:space="preserve"> or re</w:t>
      </w:r>
      <w:r w:rsidR="009F0C16" w:rsidRPr="00B751B2">
        <w:noBreakHyphen/>
        <w:t>linkages</w:t>
      </w:r>
      <w:r w:rsidRPr="00B751B2">
        <w:t xml:space="preserve"> of claims information</w:t>
      </w:r>
    </w:p>
    <w:p w14:paraId="7B0EEC00" w14:textId="77777777" w:rsidR="00DC044F" w:rsidRPr="00B751B2" w:rsidRDefault="00930C37" w:rsidP="00930C37">
      <w:pPr>
        <w:pStyle w:val="subsection"/>
      </w:pPr>
      <w:r w:rsidRPr="00B751B2">
        <w:tab/>
      </w:r>
      <w:r w:rsidR="00E30146">
        <w:t>(3)</w:t>
      </w:r>
      <w:r w:rsidRPr="00B751B2">
        <w:tab/>
        <w:t xml:space="preserve">In this instrument, a reference to tracing </w:t>
      </w:r>
      <w:r w:rsidR="00D01F0C" w:rsidRPr="00B751B2">
        <w:t xml:space="preserve">linkages </w:t>
      </w:r>
      <w:r w:rsidR="009F0C16" w:rsidRPr="00B751B2">
        <w:t>or re</w:t>
      </w:r>
      <w:r w:rsidR="009F0C16" w:rsidRPr="00B751B2">
        <w:noBreakHyphen/>
        <w:t xml:space="preserve">linkages </w:t>
      </w:r>
      <w:r w:rsidR="00D01F0C" w:rsidRPr="00B751B2">
        <w:t>of</w:t>
      </w:r>
      <w:r w:rsidRPr="00B751B2">
        <w:t xml:space="preserve"> claims information is a reference to</w:t>
      </w:r>
      <w:r w:rsidR="00DD6FDD" w:rsidRPr="00B751B2">
        <w:t xml:space="preserve"> ensuring that the following are reasonably ascertainable</w:t>
      </w:r>
      <w:r w:rsidRPr="00B751B2">
        <w:t>:</w:t>
      </w:r>
    </w:p>
    <w:p w14:paraId="0680A354" w14:textId="77777777" w:rsidR="00DD6FDD" w:rsidRPr="00B751B2" w:rsidRDefault="00930C37" w:rsidP="00DD6FDD">
      <w:pPr>
        <w:pStyle w:val="paragraph"/>
      </w:pPr>
      <w:r w:rsidRPr="00B751B2">
        <w:tab/>
      </w:r>
      <w:r w:rsidR="00E30146">
        <w:t>(a)</w:t>
      </w:r>
      <w:r w:rsidRPr="00B751B2">
        <w:tab/>
      </w:r>
      <w:r w:rsidR="00DD6FDD" w:rsidRPr="00B751B2">
        <w:t xml:space="preserve">when the </w:t>
      </w:r>
      <w:r w:rsidR="00D01F0C" w:rsidRPr="00B751B2">
        <w:t xml:space="preserve">claims </w:t>
      </w:r>
      <w:r w:rsidR="00DD6FDD" w:rsidRPr="00B751B2">
        <w:t>information was linked</w:t>
      </w:r>
      <w:r w:rsidR="009F0C16" w:rsidRPr="00B751B2">
        <w:t xml:space="preserve"> or re</w:t>
      </w:r>
      <w:r w:rsidR="009F0C16" w:rsidRPr="00B751B2">
        <w:noBreakHyphen/>
        <w:t>linked</w:t>
      </w:r>
      <w:r w:rsidR="00DD6FDD" w:rsidRPr="00B751B2">
        <w:t>;</w:t>
      </w:r>
    </w:p>
    <w:p w14:paraId="10069394" w14:textId="77777777" w:rsidR="00DD6FDD" w:rsidRPr="00B751B2" w:rsidRDefault="00DD6FDD" w:rsidP="00DD6FDD">
      <w:pPr>
        <w:pStyle w:val="paragraph"/>
      </w:pPr>
      <w:r w:rsidRPr="00B751B2">
        <w:tab/>
      </w:r>
      <w:r w:rsidR="00E30146">
        <w:t>(b)</w:t>
      </w:r>
      <w:r w:rsidRPr="00B751B2">
        <w:tab/>
        <w:t xml:space="preserve">what </w:t>
      </w:r>
      <w:r w:rsidR="00D01F0C" w:rsidRPr="00B751B2">
        <w:t xml:space="preserve">claims </w:t>
      </w:r>
      <w:r w:rsidRPr="00B751B2">
        <w:t>information was linked</w:t>
      </w:r>
      <w:r w:rsidR="009F0C16" w:rsidRPr="00B751B2">
        <w:t xml:space="preserve"> or re</w:t>
      </w:r>
      <w:r w:rsidR="009F0C16" w:rsidRPr="00B751B2">
        <w:noBreakHyphen/>
        <w:t>linked</w:t>
      </w:r>
      <w:r w:rsidRPr="00B751B2">
        <w:t>;</w:t>
      </w:r>
    </w:p>
    <w:p w14:paraId="675841DF" w14:textId="77777777" w:rsidR="00DD6FDD" w:rsidRPr="00B751B2" w:rsidRDefault="00DD6FDD" w:rsidP="00DD6FDD">
      <w:pPr>
        <w:pStyle w:val="paragraph"/>
      </w:pPr>
      <w:r w:rsidRPr="00B751B2">
        <w:tab/>
      </w:r>
      <w:r w:rsidR="00E30146">
        <w:t>(c)</w:t>
      </w:r>
      <w:r w:rsidRPr="00B751B2">
        <w:tab/>
        <w:t xml:space="preserve">who linked </w:t>
      </w:r>
      <w:r w:rsidR="009F0C16" w:rsidRPr="00B751B2">
        <w:t>or re</w:t>
      </w:r>
      <w:r w:rsidR="009F0C16" w:rsidRPr="00B751B2">
        <w:noBreakHyphen/>
        <w:t xml:space="preserve">linked </w:t>
      </w:r>
      <w:r w:rsidRPr="00B751B2">
        <w:t xml:space="preserve">the </w:t>
      </w:r>
      <w:r w:rsidR="00D01F0C" w:rsidRPr="00B751B2">
        <w:t xml:space="preserve">claims </w:t>
      </w:r>
      <w:r w:rsidRPr="00B751B2">
        <w:t>information;</w:t>
      </w:r>
    </w:p>
    <w:p w14:paraId="3FE3EF30" w14:textId="77777777" w:rsidR="00DD6FDD" w:rsidRPr="00B751B2" w:rsidRDefault="00DD6FDD" w:rsidP="00DD6FDD">
      <w:pPr>
        <w:pStyle w:val="paragraph"/>
      </w:pPr>
      <w:r w:rsidRPr="00B751B2">
        <w:tab/>
      </w:r>
      <w:r w:rsidR="00E30146">
        <w:t>(d)</w:t>
      </w:r>
      <w:r w:rsidRPr="00B751B2">
        <w:tab/>
        <w:t xml:space="preserve">when the linked </w:t>
      </w:r>
      <w:r w:rsidR="009F0C16" w:rsidRPr="00B751B2">
        <w:t>or re</w:t>
      </w:r>
      <w:r w:rsidR="009F0C16" w:rsidRPr="00B751B2">
        <w:noBreakHyphen/>
        <w:t xml:space="preserve">linked </w:t>
      </w:r>
      <w:r w:rsidRPr="00B751B2">
        <w:t>claims information was destroyed.</w:t>
      </w:r>
    </w:p>
    <w:p w14:paraId="265BE2D9" w14:textId="77777777" w:rsidR="00394B75" w:rsidRPr="0060589E" w:rsidRDefault="00394B75" w:rsidP="00394B75">
      <w:pPr>
        <w:pStyle w:val="notetext"/>
      </w:pPr>
      <w:r w:rsidRPr="00B751B2">
        <w:t>Note:</w:t>
      </w:r>
      <w:r w:rsidRPr="00B751B2">
        <w:tab/>
        <w:t>See subsection </w:t>
      </w:r>
      <w:r w:rsidR="00521D37">
        <w:t>(2)</w:t>
      </w:r>
      <w:r w:rsidRPr="00B751B2">
        <w:t xml:space="preserve"> for the meaning of references to destroying linked</w:t>
      </w:r>
      <w:r w:rsidR="009F0C16" w:rsidRPr="00B751B2">
        <w:t xml:space="preserve"> or re</w:t>
      </w:r>
      <w:r w:rsidR="009F0C16" w:rsidRPr="00B751B2">
        <w:noBreakHyphen/>
        <w:t>linked</w:t>
      </w:r>
      <w:r w:rsidRPr="00B751B2">
        <w:t xml:space="preserve"> </w:t>
      </w:r>
      <w:r w:rsidRPr="0060589E">
        <w:t>claims information.</w:t>
      </w:r>
    </w:p>
    <w:p w14:paraId="2E1A7394" w14:textId="77777777" w:rsidR="008E4429" w:rsidRPr="0060589E" w:rsidRDefault="00E30146" w:rsidP="008E4429">
      <w:pPr>
        <w:pStyle w:val="ActHead5"/>
      </w:pPr>
      <w:bookmarkStart w:id="10" w:name="_Toc171078078"/>
      <w:proofErr w:type="gramStart"/>
      <w:r>
        <w:t>6</w:t>
      </w:r>
      <w:r w:rsidR="004507D8" w:rsidRPr="0060589E">
        <w:t xml:space="preserve"> </w:t>
      </w:r>
      <w:r w:rsidR="008E4429" w:rsidRPr="0060589E">
        <w:t xml:space="preserve"> Simplified</w:t>
      </w:r>
      <w:proofErr w:type="gramEnd"/>
      <w:r w:rsidR="008E4429" w:rsidRPr="0060589E">
        <w:t xml:space="preserve"> outline of this instrument</w:t>
      </w:r>
      <w:bookmarkEnd w:id="10"/>
    </w:p>
    <w:p w14:paraId="47D0B8F3" w14:textId="77777777" w:rsidR="001B2E0F" w:rsidRPr="0060589E" w:rsidRDefault="00E06216" w:rsidP="001B2E0F">
      <w:pPr>
        <w:pStyle w:val="SOText"/>
      </w:pPr>
      <w:r w:rsidRPr="0060589E">
        <w:t xml:space="preserve">This instrument </w:t>
      </w:r>
      <w:r w:rsidR="001B2E0F" w:rsidRPr="0060589E">
        <w:t>relate</w:t>
      </w:r>
      <w:r w:rsidRPr="0060589E">
        <w:t>s</w:t>
      </w:r>
      <w:r w:rsidR="001B2E0F" w:rsidRPr="0060589E">
        <w:t xml:space="preserve"> to claims information, and </w:t>
      </w:r>
      <w:r w:rsidR="00CD03F6" w:rsidRPr="0060589E">
        <w:t>is</w:t>
      </w:r>
      <w:r w:rsidR="001B2E0F" w:rsidRPr="0060589E">
        <w:t xml:space="preserve"> made under section 135AA of the Act.</w:t>
      </w:r>
      <w:r w:rsidR="00477B5E" w:rsidRPr="0060589E">
        <w:t xml:space="preserve"> </w:t>
      </w:r>
      <w:r w:rsidRPr="0060589E">
        <w:t>This instrument is</w:t>
      </w:r>
      <w:r w:rsidR="00674CE0" w:rsidRPr="0060589E">
        <w:t xml:space="preserve"> structured as follows:</w:t>
      </w:r>
    </w:p>
    <w:p w14:paraId="2D54275B" w14:textId="77777777" w:rsidR="001B2E0F" w:rsidRPr="0060589E" w:rsidRDefault="00674CE0" w:rsidP="00674CE0">
      <w:pPr>
        <w:pStyle w:val="SOBullet"/>
      </w:pPr>
      <w:r w:rsidRPr="0060589E">
        <w:rPr>
          <w:rFonts w:cs="Times New Roman"/>
        </w:rPr>
        <w:t>•</w:t>
      </w:r>
      <w:r w:rsidRPr="0060589E">
        <w:rPr>
          <w:rFonts w:cs="Times New Roman"/>
        </w:rPr>
        <w:tab/>
      </w:r>
      <w:r w:rsidR="00521D37">
        <w:rPr>
          <w:rFonts w:cs="Times New Roman"/>
        </w:rPr>
        <w:t>Part 1</w:t>
      </w:r>
      <w:r w:rsidR="001B2E0F" w:rsidRPr="0060589E">
        <w:t xml:space="preserve"> deals with introductory material and definitions of terms used in </w:t>
      </w:r>
      <w:r w:rsidR="00E06216" w:rsidRPr="0060589E">
        <w:t>this instrument</w:t>
      </w:r>
      <w:r w:rsidR="001B2E0F" w:rsidRPr="0060589E">
        <w:t>.</w:t>
      </w:r>
    </w:p>
    <w:p w14:paraId="1076A92D" w14:textId="77777777" w:rsidR="001B2E0F" w:rsidRPr="0060589E" w:rsidRDefault="00674CE0" w:rsidP="00674CE0">
      <w:pPr>
        <w:pStyle w:val="SOBullet"/>
      </w:pPr>
      <w:r w:rsidRPr="0060589E">
        <w:rPr>
          <w:rFonts w:cs="Times New Roman"/>
        </w:rPr>
        <w:t>•</w:t>
      </w:r>
      <w:r w:rsidRPr="0060589E">
        <w:rPr>
          <w:rFonts w:cs="Times New Roman"/>
        </w:rPr>
        <w:tab/>
      </w:r>
      <w:r w:rsidR="00521D37">
        <w:rPr>
          <w:rFonts w:cs="Times New Roman"/>
        </w:rPr>
        <w:t>Part 2</w:t>
      </w:r>
      <w:r w:rsidR="001B2E0F" w:rsidRPr="0060589E">
        <w:t xml:space="preserve"> </w:t>
      </w:r>
      <w:r w:rsidRPr="0060589E">
        <w:t xml:space="preserve">specifies </w:t>
      </w:r>
      <w:r w:rsidR="001B2E0F" w:rsidRPr="0060589E">
        <w:t>the ways in which claims information may be stored, and specifies the circumstances in which creating copies of information in paper or similar form is prohibited.</w:t>
      </w:r>
      <w:r w:rsidR="00BD5ED3" w:rsidRPr="0060589E">
        <w:t xml:space="preserve"> </w:t>
      </w:r>
      <w:r w:rsidR="00521D37">
        <w:rPr>
          <w:rFonts w:cs="Times New Roman"/>
        </w:rPr>
        <w:t>Part 2</w:t>
      </w:r>
      <w:r w:rsidR="000B213A" w:rsidRPr="0060589E">
        <w:t xml:space="preserve"> </w:t>
      </w:r>
      <w:r w:rsidR="00BD5ED3" w:rsidRPr="0060589E">
        <w:t>is made for the purposes of paragraph 135AA(5)(a) of the Act.</w:t>
      </w:r>
    </w:p>
    <w:p w14:paraId="3344D207" w14:textId="77777777" w:rsidR="001B2E0F" w:rsidRPr="0060589E" w:rsidRDefault="00674CE0" w:rsidP="00674CE0">
      <w:pPr>
        <w:pStyle w:val="SOBullet"/>
      </w:pPr>
      <w:r w:rsidRPr="0060589E">
        <w:rPr>
          <w:rFonts w:cs="Times New Roman"/>
        </w:rPr>
        <w:t>•</w:t>
      </w:r>
      <w:r w:rsidRPr="0060589E">
        <w:rPr>
          <w:rFonts w:cs="Times New Roman"/>
        </w:rPr>
        <w:tab/>
      </w:r>
      <w:r w:rsidR="00521D37">
        <w:rPr>
          <w:rFonts w:cs="Times New Roman"/>
        </w:rPr>
        <w:t>Part 3</w:t>
      </w:r>
      <w:r w:rsidR="00CD03F6" w:rsidRPr="0060589E">
        <w:rPr>
          <w:rFonts w:cs="Times New Roman"/>
        </w:rPr>
        <w:t xml:space="preserve"> </w:t>
      </w:r>
      <w:r w:rsidR="001B2E0F" w:rsidRPr="0060589E">
        <w:t xml:space="preserve">specifies the uses to which agencies may put </w:t>
      </w:r>
      <w:r w:rsidR="00816E84" w:rsidRPr="0060589E">
        <w:t xml:space="preserve">claims </w:t>
      </w:r>
      <w:r w:rsidR="001B2E0F" w:rsidRPr="0060589E">
        <w:t>information.</w:t>
      </w:r>
      <w:r w:rsidR="00BD5ED3" w:rsidRPr="0060589E">
        <w:t xml:space="preserve"> </w:t>
      </w:r>
      <w:r w:rsidR="00521D37">
        <w:rPr>
          <w:rFonts w:cs="Times New Roman"/>
        </w:rPr>
        <w:t>Part 3</w:t>
      </w:r>
      <w:r w:rsidR="000B213A" w:rsidRPr="0060589E">
        <w:rPr>
          <w:rFonts w:cs="Times New Roman"/>
        </w:rPr>
        <w:t xml:space="preserve"> </w:t>
      </w:r>
      <w:r w:rsidR="00BD5ED3" w:rsidRPr="0060589E">
        <w:t>is made for the purposes of paragraph 135AA(5)(b) of the Act.</w:t>
      </w:r>
    </w:p>
    <w:p w14:paraId="723A3699" w14:textId="77777777" w:rsidR="001B2E0F" w:rsidRPr="0060589E" w:rsidRDefault="00674CE0" w:rsidP="00674CE0">
      <w:pPr>
        <w:pStyle w:val="SOBullet"/>
        <w:rPr>
          <w:szCs w:val="22"/>
          <w:shd w:val="clear" w:color="auto" w:fill="FFFFFF"/>
        </w:rPr>
      </w:pPr>
      <w:r w:rsidRPr="0060589E">
        <w:rPr>
          <w:rFonts w:cs="Times New Roman"/>
        </w:rPr>
        <w:t>•</w:t>
      </w:r>
      <w:r w:rsidRPr="0060589E">
        <w:rPr>
          <w:rFonts w:cs="Times New Roman"/>
        </w:rPr>
        <w:tab/>
      </w:r>
      <w:r w:rsidR="00521D37">
        <w:rPr>
          <w:rFonts w:cs="Times New Roman"/>
        </w:rPr>
        <w:t>Part 4</w:t>
      </w:r>
      <w:r w:rsidR="001B2E0F" w:rsidRPr="0060589E">
        <w:t xml:space="preserve"> </w:t>
      </w:r>
      <w:r w:rsidRPr="0060589E">
        <w:t xml:space="preserve">specifies </w:t>
      </w:r>
      <w:r w:rsidRPr="0060589E">
        <w:rPr>
          <w:szCs w:val="22"/>
          <w:shd w:val="clear" w:color="auto" w:fill="FFFFFF"/>
        </w:rPr>
        <w:t xml:space="preserve">the circumstances in which agencies may disclose claims information. Some disclosures of claims information must be done under data sharing agreements. Requirements for </w:t>
      </w:r>
      <w:r w:rsidR="00252365" w:rsidRPr="0060589E">
        <w:rPr>
          <w:szCs w:val="22"/>
          <w:shd w:val="clear" w:color="auto" w:fill="FFFFFF"/>
        </w:rPr>
        <w:t xml:space="preserve">data sharing agreements </w:t>
      </w:r>
      <w:r w:rsidRPr="0060589E">
        <w:rPr>
          <w:szCs w:val="22"/>
          <w:shd w:val="clear" w:color="auto" w:fill="FFFFFF"/>
        </w:rPr>
        <w:t xml:space="preserve">are specified in Schedule 1 to </w:t>
      </w:r>
      <w:r w:rsidR="00AD2D75" w:rsidRPr="0060589E">
        <w:rPr>
          <w:szCs w:val="22"/>
          <w:shd w:val="clear" w:color="auto" w:fill="FFFFFF"/>
        </w:rPr>
        <w:t>this instrument</w:t>
      </w:r>
      <w:r w:rsidRPr="0060589E">
        <w:rPr>
          <w:szCs w:val="22"/>
          <w:shd w:val="clear" w:color="auto" w:fill="FFFFFF"/>
        </w:rPr>
        <w:t>.</w:t>
      </w:r>
      <w:r w:rsidR="00AD2D75" w:rsidRPr="0060589E">
        <w:t xml:space="preserve"> </w:t>
      </w:r>
      <w:r w:rsidR="00521D37">
        <w:rPr>
          <w:rFonts w:cs="Times New Roman"/>
        </w:rPr>
        <w:t>Part 4</w:t>
      </w:r>
      <w:r w:rsidR="00AD2D75" w:rsidRPr="0060589E">
        <w:t xml:space="preserve"> is made for the purposes of paragraph 135AA(5)(c) of the Act.</w:t>
      </w:r>
    </w:p>
    <w:p w14:paraId="3E4D868A" w14:textId="77777777" w:rsidR="00674CE0" w:rsidRPr="0060589E" w:rsidRDefault="00674CE0" w:rsidP="00674CE0">
      <w:pPr>
        <w:pStyle w:val="SOBullet"/>
      </w:pPr>
      <w:r w:rsidRPr="0060589E">
        <w:rPr>
          <w:rFonts w:cs="Times New Roman"/>
        </w:rPr>
        <w:t>•</w:t>
      </w:r>
      <w:r w:rsidRPr="0060589E">
        <w:rPr>
          <w:rFonts w:cs="Times New Roman"/>
        </w:rPr>
        <w:tab/>
      </w:r>
      <w:r w:rsidR="00521D37">
        <w:rPr>
          <w:rFonts w:cs="Times New Roman"/>
        </w:rPr>
        <w:t>Part 5</w:t>
      </w:r>
      <w:r w:rsidRPr="0060589E">
        <w:t xml:space="preserve"> prohibits agencies from storing in the same database information that was obtained under the Medicare Benefits Program and information that </w:t>
      </w:r>
      <w:r w:rsidRPr="0060589E">
        <w:lastRenderedPageBreak/>
        <w:t>was obtained under the Pharmaceutical Benefits Program.</w:t>
      </w:r>
      <w:r w:rsidR="00AD2D75" w:rsidRPr="0060589E">
        <w:t xml:space="preserve"> </w:t>
      </w:r>
      <w:r w:rsidR="00521D37">
        <w:rPr>
          <w:rFonts w:cs="Times New Roman"/>
        </w:rPr>
        <w:t>Part 5</w:t>
      </w:r>
      <w:r w:rsidR="00AD2D75" w:rsidRPr="0060589E">
        <w:t xml:space="preserve"> is made for the purposes of paragraph 135AA(5)(d) of the Act.</w:t>
      </w:r>
    </w:p>
    <w:p w14:paraId="3F2F38D2" w14:textId="77777777" w:rsidR="00674CE0" w:rsidRPr="0060589E" w:rsidRDefault="00674CE0" w:rsidP="00674CE0">
      <w:pPr>
        <w:pStyle w:val="SOBullet"/>
      </w:pPr>
      <w:r w:rsidRPr="0060589E">
        <w:rPr>
          <w:rFonts w:cs="Times New Roman"/>
        </w:rPr>
        <w:t>•</w:t>
      </w:r>
      <w:r w:rsidRPr="0060589E">
        <w:rPr>
          <w:rFonts w:cs="Times New Roman"/>
        </w:rPr>
        <w:tab/>
      </w:r>
      <w:r w:rsidR="00521D37">
        <w:rPr>
          <w:rFonts w:cs="Times New Roman"/>
        </w:rPr>
        <w:t>Part 6</w:t>
      </w:r>
      <w:r w:rsidRPr="0060589E">
        <w:t xml:space="preserve"> prohibits certain linkages of </w:t>
      </w:r>
      <w:r w:rsidR="004507D8" w:rsidRPr="0060589E">
        <w:t xml:space="preserve">claims </w:t>
      </w:r>
      <w:r w:rsidRPr="0060589E">
        <w:t xml:space="preserve">information, unless authorised in the way specified in </w:t>
      </w:r>
      <w:r w:rsidR="00E06216" w:rsidRPr="0060589E">
        <w:t>this instrument</w:t>
      </w:r>
      <w:r w:rsidR="00712AF8" w:rsidRPr="0060589E">
        <w:t xml:space="preserve">, and </w:t>
      </w:r>
      <w:r w:rsidRPr="0060589E">
        <w:t xml:space="preserve">specifies </w:t>
      </w:r>
      <w:r w:rsidR="00252365" w:rsidRPr="0060589E">
        <w:t xml:space="preserve">many of </w:t>
      </w:r>
      <w:r w:rsidRPr="0060589E">
        <w:t>the permitted linkages.</w:t>
      </w:r>
      <w:r w:rsidR="00AD2D75" w:rsidRPr="0060589E">
        <w:t xml:space="preserve"> </w:t>
      </w:r>
      <w:r w:rsidR="00521D37">
        <w:rPr>
          <w:rFonts w:cs="Times New Roman"/>
        </w:rPr>
        <w:t>Part 6</w:t>
      </w:r>
      <w:r w:rsidR="00AD2D75" w:rsidRPr="0060589E">
        <w:t xml:space="preserve"> is made for the purposes of paragraph 135AA(5)(e) of the Act.</w:t>
      </w:r>
    </w:p>
    <w:p w14:paraId="11A39E38" w14:textId="77777777" w:rsidR="00674CE0" w:rsidRPr="0060589E" w:rsidRDefault="00674CE0" w:rsidP="00674CE0">
      <w:pPr>
        <w:pStyle w:val="SOBullet"/>
      </w:pPr>
      <w:r w:rsidRPr="0060589E">
        <w:rPr>
          <w:rFonts w:cs="Times New Roman"/>
        </w:rPr>
        <w:t>•</w:t>
      </w:r>
      <w:r w:rsidRPr="0060589E">
        <w:rPr>
          <w:rFonts w:cs="Times New Roman"/>
        </w:rPr>
        <w:tab/>
      </w:r>
      <w:r w:rsidR="00521D37">
        <w:rPr>
          <w:rFonts w:cs="Times New Roman"/>
        </w:rPr>
        <w:t>Part 7</w:t>
      </w:r>
      <w:r w:rsidRPr="0060589E">
        <w:t xml:space="preserve"> specifies a variety of requirements with which agencies must comply in relation to old information.</w:t>
      </w:r>
      <w:r w:rsidR="00AD2D75" w:rsidRPr="0060589E">
        <w:t xml:space="preserve"> </w:t>
      </w:r>
      <w:r w:rsidR="00521D37">
        <w:rPr>
          <w:rFonts w:cs="Times New Roman"/>
        </w:rPr>
        <w:t>Part 7</w:t>
      </w:r>
      <w:r w:rsidR="00AD2D75" w:rsidRPr="0060589E">
        <w:t xml:space="preserve"> is made for the purposes of paragraph 135AA(5)(f) of the Act.</w:t>
      </w:r>
    </w:p>
    <w:p w14:paraId="4CF97A39" w14:textId="77777777" w:rsidR="006C1CB9" w:rsidRPr="0060589E" w:rsidRDefault="006C1CB9" w:rsidP="006C1CB9">
      <w:pPr>
        <w:pStyle w:val="SOBullet"/>
      </w:pPr>
      <w:r w:rsidRPr="0060589E">
        <w:rPr>
          <w:rFonts w:cs="Times New Roman"/>
        </w:rPr>
        <w:t>•</w:t>
      </w:r>
      <w:r w:rsidRPr="0060589E">
        <w:rPr>
          <w:rFonts w:cs="Times New Roman"/>
        </w:rPr>
        <w:tab/>
      </w:r>
      <w:r w:rsidR="00521D37">
        <w:rPr>
          <w:rFonts w:cs="Times New Roman"/>
        </w:rPr>
        <w:t>Part 8</w:t>
      </w:r>
      <w:r w:rsidRPr="0060589E">
        <w:rPr>
          <w:rFonts w:cs="Times New Roman"/>
        </w:rPr>
        <w:t xml:space="preserve"> deals with transitional arrangements consequent on the repeal of the </w:t>
      </w:r>
      <w:r w:rsidRPr="0060589E">
        <w:rPr>
          <w:i/>
        </w:rPr>
        <w:t>National Health (Privacy) Rules 2021</w:t>
      </w:r>
      <w:r w:rsidRPr="0060589E">
        <w:t>.</w:t>
      </w:r>
    </w:p>
    <w:p w14:paraId="19D2B92C" w14:textId="77777777" w:rsidR="00674CE0" w:rsidRDefault="00674CE0" w:rsidP="00674CE0">
      <w:pPr>
        <w:pStyle w:val="SOBullet"/>
      </w:pPr>
      <w:r w:rsidRPr="00AF5E46">
        <w:rPr>
          <w:rFonts w:cs="Times New Roman"/>
        </w:rPr>
        <w:t>•</w:t>
      </w:r>
      <w:r w:rsidRPr="00AF5E46">
        <w:rPr>
          <w:rFonts w:cs="Times New Roman"/>
        </w:rPr>
        <w:tab/>
      </w:r>
      <w:r w:rsidRPr="00AF5E46">
        <w:t>Schedule 1 specifies requirements for data sharing agreements.</w:t>
      </w:r>
    </w:p>
    <w:p w14:paraId="44168601" w14:textId="77777777" w:rsidR="0002619F" w:rsidRPr="00AF5E46" w:rsidRDefault="0002619F" w:rsidP="00674CE0">
      <w:pPr>
        <w:pStyle w:val="SOBullet"/>
      </w:pPr>
      <w:r w:rsidRPr="00AF5E46">
        <w:rPr>
          <w:rFonts w:cs="Times New Roman"/>
        </w:rPr>
        <w:t>•</w:t>
      </w:r>
      <w:r w:rsidRPr="00AF5E46">
        <w:rPr>
          <w:rFonts w:cs="Times New Roman"/>
        </w:rPr>
        <w:tab/>
      </w:r>
      <w:r w:rsidRPr="00AF5E46">
        <w:t>Schedule </w:t>
      </w:r>
      <w:r>
        <w:t>2</w:t>
      </w:r>
      <w:r w:rsidRPr="00AF5E46">
        <w:t xml:space="preserve"> specifies </w:t>
      </w:r>
      <w:r>
        <w:t xml:space="preserve">the </w:t>
      </w:r>
      <w:r w:rsidRPr="0002619F">
        <w:rPr>
          <w:i/>
        </w:rPr>
        <w:t>National Health (Privacy) Rules 2021</w:t>
      </w:r>
      <w:r w:rsidR="000B6551" w:rsidRPr="00886726">
        <w:rPr>
          <w:i/>
        </w:rPr>
        <w:t xml:space="preserve"> </w:t>
      </w:r>
      <w:r w:rsidR="000B6551" w:rsidRPr="00886726">
        <w:t xml:space="preserve">as the instrument that is </w:t>
      </w:r>
      <w:r>
        <w:t>repealed by section</w:t>
      </w:r>
      <w:r w:rsidRPr="00597DFC">
        <w:t> </w:t>
      </w:r>
      <w:r w:rsidR="00521D37">
        <w:t>4</w:t>
      </w:r>
      <w:r w:rsidRPr="00034F8F">
        <w:t>.</w:t>
      </w:r>
    </w:p>
    <w:p w14:paraId="2F1FB6F8" w14:textId="77777777" w:rsidR="004E40B5" w:rsidRPr="00AF5E46" w:rsidRDefault="00E06216" w:rsidP="001B2E0F">
      <w:pPr>
        <w:pStyle w:val="SOText"/>
      </w:pPr>
      <w:r w:rsidRPr="00AF5E46">
        <w:t xml:space="preserve">This instrument </w:t>
      </w:r>
      <w:r w:rsidR="004E40B5" w:rsidRPr="00AF5E46">
        <w:t xml:space="preserve">should be read alongside subsections 135AA(5A) to (5C) of the Act, which modify the effect of </w:t>
      </w:r>
      <w:r w:rsidRPr="00AF5E46">
        <w:t>this instrument</w:t>
      </w:r>
      <w:r w:rsidR="004E40B5" w:rsidRPr="00AF5E46">
        <w:t>.</w:t>
      </w:r>
    </w:p>
    <w:p w14:paraId="6EBB236E" w14:textId="77777777" w:rsidR="00674CE0" w:rsidRPr="00AF5E46" w:rsidRDefault="00674CE0" w:rsidP="001B2E0F">
      <w:pPr>
        <w:pStyle w:val="SOText"/>
      </w:pPr>
      <w:r w:rsidRPr="00AF5E46">
        <w:t xml:space="preserve">A breach of </w:t>
      </w:r>
      <w:r w:rsidR="00E06216" w:rsidRPr="00AF5E46">
        <w:t>this instrument</w:t>
      </w:r>
      <w:r w:rsidRPr="00AF5E46">
        <w:t xml:space="preserve"> constitutes an act or practice involving interference with the privacy of an individual, for the purposes of the </w:t>
      </w:r>
      <w:r w:rsidRPr="00AF5E46">
        <w:rPr>
          <w:i/>
        </w:rPr>
        <w:t>Privacy Act 1988</w:t>
      </w:r>
      <w:r w:rsidRPr="00AF5E46">
        <w:t xml:space="preserve">. An individual may complain to the Information Commissioner in relation to breaches of </w:t>
      </w:r>
      <w:r w:rsidR="00E06216" w:rsidRPr="00AF5E46">
        <w:t>this instrument</w:t>
      </w:r>
      <w:r w:rsidR="00297856" w:rsidRPr="00AF5E46">
        <w:t>. C</w:t>
      </w:r>
      <w:r w:rsidRPr="00AF5E46">
        <w:t xml:space="preserve">omplaints are investigated under Part V of the </w:t>
      </w:r>
      <w:r w:rsidRPr="00AF5E46">
        <w:rPr>
          <w:i/>
        </w:rPr>
        <w:t>Privacy Act 1988</w:t>
      </w:r>
      <w:r w:rsidRPr="00AF5E46">
        <w:t xml:space="preserve"> (applying in a modified form): see section 135AB of the Act.</w:t>
      </w:r>
    </w:p>
    <w:p w14:paraId="1C4B1CE9" w14:textId="77777777" w:rsidR="002A2C9B" w:rsidRPr="00AF5E46" w:rsidRDefault="002A2C9B" w:rsidP="0033160C">
      <w:pPr>
        <w:pStyle w:val="paragraph"/>
      </w:pPr>
    </w:p>
    <w:p w14:paraId="08A0EA7E" w14:textId="77777777" w:rsidR="0080407E" w:rsidRPr="00AF5E46" w:rsidRDefault="00E30146" w:rsidP="0080407E">
      <w:pPr>
        <w:pStyle w:val="ActHead2"/>
      </w:pPr>
      <w:bookmarkStart w:id="11" w:name="_Toc171078079"/>
      <w:r>
        <w:lastRenderedPageBreak/>
        <w:t>Part 2</w:t>
      </w:r>
      <w:r w:rsidR="0080407E" w:rsidRPr="00AF5E46">
        <w:t>—</w:t>
      </w:r>
      <w:r w:rsidR="00D73E4A" w:rsidRPr="00AF5E46">
        <w:t xml:space="preserve">Ways in which </w:t>
      </w:r>
      <w:r w:rsidR="00675206" w:rsidRPr="00AF5E46">
        <w:t>claims</w:t>
      </w:r>
      <w:r w:rsidR="0080407E" w:rsidRPr="00AF5E46">
        <w:t xml:space="preserve"> information</w:t>
      </w:r>
      <w:r w:rsidR="00D73E4A" w:rsidRPr="00AF5E46">
        <w:t xml:space="preserve"> may be stored</w:t>
      </w:r>
      <w:bookmarkEnd w:id="11"/>
    </w:p>
    <w:p w14:paraId="2050A111" w14:textId="77777777" w:rsidR="00665102" w:rsidRPr="00AF5E46" w:rsidRDefault="00C4172F" w:rsidP="00C4172F">
      <w:pPr>
        <w:pStyle w:val="notemargin"/>
      </w:pPr>
      <w:r w:rsidRPr="00AF5E46">
        <w:t>Note</w:t>
      </w:r>
      <w:r w:rsidR="00B70E8B" w:rsidRPr="00AF5E46">
        <w:t xml:space="preserve"> 1</w:t>
      </w:r>
      <w:r w:rsidRPr="00AF5E46">
        <w:t>:</w:t>
      </w:r>
      <w:r w:rsidRPr="00AF5E46">
        <w:tab/>
      </w:r>
      <w:r w:rsidR="00665102" w:rsidRPr="00AF5E46">
        <w:tab/>
        <w:t>This Part is made for the purposes of paragraph 135AA(5)(a) of the Act.</w:t>
      </w:r>
    </w:p>
    <w:p w14:paraId="503FD2FB" w14:textId="77777777" w:rsidR="00E77654" w:rsidRPr="00AF5E46" w:rsidRDefault="00B70E8B" w:rsidP="00B70E8B">
      <w:pPr>
        <w:pStyle w:val="notemargin"/>
      </w:pPr>
      <w:r w:rsidRPr="00AF5E46">
        <w:t>Note 2:</w:t>
      </w:r>
      <w:r w:rsidRPr="00AF5E46">
        <w:tab/>
      </w:r>
      <w:r w:rsidR="00E77654" w:rsidRPr="00AF5E46">
        <w:t xml:space="preserve">See </w:t>
      </w:r>
      <w:r w:rsidR="00521D37">
        <w:t>Part 5</w:t>
      </w:r>
      <w:r w:rsidR="00E77654" w:rsidRPr="00AF5E46">
        <w:t xml:space="preserve"> for a prohibition relating to storage of claims information in the same database.</w:t>
      </w:r>
    </w:p>
    <w:p w14:paraId="3B8DBDCD" w14:textId="77777777" w:rsidR="009C4216" w:rsidRPr="00AF5E46" w:rsidRDefault="00E30146" w:rsidP="00665102">
      <w:pPr>
        <w:pStyle w:val="ActHead5"/>
      </w:pPr>
      <w:bookmarkStart w:id="12" w:name="_Toc171078080"/>
      <w:proofErr w:type="gramStart"/>
      <w:r>
        <w:t>7</w:t>
      </w:r>
      <w:r w:rsidR="009C4216" w:rsidRPr="00AF5E46">
        <w:t xml:space="preserve"> </w:t>
      </w:r>
      <w:r w:rsidR="00E06216" w:rsidRPr="00AF5E46">
        <w:t xml:space="preserve"> </w:t>
      </w:r>
      <w:r w:rsidR="00157657" w:rsidRPr="00AF5E46">
        <w:t>Storage</w:t>
      </w:r>
      <w:proofErr w:type="gramEnd"/>
      <w:r w:rsidR="00157657" w:rsidRPr="00AF5E46">
        <w:t xml:space="preserve"> of claims information</w:t>
      </w:r>
      <w:bookmarkEnd w:id="12"/>
    </w:p>
    <w:p w14:paraId="47B73A6A" w14:textId="77777777" w:rsidR="00C47A99" w:rsidRPr="0060589E" w:rsidRDefault="00C47A99" w:rsidP="001E4848">
      <w:pPr>
        <w:pStyle w:val="subsection"/>
      </w:pPr>
      <w:r w:rsidRPr="0060589E">
        <w:tab/>
      </w:r>
      <w:r w:rsidR="00E30146">
        <w:t>(1)</w:t>
      </w:r>
      <w:r w:rsidRPr="0060589E">
        <w:tab/>
        <w:t xml:space="preserve">Subject to this </w:t>
      </w:r>
      <w:r w:rsidR="00D13CCB" w:rsidRPr="0060589E">
        <w:t>Part</w:t>
      </w:r>
      <w:r w:rsidRPr="0060589E">
        <w:t xml:space="preserve">, </w:t>
      </w:r>
      <w:r w:rsidR="00434D58" w:rsidRPr="0060589E">
        <w:t xml:space="preserve">an agency </w:t>
      </w:r>
      <w:r w:rsidRPr="0060589E">
        <w:t xml:space="preserve">may store claims information in a database if </w:t>
      </w:r>
      <w:r w:rsidR="00D13CCB" w:rsidRPr="0060589E">
        <w:t xml:space="preserve">the </w:t>
      </w:r>
      <w:r w:rsidR="00434D58" w:rsidRPr="0060589E">
        <w:t>agency</w:t>
      </w:r>
      <w:r w:rsidR="001E4848" w:rsidRPr="001E4848">
        <w:t xml:space="preserve"> </w:t>
      </w:r>
      <w:r w:rsidRPr="0060589E">
        <w:t>establishes</w:t>
      </w:r>
      <w:r w:rsidR="00252365" w:rsidRPr="0060589E">
        <w:t>, for the purposes of this instrument,</w:t>
      </w:r>
      <w:r w:rsidRPr="0060589E">
        <w:t xml:space="preserve"> and maintains technical specifications relating to the database which:</w:t>
      </w:r>
    </w:p>
    <w:p w14:paraId="5B48BF49" w14:textId="77777777" w:rsidR="00C47A99" w:rsidRPr="0060589E" w:rsidRDefault="001E4848" w:rsidP="001E4848">
      <w:pPr>
        <w:pStyle w:val="paragraph"/>
      </w:pPr>
      <w:r>
        <w:tab/>
      </w:r>
      <w:r w:rsidR="00E30146">
        <w:t>(a)</w:t>
      </w:r>
      <w:r>
        <w:tab/>
      </w:r>
      <w:r w:rsidR="00C47A99" w:rsidRPr="0060589E">
        <w:t>specify access controls relating to the database; and</w:t>
      </w:r>
    </w:p>
    <w:p w14:paraId="10DF3800" w14:textId="77777777" w:rsidR="00C47A99" w:rsidRPr="0060589E" w:rsidRDefault="001E4848" w:rsidP="001E4848">
      <w:pPr>
        <w:pStyle w:val="paragraph"/>
      </w:pPr>
      <w:r>
        <w:tab/>
      </w:r>
      <w:r w:rsidR="00E30146">
        <w:t>(b)</w:t>
      </w:r>
      <w:r>
        <w:tab/>
      </w:r>
      <w:r w:rsidR="00C47A99" w:rsidRPr="0060589E">
        <w:t xml:space="preserve">limit access to the database to officers or contractors who </w:t>
      </w:r>
      <w:r w:rsidR="0020655C" w:rsidRPr="00B751B2">
        <w:t xml:space="preserve">can lawfully use the information and </w:t>
      </w:r>
      <w:r w:rsidR="00C47A99" w:rsidRPr="0060589E">
        <w:t>reasonably must access it; and</w:t>
      </w:r>
    </w:p>
    <w:p w14:paraId="5E7421BA" w14:textId="77777777" w:rsidR="00C47A99" w:rsidRPr="00597DFC" w:rsidRDefault="001E4848" w:rsidP="001E4848">
      <w:pPr>
        <w:pStyle w:val="paragraph"/>
        <w:rPr>
          <w:rFonts w:ascii="Calibri" w:hAnsi="Calibri" w:cs="Calibri"/>
          <w:szCs w:val="22"/>
        </w:rPr>
      </w:pPr>
      <w:r>
        <w:tab/>
      </w:r>
      <w:r w:rsidR="00E30146">
        <w:t>(c)</w:t>
      </w:r>
      <w:r>
        <w:tab/>
      </w:r>
      <w:r w:rsidR="00C47A99" w:rsidRPr="0060589E">
        <w:t xml:space="preserve">specify the </w:t>
      </w:r>
      <w:r w:rsidR="00C47A99" w:rsidRPr="00597DFC">
        <w:t>security procedures and controls that exist to prevent unauthorised linkage</w:t>
      </w:r>
      <w:r w:rsidR="00F64EE3" w:rsidRPr="00597DFC">
        <w:t xml:space="preserve"> or re</w:t>
      </w:r>
      <w:r w:rsidR="00F64EE3" w:rsidRPr="00597DFC">
        <w:noBreakHyphen/>
        <w:t>linkage</w:t>
      </w:r>
      <w:r w:rsidR="00C47A99" w:rsidRPr="00597DFC">
        <w:t xml:space="preserve"> of records that are held in the database about the same individual; and</w:t>
      </w:r>
    </w:p>
    <w:p w14:paraId="283ED296" w14:textId="77777777" w:rsidR="00C47A99" w:rsidRPr="00597DFC" w:rsidRDefault="001E4848" w:rsidP="001E4848">
      <w:pPr>
        <w:pStyle w:val="paragraph"/>
      </w:pPr>
      <w:r w:rsidRPr="00597DFC">
        <w:tab/>
      </w:r>
      <w:r w:rsidR="00E30146">
        <w:t>(d)</w:t>
      </w:r>
      <w:r w:rsidRPr="00597DFC">
        <w:tab/>
      </w:r>
      <w:r w:rsidR="00C47A99" w:rsidRPr="00597DFC">
        <w:t>describe the arrangements that have been made for the security of claims information stored in the database; and</w:t>
      </w:r>
    </w:p>
    <w:p w14:paraId="0D217B31" w14:textId="77777777" w:rsidR="00DC044F" w:rsidRPr="00597DFC" w:rsidRDefault="001E4848" w:rsidP="001E4848">
      <w:pPr>
        <w:pStyle w:val="paragraph"/>
      </w:pPr>
      <w:r w:rsidRPr="00597DFC">
        <w:tab/>
      </w:r>
      <w:r w:rsidR="00E30146">
        <w:t>(e)</w:t>
      </w:r>
      <w:r w:rsidRPr="00597DFC">
        <w:tab/>
      </w:r>
      <w:r w:rsidR="00DC044F" w:rsidRPr="00597DFC">
        <w:t xml:space="preserve">specify, for linked </w:t>
      </w:r>
      <w:r w:rsidR="00F64EE3" w:rsidRPr="00597DFC">
        <w:t>or re</w:t>
      </w:r>
      <w:r w:rsidR="00F64EE3" w:rsidRPr="00597DFC">
        <w:noBreakHyphen/>
        <w:t xml:space="preserve">linked </w:t>
      </w:r>
      <w:r w:rsidR="00DC044F" w:rsidRPr="00597DFC">
        <w:t xml:space="preserve">information, where practicable, the schedule for destroying the linked </w:t>
      </w:r>
      <w:r w:rsidR="00937675" w:rsidRPr="00597DFC">
        <w:t>or re</w:t>
      </w:r>
      <w:r w:rsidR="00937675" w:rsidRPr="00597DFC">
        <w:noBreakHyphen/>
        <w:t xml:space="preserve">linked </w:t>
      </w:r>
      <w:r w:rsidR="00DC044F" w:rsidRPr="00597DFC">
        <w:t>claims information; and</w:t>
      </w:r>
    </w:p>
    <w:p w14:paraId="587FD134" w14:textId="77777777" w:rsidR="001E4848" w:rsidRPr="00597DFC" w:rsidRDefault="001E4848" w:rsidP="001E4848">
      <w:pPr>
        <w:pStyle w:val="paragraph"/>
      </w:pPr>
      <w:r w:rsidRPr="00597DFC">
        <w:tab/>
      </w:r>
      <w:r w:rsidR="00E30146">
        <w:t>(f)</w:t>
      </w:r>
      <w:r w:rsidRPr="00597DFC">
        <w:tab/>
      </w:r>
      <w:r w:rsidR="00D04C47" w:rsidRPr="00597DFC">
        <w:t>identify how linkages</w:t>
      </w:r>
      <w:r w:rsidR="00937675" w:rsidRPr="00597DFC">
        <w:t xml:space="preserve"> or re</w:t>
      </w:r>
      <w:r w:rsidR="00937675" w:rsidRPr="00597DFC">
        <w:noBreakHyphen/>
        <w:t>linkages</w:t>
      </w:r>
      <w:r w:rsidR="00D04C47" w:rsidRPr="00597DFC">
        <w:t xml:space="preserve"> of claims information that are authorised by this instrument can be traced</w:t>
      </w:r>
      <w:r w:rsidRPr="00597DFC">
        <w:t>.</w:t>
      </w:r>
    </w:p>
    <w:p w14:paraId="3A899FE4" w14:textId="77777777" w:rsidR="00F52E7F" w:rsidRPr="00597DFC" w:rsidRDefault="00F52E7F" w:rsidP="00F52E7F">
      <w:pPr>
        <w:pStyle w:val="notetext"/>
      </w:pPr>
      <w:r w:rsidRPr="00597DFC">
        <w:t>Note 1:</w:t>
      </w:r>
      <w:r w:rsidRPr="00597DFC">
        <w:tab/>
        <w:t xml:space="preserve">For </w:t>
      </w:r>
      <w:r w:rsidR="001E4848" w:rsidRPr="00597DFC">
        <w:t>paragraph </w:t>
      </w:r>
      <w:r w:rsidR="00521D37">
        <w:t>(e)</w:t>
      </w:r>
      <w:r w:rsidRPr="00597DFC">
        <w:t xml:space="preserve">, see subsection </w:t>
      </w:r>
      <w:r w:rsidR="00521D37">
        <w:t>5(2)</w:t>
      </w:r>
      <w:r w:rsidRPr="00597DFC">
        <w:t xml:space="preserve"> for the meaning of references to destroying linked </w:t>
      </w:r>
      <w:r w:rsidR="00F64EE3" w:rsidRPr="00597DFC">
        <w:t>or re</w:t>
      </w:r>
      <w:r w:rsidR="00F64EE3" w:rsidRPr="00597DFC">
        <w:noBreakHyphen/>
        <w:t xml:space="preserve">linked </w:t>
      </w:r>
      <w:r w:rsidRPr="00597DFC">
        <w:t xml:space="preserve">claims information. </w:t>
      </w:r>
    </w:p>
    <w:p w14:paraId="4CC7CC2A" w14:textId="77777777" w:rsidR="00F52E7F" w:rsidRPr="00597DFC" w:rsidRDefault="00F52E7F" w:rsidP="00F52E7F">
      <w:pPr>
        <w:pStyle w:val="notetext"/>
      </w:pPr>
      <w:r w:rsidRPr="00597DFC">
        <w:t>Note 2:</w:t>
      </w:r>
      <w:r w:rsidRPr="00597DFC">
        <w:tab/>
        <w:t xml:space="preserve">For </w:t>
      </w:r>
      <w:r w:rsidR="001E4848" w:rsidRPr="00597DFC">
        <w:t>paragraph </w:t>
      </w:r>
      <w:r w:rsidR="00521D37">
        <w:t>(f)</w:t>
      </w:r>
      <w:r w:rsidRPr="00597DFC">
        <w:t xml:space="preserve">, see subsection </w:t>
      </w:r>
      <w:r w:rsidR="00521D37">
        <w:t>5(3)</w:t>
      </w:r>
      <w:r w:rsidRPr="00597DFC">
        <w:t xml:space="preserve"> for the meaning of references to tracing linkages </w:t>
      </w:r>
      <w:r w:rsidR="00937675" w:rsidRPr="00597DFC">
        <w:t>or re</w:t>
      </w:r>
      <w:r w:rsidR="00937675" w:rsidRPr="00597DFC">
        <w:noBreakHyphen/>
        <w:t xml:space="preserve">linkages </w:t>
      </w:r>
      <w:r w:rsidRPr="00597DFC">
        <w:t>of claims information.</w:t>
      </w:r>
    </w:p>
    <w:p w14:paraId="27F03509" w14:textId="77777777" w:rsidR="00655757" w:rsidRDefault="008E0551" w:rsidP="00AF22A3">
      <w:pPr>
        <w:pStyle w:val="subsection"/>
      </w:pPr>
      <w:bookmarkStart w:id="13" w:name="_Hlk144654721"/>
      <w:r w:rsidRPr="0060589E">
        <w:tab/>
      </w:r>
      <w:r w:rsidR="00E30146">
        <w:t>(2)</w:t>
      </w:r>
      <w:r w:rsidRPr="0060589E">
        <w:tab/>
      </w:r>
      <w:r w:rsidR="00913758" w:rsidRPr="0060589E">
        <w:t xml:space="preserve">An agency </w:t>
      </w:r>
      <w:r w:rsidR="00655757" w:rsidRPr="0060589E">
        <w:t>may</w:t>
      </w:r>
      <w:r w:rsidR="00AF22A3" w:rsidRPr="0060589E">
        <w:t xml:space="preserve"> store a Medicare PIN</w:t>
      </w:r>
      <w:r w:rsidR="00655757" w:rsidRPr="0060589E">
        <w:t xml:space="preserve"> in a database that stores claims </w:t>
      </w:r>
      <w:r w:rsidR="00655757" w:rsidRPr="00AF5E46">
        <w:t>information.</w:t>
      </w:r>
    </w:p>
    <w:bookmarkEnd w:id="13"/>
    <w:p w14:paraId="452F6293" w14:textId="77777777" w:rsidR="0013793A" w:rsidRPr="00C012D9" w:rsidRDefault="0013793A" w:rsidP="0013793A">
      <w:pPr>
        <w:pStyle w:val="subsection"/>
      </w:pPr>
      <w:r>
        <w:tab/>
      </w:r>
      <w:r w:rsidR="00E30146">
        <w:t>(3)</w:t>
      </w:r>
      <w:r>
        <w:tab/>
      </w:r>
      <w:r w:rsidRPr="00F864B1">
        <w:t xml:space="preserve">An agency must not keep personal identification components in a database that </w:t>
      </w:r>
      <w:r w:rsidRPr="00C012D9">
        <w:t>stores claims information other than:</w:t>
      </w:r>
    </w:p>
    <w:p w14:paraId="45E5861B" w14:textId="77777777" w:rsidR="0013793A" w:rsidRPr="00C012D9" w:rsidRDefault="0013793A" w:rsidP="0013793A">
      <w:pPr>
        <w:pStyle w:val="paragraph"/>
      </w:pPr>
      <w:r>
        <w:tab/>
      </w:r>
      <w:r w:rsidR="00E30146">
        <w:t>(a)</w:t>
      </w:r>
      <w:r>
        <w:tab/>
      </w:r>
      <w:r w:rsidRPr="00C012D9">
        <w:t>if the database contains claims information that was obtained under the Medicare Benefits Program—</w:t>
      </w:r>
      <w:r w:rsidR="00BC6267">
        <w:t>any relevant</w:t>
      </w:r>
      <w:r w:rsidRPr="00C012D9">
        <w:t xml:space="preserve"> Medicare card number; or</w:t>
      </w:r>
    </w:p>
    <w:p w14:paraId="11569872" w14:textId="77777777" w:rsidR="0013793A" w:rsidRDefault="0013793A" w:rsidP="00673E81">
      <w:pPr>
        <w:pStyle w:val="paragraph"/>
      </w:pPr>
      <w:r>
        <w:tab/>
      </w:r>
      <w:r w:rsidR="00E30146">
        <w:t>(b)</w:t>
      </w:r>
      <w:r>
        <w:tab/>
      </w:r>
      <w:r w:rsidRPr="00C012D9">
        <w:t>if the database contains claims information that was obtained under the Pharmaceutical Benefits Program—</w:t>
      </w:r>
      <w:r>
        <w:t>a</w:t>
      </w:r>
      <w:r w:rsidR="00BC6267">
        <w:t>ny</w:t>
      </w:r>
      <w:r w:rsidRPr="00C012D9">
        <w:t xml:space="preserve"> Pharmaceutical entitlements number.</w:t>
      </w:r>
    </w:p>
    <w:p w14:paraId="422310B3" w14:textId="77777777" w:rsidR="0006144B" w:rsidRPr="00AF5E46" w:rsidRDefault="0006144B" w:rsidP="0006144B">
      <w:pPr>
        <w:pStyle w:val="subsection"/>
      </w:pPr>
      <w:r>
        <w:tab/>
      </w:r>
      <w:r w:rsidR="00E30146">
        <w:t>(4)</w:t>
      </w:r>
      <w:r>
        <w:tab/>
        <w:t xml:space="preserve">If Services Australia discloses claims information to the Health Department as described in </w:t>
      </w:r>
      <w:r w:rsidR="000B6551">
        <w:t>paragraph </w:t>
      </w:r>
      <w:r w:rsidR="00521D37">
        <w:t>11(4)(a)</w:t>
      </w:r>
      <w:r>
        <w:t xml:space="preserve">, </w:t>
      </w:r>
      <w:r w:rsidR="0046665D">
        <w:t>the Health Department may not store that information once that doubt has been removed.</w:t>
      </w:r>
    </w:p>
    <w:p w14:paraId="56448136" w14:textId="77777777" w:rsidR="00665102" w:rsidRPr="00AF5E46" w:rsidRDefault="00E30146" w:rsidP="00665102">
      <w:pPr>
        <w:pStyle w:val="ActHead5"/>
      </w:pPr>
      <w:bookmarkStart w:id="14" w:name="_Toc171078081"/>
      <w:proofErr w:type="gramStart"/>
      <w:r>
        <w:t>8</w:t>
      </w:r>
      <w:r w:rsidR="00665102" w:rsidRPr="00AF5E46">
        <w:t xml:space="preserve">  </w:t>
      </w:r>
      <w:r w:rsidR="00A6480F" w:rsidRPr="00AF5E46">
        <w:t>Prohibition</w:t>
      </w:r>
      <w:proofErr w:type="gramEnd"/>
      <w:r w:rsidR="00E77654" w:rsidRPr="00AF5E46">
        <w:t xml:space="preserve"> </w:t>
      </w:r>
      <w:r w:rsidR="000E5885" w:rsidRPr="00AF5E46">
        <w:t>relating to</w:t>
      </w:r>
      <w:r w:rsidR="00E77654" w:rsidRPr="00AF5E46">
        <w:t xml:space="preserve"> storing claims information with enrolment and entitlement database</w:t>
      </w:r>
      <w:bookmarkEnd w:id="14"/>
    </w:p>
    <w:p w14:paraId="1D1DDAD2" w14:textId="77777777" w:rsidR="002A7B16" w:rsidRPr="00AF5E46" w:rsidRDefault="002A7B16" w:rsidP="002A7B16">
      <w:pPr>
        <w:pStyle w:val="subsection"/>
        <w:rPr>
          <w:szCs w:val="22"/>
        </w:rPr>
      </w:pPr>
      <w:r w:rsidRPr="00AF5E46">
        <w:tab/>
      </w:r>
      <w:r w:rsidR="00E30146">
        <w:t>(1)</w:t>
      </w:r>
      <w:r w:rsidRPr="00AF5E46">
        <w:tab/>
        <w:t xml:space="preserve">A </w:t>
      </w:r>
      <w:r w:rsidR="001062BE" w:rsidRPr="00AF5E46">
        <w:t xml:space="preserve">primary </w:t>
      </w:r>
      <w:r w:rsidRPr="00AF5E46">
        <w:t xml:space="preserve">agency must </w:t>
      </w:r>
      <w:r w:rsidR="00BA60F7">
        <w:t>keep the following separate</w:t>
      </w:r>
      <w:r w:rsidRPr="00AF5E46">
        <w:rPr>
          <w:szCs w:val="22"/>
        </w:rPr>
        <w:t>:</w:t>
      </w:r>
    </w:p>
    <w:p w14:paraId="1D607AD7" w14:textId="77777777" w:rsidR="005D737E" w:rsidRPr="00AF5E46" w:rsidRDefault="002A7B16" w:rsidP="002A7B16">
      <w:pPr>
        <w:pStyle w:val="paragraph"/>
      </w:pPr>
      <w:r w:rsidRPr="00AF5E46">
        <w:tab/>
      </w:r>
      <w:r w:rsidR="00E30146">
        <w:t>(a)</w:t>
      </w:r>
      <w:r w:rsidRPr="00AF5E46">
        <w:tab/>
      </w:r>
      <w:r w:rsidR="00BA60F7">
        <w:t xml:space="preserve">databases of </w:t>
      </w:r>
      <w:r w:rsidR="006C6B55" w:rsidRPr="00AF5E46">
        <w:t>claims information that was obtained under the Medicare Benefits Program</w:t>
      </w:r>
      <w:r w:rsidR="00774E53" w:rsidRPr="00AF5E46">
        <w:t xml:space="preserve"> or the </w:t>
      </w:r>
      <w:r w:rsidR="006C6B55" w:rsidRPr="00AF5E46">
        <w:t>Pharmaceutical Benefits Program</w:t>
      </w:r>
      <w:r w:rsidR="005D737E" w:rsidRPr="00AF5E46">
        <w:t>;</w:t>
      </w:r>
    </w:p>
    <w:p w14:paraId="195547B3" w14:textId="77777777" w:rsidR="002A7B16" w:rsidRPr="00C335C9" w:rsidRDefault="005D737E" w:rsidP="002A7B16">
      <w:pPr>
        <w:pStyle w:val="paragraph"/>
      </w:pPr>
      <w:r w:rsidRPr="00C335C9">
        <w:tab/>
      </w:r>
      <w:r w:rsidR="00E30146">
        <w:t>(b)</w:t>
      </w:r>
      <w:r w:rsidRPr="00C335C9">
        <w:tab/>
      </w:r>
      <w:r w:rsidR="001A63D7" w:rsidRPr="00C335C9">
        <w:t>databases of a kind referred to in paragraph 135AA(2)(b) of the Act</w:t>
      </w:r>
      <w:r w:rsidR="00E804B9" w:rsidRPr="00C335C9">
        <w:t>.</w:t>
      </w:r>
    </w:p>
    <w:p w14:paraId="77AC5D57" w14:textId="77777777" w:rsidR="001A63D7" w:rsidRPr="00C335C9" w:rsidRDefault="001A63D7" w:rsidP="001A63D7">
      <w:pPr>
        <w:pStyle w:val="notetext"/>
      </w:pPr>
      <w:r w:rsidRPr="00C335C9">
        <w:t>Note:</w:t>
      </w:r>
      <w:r w:rsidRPr="00C335C9">
        <w:tab/>
        <w:t xml:space="preserve">Paragraph 135AA(2)(b) refers to </w:t>
      </w:r>
      <w:r w:rsidR="000B6551" w:rsidRPr="00886726">
        <w:t xml:space="preserve">a database </w:t>
      </w:r>
      <w:r w:rsidRPr="00C335C9">
        <w:t>that:</w:t>
      </w:r>
    </w:p>
    <w:p w14:paraId="2A85BF1A" w14:textId="77777777" w:rsidR="001A63D7" w:rsidRPr="00C335C9" w:rsidRDefault="001A63D7" w:rsidP="001A63D7">
      <w:pPr>
        <w:pStyle w:val="notepara"/>
      </w:pPr>
      <w:r w:rsidRPr="00C335C9">
        <w:lastRenderedPageBreak/>
        <w:t>(a)</w:t>
      </w:r>
      <w:r w:rsidRPr="00C335C9">
        <w:tab/>
        <w:t>is maintained for the purpose of identifying persons who are eligible to be paid benefits under the Medicare Benefits Program or the Pharmaceutical Benefits Program; and</w:t>
      </w:r>
    </w:p>
    <w:p w14:paraId="680122E2" w14:textId="77777777" w:rsidR="001A63D7" w:rsidRPr="00C335C9" w:rsidRDefault="001A63D7" w:rsidP="001A63D7">
      <w:pPr>
        <w:pStyle w:val="notepara"/>
      </w:pPr>
      <w:r w:rsidRPr="00C335C9">
        <w:t>(b)</w:t>
      </w:r>
      <w:r w:rsidRPr="00C335C9">
        <w:tab/>
      </w:r>
      <w:r w:rsidRPr="00886726">
        <w:t>do</w:t>
      </w:r>
      <w:r w:rsidR="000B6551" w:rsidRPr="00886726">
        <w:t>es</w:t>
      </w:r>
      <w:r w:rsidRPr="00886726">
        <w:t xml:space="preserve"> </w:t>
      </w:r>
      <w:r w:rsidRPr="00C335C9">
        <w:t>not contain information relating to claims for payment of such benefits.</w:t>
      </w:r>
    </w:p>
    <w:p w14:paraId="0EA41B29" w14:textId="77777777" w:rsidR="001A63D7" w:rsidRPr="00C335C9" w:rsidRDefault="001A63D7" w:rsidP="001A63D7">
      <w:pPr>
        <w:pStyle w:val="notetext"/>
      </w:pPr>
      <w:r w:rsidRPr="00C335C9">
        <w:tab/>
        <w:t xml:space="preserve">Information contained in such databases is not “claims information”. </w:t>
      </w:r>
    </w:p>
    <w:p w14:paraId="48B2AC51" w14:textId="77777777" w:rsidR="00C865D6" w:rsidRDefault="00C865D6" w:rsidP="00C865D6">
      <w:pPr>
        <w:pStyle w:val="subsection"/>
      </w:pPr>
      <w:r w:rsidRPr="00AF5E46">
        <w:rPr>
          <w:sz w:val="24"/>
        </w:rPr>
        <w:tab/>
      </w:r>
      <w:r w:rsidR="00E30146">
        <w:t>(2)</w:t>
      </w:r>
      <w:r w:rsidRPr="00AF5E46">
        <w:tab/>
        <w:t>Subsection </w:t>
      </w:r>
      <w:r w:rsidR="00521D37">
        <w:t>(1)</w:t>
      </w:r>
      <w:r w:rsidRPr="00AF5E46">
        <w:t xml:space="preserve"> does not prevent a</w:t>
      </w:r>
      <w:r w:rsidR="00252365">
        <w:t xml:space="preserve"> primary </w:t>
      </w:r>
      <w:r w:rsidRPr="00AF5E46">
        <w:t>agency storing</w:t>
      </w:r>
      <w:r w:rsidR="00041BD0">
        <w:t xml:space="preserve"> those</w:t>
      </w:r>
      <w:r w:rsidRPr="00AF5E46">
        <w:t xml:space="preserve"> databases in the same computer system.</w:t>
      </w:r>
    </w:p>
    <w:p w14:paraId="098970A7" w14:textId="77777777" w:rsidR="00877051" w:rsidRPr="00AF5E46" w:rsidRDefault="00E30146" w:rsidP="00877051">
      <w:pPr>
        <w:pStyle w:val="ActHead5"/>
      </w:pPr>
      <w:bookmarkStart w:id="15" w:name="_Toc171078082"/>
      <w:proofErr w:type="gramStart"/>
      <w:r>
        <w:t>9</w:t>
      </w:r>
      <w:r w:rsidR="00877051" w:rsidRPr="00AF5E46">
        <w:t xml:space="preserve">  Circumstances</w:t>
      </w:r>
      <w:proofErr w:type="gramEnd"/>
      <w:r w:rsidR="00877051" w:rsidRPr="00AF5E46">
        <w:t xml:space="preserve"> in which creating copies of claims information in paper or similar form is prohibited</w:t>
      </w:r>
      <w:bookmarkEnd w:id="15"/>
    </w:p>
    <w:p w14:paraId="78B3663F" w14:textId="77777777" w:rsidR="00877051" w:rsidRDefault="00877051" w:rsidP="00FB43BF">
      <w:pPr>
        <w:pStyle w:val="subsection"/>
        <w:rPr>
          <w:szCs w:val="22"/>
        </w:rPr>
      </w:pPr>
      <w:r w:rsidRPr="00AF5E46">
        <w:tab/>
      </w:r>
      <w:r w:rsidR="00E30146">
        <w:t>(1)</w:t>
      </w:r>
      <w:r w:rsidRPr="00AF5E46">
        <w:tab/>
        <w:t>An agency must not create a copy of claims information in paper or similar form unless</w:t>
      </w:r>
      <w:r w:rsidR="00FB43BF" w:rsidRPr="00AF5E46">
        <w:t xml:space="preserve"> </w:t>
      </w:r>
      <w:r w:rsidRPr="00AF5E46">
        <w:t>it is reasonably necessary</w:t>
      </w:r>
      <w:r w:rsidRPr="00AF5E46">
        <w:rPr>
          <w:szCs w:val="22"/>
        </w:rPr>
        <w:t xml:space="preserve"> to do so for a lawful purpose</w:t>
      </w:r>
      <w:r w:rsidR="00FB43BF" w:rsidRPr="00AF5E46">
        <w:rPr>
          <w:szCs w:val="22"/>
        </w:rPr>
        <w:t>.</w:t>
      </w:r>
    </w:p>
    <w:p w14:paraId="156665D7" w14:textId="77777777" w:rsidR="005B2B9E" w:rsidRPr="00AF5E46" w:rsidRDefault="0008117B" w:rsidP="00DA5930">
      <w:pPr>
        <w:pStyle w:val="subsection"/>
      </w:pPr>
      <w:r w:rsidRPr="00AF5E46">
        <w:tab/>
      </w:r>
      <w:r w:rsidR="00E30146">
        <w:t>(2)</w:t>
      </w:r>
      <w:r w:rsidRPr="00AF5E46">
        <w:tab/>
        <w:t>An agency must not create</w:t>
      </w:r>
      <w:r w:rsidR="008E6461" w:rsidRPr="00AF5E46">
        <w:t xml:space="preserve"> a copy</w:t>
      </w:r>
      <w:r w:rsidRPr="00AF5E46">
        <w:t xml:space="preserve"> of </w:t>
      </w:r>
      <w:r w:rsidR="00FB43BF" w:rsidRPr="00AF5E46">
        <w:t xml:space="preserve">the whole, or a major proportion, of </w:t>
      </w:r>
      <w:r w:rsidR="005B2B9E" w:rsidRPr="00AF5E46">
        <w:t>either of the following in paper or similar form:</w:t>
      </w:r>
    </w:p>
    <w:p w14:paraId="145DB2C3" w14:textId="77777777" w:rsidR="005B2B9E" w:rsidRPr="00AF5E46" w:rsidRDefault="005B2B9E" w:rsidP="005B2B9E">
      <w:pPr>
        <w:pStyle w:val="paragraph"/>
        <w:rPr>
          <w:szCs w:val="22"/>
        </w:rPr>
      </w:pPr>
      <w:r w:rsidRPr="00AF5E46">
        <w:tab/>
      </w:r>
      <w:r w:rsidR="00E30146">
        <w:t>(a)</w:t>
      </w:r>
      <w:r w:rsidRPr="00AF5E46">
        <w:tab/>
        <w:t xml:space="preserve">a database that is maintained for the purposes of </w:t>
      </w:r>
      <w:r w:rsidR="00FB43BF" w:rsidRPr="00AF5E46">
        <w:rPr>
          <w:szCs w:val="22"/>
        </w:rPr>
        <w:t xml:space="preserve">the Medicare Benefits </w:t>
      </w:r>
      <w:r w:rsidRPr="00AF5E46">
        <w:rPr>
          <w:szCs w:val="22"/>
        </w:rPr>
        <w:t>Program;</w:t>
      </w:r>
    </w:p>
    <w:p w14:paraId="699FAB85" w14:textId="77777777" w:rsidR="00877051" w:rsidRDefault="005B2B9E" w:rsidP="005B2B9E">
      <w:pPr>
        <w:pStyle w:val="paragraph"/>
      </w:pPr>
      <w:r w:rsidRPr="00AF5E46">
        <w:rPr>
          <w:szCs w:val="22"/>
        </w:rPr>
        <w:tab/>
      </w:r>
      <w:r w:rsidR="00E30146">
        <w:rPr>
          <w:szCs w:val="22"/>
        </w:rPr>
        <w:t>(b)</w:t>
      </w:r>
      <w:r w:rsidRPr="00AF5E46">
        <w:rPr>
          <w:szCs w:val="22"/>
        </w:rPr>
        <w:tab/>
        <w:t xml:space="preserve">a database that is maintained for the purposes of the </w:t>
      </w:r>
      <w:r w:rsidR="00FB43BF" w:rsidRPr="00AF5E46">
        <w:t xml:space="preserve">Pharmaceutical Benefits </w:t>
      </w:r>
      <w:r w:rsidRPr="00AF5E46">
        <w:t>Program</w:t>
      </w:r>
      <w:r w:rsidR="00FB43BF" w:rsidRPr="00AF5E46">
        <w:t>.</w:t>
      </w:r>
    </w:p>
    <w:p w14:paraId="2D83EE80" w14:textId="77777777" w:rsidR="00D7118B" w:rsidRPr="00C70205" w:rsidRDefault="00D7118B" w:rsidP="005B2B9E">
      <w:pPr>
        <w:pStyle w:val="paragraph"/>
      </w:pPr>
    </w:p>
    <w:p w14:paraId="39616E88" w14:textId="77777777" w:rsidR="00523852" w:rsidRPr="00AF5E46" w:rsidRDefault="00E30146" w:rsidP="00523852">
      <w:pPr>
        <w:pStyle w:val="ActHead2"/>
      </w:pPr>
      <w:bookmarkStart w:id="16" w:name="_Toc171078083"/>
      <w:r>
        <w:lastRenderedPageBreak/>
        <w:t>Part 3</w:t>
      </w:r>
      <w:r w:rsidR="00523852" w:rsidRPr="00AF5E46">
        <w:t>—</w:t>
      </w:r>
      <w:r w:rsidR="00722B7C" w:rsidRPr="00AF5E46">
        <w:t>U</w:t>
      </w:r>
      <w:r w:rsidR="00523852" w:rsidRPr="00AF5E46">
        <w:t>se</w:t>
      </w:r>
      <w:r w:rsidR="00D73E4A" w:rsidRPr="00AF5E46">
        <w:t>s to which agencies may put</w:t>
      </w:r>
      <w:r w:rsidR="00523852" w:rsidRPr="00AF5E46">
        <w:t xml:space="preserve"> claims information</w:t>
      </w:r>
      <w:bookmarkEnd w:id="16"/>
    </w:p>
    <w:p w14:paraId="69DA1C90" w14:textId="77777777" w:rsidR="00523852" w:rsidRPr="00AF5E46" w:rsidRDefault="00C4172F" w:rsidP="00C4172F">
      <w:pPr>
        <w:pStyle w:val="notemargin"/>
      </w:pPr>
      <w:r w:rsidRPr="00AF5E46">
        <w:t>Note:</w:t>
      </w:r>
      <w:r w:rsidR="00523852" w:rsidRPr="00AF5E46">
        <w:tab/>
      </w:r>
      <w:r w:rsidR="00523852" w:rsidRPr="00AF5E46">
        <w:tab/>
        <w:t>This Part is made for the purposes of paragraph 135AA(5)(b) of the Act.</w:t>
      </w:r>
    </w:p>
    <w:p w14:paraId="6F86B340" w14:textId="77777777" w:rsidR="009A42EE" w:rsidRDefault="00E30146" w:rsidP="009A42EE">
      <w:pPr>
        <w:pStyle w:val="ActHead5"/>
      </w:pPr>
      <w:bookmarkStart w:id="17" w:name="_Toc171078084"/>
      <w:bookmarkStart w:id="18" w:name="_Hlk160092702"/>
      <w:proofErr w:type="gramStart"/>
      <w:r>
        <w:t>10</w:t>
      </w:r>
      <w:r w:rsidR="009A42EE" w:rsidRPr="00AF5E46">
        <w:t xml:space="preserve">  Use</w:t>
      </w:r>
      <w:proofErr w:type="gramEnd"/>
      <w:r w:rsidR="009A42EE" w:rsidRPr="00AF5E46">
        <w:t xml:space="preserve"> of claims information</w:t>
      </w:r>
      <w:bookmarkEnd w:id="17"/>
    </w:p>
    <w:p w14:paraId="1D979085" w14:textId="77777777" w:rsidR="003A35E9" w:rsidRDefault="003A35E9" w:rsidP="003A35E9">
      <w:pPr>
        <w:pStyle w:val="subsection"/>
      </w:pPr>
      <w:r>
        <w:tab/>
      </w:r>
      <w:r>
        <w:tab/>
        <w:t>The table specifies the uses to which agencies may put claims information.</w:t>
      </w:r>
    </w:p>
    <w:p w14:paraId="5A8FF1F1" w14:textId="77777777" w:rsidR="003A35E9" w:rsidRDefault="003A35E9" w:rsidP="003A35E9">
      <w:pPr>
        <w:pStyle w:val="subsection"/>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455"/>
        <w:gridCol w:w="1811"/>
        <w:gridCol w:w="2697"/>
        <w:gridCol w:w="3350"/>
      </w:tblGrid>
      <w:tr w:rsidR="007351AF" w:rsidRPr="00AF5E46" w14:paraId="64CD2CF8" w14:textId="77777777" w:rsidTr="00C77381">
        <w:trPr>
          <w:tblHeader/>
        </w:trPr>
        <w:tc>
          <w:tcPr>
            <w:tcW w:w="274" w:type="pct"/>
            <w:tcBorders>
              <w:top w:val="single" w:sz="12" w:space="0" w:color="auto"/>
              <w:bottom w:val="single" w:sz="2" w:space="0" w:color="auto"/>
            </w:tcBorders>
          </w:tcPr>
          <w:p w14:paraId="5F418A28" w14:textId="77777777" w:rsidR="007351AF" w:rsidRDefault="007351AF" w:rsidP="006B285C">
            <w:pPr>
              <w:pStyle w:val="TableHeading"/>
            </w:pPr>
          </w:p>
        </w:tc>
        <w:tc>
          <w:tcPr>
            <w:tcW w:w="4726" w:type="pct"/>
            <w:gridSpan w:val="3"/>
            <w:tcBorders>
              <w:top w:val="single" w:sz="12" w:space="0" w:color="auto"/>
              <w:bottom w:val="single" w:sz="2" w:space="0" w:color="auto"/>
            </w:tcBorders>
          </w:tcPr>
          <w:p w14:paraId="705E180A" w14:textId="77777777" w:rsidR="007351AF" w:rsidRPr="00AF5E46" w:rsidRDefault="007351AF" w:rsidP="006B285C">
            <w:pPr>
              <w:pStyle w:val="TableHeading"/>
            </w:pPr>
            <w:r>
              <w:t>Uses to which agencies may put claims information</w:t>
            </w:r>
          </w:p>
        </w:tc>
      </w:tr>
      <w:tr w:rsidR="007351AF" w:rsidRPr="00AF5E46" w14:paraId="3923976D" w14:textId="77777777" w:rsidTr="000B6551">
        <w:trPr>
          <w:tblHeader/>
        </w:trPr>
        <w:tc>
          <w:tcPr>
            <w:tcW w:w="274" w:type="pct"/>
            <w:tcBorders>
              <w:top w:val="single" w:sz="2" w:space="0" w:color="auto"/>
              <w:bottom w:val="single" w:sz="2" w:space="0" w:color="auto"/>
            </w:tcBorders>
          </w:tcPr>
          <w:p w14:paraId="2E431151" w14:textId="77777777" w:rsidR="007351AF" w:rsidRPr="00AF5E46" w:rsidRDefault="007351AF" w:rsidP="003A35E9">
            <w:pPr>
              <w:pStyle w:val="TableHeading"/>
            </w:pPr>
          </w:p>
        </w:tc>
        <w:tc>
          <w:tcPr>
            <w:tcW w:w="1089" w:type="pct"/>
            <w:tcBorders>
              <w:top w:val="single" w:sz="2" w:space="0" w:color="auto"/>
              <w:bottom w:val="single" w:sz="2" w:space="0" w:color="auto"/>
            </w:tcBorders>
            <w:shd w:val="clear" w:color="auto" w:fill="auto"/>
            <w:hideMark/>
          </w:tcPr>
          <w:p w14:paraId="5DFC277E" w14:textId="77777777" w:rsidR="007351AF" w:rsidRPr="00AF5E46" w:rsidRDefault="007351AF" w:rsidP="003A35E9">
            <w:pPr>
              <w:pStyle w:val="TableHeading"/>
            </w:pPr>
            <w:r w:rsidRPr="00AF5E46">
              <w:t>Column 1</w:t>
            </w:r>
          </w:p>
        </w:tc>
        <w:tc>
          <w:tcPr>
            <w:tcW w:w="1622" w:type="pct"/>
            <w:tcBorders>
              <w:top w:val="single" w:sz="2" w:space="0" w:color="auto"/>
              <w:bottom w:val="single" w:sz="2" w:space="0" w:color="auto"/>
            </w:tcBorders>
          </w:tcPr>
          <w:p w14:paraId="2D83E929" w14:textId="77777777" w:rsidR="007351AF" w:rsidRPr="00AF5E46" w:rsidRDefault="007351AF" w:rsidP="003A35E9">
            <w:pPr>
              <w:pStyle w:val="TableHeading"/>
            </w:pPr>
            <w:r w:rsidRPr="00AF5E46">
              <w:t>Column 2</w:t>
            </w:r>
          </w:p>
        </w:tc>
        <w:tc>
          <w:tcPr>
            <w:tcW w:w="2015" w:type="pct"/>
            <w:tcBorders>
              <w:top w:val="single" w:sz="2" w:space="0" w:color="auto"/>
              <w:bottom w:val="single" w:sz="2" w:space="0" w:color="auto"/>
            </w:tcBorders>
            <w:shd w:val="clear" w:color="auto" w:fill="auto"/>
          </w:tcPr>
          <w:p w14:paraId="3894A250" w14:textId="77777777" w:rsidR="007351AF" w:rsidRPr="00AF5E46" w:rsidRDefault="007351AF" w:rsidP="003A35E9">
            <w:pPr>
              <w:pStyle w:val="TableHeading"/>
            </w:pPr>
            <w:r w:rsidRPr="00AF5E46">
              <w:t>Column 3</w:t>
            </w:r>
          </w:p>
        </w:tc>
      </w:tr>
      <w:tr w:rsidR="007351AF" w:rsidRPr="00AF5E46" w14:paraId="358182AC" w14:textId="77777777" w:rsidTr="000B6551">
        <w:trPr>
          <w:tblHeader/>
        </w:trPr>
        <w:tc>
          <w:tcPr>
            <w:tcW w:w="274" w:type="pct"/>
            <w:tcBorders>
              <w:top w:val="single" w:sz="2" w:space="0" w:color="auto"/>
              <w:bottom w:val="single" w:sz="12" w:space="0" w:color="auto"/>
            </w:tcBorders>
          </w:tcPr>
          <w:p w14:paraId="25750B90" w14:textId="77777777" w:rsidR="007351AF" w:rsidRDefault="007351AF" w:rsidP="003A35E9">
            <w:pPr>
              <w:pStyle w:val="TableHeading"/>
            </w:pPr>
          </w:p>
        </w:tc>
        <w:tc>
          <w:tcPr>
            <w:tcW w:w="1089" w:type="pct"/>
            <w:tcBorders>
              <w:top w:val="single" w:sz="2" w:space="0" w:color="auto"/>
              <w:bottom w:val="single" w:sz="12" w:space="0" w:color="auto"/>
            </w:tcBorders>
            <w:shd w:val="clear" w:color="auto" w:fill="auto"/>
            <w:hideMark/>
          </w:tcPr>
          <w:p w14:paraId="16495A6C" w14:textId="77777777" w:rsidR="007351AF" w:rsidRPr="00AF5E46" w:rsidRDefault="007351AF" w:rsidP="003A35E9">
            <w:pPr>
              <w:pStyle w:val="TableHeading"/>
            </w:pPr>
            <w:r>
              <w:t>The following agency …</w:t>
            </w:r>
          </w:p>
        </w:tc>
        <w:tc>
          <w:tcPr>
            <w:tcW w:w="1622" w:type="pct"/>
            <w:tcBorders>
              <w:top w:val="single" w:sz="2" w:space="0" w:color="auto"/>
              <w:bottom w:val="single" w:sz="12" w:space="0" w:color="auto"/>
            </w:tcBorders>
          </w:tcPr>
          <w:p w14:paraId="171EA32D" w14:textId="77777777" w:rsidR="007351AF" w:rsidRDefault="007351AF" w:rsidP="003A35E9">
            <w:pPr>
              <w:pStyle w:val="TableHeading"/>
            </w:pPr>
            <w:r>
              <w:t xml:space="preserve">may put the following </w:t>
            </w:r>
            <w:r w:rsidR="009C2AAD">
              <w:t xml:space="preserve">claims </w:t>
            </w:r>
            <w:r>
              <w:t>information …</w:t>
            </w:r>
          </w:p>
        </w:tc>
        <w:tc>
          <w:tcPr>
            <w:tcW w:w="2015" w:type="pct"/>
            <w:tcBorders>
              <w:top w:val="single" w:sz="2" w:space="0" w:color="auto"/>
              <w:bottom w:val="single" w:sz="12" w:space="0" w:color="auto"/>
            </w:tcBorders>
            <w:shd w:val="clear" w:color="auto" w:fill="auto"/>
            <w:hideMark/>
          </w:tcPr>
          <w:p w14:paraId="0D66A2D5" w14:textId="77777777" w:rsidR="007351AF" w:rsidRPr="00AF5E46" w:rsidRDefault="007351AF" w:rsidP="003A35E9">
            <w:pPr>
              <w:pStyle w:val="TableHeading"/>
            </w:pPr>
            <w:r>
              <w:t>to the following uses …</w:t>
            </w:r>
          </w:p>
        </w:tc>
      </w:tr>
      <w:tr w:rsidR="009B6EB9" w:rsidRPr="0019678A" w14:paraId="4727E87F" w14:textId="77777777" w:rsidTr="000B6551">
        <w:trPr>
          <w:trHeight w:val="533"/>
        </w:trPr>
        <w:tc>
          <w:tcPr>
            <w:tcW w:w="274" w:type="pct"/>
            <w:tcBorders>
              <w:top w:val="single" w:sz="12" w:space="0" w:color="auto"/>
            </w:tcBorders>
          </w:tcPr>
          <w:p w14:paraId="447ECA4A" w14:textId="77777777" w:rsidR="009B6EB9" w:rsidRPr="001F3D74" w:rsidRDefault="009B6EB9" w:rsidP="009B6EB9">
            <w:pPr>
              <w:pStyle w:val="Tabletext"/>
            </w:pPr>
            <w:r w:rsidRPr="001F3D74">
              <w:t>1</w:t>
            </w:r>
          </w:p>
        </w:tc>
        <w:tc>
          <w:tcPr>
            <w:tcW w:w="1089" w:type="pct"/>
            <w:tcBorders>
              <w:top w:val="single" w:sz="12" w:space="0" w:color="auto"/>
            </w:tcBorders>
            <w:shd w:val="clear" w:color="auto" w:fill="auto"/>
          </w:tcPr>
          <w:p w14:paraId="4F234F80" w14:textId="77777777" w:rsidR="009B6EB9" w:rsidRPr="0019678A" w:rsidRDefault="009B6EB9" w:rsidP="009B6EB9">
            <w:pPr>
              <w:pStyle w:val="Tabletext"/>
            </w:pPr>
            <w:r>
              <w:t>The Health Department</w:t>
            </w:r>
          </w:p>
        </w:tc>
        <w:tc>
          <w:tcPr>
            <w:tcW w:w="1622" w:type="pct"/>
            <w:tcBorders>
              <w:top w:val="single" w:sz="12" w:space="0" w:color="auto"/>
            </w:tcBorders>
          </w:tcPr>
          <w:p w14:paraId="18ADBA71" w14:textId="77777777" w:rsidR="009B6EB9" w:rsidRPr="0019678A" w:rsidRDefault="009B6EB9" w:rsidP="009B6EB9">
            <w:pPr>
              <w:pStyle w:val="Tabletext"/>
            </w:pPr>
            <w:r>
              <w:t>Any claims information</w:t>
            </w:r>
          </w:p>
        </w:tc>
        <w:tc>
          <w:tcPr>
            <w:tcW w:w="2015" w:type="pct"/>
            <w:tcBorders>
              <w:top w:val="single" w:sz="12" w:space="0" w:color="auto"/>
            </w:tcBorders>
            <w:shd w:val="clear" w:color="auto" w:fill="auto"/>
          </w:tcPr>
          <w:p w14:paraId="5BD64BD4" w14:textId="77777777" w:rsidR="009B6EB9" w:rsidRPr="0019678A" w:rsidRDefault="009B6EB9" w:rsidP="009B6EB9">
            <w:pPr>
              <w:pStyle w:val="Tabletext"/>
            </w:pPr>
            <w:r>
              <w:t>Use in order to perform health provider compliance functions</w:t>
            </w:r>
          </w:p>
        </w:tc>
      </w:tr>
      <w:tr w:rsidR="00FE1FD2" w:rsidRPr="0019678A" w14:paraId="69178988" w14:textId="77777777" w:rsidTr="000B6551">
        <w:trPr>
          <w:trHeight w:val="561"/>
        </w:trPr>
        <w:tc>
          <w:tcPr>
            <w:tcW w:w="274" w:type="pct"/>
            <w:tcBorders>
              <w:top w:val="single" w:sz="4" w:space="0" w:color="auto"/>
              <w:bottom w:val="single" w:sz="4" w:space="0" w:color="auto"/>
            </w:tcBorders>
          </w:tcPr>
          <w:p w14:paraId="610F19DD" w14:textId="77777777" w:rsidR="00FE1FD2" w:rsidRPr="00886726" w:rsidRDefault="00FE1FD2" w:rsidP="009B6EB9">
            <w:pPr>
              <w:pStyle w:val="Tabletext"/>
            </w:pPr>
            <w:r w:rsidRPr="00886726">
              <w:t>2</w:t>
            </w:r>
          </w:p>
        </w:tc>
        <w:tc>
          <w:tcPr>
            <w:tcW w:w="1089" w:type="pct"/>
            <w:tcBorders>
              <w:top w:val="single" w:sz="4" w:space="0" w:color="auto"/>
              <w:bottom w:val="single" w:sz="4" w:space="0" w:color="auto"/>
            </w:tcBorders>
            <w:shd w:val="clear" w:color="auto" w:fill="auto"/>
          </w:tcPr>
          <w:p w14:paraId="1B60294D" w14:textId="77777777" w:rsidR="00FE1FD2" w:rsidRPr="00886726" w:rsidRDefault="00FE1FD2" w:rsidP="009B6EB9">
            <w:pPr>
              <w:pStyle w:val="Tabletext"/>
            </w:pPr>
            <w:r w:rsidRPr="00886726">
              <w:t>A primary agency</w:t>
            </w:r>
          </w:p>
        </w:tc>
        <w:tc>
          <w:tcPr>
            <w:tcW w:w="1622" w:type="pct"/>
            <w:tcBorders>
              <w:top w:val="single" w:sz="4" w:space="0" w:color="auto"/>
              <w:bottom w:val="single" w:sz="4" w:space="0" w:color="auto"/>
            </w:tcBorders>
          </w:tcPr>
          <w:p w14:paraId="531D25AB" w14:textId="77777777" w:rsidR="00FE1FD2" w:rsidRPr="00886726" w:rsidRDefault="00FE1FD2" w:rsidP="009B6EB9">
            <w:pPr>
              <w:pStyle w:val="Tabletext"/>
            </w:pPr>
            <w:r w:rsidRPr="00886726">
              <w:t>Any claims information</w:t>
            </w:r>
          </w:p>
        </w:tc>
        <w:tc>
          <w:tcPr>
            <w:tcW w:w="2015" w:type="pct"/>
            <w:tcBorders>
              <w:top w:val="single" w:sz="4" w:space="0" w:color="auto"/>
              <w:bottom w:val="single" w:sz="4" w:space="0" w:color="auto"/>
            </w:tcBorders>
            <w:shd w:val="clear" w:color="auto" w:fill="auto"/>
          </w:tcPr>
          <w:p w14:paraId="203B01E4" w14:textId="77777777" w:rsidR="00FE1FD2" w:rsidRPr="00886726" w:rsidRDefault="00FE1FD2" w:rsidP="009B6EB9">
            <w:pPr>
              <w:pStyle w:val="Tabletext"/>
            </w:pPr>
            <w:r w:rsidRPr="00886726">
              <w:t>Use</w:t>
            </w:r>
            <w:r w:rsidR="00055E1E" w:rsidRPr="00886726">
              <w:t xml:space="preserve"> that</w:t>
            </w:r>
            <w:r w:rsidRPr="00886726">
              <w:t>:</w:t>
            </w:r>
          </w:p>
          <w:p w14:paraId="12C44978" w14:textId="77777777" w:rsidR="00FE1FD2" w:rsidRPr="00886726" w:rsidRDefault="00FE1FD2" w:rsidP="00FE1FD2">
            <w:pPr>
              <w:pStyle w:val="Tablea"/>
              <w:rPr>
                <w:rFonts w:eastAsiaTheme="minorHAnsi"/>
              </w:rPr>
            </w:pPr>
            <w:r w:rsidRPr="00886726">
              <w:rPr>
                <w:rFonts w:eastAsiaTheme="minorHAnsi"/>
              </w:rPr>
              <w:t xml:space="preserve">(a) </w:t>
            </w:r>
            <w:r w:rsidRPr="00886726">
              <w:rPr>
                <w:rFonts w:eastAsiaTheme="minorHAnsi"/>
              </w:rPr>
              <w:tab/>
              <w:t>is for one of the following</w:t>
            </w:r>
            <w:r w:rsidR="00055E1E" w:rsidRPr="00886726">
              <w:rPr>
                <w:rFonts w:eastAsiaTheme="minorHAnsi"/>
              </w:rPr>
              <w:t xml:space="preserve"> </w:t>
            </w:r>
            <w:r w:rsidRPr="00886726">
              <w:rPr>
                <w:rFonts w:eastAsiaTheme="minorHAnsi"/>
              </w:rPr>
              <w:t>purposes:</w:t>
            </w:r>
          </w:p>
          <w:p w14:paraId="0F433892" w14:textId="77777777" w:rsidR="00FE1FD2" w:rsidRPr="00886726" w:rsidRDefault="00FE1FD2" w:rsidP="00FE1FD2">
            <w:pPr>
              <w:pStyle w:val="Tablei"/>
            </w:pPr>
            <w:r w:rsidRPr="00886726">
              <w:t>(</w:t>
            </w:r>
            <w:proofErr w:type="spellStart"/>
            <w:r w:rsidRPr="00886726">
              <w:t>i</w:t>
            </w:r>
            <w:proofErr w:type="spellEnd"/>
            <w:r w:rsidRPr="00886726">
              <w:t>)</w:t>
            </w:r>
            <w:r w:rsidRPr="00886726">
              <w:tab/>
              <w:t>research (including medical research);</w:t>
            </w:r>
          </w:p>
          <w:p w14:paraId="20DDE074" w14:textId="77777777" w:rsidR="00FE1FD2" w:rsidRPr="00886726" w:rsidRDefault="00FE1FD2" w:rsidP="00FE1FD2">
            <w:pPr>
              <w:pStyle w:val="Tablei"/>
            </w:pPr>
            <w:r w:rsidRPr="00886726">
              <w:t>(ii)</w:t>
            </w:r>
            <w:r w:rsidRPr="00886726">
              <w:tab/>
              <w:t>statistical analysis;</w:t>
            </w:r>
          </w:p>
          <w:p w14:paraId="7AF88A71" w14:textId="5DEA4FD8" w:rsidR="00FE1FD2" w:rsidRPr="00886726" w:rsidRDefault="00FE1FD2" w:rsidP="00FE1FD2">
            <w:pPr>
              <w:pStyle w:val="Tablei"/>
            </w:pPr>
            <w:r w:rsidRPr="00886726">
              <w:t>(iii)</w:t>
            </w:r>
            <w:r w:rsidRPr="00886726">
              <w:tab/>
            </w:r>
            <w:r w:rsidR="00D803B4">
              <w:t xml:space="preserve"> </w:t>
            </w:r>
            <w:r w:rsidRPr="00886726">
              <w:t>development of government policies and programs; and</w:t>
            </w:r>
          </w:p>
          <w:p w14:paraId="2BE41C1F" w14:textId="77777777" w:rsidR="00FE1FD2" w:rsidRPr="00886726" w:rsidRDefault="00FE1FD2" w:rsidP="00610B79">
            <w:pPr>
              <w:pStyle w:val="Tablea"/>
              <w:rPr>
                <w:rFonts w:eastAsiaTheme="minorHAnsi"/>
              </w:rPr>
            </w:pPr>
            <w:r w:rsidRPr="00886726">
              <w:rPr>
                <w:rFonts w:eastAsiaTheme="minorHAnsi"/>
              </w:rPr>
              <w:t>(b)</w:t>
            </w:r>
            <w:r w:rsidRPr="00886726">
              <w:rPr>
                <w:rFonts w:eastAsiaTheme="minorHAnsi"/>
              </w:rPr>
              <w:tab/>
              <w:t>complies with the data minimisation principle</w:t>
            </w:r>
          </w:p>
        </w:tc>
      </w:tr>
      <w:tr w:rsidR="000B6551" w:rsidRPr="0019678A" w14:paraId="3CA374FE" w14:textId="77777777" w:rsidTr="000B6551">
        <w:trPr>
          <w:trHeight w:val="561"/>
        </w:trPr>
        <w:tc>
          <w:tcPr>
            <w:tcW w:w="274" w:type="pct"/>
            <w:tcBorders>
              <w:top w:val="single" w:sz="4" w:space="0" w:color="auto"/>
              <w:bottom w:val="single" w:sz="4" w:space="0" w:color="auto"/>
            </w:tcBorders>
          </w:tcPr>
          <w:p w14:paraId="4704100E" w14:textId="77777777" w:rsidR="000B6551" w:rsidRPr="00886726" w:rsidRDefault="000B6551" w:rsidP="000B6551">
            <w:pPr>
              <w:pStyle w:val="Tabletext"/>
            </w:pPr>
            <w:r w:rsidRPr="00886726">
              <w:t>3</w:t>
            </w:r>
          </w:p>
        </w:tc>
        <w:tc>
          <w:tcPr>
            <w:tcW w:w="1089" w:type="pct"/>
            <w:tcBorders>
              <w:top w:val="single" w:sz="4" w:space="0" w:color="auto"/>
              <w:bottom w:val="single" w:sz="4" w:space="0" w:color="auto"/>
            </w:tcBorders>
            <w:shd w:val="clear" w:color="auto" w:fill="auto"/>
          </w:tcPr>
          <w:p w14:paraId="01E8C746" w14:textId="77777777" w:rsidR="000B6551" w:rsidRPr="00886726" w:rsidRDefault="000B6551" w:rsidP="000B6551">
            <w:pPr>
              <w:pStyle w:val="Tabletext"/>
            </w:pPr>
            <w:r w:rsidRPr="00886726">
              <w:t>A primary agency or a secondary agency</w:t>
            </w:r>
          </w:p>
        </w:tc>
        <w:tc>
          <w:tcPr>
            <w:tcW w:w="1622" w:type="pct"/>
            <w:tcBorders>
              <w:top w:val="single" w:sz="4" w:space="0" w:color="auto"/>
              <w:bottom w:val="single" w:sz="4" w:space="0" w:color="auto"/>
            </w:tcBorders>
          </w:tcPr>
          <w:p w14:paraId="5A318844" w14:textId="77777777" w:rsidR="000B6551" w:rsidRPr="00886726" w:rsidRDefault="000B6551" w:rsidP="000B6551">
            <w:pPr>
              <w:pStyle w:val="Tabletext"/>
              <w:rPr>
                <w:strike/>
              </w:rPr>
            </w:pPr>
            <w:r w:rsidRPr="00886726">
              <w:t xml:space="preserve">Claims information that was disclosed to the agency, in accordance with this instrument, for a particular </w:t>
            </w:r>
            <w:r w:rsidR="00F13E3B" w:rsidRPr="00886726">
              <w:t>purpose</w:t>
            </w:r>
          </w:p>
        </w:tc>
        <w:tc>
          <w:tcPr>
            <w:tcW w:w="2015" w:type="pct"/>
            <w:tcBorders>
              <w:top w:val="single" w:sz="4" w:space="0" w:color="auto"/>
              <w:bottom w:val="single" w:sz="4" w:space="0" w:color="auto"/>
            </w:tcBorders>
            <w:shd w:val="clear" w:color="auto" w:fill="auto"/>
          </w:tcPr>
          <w:p w14:paraId="39458F9E" w14:textId="77777777" w:rsidR="000B6551" w:rsidRPr="00886726" w:rsidRDefault="00F13E3B" w:rsidP="000B6551">
            <w:pPr>
              <w:pStyle w:val="Tabletext"/>
            </w:pPr>
            <w:r w:rsidRPr="00886726">
              <w:t>Use to achieve that purpose</w:t>
            </w:r>
            <w:r w:rsidR="00610B79" w:rsidRPr="00886726">
              <w:t>, to the extent that the use complies with the data minimisation principle</w:t>
            </w:r>
          </w:p>
        </w:tc>
      </w:tr>
      <w:tr w:rsidR="000B6551" w:rsidRPr="0019678A" w14:paraId="54F8A01A" w14:textId="77777777" w:rsidTr="000B6551">
        <w:tc>
          <w:tcPr>
            <w:tcW w:w="274" w:type="pct"/>
            <w:tcBorders>
              <w:top w:val="single" w:sz="4" w:space="0" w:color="auto"/>
              <w:bottom w:val="single" w:sz="12" w:space="0" w:color="auto"/>
            </w:tcBorders>
          </w:tcPr>
          <w:p w14:paraId="65CC10E2" w14:textId="77777777" w:rsidR="000B6551" w:rsidRPr="00886726" w:rsidRDefault="000B6551" w:rsidP="000B6551">
            <w:pPr>
              <w:pStyle w:val="Tabletext"/>
            </w:pPr>
            <w:r w:rsidRPr="00886726">
              <w:t>4</w:t>
            </w:r>
          </w:p>
        </w:tc>
        <w:tc>
          <w:tcPr>
            <w:tcW w:w="1089" w:type="pct"/>
            <w:tcBorders>
              <w:top w:val="single" w:sz="4" w:space="0" w:color="auto"/>
              <w:bottom w:val="single" w:sz="12" w:space="0" w:color="auto"/>
            </w:tcBorders>
            <w:shd w:val="clear" w:color="auto" w:fill="auto"/>
          </w:tcPr>
          <w:p w14:paraId="60B09B6C" w14:textId="77777777" w:rsidR="000B6551" w:rsidRPr="00886726" w:rsidRDefault="000B6551" w:rsidP="000B6551">
            <w:pPr>
              <w:pStyle w:val="Tabletext"/>
            </w:pPr>
            <w:r w:rsidRPr="00886726">
              <w:t>A primary agency or a secondary agency</w:t>
            </w:r>
          </w:p>
        </w:tc>
        <w:tc>
          <w:tcPr>
            <w:tcW w:w="1622" w:type="pct"/>
            <w:tcBorders>
              <w:top w:val="single" w:sz="4" w:space="0" w:color="auto"/>
              <w:bottom w:val="single" w:sz="12" w:space="0" w:color="auto"/>
            </w:tcBorders>
          </w:tcPr>
          <w:p w14:paraId="72475898" w14:textId="77777777" w:rsidR="000B6551" w:rsidRPr="00886726" w:rsidRDefault="000B6551" w:rsidP="000B6551">
            <w:pPr>
              <w:pStyle w:val="Tabletext"/>
              <w:rPr>
                <w:strike/>
              </w:rPr>
            </w:pPr>
            <w:r w:rsidRPr="00886726">
              <w:t>Any claims information</w:t>
            </w:r>
          </w:p>
        </w:tc>
        <w:tc>
          <w:tcPr>
            <w:tcW w:w="2015" w:type="pct"/>
            <w:tcBorders>
              <w:top w:val="single" w:sz="4" w:space="0" w:color="auto"/>
              <w:bottom w:val="single" w:sz="12" w:space="0" w:color="auto"/>
            </w:tcBorders>
            <w:shd w:val="clear" w:color="auto" w:fill="auto"/>
          </w:tcPr>
          <w:p w14:paraId="361EC1AB" w14:textId="77777777" w:rsidR="000B6551" w:rsidRPr="00886726" w:rsidRDefault="000B6551" w:rsidP="000B6551">
            <w:pPr>
              <w:pStyle w:val="Tabletext"/>
            </w:pPr>
            <w:r w:rsidRPr="00886726">
              <w:t>Any use that is required or authorised by law (other than by this section)</w:t>
            </w:r>
          </w:p>
        </w:tc>
      </w:tr>
      <w:bookmarkEnd w:id="18"/>
    </w:tbl>
    <w:p w14:paraId="6122DD42" w14:textId="77777777" w:rsidR="006C76CC" w:rsidRDefault="006C76CC" w:rsidP="00AC6E04">
      <w:pPr>
        <w:pStyle w:val="notetext"/>
      </w:pPr>
    </w:p>
    <w:p w14:paraId="118F28B0" w14:textId="77777777" w:rsidR="00F91A56" w:rsidRPr="00AF5E46" w:rsidRDefault="00E30146" w:rsidP="00F91A56">
      <w:pPr>
        <w:pStyle w:val="ActHead2"/>
      </w:pPr>
      <w:bookmarkStart w:id="19" w:name="_Toc171078085"/>
      <w:r>
        <w:lastRenderedPageBreak/>
        <w:t>Part 4</w:t>
      </w:r>
      <w:r w:rsidR="00F91A56" w:rsidRPr="00AF5E46">
        <w:t>—</w:t>
      </w:r>
      <w:r w:rsidR="00204B3A" w:rsidRPr="00AF5E46">
        <w:t xml:space="preserve">Circumstances in which agencies may disclose </w:t>
      </w:r>
      <w:r w:rsidR="00722B7C" w:rsidRPr="00AF5E46">
        <w:t>claims</w:t>
      </w:r>
      <w:r w:rsidR="002C4629" w:rsidRPr="00AF5E46">
        <w:t xml:space="preserve"> information</w:t>
      </w:r>
      <w:bookmarkEnd w:id="19"/>
    </w:p>
    <w:p w14:paraId="3C189725" w14:textId="77777777" w:rsidR="002C4629" w:rsidRDefault="00C4172F" w:rsidP="00C4172F">
      <w:pPr>
        <w:pStyle w:val="notemargin"/>
      </w:pPr>
      <w:r w:rsidRPr="00AF5E46">
        <w:t>Note:</w:t>
      </w:r>
      <w:r w:rsidR="002C4629" w:rsidRPr="00AF5E46">
        <w:tab/>
      </w:r>
      <w:r w:rsidR="002C4629" w:rsidRPr="00AF5E46">
        <w:tab/>
        <w:t>This Part is made for the purposes of paragraph 135AA(5)(</w:t>
      </w:r>
      <w:r w:rsidR="00722B7C" w:rsidRPr="00AF5E46">
        <w:t>c</w:t>
      </w:r>
      <w:r w:rsidR="002C4629" w:rsidRPr="00AF5E46">
        <w:t>) of the Act.</w:t>
      </w:r>
    </w:p>
    <w:p w14:paraId="166B2A8E" w14:textId="77777777" w:rsidR="00A20974" w:rsidRDefault="00E30146" w:rsidP="00A20974">
      <w:pPr>
        <w:pStyle w:val="ActHead5"/>
      </w:pPr>
      <w:bookmarkStart w:id="20" w:name="_Toc171078086"/>
      <w:bookmarkStart w:id="21" w:name="_Hlk160092681"/>
      <w:proofErr w:type="gramStart"/>
      <w:r>
        <w:t>11</w:t>
      </w:r>
      <w:r w:rsidR="00A20974">
        <w:t xml:space="preserve">  Circumstances</w:t>
      </w:r>
      <w:proofErr w:type="gramEnd"/>
      <w:r w:rsidR="00A20974">
        <w:t xml:space="preserve"> in which agencies may disclose claims information</w:t>
      </w:r>
      <w:bookmarkEnd w:id="20"/>
    </w:p>
    <w:p w14:paraId="284C4156" w14:textId="77777777" w:rsidR="00F51630" w:rsidRPr="00FA5DEF" w:rsidRDefault="00431867" w:rsidP="00431867">
      <w:pPr>
        <w:pStyle w:val="subsection"/>
      </w:pPr>
      <w:r w:rsidRPr="00FA5DEF">
        <w:tab/>
      </w:r>
      <w:r w:rsidR="00E30146">
        <w:t>(1)</w:t>
      </w:r>
      <w:r w:rsidRPr="00FA5DEF">
        <w:tab/>
      </w:r>
      <w:r w:rsidR="00F51630" w:rsidRPr="00FA5DEF">
        <w:t>Th</w:t>
      </w:r>
      <w:r w:rsidR="00FF799C" w:rsidRPr="00FA5DEF">
        <w:t xml:space="preserve">is </w:t>
      </w:r>
      <w:r w:rsidR="00816E84" w:rsidRPr="00FA5DEF">
        <w:t xml:space="preserve">section </w:t>
      </w:r>
      <w:r w:rsidR="00FF799C" w:rsidRPr="00FA5DEF">
        <w:t xml:space="preserve">specifies the </w:t>
      </w:r>
      <w:r w:rsidR="00F51630" w:rsidRPr="00FA5DEF">
        <w:t>circumstances in which agencies may disclose claims information.</w:t>
      </w:r>
      <w:r w:rsidR="00816E84" w:rsidRPr="00FA5DEF">
        <w:t xml:space="preserve"> Each of subsections </w:t>
      </w:r>
      <w:r w:rsidR="00521D37">
        <w:t>(2)</w:t>
      </w:r>
      <w:r w:rsidR="00816E84" w:rsidRPr="00FA5DEF">
        <w:t xml:space="preserve"> to </w:t>
      </w:r>
      <w:r w:rsidR="00521D37">
        <w:t>(9)</w:t>
      </w:r>
      <w:r w:rsidR="00816E84" w:rsidRPr="00FA5DEF">
        <w:t xml:space="preserve"> </w:t>
      </w:r>
      <w:r w:rsidR="0020021B" w:rsidRPr="00FA5DEF">
        <w:t xml:space="preserve">specifies </w:t>
      </w:r>
      <w:r w:rsidR="00816E84" w:rsidRPr="00FA5DEF">
        <w:t xml:space="preserve">a separate circumstance, and </w:t>
      </w:r>
      <w:r w:rsidR="0020021B" w:rsidRPr="00FA5DEF">
        <w:t>no subsection limits any other subsection.</w:t>
      </w:r>
    </w:p>
    <w:p w14:paraId="1073391E" w14:textId="77777777" w:rsidR="00431867" w:rsidRPr="00FA5DEF" w:rsidRDefault="00431867" w:rsidP="00431867">
      <w:pPr>
        <w:pStyle w:val="SubsectionHead"/>
        <w:rPr>
          <w:rFonts w:eastAsiaTheme="minorHAnsi"/>
          <w:sz w:val="20"/>
        </w:rPr>
      </w:pPr>
      <w:r w:rsidRPr="00FA5DEF">
        <w:rPr>
          <w:rFonts w:eastAsiaTheme="minorHAnsi"/>
        </w:rPr>
        <w:t>Disclosure by Services Australia to the Health Department</w:t>
      </w:r>
    </w:p>
    <w:p w14:paraId="2F62E235" w14:textId="77777777" w:rsidR="00431867" w:rsidRPr="00FA5DEF" w:rsidRDefault="00431867" w:rsidP="00431867">
      <w:pPr>
        <w:pStyle w:val="subsection"/>
        <w:rPr>
          <w:rFonts w:eastAsiaTheme="minorHAnsi"/>
        </w:rPr>
      </w:pPr>
      <w:r w:rsidRPr="00FA5DEF">
        <w:rPr>
          <w:rFonts w:eastAsiaTheme="minorHAnsi"/>
        </w:rPr>
        <w:tab/>
      </w:r>
      <w:r w:rsidR="00E30146">
        <w:rPr>
          <w:rFonts w:eastAsiaTheme="minorHAnsi"/>
        </w:rPr>
        <w:t>(2)</w:t>
      </w:r>
      <w:r w:rsidRPr="00FA5DEF">
        <w:rPr>
          <w:rFonts w:eastAsiaTheme="minorHAnsi"/>
        </w:rPr>
        <w:tab/>
        <w:t>Services Australia may disclose claims information to the Health Department where the disclosure is for the purposes of the performance of the health provider compliance functions.</w:t>
      </w:r>
    </w:p>
    <w:p w14:paraId="7F8CC877" w14:textId="77777777" w:rsidR="000B6551" w:rsidRPr="00FA5DEF" w:rsidRDefault="000B6551" w:rsidP="000B6551">
      <w:pPr>
        <w:pStyle w:val="subsection"/>
        <w:rPr>
          <w:rFonts w:eastAsiaTheme="minorHAnsi"/>
          <w:sz w:val="20"/>
        </w:rPr>
      </w:pPr>
      <w:r w:rsidRPr="00FA5DEF">
        <w:rPr>
          <w:rFonts w:eastAsiaTheme="minorHAnsi"/>
        </w:rPr>
        <w:tab/>
      </w:r>
      <w:r w:rsidR="00E30146">
        <w:rPr>
          <w:rFonts w:eastAsiaTheme="minorHAnsi"/>
        </w:rPr>
        <w:t>(3)</w:t>
      </w:r>
      <w:r w:rsidRPr="00FA5DEF">
        <w:rPr>
          <w:rFonts w:eastAsiaTheme="minorHAnsi"/>
        </w:rPr>
        <w:tab/>
        <w:t>Services Australia may disclose claims information to the Health Department so long as none of the following is disclosed together with the claims information:</w:t>
      </w:r>
    </w:p>
    <w:p w14:paraId="56F38CCB" w14:textId="77777777" w:rsidR="000B6551" w:rsidRPr="00FA5DEF" w:rsidRDefault="000B6551" w:rsidP="000B6551">
      <w:pPr>
        <w:pStyle w:val="paragraph"/>
        <w:rPr>
          <w:rFonts w:eastAsiaTheme="minorHAnsi"/>
        </w:rPr>
      </w:pPr>
      <w:r w:rsidRPr="00FA5DEF">
        <w:rPr>
          <w:rFonts w:eastAsiaTheme="minorHAnsi"/>
        </w:rPr>
        <w:tab/>
      </w:r>
      <w:r w:rsidR="00E30146">
        <w:rPr>
          <w:rFonts w:eastAsiaTheme="minorHAnsi"/>
        </w:rPr>
        <w:t>(a)</w:t>
      </w:r>
      <w:r w:rsidRPr="00FA5DEF">
        <w:rPr>
          <w:rFonts w:eastAsiaTheme="minorHAnsi"/>
        </w:rPr>
        <w:tab/>
        <w:t>personal identification components;</w:t>
      </w:r>
    </w:p>
    <w:p w14:paraId="586D227C" w14:textId="77777777" w:rsidR="000B6551" w:rsidRPr="00FA5DEF" w:rsidRDefault="000B6551" w:rsidP="000B6551">
      <w:pPr>
        <w:pStyle w:val="paragraph"/>
        <w:rPr>
          <w:rFonts w:eastAsiaTheme="minorHAnsi"/>
        </w:rPr>
      </w:pPr>
      <w:r w:rsidRPr="00FA5DEF">
        <w:rPr>
          <w:rFonts w:eastAsiaTheme="minorHAnsi"/>
        </w:rPr>
        <w:tab/>
      </w:r>
      <w:r w:rsidR="00E30146">
        <w:rPr>
          <w:rFonts w:eastAsiaTheme="minorHAnsi"/>
        </w:rPr>
        <w:t>(b)</w:t>
      </w:r>
      <w:r w:rsidRPr="00FA5DEF">
        <w:rPr>
          <w:rFonts w:eastAsiaTheme="minorHAnsi"/>
        </w:rPr>
        <w:tab/>
        <w:t>an algorithm which enables an encrypted Medicare card number to be unencrypted;</w:t>
      </w:r>
    </w:p>
    <w:p w14:paraId="6DD0C79C" w14:textId="77777777" w:rsidR="000B6551" w:rsidRPr="00FA5DEF" w:rsidRDefault="000B6551" w:rsidP="000B6551">
      <w:pPr>
        <w:pStyle w:val="paragraph"/>
        <w:rPr>
          <w:rFonts w:eastAsiaTheme="minorHAnsi"/>
        </w:rPr>
      </w:pPr>
      <w:r w:rsidRPr="00FA5DEF">
        <w:rPr>
          <w:rFonts w:eastAsiaTheme="minorHAnsi"/>
        </w:rPr>
        <w:tab/>
      </w:r>
      <w:r w:rsidR="00E30146">
        <w:rPr>
          <w:rFonts w:eastAsiaTheme="minorHAnsi"/>
        </w:rPr>
        <w:t>(c)</w:t>
      </w:r>
      <w:r w:rsidRPr="00FA5DEF">
        <w:rPr>
          <w:rFonts w:eastAsiaTheme="minorHAnsi"/>
        </w:rPr>
        <w:tab/>
        <w:t>the name corresponding to a Medicare PIN.</w:t>
      </w:r>
    </w:p>
    <w:bookmarkEnd w:id="21"/>
    <w:p w14:paraId="7D86A055" w14:textId="77777777" w:rsidR="00431867" w:rsidRDefault="00431867" w:rsidP="00431867">
      <w:pPr>
        <w:pStyle w:val="subsection"/>
        <w:rPr>
          <w:rFonts w:eastAsiaTheme="minorHAnsi"/>
          <w:sz w:val="20"/>
        </w:rPr>
      </w:pPr>
      <w:r>
        <w:rPr>
          <w:rFonts w:eastAsiaTheme="minorHAnsi"/>
        </w:rPr>
        <w:tab/>
      </w:r>
      <w:r w:rsidR="00E30146">
        <w:rPr>
          <w:rFonts w:eastAsiaTheme="minorHAnsi"/>
        </w:rPr>
        <w:t>(4)</w:t>
      </w:r>
      <w:r>
        <w:rPr>
          <w:rFonts w:eastAsiaTheme="minorHAnsi"/>
        </w:rPr>
        <w:tab/>
        <w:t>Services Australia may disclose, to the Health Department, personal identification components that correspond to a particular Medicare PIN where the Secretary of the Health Department has decided that the disclosure is necessary:</w:t>
      </w:r>
    </w:p>
    <w:p w14:paraId="30C1D60A" w14:textId="77777777" w:rsidR="00431867" w:rsidRDefault="00431867" w:rsidP="00431867">
      <w:pPr>
        <w:pStyle w:val="paragraph"/>
        <w:rPr>
          <w:rFonts w:eastAsiaTheme="minorHAnsi"/>
        </w:rPr>
      </w:pPr>
      <w:r>
        <w:rPr>
          <w:rFonts w:eastAsiaTheme="minorHAnsi"/>
        </w:rPr>
        <w:tab/>
      </w:r>
      <w:r w:rsidR="00E30146">
        <w:rPr>
          <w:rFonts w:eastAsiaTheme="minorHAnsi"/>
        </w:rPr>
        <w:t>(a)</w:t>
      </w:r>
      <w:r>
        <w:rPr>
          <w:rFonts w:eastAsiaTheme="minorHAnsi"/>
        </w:rPr>
        <w:tab/>
        <w:t>to clarify which information relates to a particular individual, where doubt has arisen in the conduct of an activity involving the linkage of de</w:t>
      </w:r>
      <w:r>
        <w:rPr>
          <w:rFonts w:eastAsiaTheme="minorHAnsi"/>
        </w:rPr>
        <w:noBreakHyphen/>
        <w:t>identified claims information; or</w:t>
      </w:r>
    </w:p>
    <w:p w14:paraId="173D0C89" w14:textId="77777777" w:rsidR="00431867" w:rsidRDefault="00431867" w:rsidP="00431867">
      <w:pPr>
        <w:pStyle w:val="paragraph"/>
        <w:rPr>
          <w:rFonts w:eastAsiaTheme="minorHAnsi"/>
        </w:rPr>
      </w:pPr>
      <w:r>
        <w:rPr>
          <w:rFonts w:eastAsiaTheme="minorHAnsi"/>
        </w:rPr>
        <w:tab/>
      </w:r>
      <w:r w:rsidR="00E30146">
        <w:rPr>
          <w:rFonts w:eastAsiaTheme="minorHAnsi"/>
        </w:rPr>
        <w:t>(b)</w:t>
      </w:r>
      <w:r>
        <w:rPr>
          <w:rFonts w:eastAsiaTheme="minorHAnsi"/>
        </w:rPr>
        <w:tab/>
        <w:t xml:space="preserve">for the purposes of disclosing personal information (within the meaning of the </w:t>
      </w:r>
      <w:r>
        <w:rPr>
          <w:rFonts w:eastAsiaTheme="minorHAnsi"/>
          <w:i/>
          <w:iCs/>
        </w:rPr>
        <w:t>Privacy Act 1988</w:t>
      </w:r>
      <w:r>
        <w:rPr>
          <w:rFonts w:eastAsiaTheme="minorHAnsi"/>
        </w:rPr>
        <w:t>)</w:t>
      </w:r>
      <w:r>
        <w:rPr>
          <w:rFonts w:eastAsiaTheme="minorHAnsi"/>
          <w:i/>
          <w:iCs/>
        </w:rPr>
        <w:t xml:space="preserve"> </w:t>
      </w:r>
      <w:r>
        <w:rPr>
          <w:rFonts w:eastAsiaTheme="minorHAnsi"/>
        </w:rPr>
        <w:t>in a specific case, or in a specific set of circumstances, as expressly authorised or required by or under law.</w:t>
      </w:r>
    </w:p>
    <w:p w14:paraId="1C16A183" w14:textId="77777777" w:rsidR="006A44A5" w:rsidRPr="00C712B3" w:rsidRDefault="006A44A5" w:rsidP="00431867">
      <w:pPr>
        <w:pStyle w:val="SubsectionHead"/>
        <w:rPr>
          <w:rFonts w:eastAsiaTheme="minorHAnsi"/>
        </w:rPr>
      </w:pPr>
      <w:r w:rsidRPr="00C712B3">
        <w:rPr>
          <w:rFonts w:eastAsiaTheme="minorHAnsi"/>
        </w:rPr>
        <w:t>Disclosure by the Health Department to Services Australia</w:t>
      </w:r>
    </w:p>
    <w:p w14:paraId="2B3EEBD8" w14:textId="77777777" w:rsidR="006A44A5" w:rsidRPr="00C712B3" w:rsidRDefault="006A44A5" w:rsidP="006A44A5">
      <w:pPr>
        <w:pStyle w:val="subsection"/>
      </w:pPr>
      <w:r w:rsidRPr="00C712B3">
        <w:rPr>
          <w:rFonts w:eastAsiaTheme="minorHAnsi"/>
        </w:rPr>
        <w:tab/>
      </w:r>
      <w:r w:rsidR="00E30146">
        <w:rPr>
          <w:rFonts w:eastAsiaTheme="minorHAnsi"/>
        </w:rPr>
        <w:t>(5)</w:t>
      </w:r>
      <w:r w:rsidRPr="00C712B3">
        <w:rPr>
          <w:rFonts w:eastAsiaTheme="minorHAnsi"/>
        </w:rPr>
        <w:tab/>
      </w:r>
      <w:r w:rsidRPr="00C712B3">
        <w:t>The Health Department may disclose, to Services Australia, old information for:</w:t>
      </w:r>
    </w:p>
    <w:p w14:paraId="27EA7B5C" w14:textId="77777777" w:rsidR="006A44A5" w:rsidRPr="00C712B3" w:rsidRDefault="006A44A5" w:rsidP="006A44A5">
      <w:pPr>
        <w:pStyle w:val="paragraph"/>
      </w:pPr>
      <w:r w:rsidRPr="00C712B3">
        <w:tab/>
      </w:r>
      <w:r w:rsidR="00E30146">
        <w:t>(a)</w:t>
      </w:r>
      <w:r w:rsidRPr="00C712B3">
        <w:tab/>
        <w:t>a permitted purpose referred to in paragraph </w:t>
      </w:r>
      <w:r w:rsidR="00521D37">
        <w:t>19(a)</w:t>
      </w:r>
      <w:r w:rsidRPr="00C712B3">
        <w:t>; or</w:t>
      </w:r>
    </w:p>
    <w:p w14:paraId="698B539B" w14:textId="77777777" w:rsidR="006A44A5" w:rsidRPr="00C712B3" w:rsidRDefault="006A44A5" w:rsidP="006A44A5">
      <w:pPr>
        <w:pStyle w:val="paragraph"/>
      </w:pPr>
      <w:r w:rsidRPr="00C712B3">
        <w:tab/>
      </w:r>
      <w:r w:rsidR="00E30146">
        <w:t>(b)</w:t>
      </w:r>
      <w:r w:rsidRPr="00C712B3">
        <w:tab/>
        <w:t>inclusion in a database in which Services Australia stores old information from the Medicare Benefits Program or the Pharmaceutical Benefits Program in accordance with this instrument.</w:t>
      </w:r>
    </w:p>
    <w:p w14:paraId="211363B0" w14:textId="77777777" w:rsidR="00431867" w:rsidRDefault="00431867" w:rsidP="00431867">
      <w:pPr>
        <w:pStyle w:val="SubsectionHead"/>
        <w:rPr>
          <w:rFonts w:eastAsiaTheme="minorHAnsi"/>
          <w:sz w:val="20"/>
        </w:rPr>
      </w:pPr>
      <w:r>
        <w:rPr>
          <w:rFonts w:eastAsiaTheme="minorHAnsi"/>
        </w:rPr>
        <w:t>Disclosures by primary agency to secondary agency</w:t>
      </w:r>
    </w:p>
    <w:p w14:paraId="7FE40C82" w14:textId="77777777" w:rsidR="00431867" w:rsidRPr="00C712B3" w:rsidRDefault="00431867" w:rsidP="00431867">
      <w:pPr>
        <w:pStyle w:val="subsection"/>
        <w:rPr>
          <w:rFonts w:eastAsiaTheme="minorHAnsi"/>
        </w:rPr>
      </w:pPr>
      <w:r w:rsidRPr="00C712B3">
        <w:rPr>
          <w:rFonts w:eastAsiaTheme="minorHAnsi"/>
        </w:rPr>
        <w:tab/>
      </w:r>
      <w:r w:rsidR="00E30146">
        <w:rPr>
          <w:rFonts w:eastAsiaTheme="minorHAnsi"/>
        </w:rPr>
        <w:t>(6)</w:t>
      </w:r>
      <w:r w:rsidRPr="00C712B3">
        <w:rPr>
          <w:rFonts w:eastAsiaTheme="minorHAnsi"/>
        </w:rPr>
        <w:tab/>
        <w:t>A primary agency may disclose claims information to a secondary agency where:</w:t>
      </w:r>
    </w:p>
    <w:p w14:paraId="6AC0D28E" w14:textId="77777777" w:rsidR="00431867" w:rsidRPr="00C712B3" w:rsidRDefault="00431867" w:rsidP="00431867">
      <w:pPr>
        <w:pStyle w:val="paragraph"/>
        <w:rPr>
          <w:rFonts w:eastAsiaTheme="minorHAnsi"/>
        </w:rPr>
      </w:pPr>
      <w:r w:rsidRPr="00C712B3">
        <w:rPr>
          <w:rFonts w:eastAsiaTheme="minorHAnsi"/>
        </w:rPr>
        <w:tab/>
      </w:r>
      <w:r w:rsidR="00E30146">
        <w:rPr>
          <w:rFonts w:eastAsiaTheme="minorHAnsi"/>
        </w:rPr>
        <w:t>(a)</w:t>
      </w:r>
      <w:r w:rsidRPr="00C712B3">
        <w:rPr>
          <w:rFonts w:eastAsiaTheme="minorHAnsi"/>
        </w:rPr>
        <w:tab/>
        <w:t>the disclosure is in accordance with a data sharing agreement</w:t>
      </w:r>
      <w:r w:rsidR="007C4495" w:rsidRPr="00C712B3">
        <w:rPr>
          <w:rFonts w:eastAsiaTheme="minorHAnsi"/>
        </w:rPr>
        <w:t xml:space="preserve"> (see clause </w:t>
      </w:r>
      <w:r w:rsidR="00521D37">
        <w:rPr>
          <w:rFonts w:eastAsiaTheme="minorHAnsi"/>
        </w:rPr>
        <w:t>2</w:t>
      </w:r>
      <w:r w:rsidR="007C4495" w:rsidRPr="00C712B3">
        <w:rPr>
          <w:rFonts w:eastAsiaTheme="minorHAnsi"/>
        </w:rPr>
        <w:t xml:space="preserve"> of Schedule 1)</w:t>
      </w:r>
      <w:r w:rsidRPr="00C712B3">
        <w:rPr>
          <w:rFonts w:eastAsiaTheme="minorHAnsi"/>
        </w:rPr>
        <w:t>; and</w:t>
      </w:r>
    </w:p>
    <w:p w14:paraId="025A9131" w14:textId="77777777" w:rsidR="0072327C" w:rsidRPr="00C712B3" w:rsidRDefault="0072327C" w:rsidP="0072327C">
      <w:pPr>
        <w:pStyle w:val="paragraph"/>
        <w:rPr>
          <w:rFonts w:eastAsiaTheme="minorHAnsi"/>
        </w:rPr>
      </w:pPr>
      <w:r w:rsidRPr="00C712B3">
        <w:rPr>
          <w:rFonts w:eastAsiaTheme="minorHAnsi"/>
        </w:rPr>
        <w:tab/>
      </w:r>
      <w:r w:rsidR="00E30146">
        <w:rPr>
          <w:rFonts w:eastAsiaTheme="minorHAnsi"/>
        </w:rPr>
        <w:t>(b)</w:t>
      </w:r>
      <w:r w:rsidRPr="00C712B3">
        <w:rPr>
          <w:rFonts w:eastAsiaTheme="minorHAnsi"/>
        </w:rPr>
        <w:tab/>
        <w:t>the disclosure is not for the agency to undertake medical research; and</w:t>
      </w:r>
    </w:p>
    <w:p w14:paraId="6780C516" w14:textId="77777777" w:rsidR="00431867" w:rsidRDefault="00431867" w:rsidP="00431867">
      <w:pPr>
        <w:pStyle w:val="paragraph"/>
        <w:rPr>
          <w:rFonts w:eastAsiaTheme="minorHAnsi"/>
        </w:rPr>
      </w:pPr>
      <w:r>
        <w:rPr>
          <w:rFonts w:eastAsiaTheme="minorHAnsi"/>
        </w:rPr>
        <w:tab/>
      </w:r>
      <w:r w:rsidR="00E30146">
        <w:rPr>
          <w:rFonts w:eastAsiaTheme="minorHAnsi"/>
        </w:rPr>
        <w:t>(c)</w:t>
      </w:r>
      <w:r>
        <w:rPr>
          <w:rFonts w:eastAsiaTheme="minorHAnsi"/>
        </w:rPr>
        <w:tab/>
        <w:t>the disclosure complies with the data minimisation principle; and</w:t>
      </w:r>
    </w:p>
    <w:p w14:paraId="5215D75A" w14:textId="77777777" w:rsidR="00431867" w:rsidRDefault="00431867" w:rsidP="00431867">
      <w:pPr>
        <w:pStyle w:val="paragraph"/>
        <w:rPr>
          <w:rFonts w:eastAsiaTheme="minorHAnsi"/>
        </w:rPr>
      </w:pPr>
      <w:r>
        <w:rPr>
          <w:rFonts w:eastAsiaTheme="minorHAnsi"/>
        </w:rPr>
        <w:lastRenderedPageBreak/>
        <w:tab/>
      </w:r>
      <w:r w:rsidR="00E30146">
        <w:rPr>
          <w:rFonts w:eastAsiaTheme="minorHAnsi"/>
        </w:rPr>
        <w:t>(d)</w:t>
      </w:r>
      <w:r>
        <w:rPr>
          <w:rFonts w:eastAsiaTheme="minorHAnsi"/>
        </w:rPr>
        <w:tab/>
        <w:t>the disclosure does not include both the name and the Medicare PIN of any person to whom disclosed claims information relates.</w:t>
      </w:r>
    </w:p>
    <w:p w14:paraId="2AF379EE" w14:textId="77777777" w:rsidR="00431867" w:rsidRDefault="00431867" w:rsidP="00431867">
      <w:pPr>
        <w:pStyle w:val="SubsectionHead"/>
        <w:rPr>
          <w:rFonts w:eastAsiaTheme="minorHAnsi"/>
        </w:rPr>
      </w:pPr>
      <w:r>
        <w:rPr>
          <w:rFonts w:eastAsiaTheme="minorHAnsi"/>
        </w:rPr>
        <w:t>Disclosures by a primary agency for medical research</w:t>
      </w:r>
    </w:p>
    <w:p w14:paraId="599957F5" w14:textId="77777777" w:rsidR="00431867" w:rsidRDefault="00431867" w:rsidP="00431867">
      <w:pPr>
        <w:pStyle w:val="subsection"/>
        <w:rPr>
          <w:rFonts w:eastAsiaTheme="minorHAnsi"/>
        </w:rPr>
      </w:pPr>
      <w:r>
        <w:rPr>
          <w:rFonts w:eastAsiaTheme="minorHAnsi"/>
        </w:rPr>
        <w:tab/>
      </w:r>
      <w:r w:rsidR="00E30146">
        <w:rPr>
          <w:rFonts w:eastAsiaTheme="minorHAnsi"/>
        </w:rPr>
        <w:t>(7)</w:t>
      </w:r>
      <w:r>
        <w:rPr>
          <w:rFonts w:eastAsiaTheme="minorHAnsi"/>
        </w:rPr>
        <w:tab/>
        <w:t>A primary agency may disclose claims information to</w:t>
      </w:r>
      <w:r w:rsidR="000A181A" w:rsidRPr="00597DFC">
        <w:rPr>
          <w:rFonts w:eastAsiaTheme="minorHAnsi"/>
        </w:rPr>
        <w:t xml:space="preserve"> </w:t>
      </w:r>
      <w:r w:rsidR="000A181A" w:rsidRPr="00A11646">
        <w:rPr>
          <w:rFonts w:eastAsiaTheme="minorHAnsi"/>
        </w:rPr>
        <w:t>an agency</w:t>
      </w:r>
      <w:r w:rsidR="00AC131D" w:rsidRPr="00A11646">
        <w:rPr>
          <w:rFonts w:eastAsiaTheme="minorHAnsi"/>
        </w:rPr>
        <w:t xml:space="preserve"> or person</w:t>
      </w:r>
      <w:r>
        <w:rPr>
          <w:rFonts w:eastAsiaTheme="minorHAnsi"/>
        </w:rPr>
        <w:t xml:space="preserve"> where:</w:t>
      </w:r>
    </w:p>
    <w:p w14:paraId="6AD02A31" w14:textId="77777777" w:rsidR="00431867" w:rsidRDefault="00431867" w:rsidP="00431867">
      <w:pPr>
        <w:pStyle w:val="paragraph"/>
        <w:rPr>
          <w:rFonts w:eastAsiaTheme="minorHAnsi"/>
        </w:rPr>
      </w:pPr>
      <w:r>
        <w:rPr>
          <w:rFonts w:eastAsiaTheme="minorHAnsi"/>
        </w:rPr>
        <w:tab/>
      </w:r>
      <w:r w:rsidR="00E30146">
        <w:rPr>
          <w:rFonts w:eastAsiaTheme="minorHAnsi"/>
        </w:rPr>
        <w:t>(a)</w:t>
      </w:r>
      <w:r>
        <w:rPr>
          <w:rFonts w:eastAsiaTheme="minorHAnsi"/>
        </w:rPr>
        <w:tab/>
        <w:t>the disclosure is in accordance with a data sharing agreement</w:t>
      </w:r>
      <w:r w:rsidR="007C4495">
        <w:rPr>
          <w:rFonts w:eastAsiaTheme="minorHAnsi"/>
        </w:rPr>
        <w:t xml:space="preserve"> </w:t>
      </w:r>
      <w:r w:rsidR="007C4495" w:rsidRPr="00C712B3">
        <w:rPr>
          <w:rFonts w:eastAsiaTheme="minorHAnsi"/>
        </w:rPr>
        <w:t>(see clause </w:t>
      </w:r>
      <w:r w:rsidR="00521D37">
        <w:rPr>
          <w:rFonts w:eastAsiaTheme="minorHAnsi"/>
        </w:rPr>
        <w:t>3</w:t>
      </w:r>
      <w:r w:rsidR="007C4495" w:rsidRPr="00C712B3">
        <w:rPr>
          <w:rFonts w:eastAsiaTheme="minorHAnsi"/>
        </w:rPr>
        <w:t xml:space="preserve"> of Schedule 1)</w:t>
      </w:r>
      <w:r>
        <w:rPr>
          <w:rFonts w:eastAsiaTheme="minorHAnsi"/>
        </w:rPr>
        <w:t>; and</w:t>
      </w:r>
    </w:p>
    <w:p w14:paraId="4EEF91FC" w14:textId="77777777" w:rsidR="00431867" w:rsidRDefault="00431867" w:rsidP="00431867">
      <w:pPr>
        <w:pStyle w:val="paragraph"/>
        <w:rPr>
          <w:rFonts w:eastAsiaTheme="minorHAnsi"/>
        </w:rPr>
      </w:pPr>
      <w:r>
        <w:rPr>
          <w:rFonts w:eastAsiaTheme="minorHAnsi"/>
        </w:rPr>
        <w:tab/>
      </w:r>
      <w:r w:rsidR="00E30146">
        <w:rPr>
          <w:rFonts w:eastAsiaTheme="minorHAnsi"/>
        </w:rPr>
        <w:t>(b)</w:t>
      </w:r>
      <w:r>
        <w:rPr>
          <w:rFonts w:eastAsiaTheme="minorHAnsi"/>
        </w:rPr>
        <w:tab/>
        <w:t xml:space="preserve">the disclosure is for the </w:t>
      </w:r>
      <w:r w:rsidR="00AC131D" w:rsidRPr="00A11646">
        <w:rPr>
          <w:rFonts w:eastAsiaTheme="minorHAnsi"/>
        </w:rPr>
        <w:t>agency or</w:t>
      </w:r>
      <w:r w:rsidR="00AC131D" w:rsidRPr="00597DFC">
        <w:rPr>
          <w:rFonts w:eastAsiaTheme="minorHAnsi"/>
        </w:rPr>
        <w:t xml:space="preserve"> </w:t>
      </w:r>
      <w:r>
        <w:rPr>
          <w:rFonts w:eastAsiaTheme="minorHAnsi"/>
        </w:rPr>
        <w:t>person to undertake medical research; and</w:t>
      </w:r>
    </w:p>
    <w:p w14:paraId="57C057DF" w14:textId="77777777" w:rsidR="00431867" w:rsidRDefault="00431867" w:rsidP="00431867">
      <w:pPr>
        <w:pStyle w:val="paragraph"/>
        <w:rPr>
          <w:rFonts w:eastAsiaTheme="minorHAnsi"/>
        </w:rPr>
      </w:pPr>
      <w:r>
        <w:rPr>
          <w:rFonts w:eastAsiaTheme="minorHAnsi"/>
        </w:rPr>
        <w:tab/>
      </w:r>
      <w:r w:rsidR="00E30146">
        <w:rPr>
          <w:rFonts w:eastAsiaTheme="minorHAnsi"/>
        </w:rPr>
        <w:t>(c)</w:t>
      </w:r>
      <w:r>
        <w:rPr>
          <w:rFonts w:eastAsiaTheme="minorHAnsi"/>
        </w:rPr>
        <w:tab/>
        <w:t>the disclosure complies with the data minimisation principle; and</w:t>
      </w:r>
    </w:p>
    <w:p w14:paraId="08F7F25D" w14:textId="77777777" w:rsidR="00431867" w:rsidRPr="0060589E" w:rsidRDefault="00431867" w:rsidP="00431867">
      <w:pPr>
        <w:pStyle w:val="paragraph"/>
        <w:rPr>
          <w:rFonts w:eastAsiaTheme="minorHAnsi"/>
        </w:rPr>
      </w:pPr>
      <w:r w:rsidRPr="0060589E">
        <w:rPr>
          <w:rFonts w:eastAsiaTheme="minorHAnsi"/>
        </w:rPr>
        <w:tab/>
      </w:r>
      <w:r w:rsidR="00E30146">
        <w:rPr>
          <w:rFonts w:eastAsiaTheme="minorHAnsi"/>
        </w:rPr>
        <w:t>(d)</w:t>
      </w:r>
      <w:r w:rsidRPr="0060589E">
        <w:rPr>
          <w:rFonts w:eastAsiaTheme="minorHAnsi"/>
        </w:rPr>
        <w:tab/>
        <w:t xml:space="preserve">if </w:t>
      </w:r>
      <w:r w:rsidR="003B6567" w:rsidRPr="0060589E">
        <w:rPr>
          <w:rFonts w:eastAsiaTheme="minorHAnsi"/>
        </w:rPr>
        <w:t xml:space="preserve">an individual is reasonably identifiable </w:t>
      </w:r>
      <w:r w:rsidRPr="0060589E">
        <w:rPr>
          <w:rFonts w:eastAsiaTheme="minorHAnsi"/>
        </w:rPr>
        <w:t xml:space="preserve">from the information that is proposed to be disclosed—before disclosing the information, the </w:t>
      </w:r>
      <w:r w:rsidR="00AC131D" w:rsidRPr="00A11646">
        <w:rPr>
          <w:rFonts w:eastAsiaTheme="minorHAnsi"/>
        </w:rPr>
        <w:t xml:space="preserve">primary </w:t>
      </w:r>
      <w:r w:rsidRPr="0060589E">
        <w:rPr>
          <w:rFonts w:eastAsiaTheme="minorHAnsi"/>
        </w:rPr>
        <w:t>agency is satisfied that:</w:t>
      </w:r>
    </w:p>
    <w:p w14:paraId="2B197FED" w14:textId="77777777" w:rsidR="00431867" w:rsidRPr="0060589E" w:rsidRDefault="00431867" w:rsidP="00431867">
      <w:pPr>
        <w:pStyle w:val="paragraphsub"/>
        <w:rPr>
          <w:rFonts w:eastAsiaTheme="minorHAnsi"/>
        </w:rPr>
      </w:pPr>
      <w:r w:rsidRPr="0060589E">
        <w:rPr>
          <w:rFonts w:eastAsiaTheme="minorHAnsi"/>
        </w:rPr>
        <w:tab/>
      </w:r>
      <w:r w:rsidR="00E30146">
        <w:rPr>
          <w:rFonts w:eastAsiaTheme="minorHAnsi"/>
        </w:rPr>
        <w:t>(</w:t>
      </w:r>
      <w:proofErr w:type="spellStart"/>
      <w:r w:rsidR="00E30146">
        <w:rPr>
          <w:rFonts w:eastAsiaTheme="minorHAnsi"/>
        </w:rPr>
        <w:t>i</w:t>
      </w:r>
      <w:proofErr w:type="spellEnd"/>
      <w:r w:rsidR="00E30146">
        <w:rPr>
          <w:rFonts w:eastAsiaTheme="minorHAnsi"/>
        </w:rPr>
        <w:t>)</w:t>
      </w:r>
      <w:r w:rsidRPr="0060589E">
        <w:rPr>
          <w:rFonts w:eastAsiaTheme="minorHAnsi"/>
        </w:rPr>
        <w:tab/>
        <w:t>each identified individual has given informed consent to the use of the information for that research; or</w:t>
      </w:r>
    </w:p>
    <w:p w14:paraId="0C4D6C09" w14:textId="77777777" w:rsidR="00431867" w:rsidRDefault="00431867" w:rsidP="00431867">
      <w:pPr>
        <w:pStyle w:val="paragraphsub"/>
        <w:rPr>
          <w:rFonts w:eastAsiaTheme="minorHAnsi"/>
        </w:rPr>
      </w:pPr>
      <w:r w:rsidRPr="0060589E">
        <w:rPr>
          <w:rFonts w:eastAsiaTheme="minorHAnsi"/>
        </w:rPr>
        <w:tab/>
      </w:r>
      <w:r w:rsidR="00E30146">
        <w:rPr>
          <w:rFonts w:eastAsiaTheme="minorHAnsi"/>
        </w:rPr>
        <w:t>(ii)</w:t>
      </w:r>
      <w:r w:rsidRPr="0060589E">
        <w:rPr>
          <w:rFonts w:eastAsiaTheme="minorHAnsi"/>
        </w:rPr>
        <w:tab/>
        <w:t xml:space="preserve">the research is to be conducted in accordance with guidelines issued by the National Health and Medical Research Council under section 95 of the </w:t>
      </w:r>
      <w:r w:rsidRPr="0060589E">
        <w:rPr>
          <w:rFonts w:eastAsiaTheme="minorHAnsi"/>
          <w:i/>
          <w:iCs/>
        </w:rPr>
        <w:t>Privacy Act 1988</w:t>
      </w:r>
      <w:r w:rsidRPr="0060589E">
        <w:rPr>
          <w:rFonts w:eastAsiaTheme="minorHAnsi"/>
        </w:rPr>
        <w:t>.</w:t>
      </w:r>
    </w:p>
    <w:p w14:paraId="11364CF2" w14:textId="77777777" w:rsidR="00431867" w:rsidRDefault="00431867" w:rsidP="00431867">
      <w:pPr>
        <w:pStyle w:val="subsection"/>
        <w:rPr>
          <w:rFonts w:eastAsiaTheme="minorHAnsi"/>
        </w:rPr>
      </w:pPr>
      <w:r w:rsidRPr="0060589E">
        <w:rPr>
          <w:rFonts w:eastAsiaTheme="minorHAnsi"/>
        </w:rPr>
        <w:tab/>
      </w:r>
      <w:r w:rsidR="00E30146">
        <w:rPr>
          <w:rFonts w:eastAsiaTheme="minorHAnsi"/>
        </w:rPr>
        <w:t>(8)</w:t>
      </w:r>
      <w:r w:rsidRPr="0060589E">
        <w:rPr>
          <w:rFonts w:eastAsiaTheme="minorHAnsi"/>
        </w:rPr>
        <w:tab/>
        <w:t xml:space="preserve">A primary agency may disclose claims information to </w:t>
      </w:r>
      <w:r w:rsidR="007D07BC" w:rsidRPr="00C712B3">
        <w:rPr>
          <w:rFonts w:eastAsiaTheme="minorHAnsi"/>
        </w:rPr>
        <w:t>an</w:t>
      </w:r>
      <w:r w:rsidRPr="00C712B3">
        <w:rPr>
          <w:rFonts w:eastAsiaTheme="minorHAnsi"/>
        </w:rPr>
        <w:t xml:space="preserve"> </w:t>
      </w:r>
      <w:r w:rsidRPr="0060589E">
        <w:rPr>
          <w:rFonts w:eastAsiaTheme="minorHAnsi"/>
        </w:rPr>
        <w:t>agency for the purposes of consulting with that agency about the appropriateness of disclosing claims information in accordance with subsection </w:t>
      </w:r>
      <w:r w:rsidR="00521D37">
        <w:rPr>
          <w:rFonts w:eastAsiaTheme="minorHAnsi"/>
        </w:rPr>
        <w:t>(7)</w:t>
      </w:r>
      <w:r w:rsidR="0072327C" w:rsidRPr="00597DFC">
        <w:rPr>
          <w:rFonts w:eastAsiaTheme="minorHAnsi"/>
        </w:rPr>
        <w:t>,</w:t>
      </w:r>
      <w:r w:rsidRPr="0060589E">
        <w:rPr>
          <w:rFonts w:eastAsiaTheme="minorHAnsi"/>
        </w:rPr>
        <w:t xml:space="preserve"> where the disclosure:</w:t>
      </w:r>
    </w:p>
    <w:p w14:paraId="6B3291D0" w14:textId="77777777" w:rsidR="00431867" w:rsidRPr="0060589E" w:rsidRDefault="00431867" w:rsidP="00431867">
      <w:pPr>
        <w:pStyle w:val="paragraph"/>
        <w:rPr>
          <w:rFonts w:eastAsiaTheme="minorHAnsi"/>
        </w:rPr>
      </w:pPr>
      <w:r w:rsidRPr="0060589E">
        <w:rPr>
          <w:rFonts w:eastAsiaTheme="minorHAnsi"/>
        </w:rPr>
        <w:tab/>
      </w:r>
      <w:r w:rsidR="00E30146">
        <w:rPr>
          <w:rFonts w:eastAsiaTheme="minorHAnsi"/>
        </w:rPr>
        <w:t>(a)</w:t>
      </w:r>
      <w:r w:rsidRPr="0060589E">
        <w:rPr>
          <w:rFonts w:eastAsiaTheme="minorHAnsi"/>
        </w:rPr>
        <w:tab/>
        <w:t>is in accordance with a data sharing agreement; and</w:t>
      </w:r>
    </w:p>
    <w:p w14:paraId="0E10D7B8" w14:textId="77777777" w:rsidR="00431867" w:rsidRPr="0060589E" w:rsidRDefault="00431867" w:rsidP="00431867">
      <w:pPr>
        <w:pStyle w:val="paragraph"/>
        <w:rPr>
          <w:rFonts w:eastAsiaTheme="minorHAnsi"/>
        </w:rPr>
      </w:pPr>
      <w:r w:rsidRPr="0060589E">
        <w:rPr>
          <w:rFonts w:eastAsiaTheme="minorHAnsi"/>
        </w:rPr>
        <w:tab/>
      </w:r>
      <w:r w:rsidR="00E30146">
        <w:rPr>
          <w:rFonts w:eastAsiaTheme="minorHAnsi"/>
        </w:rPr>
        <w:t>(b)</w:t>
      </w:r>
      <w:r w:rsidRPr="0060589E">
        <w:rPr>
          <w:rFonts w:eastAsiaTheme="minorHAnsi"/>
        </w:rPr>
        <w:tab/>
        <w:t>complies with the data minimisation principle.</w:t>
      </w:r>
    </w:p>
    <w:p w14:paraId="37306AC3" w14:textId="77777777" w:rsidR="008B6C74" w:rsidRPr="0060589E" w:rsidRDefault="008B6C74" w:rsidP="008B6C74">
      <w:pPr>
        <w:pStyle w:val="SubsectionHead"/>
        <w:rPr>
          <w:rFonts w:eastAsiaTheme="minorHAnsi"/>
        </w:rPr>
      </w:pPr>
      <w:r w:rsidRPr="0060589E">
        <w:rPr>
          <w:rFonts w:eastAsiaTheme="minorHAnsi"/>
        </w:rPr>
        <w:t>Disclosure as required or authorised by law</w:t>
      </w:r>
    </w:p>
    <w:p w14:paraId="577C882A" w14:textId="77777777" w:rsidR="00724724" w:rsidRDefault="008B6C74" w:rsidP="00682162">
      <w:pPr>
        <w:pStyle w:val="subsection"/>
        <w:rPr>
          <w:rFonts w:eastAsiaTheme="minorHAnsi"/>
        </w:rPr>
      </w:pPr>
      <w:r w:rsidRPr="0060589E">
        <w:rPr>
          <w:rFonts w:eastAsiaTheme="minorHAnsi"/>
        </w:rPr>
        <w:tab/>
      </w:r>
      <w:r w:rsidR="00E30146">
        <w:rPr>
          <w:rFonts w:eastAsiaTheme="minorHAnsi"/>
        </w:rPr>
        <w:t>(9)</w:t>
      </w:r>
      <w:r w:rsidRPr="0060589E">
        <w:rPr>
          <w:rFonts w:eastAsiaTheme="minorHAnsi"/>
        </w:rPr>
        <w:tab/>
        <w:t xml:space="preserve">If a law requires or authorises an agency to disclose claims information, the agency may disclose claims information </w:t>
      </w:r>
      <w:r w:rsidR="000118FF" w:rsidRPr="0060589E">
        <w:rPr>
          <w:rFonts w:eastAsiaTheme="minorHAnsi"/>
        </w:rPr>
        <w:t>as so required or authorised</w:t>
      </w:r>
      <w:r w:rsidRPr="0060589E">
        <w:rPr>
          <w:rFonts w:eastAsiaTheme="minorHAnsi"/>
        </w:rPr>
        <w:t>.</w:t>
      </w:r>
    </w:p>
    <w:p w14:paraId="5F809E7B" w14:textId="77777777" w:rsidR="000C3FDF" w:rsidRPr="00C712B3" w:rsidRDefault="000C3FDF" w:rsidP="000C3FDF">
      <w:pPr>
        <w:pStyle w:val="notetext"/>
      </w:pPr>
      <w:r w:rsidRPr="00C712B3">
        <w:rPr>
          <w:rFonts w:eastAsiaTheme="minorHAnsi"/>
        </w:rPr>
        <w:t>Example:</w:t>
      </w:r>
      <w:r w:rsidRPr="00C712B3">
        <w:rPr>
          <w:rFonts w:eastAsiaTheme="minorHAnsi"/>
        </w:rPr>
        <w:tab/>
      </w:r>
      <w:r w:rsidRPr="00C712B3">
        <w:t xml:space="preserve">Lawfully disclosing </w:t>
      </w:r>
      <w:r w:rsidR="00F317B3" w:rsidRPr="00C712B3">
        <w:t>claims</w:t>
      </w:r>
      <w:r w:rsidRPr="00C712B3">
        <w:t xml:space="preserve"> information in accordance with the secrecy provisions of a law of the Commonwealth.</w:t>
      </w:r>
    </w:p>
    <w:p w14:paraId="644CABC0" w14:textId="77777777" w:rsidR="00722B7C" w:rsidRPr="00AF5E46" w:rsidRDefault="00E30146" w:rsidP="00722B7C">
      <w:pPr>
        <w:pStyle w:val="ActHead2"/>
      </w:pPr>
      <w:bookmarkStart w:id="22" w:name="_Toc171078087"/>
      <w:r>
        <w:lastRenderedPageBreak/>
        <w:t>Part 5</w:t>
      </w:r>
      <w:r w:rsidR="00722B7C" w:rsidRPr="00AF5E46">
        <w:t>—Prohibition relating to storage of claims information in the same database</w:t>
      </w:r>
      <w:bookmarkEnd w:id="22"/>
    </w:p>
    <w:p w14:paraId="6C65C122" w14:textId="77777777" w:rsidR="00722B7C" w:rsidRPr="00AF5E46" w:rsidRDefault="00C4172F" w:rsidP="00C4172F">
      <w:pPr>
        <w:pStyle w:val="notemargin"/>
      </w:pPr>
      <w:r w:rsidRPr="00AF5E46">
        <w:t>Note:</w:t>
      </w:r>
      <w:r w:rsidR="00722B7C" w:rsidRPr="00AF5E46">
        <w:tab/>
      </w:r>
      <w:r w:rsidR="00722B7C" w:rsidRPr="00AF5E46">
        <w:tab/>
        <w:t>This Part is made for the purposes of paragraph 135AA(5)(d) of the Act.</w:t>
      </w:r>
    </w:p>
    <w:p w14:paraId="16AF3422" w14:textId="77777777" w:rsidR="00722B7C" w:rsidRPr="00AF5E46" w:rsidRDefault="00E30146" w:rsidP="00722B7C">
      <w:pPr>
        <w:pStyle w:val="ActHead5"/>
        <w:rPr>
          <w:b w:val="0"/>
          <w:i/>
        </w:rPr>
      </w:pPr>
      <w:bookmarkStart w:id="23" w:name="_Toc171078088"/>
      <w:proofErr w:type="gramStart"/>
      <w:r>
        <w:t>12</w:t>
      </w:r>
      <w:r w:rsidR="00722B7C" w:rsidRPr="00AF5E46">
        <w:t xml:space="preserve">  Prohibition</w:t>
      </w:r>
      <w:proofErr w:type="gramEnd"/>
      <w:r w:rsidR="00722B7C" w:rsidRPr="00AF5E46">
        <w:t xml:space="preserve"> relating to storage of claims information in the same database</w:t>
      </w:r>
      <w:bookmarkEnd w:id="23"/>
    </w:p>
    <w:p w14:paraId="5A6FBCB7" w14:textId="77777777" w:rsidR="00722B7C" w:rsidRPr="00AF5E46" w:rsidRDefault="00722B7C" w:rsidP="00722B7C">
      <w:pPr>
        <w:pStyle w:val="subsection"/>
        <w:rPr>
          <w:szCs w:val="22"/>
        </w:rPr>
      </w:pPr>
      <w:r w:rsidRPr="00AF5E46">
        <w:tab/>
      </w:r>
      <w:r w:rsidR="00E30146">
        <w:t>(1)</w:t>
      </w:r>
      <w:r w:rsidRPr="00AF5E46">
        <w:tab/>
        <w:t xml:space="preserve">An agency must not store </w:t>
      </w:r>
      <w:r w:rsidRPr="00AF5E46">
        <w:rPr>
          <w:szCs w:val="22"/>
        </w:rPr>
        <w:t>in the same database:</w:t>
      </w:r>
    </w:p>
    <w:p w14:paraId="0BA79372" w14:textId="77777777" w:rsidR="00722B7C" w:rsidRPr="00AF5E46" w:rsidRDefault="00722B7C" w:rsidP="00722B7C">
      <w:pPr>
        <w:pStyle w:val="paragraph"/>
      </w:pPr>
      <w:r w:rsidRPr="00AF5E46">
        <w:tab/>
      </w:r>
      <w:r w:rsidR="00E30146">
        <w:t>(a)</w:t>
      </w:r>
      <w:r w:rsidRPr="00AF5E46">
        <w:tab/>
        <w:t>claims information that was obtained under the Medicare Benefits Program; and</w:t>
      </w:r>
    </w:p>
    <w:p w14:paraId="36D04386" w14:textId="77777777" w:rsidR="00722B7C" w:rsidRPr="00AF5E46" w:rsidRDefault="00722B7C" w:rsidP="00722B7C">
      <w:pPr>
        <w:pStyle w:val="paragraph"/>
      </w:pPr>
      <w:r w:rsidRPr="00AF5E46">
        <w:tab/>
      </w:r>
      <w:r w:rsidR="00E30146">
        <w:t>(b)</w:t>
      </w:r>
      <w:r w:rsidRPr="00AF5E46">
        <w:tab/>
        <w:t>claims information that was obtained under the Pharmaceutical Benefits Program.</w:t>
      </w:r>
    </w:p>
    <w:p w14:paraId="6EBB2D9D" w14:textId="77777777" w:rsidR="00722B7C" w:rsidRPr="00AF5E46" w:rsidRDefault="00722B7C" w:rsidP="00722B7C">
      <w:pPr>
        <w:pStyle w:val="subsection"/>
        <w:rPr>
          <w:szCs w:val="22"/>
        </w:rPr>
      </w:pPr>
      <w:r w:rsidRPr="00AF5E46">
        <w:tab/>
      </w:r>
      <w:r w:rsidR="00E30146">
        <w:t>(2)</w:t>
      </w:r>
      <w:r w:rsidRPr="00AF5E46">
        <w:tab/>
      </w:r>
      <w:r w:rsidRPr="00AF5E46">
        <w:rPr>
          <w:szCs w:val="22"/>
        </w:rPr>
        <w:t>Subsection </w:t>
      </w:r>
      <w:r w:rsidR="00521D37">
        <w:rPr>
          <w:szCs w:val="22"/>
        </w:rPr>
        <w:t>(1)</w:t>
      </w:r>
      <w:r w:rsidRPr="00AF5E46">
        <w:rPr>
          <w:szCs w:val="22"/>
        </w:rPr>
        <w:t xml:space="preserve"> does not prevent a primary agency from storing information referred to in that subsection in the same database where this is necessary for an activity </w:t>
      </w:r>
      <w:r w:rsidR="003062B5" w:rsidRPr="00AF5E46">
        <w:rPr>
          <w:szCs w:val="22"/>
        </w:rPr>
        <w:t xml:space="preserve">that is expressly </w:t>
      </w:r>
      <w:r w:rsidRPr="00AF5E46">
        <w:rPr>
          <w:szCs w:val="22"/>
        </w:rPr>
        <w:t>authorised by this instrument.</w:t>
      </w:r>
    </w:p>
    <w:p w14:paraId="1DD1DA3F" w14:textId="77777777" w:rsidR="00722B7C" w:rsidRDefault="00722B7C" w:rsidP="00722B7C">
      <w:pPr>
        <w:pStyle w:val="subsection"/>
      </w:pPr>
      <w:r w:rsidRPr="00AF5E46">
        <w:rPr>
          <w:sz w:val="24"/>
        </w:rPr>
        <w:tab/>
      </w:r>
      <w:r w:rsidR="00E30146">
        <w:t>(3)</w:t>
      </w:r>
      <w:r w:rsidRPr="00AF5E46">
        <w:tab/>
        <w:t>Subsection </w:t>
      </w:r>
      <w:r w:rsidR="00521D37">
        <w:t>(1)</w:t>
      </w:r>
      <w:r w:rsidRPr="00AF5E46">
        <w:t xml:space="preserve"> does not prevent </w:t>
      </w:r>
      <w:r w:rsidR="00AA262D" w:rsidRPr="00AF5E46">
        <w:t xml:space="preserve">an agency storing </w:t>
      </w:r>
      <w:r w:rsidRPr="00AF5E46">
        <w:t>databases containing the information referred to in that subsection in the same computer system.</w:t>
      </w:r>
    </w:p>
    <w:p w14:paraId="16AE6041" w14:textId="77777777" w:rsidR="006E5DCB" w:rsidRPr="00AF5E46" w:rsidRDefault="006E5DCB" w:rsidP="006E5DCB">
      <w:pPr>
        <w:pStyle w:val="notetext"/>
      </w:pPr>
      <w:r>
        <w:t>Note:</w:t>
      </w:r>
      <w:r>
        <w:tab/>
        <w:t>This section covers both old information and claims information that is not old information.</w:t>
      </w:r>
    </w:p>
    <w:p w14:paraId="3AAF6E63" w14:textId="77777777" w:rsidR="00E06E87" w:rsidRPr="00AF5E46" w:rsidRDefault="00E30146" w:rsidP="00E06E87">
      <w:pPr>
        <w:pStyle w:val="ActHead2"/>
      </w:pPr>
      <w:bookmarkStart w:id="24" w:name="_Toc171078089"/>
      <w:r>
        <w:lastRenderedPageBreak/>
        <w:t>Part 6</w:t>
      </w:r>
      <w:r w:rsidR="00E06E87" w:rsidRPr="00AF5E46">
        <w:t>—</w:t>
      </w:r>
      <w:r w:rsidR="004477C3" w:rsidRPr="00AF5E46">
        <w:t>Prohibitions on linkage</w:t>
      </w:r>
      <w:r w:rsidR="00CC4285" w:rsidRPr="00AF5E46">
        <w:t>,</w:t>
      </w:r>
      <w:r w:rsidR="00022092" w:rsidRPr="00AF5E46">
        <w:t xml:space="preserve"> and authorisations</w:t>
      </w:r>
      <w:bookmarkEnd w:id="24"/>
    </w:p>
    <w:p w14:paraId="772A9E75" w14:textId="77777777" w:rsidR="00E06E87" w:rsidRDefault="00C4172F" w:rsidP="00C4172F">
      <w:pPr>
        <w:pStyle w:val="notemargin"/>
      </w:pPr>
      <w:r w:rsidRPr="00AF5E46">
        <w:t>Note:</w:t>
      </w:r>
      <w:r w:rsidR="00E06E87" w:rsidRPr="00AF5E46">
        <w:tab/>
      </w:r>
      <w:r w:rsidR="00E06E87" w:rsidRPr="00AF5E46">
        <w:tab/>
        <w:t>This Part is made for the purposes of paragraph 135AA(5)(</w:t>
      </w:r>
      <w:r w:rsidR="004477C3" w:rsidRPr="00AF5E46">
        <w:t>e</w:t>
      </w:r>
      <w:r w:rsidR="00E06E87" w:rsidRPr="00AF5E46">
        <w:t>) of the Act.</w:t>
      </w:r>
    </w:p>
    <w:p w14:paraId="390DEE2F" w14:textId="77777777" w:rsidR="00E56970" w:rsidRDefault="00E30146" w:rsidP="009F0C16">
      <w:pPr>
        <w:pStyle w:val="ActHead3"/>
      </w:pPr>
      <w:bookmarkStart w:id="25" w:name="_Toc171078090"/>
      <w:r>
        <w:t>Division 1</w:t>
      </w:r>
      <w:r w:rsidR="00E56970">
        <w:t>—Prohibition on linkage of claims information</w:t>
      </w:r>
      <w:bookmarkEnd w:id="25"/>
    </w:p>
    <w:p w14:paraId="66774854" w14:textId="77777777" w:rsidR="00E06E87" w:rsidRPr="00AF5E46" w:rsidRDefault="00E30146" w:rsidP="00E06E87">
      <w:pPr>
        <w:pStyle w:val="ActHead5"/>
      </w:pPr>
      <w:bookmarkStart w:id="26" w:name="_Toc171078091"/>
      <w:proofErr w:type="gramStart"/>
      <w:r>
        <w:t>13</w:t>
      </w:r>
      <w:r w:rsidR="00E06E87" w:rsidRPr="00AF5E46">
        <w:t xml:space="preserve">  </w:t>
      </w:r>
      <w:r w:rsidR="00C71A3A" w:rsidRPr="00AF5E46">
        <w:t>Prohibition</w:t>
      </w:r>
      <w:proofErr w:type="gramEnd"/>
      <w:r w:rsidR="00C71A3A" w:rsidRPr="00AF5E46">
        <w:t xml:space="preserve"> of linkage of claims information</w:t>
      </w:r>
      <w:bookmarkEnd w:id="26"/>
    </w:p>
    <w:p w14:paraId="091EB4C2" w14:textId="77777777" w:rsidR="00C71A3A" w:rsidRPr="00AF5E46" w:rsidRDefault="00C71A3A" w:rsidP="00C71A3A">
      <w:pPr>
        <w:pStyle w:val="subsection"/>
      </w:pPr>
      <w:r w:rsidRPr="00AF5E46">
        <w:tab/>
      </w:r>
      <w:r w:rsidRPr="00AF5E46">
        <w:tab/>
      </w:r>
      <w:r w:rsidR="00530550" w:rsidRPr="00AF5E46">
        <w:t>A</w:t>
      </w:r>
      <w:r w:rsidRPr="00AF5E46">
        <w:t>n agency must not link:</w:t>
      </w:r>
    </w:p>
    <w:p w14:paraId="7A091BB6" w14:textId="77777777" w:rsidR="00C71A3A" w:rsidRPr="00FA5DEF" w:rsidRDefault="00C71A3A" w:rsidP="00C71A3A">
      <w:pPr>
        <w:pStyle w:val="paragraph"/>
        <w:rPr>
          <w:szCs w:val="22"/>
        </w:rPr>
      </w:pPr>
      <w:r w:rsidRPr="00AF5E46">
        <w:rPr>
          <w:szCs w:val="22"/>
        </w:rPr>
        <w:tab/>
      </w:r>
      <w:r w:rsidR="00E30146">
        <w:t>(a)</w:t>
      </w:r>
      <w:r w:rsidRPr="00AF5E46">
        <w:tab/>
      </w:r>
      <w:r w:rsidR="0020021B" w:rsidRPr="00FA5DEF">
        <w:t xml:space="preserve">claims </w:t>
      </w:r>
      <w:r w:rsidR="00530550" w:rsidRPr="00FA5DEF">
        <w:t>information that is held in a database maintained for the purposes of the Medicare Benefits Program; and</w:t>
      </w:r>
    </w:p>
    <w:p w14:paraId="4A791FE2" w14:textId="77777777" w:rsidR="00C71A3A" w:rsidRPr="00AF5E46" w:rsidRDefault="00C71A3A" w:rsidP="0008187D">
      <w:pPr>
        <w:pStyle w:val="paragraph"/>
        <w:rPr>
          <w:szCs w:val="22"/>
        </w:rPr>
      </w:pPr>
      <w:r w:rsidRPr="00FA5DEF">
        <w:rPr>
          <w:szCs w:val="22"/>
        </w:rPr>
        <w:tab/>
      </w:r>
      <w:r w:rsidR="00E30146">
        <w:t>(b)</w:t>
      </w:r>
      <w:r w:rsidRPr="00FA5DEF">
        <w:tab/>
      </w:r>
      <w:r w:rsidR="0020021B" w:rsidRPr="00FA5DEF">
        <w:t xml:space="preserve">claims </w:t>
      </w:r>
      <w:r w:rsidRPr="00AF5E46">
        <w:rPr>
          <w:szCs w:val="22"/>
        </w:rPr>
        <w:t xml:space="preserve">information that is held in </w:t>
      </w:r>
      <w:r w:rsidR="00530550" w:rsidRPr="00AF5E46">
        <w:rPr>
          <w:szCs w:val="22"/>
        </w:rPr>
        <w:t>a</w:t>
      </w:r>
      <w:r w:rsidR="00530550" w:rsidRPr="00AF5E46">
        <w:rPr>
          <w:i/>
          <w:szCs w:val="22"/>
        </w:rPr>
        <w:t xml:space="preserve"> </w:t>
      </w:r>
      <w:r w:rsidR="00530550" w:rsidRPr="00AF5E46">
        <w:rPr>
          <w:szCs w:val="22"/>
        </w:rPr>
        <w:t xml:space="preserve">database maintained for the purposes of the </w:t>
      </w:r>
      <w:r w:rsidR="00C61494" w:rsidRPr="00AF5E46">
        <w:rPr>
          <w:szCs w:val="22"/>
        </w:rPr>
        <w:t xml:space="preserve">Pharmaceutical Benefits </w:t>
      </w:r>
      <w:r w:rsidR="00530550" w:rsidRPr="00AF5E46">
        <w:rPr>
          <w:szCs w:val="22"/>
        </w:rPr>
        <w:t>Program;</w:t>
      </w:r>
    </w:p>
    <w:p w14:paraId="23C90A3A" w14:textId="77777777" w:rsidR="00A36972" w:rsidRDefault="00530550" w:rsidP="003062B5">
      <w:pPr>
        <w:pStyle w:val="subsection2"/>
      </w:pPr>
      <w:r w:rsidRPr="00AF5E46">
        <w:t>unless the linkage is authorised in a way specified in this instrument.</w:t>
      </w:r>
    </w:p>
    <w:p w14:paraId="729A26D6" w14:textId="77777777" w:rsidR="00812111" w:rsidRPr="00A74BA0" w:rsidRDefault="00812111" w:rsidP="00410491">
      <w:pPr>
        <w:pStyle w:val="notetext"/>
      </w:pPr>
      <w:r w:rsidRPr="00A74BA0">
        <w:t>Note 1:</w:t>
      </w:r>
      <w:r w:rsidRPr="00A74BA0">
        <w:tab/>
      </w:r>
      <w:r w:rsidR="008075FE" w:rsidRPr="00A74BA0">
        <w:t>Nothing in this instrument precludes the matching of information under subsection 132</w:t>
      </w:r>
      <w:proofErr w:type="gramStart"/>
      <w:r w:rsidR="008075FE" w:rsidRPr="00A74BA0">
        <w:t>B(</w:t>
      </w:r>
      <w:proofErr w:type="gramEnd"/>
      <w:r w:rsidR="008075FE" w:rsidRPr="00A74BA0">
        <w:t>1) of the Act, or the operation of Part VIIIA of the Act generally: see subsection 135AA(5C).</w:t>
      </w:r>
    </w:p>
    <w:p w14:paraId="1ED0E2CB" w14:textId="77777777" w:rsidR="00410491" w:rsidRDefault="002A0852" w:rsidP="00410491">
      <w:pPr>
        <w:pStyle w:val="notetext"/>
      </w:pPr>
      <w:r w:rsidRPr="00A74BA0">
        <w:t>Note</w:t>
      </w:r>
      <w:r w:rsidR="00812111" w:rsidRPr="00A74BA0">
        <w:t xml:space="preserve"> 2</w:t>
      </w:r>
      <w:r w:rsidRPr="00A74BA0">
        <w:t>:</w:t>
      </w:r>
      <w:r w:rsidRPr="00A74BA0">
        <w:tab/>
        <w:t xml:space="preserve">For authorisations to </w:t>
      </w:r>
      <w:r w:rsidR="008B7A35" w:rsidRPr="0060589E">
        <w:t>link claims information</w:t>
      </w:r>
      <w:r w:rsidRPr="0060589E">
        <w:t xml:space="preserve">, see </w:t>
      </w:r>
      <w:r w:rsidR="00521D37">
        <w:t>Division 2</w:t>
      </w:r>
      <w:r w:rsidRPr="0060589E">
        <w:t>. For authorisations to re</w:t>
      </w:r>
      <w:r w:rsidRPr="0060589E">
        <w:noBreakHyphen/>
        <w:t>link old information</w:t>
      </w:r>
      <w:r w:rsidR="00A11646">
        <w:t xml:space="preserve"> with its personal identification components</w:t>
      </w:r>
      <w:r w:rsidRPr="0060589E">
        <w:t>, see section </w:t>
      </w:r>
      <w:r w:rsidR="00521D37">
        <w:t>19</w:t>
      </w:r>
      <w:r w:rsidRPr="0060589E">
        <w:t>.</w:t>
      </w:r>
    </w:p>
    <w:p w14:paraId="4E9953BF" w14:textId="77777777" w:rsidR="00E56970" w:rsidRPr="0060589E" w:rsidRDefault="00E56970">
      <w:pPr>
        <w:spacing w:line="240" w:lineRule="auto"/>
        <w:rPr>
          <w:rFonts w:eastAsia="Times New Roman" w:cs="Times New Roman"/>
          <w:b/>
          <w:kern w:val="28"/>
          <w:sz w:val="28"/>
          <w:lang w:eastAsia="en-AU"/>
        </w:rPr>
      </w:pPr>
      <w:r w:rsidRPr="0060589E">
        <w:br w:type="page"/>
      </w:r>
    </w:p>
    <w:p w14:paraId="6B2EA398" w14:textId="77777777" w:rsidR="00E56970" w:rsidRPr="0060589E" w:rsidRDefault="00E30146" w:rsidP="00E56970">
      <w:pPr>
        <w:pStyle w:val="ActHead3"/>
      </w:pPr>
      <w:bookmarkStart w:id="27" w:name="_Toc171078092"/>
      <w:r>
        <w:lastRenderedPageBreak/>
        <w:t>Division 2</w:t>
      </w:r>
      <w:r w:rsidR="00E56970" w:rsidRPr="0060589E">
        <w:t>—General authorisations for linkage of claims information</w:t>
      </w:r>
      <w:bookmarkEnd w:id="27"/>
    </w:p>
    <w:p w14:paraId="7746FCEB" w14:textId="77777777" w:rsidR="00D6639C" w:rsidRPr="0060589E" w:rsidRDefault="00E30146" w:rsidP="00D6639C">
      <w:pPr>
        <w:pStyle w:val="ActHead5"/>
      </w:pPr>
      <w:bookmarkStart w:id="28" w:name="_Toc171078093"/>
      <w:proofErr w:type="gramStart"/>
      <w:r>
        <w:t>14</w:t>
      </w:r>
      <w:r w:rsidR="00D6639C" w:rsidRPr="0060589E">
        <w:t xml:space="preserve">  </w:t>
      </w:r>
      <w:r w:rsidR="00FC6238" w:rsidRPr="0060589E">
        <w:t>Authorised</w:t>
      </w:r>
      <w:proofErr w:type="gramEnd"/>
      <w:r w:rsidR="00FC6238" w:rsidRPr="0060589E">
        <w:t xml:space="preserve"> linkages—all agencies</w:t>
      </w:r>
      <w:bookmarkEnd w:id="28"/>
    </w:p>
    <w:p w14:paraId="7961C991" w14:textId="77777777" w:rsidR="00D6639C" w:rsidRPr="0060589E" w:rsidRDefault="00A11646" w:rsidP="00A11646">
      <w:pPr>
        <w:pStyle w:val="subsection"/>
      </w:pPr>
      <w:r>
        <w:tab/>
      </w:r>
      <w:r w:rsidR="00E30146">
        <w:t>(1)</w:t>
      </w:r>
      <w:r>
        <w:tab/>
      </w:r>
      <w:r w:rsidR="00C20700" w:rsidRPr="0060589E">
        <w:t>For section </w:t>
      </w:r>
      <w:r w:rsidR="00521D37">
        <w:t>13</w:t>
      </w:r>
      <w:r w:rsidR="00937675" w:rsidRPr="00597DFC">
        <w:t>, and subject to sections </w:t>
      </w:r>
      <w:r w:rsidR="00521D37">
        <w:t>16</w:t>
      </w:r>
      <w:r w:rsidR="00937675" w:rsidRPr="00597DFC">
        <w:t xml:space="preserve"> and </w:t>
      </w:r>
      <w:r w:rsidR="00521D37">
        <w:t>17</w:t>
      </w:r>
      <w:r w:rsidR="00C20700" w:rsidRPr="0060589E">
        <w:t>, a linkage by a</w:t>
      </w:r>
      <w:r w:rsidR="00CC62B1" w:rsidRPr="0060589E">
        <w:t xml:space="preserve"> primary agency or a secondary</w:t>
      </w:r>
      <w:r w:rsidR="00C20700" w:rsidRPr="0060589E">
        <w:t xml:space="preserve"> agency is authorised if</w:t>
      </w:r>
      <w:r w:rsidR="00D6639C" w:rsidRPr="0060589E">
        <w:t>:</w:t>
      </w:r>
    </w:p>
    <w:p w14:paraId="377EA5CE" w14:textId="77777777" w:rsidR="00D6639C" w:rsidRPr="0060589E" w:rsidRDefault="00D6639C" w:rsidP="00D6639C">
      <w:pPr>
        <w:pStyle w:val="paragraph"/>
      </w:pPr>
      <w:r w:rsidRPr="0060589E">
        <w:tab/>
      </w:r>
      <w:r w:rsidR="00E30146">
        <w:t>(a)</w:t>
      </w:r>
      <w:r w:rsidRPr="0060589E">
        <w:tab/>
        <w:t xml:space="preserve">the claims </w:t>
      </w:r>
      <w:r w:rsidRPr="0060589E">
        <w:rPr>
          <w:szCs w:val="22"/>
        </w:rPr>
        <w:t>information</w:t>
      </w:r>
      <w:r w:rsidRPr="0060589E">
        <w:t xml:space="preserve"> relates to the same individual; and</w:t>
      </w:r>
    </w:p>
    <w:p w14:paraId="10AB997E" w14:textId="77777777" w:rsidR="00D6639C" w:rsidRPr="0060589E" w:rsidRDefault="00D6639C" w:rsidP="00D6639C">
      <w:pPr>
        <w:pStyle w:val="paragraph"/>
      </w:pPr>
      <w:r w:rsidRPr="0060589E">
        <w:tab/>
      </w:r>
      <w:r w:rsidR="00E30146">
        <w:t>(b)</w:t>
      </w:r>
      <w:r w:rsidRPr="0060589E">
        <w:tab/>
        <w:t>the linkage is by a Medicare PIN; and</w:t>
      </w:r>
    </w:p>
    <w:p w14:paraId="222C3F75" w14:textId="77777777" w:rsidR="00294F14" w:rsidRPr="0060589E" w:rsidRDefault="009C323A" w:rsidP="009C323A">
      <w:pPr>
        <w:pStyle w:val="paragraph"/>
      </w:pPr>
      <w:r w:rsidRPr="0060589E">
        <w:tab/>
      </w:r>
      <w:r w:rsidR="00E30146">
        <w:t>(c)</w:t>
      </w:r>
      <w:r w:rsidRPr="0060589E">
        <w:tab/>
      </w:r>
      <w:r w:rsidR="0062143E" w:rsidRPr="0060589E">
        <w:t xml:space="preserve">the linkage is necessary for a </w:t>
      </w:r>
      <w:r w:rsidR="00A11646">
        <w:t>permitted purpose</w:t>
      </w:r>
      <w:r w:rsidR="001232F9">
        <w:t xml:space="preserve"> </w:t>
      </w:r>
      <w:r w:rsidR="001232F9" w:rsidRPr="00C712B3">
        <w:t>(see subsection </w:t>
      </w:r>
      <w:r w:rsidR="00521D37">
        <w:t>(2)</w:t>
      </w:r>
      <w:r w:rsidR="001232F9" w:rsidRPr="00C712B3">
        <w:t>)</w:t>
      </w:r>
      <w:r w:rsidR="00A11646">
        <w:t>;</w:t>
      </w:r>
    </w:p>
    <w:p w14:paraId="168B2653" w14:textId="77777777" w:rsidR="0008187D" w:rsidRDefault="00D6639C" w:rsidP="00DC044F">
      <w:pPr>
        <w:pStyle w:val="paragraph"/>
      </w:pPr>
      <w:r w:rsidRPr="00AF5E46">
        <w:tab/>
      </w:r>
      <w:r w:rsidR="00E30146">
        <w:t>(d)</w:t>
      </w:r>
      <w:r w:rsidRPr="00AF5E46">
        <w:tab/>
      </w:r>
      <w:r w:rsidR="007404AE" w:rsidRPr="00A11646">
        <w:t>as soon as practicable after the purpose for which the information has been linked has been met</w:t>
      </w:r>
      <w:r w:rsidR="00A11646" w:rsidRPr="00A11646">
        <w:t>,</w:t>
      </w:r>
      <w:r w:rsidRPr="00AF5E46">
        <w:t xml:space="preserve"> the agency</w:t>
      </w:r>
      <w:r w:rsidR="00DC044F" w:rsidRPr="00AF5E46">
        <w:t xml:space="preserve"> destroys the linked claims</w:t>
      </w:r>
      <w:r w:rsidR="006B285C">
        <w:t xml:space="preserve"> information</w:t>
      </w:r>
      <w:r w:rsidR="0008187D" w:rsidRPr="00AF5E46">
        <w:t>; and</w:t>
      </w:r>
    </w:p>
    <w:p w14:paraId="734A082E" w14:textId="77777777" w:rsidR="00250CAF" w:rsidRPr="00A11646" w:rsidRDefault="00250CAF" w:rsidP="00250CAF">
      <w:pPr>
        <w:pStyle w:val="paragraph"/>
      </w:pPr>
      <w:r w:rsidRPr="00A11646">
        <w:tab/>
      </w:r>
      <w:r w:rsidR="00E30146">
        <w:t>(e)</w:t>
      </w:r>
      <w:r w:rsidRPr="00A11646">
        <w:tab/>
        <w:t>the agency has in place measures to ensure that the linkages of claims information are traceable; and</w:t>
      </w:r>
    </w:p>
    <w:p w14:paraId="7A28B83B" w14:textId="77777777" w:rsidR="00250CAF" w:rsidRPr="00A11646" w:rsidRDefault="00250CAF" w:rsidP="00250CAF">
      <w:pPr>
        <w:pStyle w:val="paragraph"/>
      </w:pPr>
      <w:r w:rsidRPr="00A11646">
        <w:tab/>
      </w:r>
      <w:r w:rsidR="00E30146">
        <w:t>(f)</w:t>
      </w:r>
      <w:r w:rsidRPr="00A11646">
        <w:tab/>
        <w:t xml:space="preserve">the agency </w:t>
      </w:r>
      <w:proofErr w:type="gramStart"/>
      <w:r w:rsidRPr="00A11646">
        <w:t>makes arrangements</w:t>
      </w:r>
      <w:proofErr w:type="gramEnd"/>
      <w:r w:rsidRPr="00A11646">
        <w:t>, for the purposes of this instrument, for the security of records of linked claims information; and</w:t>
      </w:r>
    </w:p>
    <w:p w14:paraId="0730A274" w14:textId="77777777" w:rsidR="0008187D" w:rsidRDefault="0008187D" w:rsidP="0008187D">
      <w:pPr>
        <w:pStyle w:val="paragraph"/>
      </w:pPr>
      <w:r w:rsidRPr="00A11646">
        <w:tab/>
      </w:r>
      <w:r w:rsidR="00E30146">
        <w:t>(g)</w:t>
      </w:r>
      <w:r w:rsidRPr="00A11646">
        <w:tab/>
      </w:r>
      <w:r w:rsidRPr="00AF5E46">
        <w:t>the linkage complies with the data minimisation principle.</w:t>
      </w:r>
    </w:p>
    <w:p w14:paraId="6FD4E8B8" w14:textId="77777777" w:rsidR="00A30586" w:rsidRPr="00A11646" w:rsidRDefault="00A30586" w:rsidP="00A30586">
      <w:pPr>
        <w:pStyle w:val="notetext"/>
      </w:pPr>
      <w:r w:rsidRPr="00A11646">
        <w:t>Note</w:t>
      </w:r>
      <w:r w:rsidR="00250CAF" w:rsidRPr="00A11646">
        <w:t xml:space="preserve"> 1</w:t>
      </w:r>
      <w:r w:rsidRPr="00A11646">
        <w:t>:</w:t>
      </w:r>
      <w:r w:rsidRPr="00A11646">
        <w:tab/>
        <w:t>For paragraph </w:t>
      </w:r>
      <w:r w:rsidR="00521D37">
        <w:t>(d)</w:t>
      </w:r>
      <w:r w:rsidRPr="00A11646">
        <w:t xml:space="preserve">, see subsection </w:t>
      </w:r>
      <w:r w:rsidR="00521D37">
        <w:t>5(2)</w:t>
      </w:r>
      <w:r w:rsidRPr="00A11646">
        <w:t xml:space="preserve"> for the meaning of references to destroying linked claims information.</w:t>
      </w:r>
    </w:p>
    <w:p w14:paraId="55F0DDF8" w14:textId="77777777" w:rsidR="00250CAF" w:rsidRPr="00A11646" w:rsidRDefault="00250CAF" w:rsidP="00250CAF">
      <w:pPr>
        <w:pStyle w:val="notetext"/>
      </w:pPr>
      <w:r w:rsidRPr="00A11646">
        <w:t>Note 2:</w:t>
      </w:r>
      <w:r w:rsidRPr="00A11646">
        <w:tab/>
        <w:t>For paragraph </w:t>
      </w:r>
      <w:r w:rsidR="00521D37">
        <w:t>(e)</w:t>
      </w:r>
      <w:r w:rsidRPr="00A11646">
        <w:t xml:space="preserve">, see subsection </w:t>
      </w:r>
      <w:r w:rsidR="00521D37">
        <w:t>5(3)</w:t>
      </w:r>
      <w:r w:rsidRPr="00A11646">
        <w:t xml:space="preserve"> for the meaning of references to tracing linkages of claims information.</w:t>
      </w:r>
    </w:p>
    <w:p w14:paraId="14804824" w14:textId="77777777" w:rsidR="00A11646" w:rsidRDefault="00A11646" w:rsidP="00A11646">
      <w:pPr>
        <w:pStyle w:val="notetext"/>
      </w:pPr>
      <w:r w:rsidRPr="00A11646">
        <w:t>Note 3:</w:t>
      </w:r>
      <w:r w:rsidRPr="00A11646">
        <w:tab/>
        <w:t xml:space="preserve">If the claims information includes old information, it may also be necessary to re-link the old information with the personal identification components—see section </w:t>
      </w:r>
      <w:r w:rsidR="00521D37">
        <w:t>19</w:t>
      </w:r>
      <w:r w:rsidRPr="00A11646">
        <w:t>.</w:t>
      </w:r>
    </w:p>
    <w:p w14:paraId="185C46C7" w14:textId="77777777" w:rsidR="00A11646" w:rsidRPr="00A11646" w:rsidRDefault="00912FCC" w:rsidP="00912FCC">
      <w:pPr>
        <w:pStyle w:val="subsection"/>
      </w:pPr>
      <w:r>
        <w:tab/>
      </w:r>
      <w:r w:rsidR="00E30146">
        <w:t>(2)</w:t>
      </w:r>
      <w:r>
        <w:tab/>
      </w:r>
      <w:r w:rsidR="00A11646" w:rsidRPr="00A11646">
        <w:t xml:space="preserve">For paragraph </w:t>
      </w:r>
      <w:r w:rsidR="00521D37">
        <w:t>14(1)(c)</w:t>
      </w:r>
      <w:r w:rsidR="00A11646" w:rsidRPr="00A11646">
        <w:t xml:space="preserve">, a </w:t>
      </w:r>
      <w:r w:rsidR="00A11646" w:rsidRPr="00A11646">
        <w:rPr>
          <w:b/>
          <w:i/>
        </w:rPr>
        <w:t xml:space="preserve">permitted purpose </w:t>
      </w:r>
      <w:r w:rsidR="00A11646" w:rsidRPr="00A11646">
        <w:t>in relation to claims information is a use:</w:t>
      </w:r>
    </w:p>
    <w:p w14:paraId="2713EE87" w14:textId="77777777" w:rsidR="00A11646" w:rsidRPr="00A11646" w:rsidRDefault="00912FCC" w:rsidP="00912FCC">
      <w:pPr>
        <w:pStyle w:val="paragraph"/>
      </w:pPr>
      <w:r>
        <w:tab/>
      </w:r>
      <w:r w:rsidR="00E30146">
        <w:t>(a)</w:t>
      </w:r>
      <w:r>
        <w:tab/>
      </w:r>
      <w:r w:rsidR="00A11646" w:rsidRPr="00A11646">
        <w:t>to which the agency may put the claims information in accordance with section </w:t>
      </w:r>
      <w:r w:rsidR="00521D37">
        <w:t>10</w:t>
      </w:r>
      <w:r w:rsidR="00A11646" w:rsidRPr="00A11646">
        <w:t>; and</w:t>
      </w:r>
    </w:p>
    <w:p w14:paraId="42B2674B" w14:textId="77777777" w:rsidR="00A11646" w:rsidRPr="00A11646" w:rsidRDefault="00912FCC" w:rsidP="00912FCC">
      <w:pPr>
        <w:pStyle w:val="paragraph"/>
      </w:pPr>
      <w:r>
        <w:tab/>
      </w:r>
      <w:r w:rsidR="00E30146">
        <w:t>(b)</w:t>
      </w:r>
      <w:r>
        <w:tab/>
      </w:r>
      <w:r w:rsidR="00A11646" w:rsidRPr="00A11646">
        <w:t>that is authorised by the principal executive of:</w:t>
      </w:r>
    </w:p>
    <w:p w14:paraId="51316F34" w14:textId="77777777" w:rsidR="00A11646" w:rsidRPr="00A11646" w:rsidRDefault="00912FCC" w:rsidP="00912FCC">
      <w:pPr>
        <w:pStyle w:val="paragraphsub"/>
      </w:pPr>
      <w:r>
        <w:tab/>
      </w:r>
      <w:r w:rsidR="00E30146">
        <w:t>(</w:t>
      </w:r>
      <w:proofErr w:type="spellStart"/>
      <w:r w:rsidR="00E30146">
        <w:t>i</w:t>
      </w:r>
      <w:proofErr w:type="spellEnd"/>
      <w:r w:rsidR="00E30146">
        <w:t>)</w:t>
      </w:r>
      <w:r>
        <w:tab/>
      </w:r>
      <w:r w:rsidR="00A11646" w:rsidRPr="00A11646">
        <w:t>where the linkage is being done by a primary agency—the primary agency; or</w:t>
      </w:r>
    </w:p>
    <w:p w14:paraId="7083F840" w14:textId="77777777" w:rsidR="00A11646" w:rsidRPr="00A11646" w:rsidRDefault="00912FCC" w:rsidP="00912FCC">
      <w:pPr>
        <w:pStyle w:val="paragraphsub"/>
      </w:pPr>
      <w:r>
        <w:tab/>
      </w:r>
      <w:r w:rsidR="00E30146">
        <w:t>(ii)</w:t>
      </w:r>
      <w:r>
        <w:tab/>
      </w:r>
      <w:r w:rsidR="00A11646" w:rsidRPr="00A11646">
        <w:t>where the linkage is being done by a secondary agency—the primary agency that disclosed the information to the secondary agency.</w:t>
      </w:r>
    </w:p>
    <w:p w14:paraId="11D7B1B4" w14:textId="77777777" w:rsidR="00C71A3A" w:rsidRPr="00AF5E46" w:rsidRDefault="00E30146" w:rsidP="00C71A3A">
      <w:pPr>
        <w:pStyle w:val="ActHead5"/>
      </w:pPr>
      <w:bookmarkStart w:id="29" w:name="_Toc171078094"/>
      <w:proofErr w:type="gramStart"/>
      <w:r>
        <w:t>15</w:t>
      </w:r>
      <w:r w:rsidR="00C71A3A" w:rsidRPr="00AF5E46">
        <w:t xml:space="preserve">  </w:t>
      </w:r>
      <w:r w:rsidR="00FC6238">
        <w:t>Authorised</w:t>
      </w:r>
      <w:proofErr w:type="gramEnd"/>
      <w:r w:rsidR="00FC6238">
        <w:t xml:space="preserve"> linkages—p</w:t>
      </w:r>
      <w:r w:rsidR="00EC6131" w:rsidRPr="00AF5E46">
        <w:t>rimary agenc</w:t>
      </w:r>
      <w:r w:rsidR="00FC6238">
        <w:t>ies</w:t>
      </w:r>
      <w:r w:rsidR="004C74E0">
        <w:t xml:space="preserve"> only</w:t>
      </w:r>
      <w:bookmarkEnd w:id="29"/>
    </w:p>
    <w:p w14:paraId="1AC90303" w14:textId="77777777" w:rsidR="00C20700" w:rsidRDefault="00276AD9" w:rsidP="00276AD9">
      <w:pPr>
        <w:pStyle w:val="subsection"/>
      </w:pPr>
      <w:r>
        <w:tab/>
      </w:r>
      <w:r w:rsidR="00E30146">
        <w:t>(1)</w:t>
      </w:r>
      <w:r>
        <w:tab/>
      </w:r>
      <w:r w:rsidR="00C20700" w:rsidRPr="00AF5E46">
        <w:t>For section </w:t>
      </w:r>
      <w:r w:rsidR="00521D37">
        <w:t>13</w:t>
      </w:r>
      <w:r w:rsidR="00C20700" w:rsidRPr="00AF5E46">
        <w:t xml:space="preserve">, </w:t>
      </w:r>
      <w:r w:rsidR="009558D4" w:rsidRPr="00C712B3">
        <w:t>and subject to sections </w:t>
      </w:r>
      <w:r w:rsidR="00521D37">
        <w:t>16</w:t>
      </w:r>
      <w:r w:rsidR="009558D4" w:rsidRPr="00C712B3">
        <w:t xml:space="preserve"> and </w:t>
      </w:r>
      <w:r w:rsidR="00521D37">
        <w:t>17</w:t>
      </w:r>
      <w:r w:rsidR="009558D4" w:rsidRPr="00C712B3">
        <w:t xml:space="preserve">, </w:t>
      </w:r>
      <w:r w:rsidR="00C20700" w:rsidRPr="00AF5E46">
        <w:t>a linkage by a primary agency is authorised if:</w:t>
      </w:r>
    </w:p>
    <w:p w14:paraId="2C853B8B" w14:textId="77777777" w:rsidR="00C71A3A" w:rsidRPr="00AF5E46" w:rsidRDefault="00C71A3A" w:rsidP="00C71A3A">
      <w:pPr>
        <w:pStyle w:val="paragraph"/>
      </w:pPr>
      <w:r w:rsidRPr="00AF5E46">
        <w:tab/>
      </w:r>
      <w:r w:rsidR="00E30146">
        <w:t>(a)</w:t>
      </w:r>
      <w:r w:rsidRPr="00AF5E46">
        <w:tab/>
        <w:t xml:space="preserve">the </w:t>
      </w:r>
      <w:r w:rsidR="002F4215" w:rsidRPr="00AF5E46">
        <w:t xml:space="preserve">claims </w:t>
      </w:r>
      <w:r w:rsidRPr="00AF5E46">
        <w:rPr>
          <w:szCs w:val="22"/>
        </w:rPr>
        <w:t>information</w:t>
      </w:r>
      <w:r w:rsidRPr="00AF5E46">
        <w:t xml:space="preserve"> relates to the same individual; and</w:t>
      </w:r>
    </w:p>
    <w:p w14:paraId="0E4A18D8" w14:textId="77777777" w:rsidR="00C71A3A" w:rsidRPr="00AF5E46" w:rsidRDefault="00C71A3A" w:rsidP="00C71A3A">
      <w:pPr>
        <w:pStyle w:val="paragraph"/>
      </w:pPr>
      <w:r w:rsidRPr="00AF5E46">
        <w:tab/>
      </w:r>
      <w:r w:rsidR="00E30146">
        <w:t>(b)</w:t>
      </w:r>
      <w:r w:rsidRPr="00AF5E46">
        <w:tab/>
        <w:t xml:space="preserve">the linkage </w:t>
      </w:r>
      <w:r w:rsidR="00D6639C" w:rsidRPr="00AF5E46">
        <w:t>is for a</w:t>
      </w:r>
      <w:r w:rsidR="007531F1">
        <w:t xml:space="preserve"> </w:t>
      </w:r>
      <w:r w:rsidR="007531F1" w:rsidRPr="00B5133B">
        <w:t>permitted</w:t>
      </w:r>
      <w:r w:rsidR="00D6639C" w:rsidRPr="00B5133B">
        <w:t xml:space="preserve"> purpose </w:t>
      </w:r>
      <w:r w:rsidR="007531F1" w:rsidRPr="00B5133B">
        <w:t>(</w:t>
      </w:r>
      <w:r w:rsidR="00276AD9">
        <w:t>sub</w:t>
      </w:r>
      <w:r w:rsidR="002F4215" w:rsidRPr="00B5133B">
        <w:t>section </w:t>
      </w:r>
      <w:r w:rsidR="00521D37">
        <w:t>(2)</w:t>
      </w:r>
      <w:r w:rsidR="007531F1" w:rsidRPr="00B5133B">
        <w:t>)</w:t>
      </w:r>
      <w:r w:rsidR="00E4410D" w:rsidRPr="00B5133B">
        <w:t xml:space="preserve">; </w:t>
      </w:r>
      <w:r w:rsidR="00E4410D" w:rsidRPr="00AF5E46">
        <w:t>and</w:t>
      </w:r>
    </w:p>
    <w:p w14:paraId="4BA7C5AC" w14:textId="77777777" w:rsidR="00584D1B" w:rsidRPr="00AF5E46" w:rsidRDefault="00E4410D" w:rsidP="00DC044F">
      <w:pPr>
        <w:pStyle w:val="paragraph"/>
      </w:pPr>
      <w:r w:rsidRPr="00AF5E46">
        <w:tab/>
      </w:r>
      <w:r w:rsidR="00E30146">
        <w:t>(c)</w:t>
      </w:r>
      <w:r w:rsidRPr="00AF5E46">
        <w:tab/>
        <w:t>as soon as practicable after</w:t>
      </w:r>
      <w:r w:rsidR="00584D1B" w:rsidRPr="00AF5E46">
        <w:t xml:space="preserve"> the purpose for which the information has been linked has been met</w:t>
      </w:r>
      <w:r w:rsidR="00366EA9" w:rsidRPr="00AF5E46">
        <w:t>, the agency</w:t>
      </w:r>
      <w:r w:rsidR="00DC044F" w:rsidRPr="00AF5E46">
        <w:t xml:space="preserve"> </w:t>
      </w:r>
      <w:r w:rsidR="00366EA9" w:rsidRPr="00AF5E46">
        <w:t xml:space="preserve">destroys the linked claims information; </w:t>
      </w:r>
      <w:r w:rsidR="00DC044F" w:rsidRPr="00AF5E46">
        <w:t>a</w:t>
      </w:r>
      <w:r w:rsidR="00584D1B" w:rsidRPr="00AF5E46">
        <w:t>nd</w:t>
      </w:r>
    </w:p>
    <w:p w14:paraId="7E5741F4" w14:textId="77777777" w:rsidR="00253720" w:rsidRPr="00AF5E46" w:rsidRDefault="00253720" w:rsidP="00B37EA2">
      <w:pPr>
        <w:pStyle w:val="paragraph"/>
      </w:pPr>
      <w:r w:rsidRPr="00AF5E46">
        <w:tab/>
      </w:r>
      <w:r w:rsidR="00E30146">
        <w:t>(d)</w:t>
      </w:r>
      <w:r w:rsidRPr="00AF5E46">
        <w:tab/>
        <w:t>the agency has in place measures to ensure that</w:t>
      </w:r>
      <w:r w:rsidR="00B37EA2" w:rsidRPr="00AF5E46">
        <w:t xml:space="preserve"> the linkages of claims information are traceable</w:t>
      </w:r>
      <w:r w:rsidRPr="00AF5E46">
        <w:t>; and</w:t>
      </w:r>
    </w:p>
    <w:p w14:paraId="748A321C" w14:textId="77777777" w:rsidR="00584D1B" w:rsidRPr="00AF5E46" w:rsidRDefault="00584D1B" w:rsidP="00584D1B">
      <w:pPr>
        <w:pStyle w:val="paragraph"/>
      </w:pPr>
      <w:r w:rsidRPr="00AF5E46">
        <w:tab/>
      </w:r>
      <w:r w:rsidR="00E30146">
        <w:t>(e)</w:t>
      </w:r>
      <w:r w:rsidRPr="00AF5E46">
        <w:tab/>
        <w:t xml:space="preserve">the agency </w:t>
      </w:r>
      <w:proofErr w:type="gramStart"/>
      <w:r w:rsidRPr="00AF5E46">
        <w:t xml:space="preserve">makes </w:t>
      </w:r>
      <w:r w:rsidRPr="001670FE">
        <w:t>arrangements</w:t>
      </w:r>
      <w:proofErr w:type="gramEnd"/>
      <w:r w:rsidR="0062143E">
        <w:t>,</w:t>
      </w:r>
      <w:r w:rsidR="0062143E" w:rsidRPr="0062143E">
        <w:t xml:space="preserve"> </w:t>
      </w:r>
      <w:r w:rsidR="0062143E">
        <w:t xml:space="preserve">for the purposes of </w:t>
      </w:r>
      <w:r w:rsidR="000B545B">
        <w:t>this instrument</w:t>
      </w:r>
      <w:r w:rsidR="0062143E">
        <w:t>,</w:t>
      </w:r>
      <w:r w:rsidRPr="00AF5E46">
        <w:t xml:space="preserve"> for the security of records of linked claims information; and</w:t>
      </w:r>
    </w:p>
    <w:p w14:paraId="74B161C4" w14:textId="77777777" w:rsidR="0008187D" w:rsidRPr="00AF5E46" w:rsidRDefault="0008187D" w:rsidP="0008187D">
      <w:pPr>
        <w:pStyle w:val="paragraph"/>
      </w:pPr>
      <w:r w:rsidRPr="00AF5E46">
        <w:tab/>
      </w:r>
      <w:r w:rsidR="00E30146">
        <w:t>(f)</w:t>
      </w:r>
      <w:r w:rsidRPr="00AF5E46">
        <w:tab/>
        <w:t>the linkage complies with the data minimisation principle.</w:t>
      </w:r>
    </w:p>
    <w:p w14:paraId="5400974F" w14:textId="77777777" w:rsidR="00B40C99" w:rsidRPr="00AF5E46" w:rsidRDefault="00B40C99" w:rsidP="00B40C99">
      <w:pPr>
        <w:pStyle w:val="notetext"/>
      </w:pPr>
      <w:r w:rsidRPr="00AF5E46">
        <w:lastRenderedPageBreak/>
        <w:t>Note 1:</w:t>
      </w:r>
      <w:r w:rsidRPr="00AF5E46">
        <w:tab/>
        <w:t>For paragraph </w:t>
      </w:r>
      <w:r w:rsidR="00521D37">
        <w:t>(c)</w:t>
      </w:r>
      <w:r w:rsidRPr="00AF5E46">
        <w:t xml:space="preserve">, see subsection </w:t>
      </w:r>
      <w:r w:rsidR="00521D37">
        <w:t>5(2)</w:t>
      </w:r>
      <w:r w:rsidRPr="00AF5E46">
        <w:t xml:space="preserve"> for the meaning of references to destroying linked claims information. </w:t>
      </w:r>
    </w:p>
    <w:p w14:paraId="35B99C53" w14:textId="77777777" w:rsidR="00B40C99" w:rsidRDefault="00B40C99" w:rsidP="00B40C99">
      <w:pPr>
        <w:pStyle w:val="notetext"/>
      </w:pPr>
      <w:r w:rsidRPr="00AF5E46">
        <w:t>Note 2:</w:t>
      </w:r>
      <w:r w:rsidRPr="00AF5E46">
        <w:tab/>
        <w:t>For paragraph </w:t>
      </w:r>
      <w:r w:rsidR="00521D37">
        <w:t>(d)</w:t>
      </w:r>
      <w:r w:rsidRPr="00AF5E46">
        <w:t xml:space="preserve">, see subsection </w:t>
      </w:r>
      <w:r w:rsidR="00521D37">
        <w:t>5(3)</w:t>
      </w:r>
      <w:r w:rsidRPr="00AF5E46">
        <w:t xml:space="preserve"> for the meaning of references to tracing linkages of claims information.</w:t>
      </w:r>
    </w:p>
    <w:p w14:paraId="2CAEE1D6" w14:textId="77777777" w:rsidR="00912FCC" w:rsidRDefault="00912FCC" w:rsidP="00912FCC">
      <w:pPr>
        <w:pStyle w:val="notetext"/>
      </w:pPr>
      <w:r w:rsidRPr="00A11646">
        <w:t>Note 3:</w:t>
      </w:r>
      <w:r w:rsidRPr="00A11646">
        <w:tab/>
        <w:t>If the claims information includes old information, it may also be necessary to re-link the old information with the personal identification components—see section</w:t>
      </w:r>
      <w:r w:rsidR="00F317B3">
        <w:t xml:space="preserve"> </w:t>
      </w:r>
      <w:r w:rsidR="00521D37">
        <w:t>19</w:t>
      </w:r>
      <w:r w:rsidRPr="00A11646">
        <w:t>.</w:t>
      </w:r>
    </w:p>
    <w:p w14:paraId="4C1AA5BC" w14:textId="77777777" w:rsidR="007531F1" w:rsidRPr="00FA5DEF" w:rsidRDefault="00276AD9" w:rsidP="00276AD9">
      <w:pPr>
        <w:pStyle w:val="SubsectionHead"/>
      </w:pPr>
      <w:r w:rsidRPr="00FA5DEF">
        <w:t>P</w:t>
      </w:r>
      <w:r w:rsidR="007531F1" w:rsidRPr="00FA5DEF">
        <w:t>ermitted purposes</w:t>
      </w:r>
    </w:p>
    <w:p w14:paraId="3554F2B7" w14:textId="77777777" w:rsidR="00C346C2" w:rsidRPr="00FA5DEF" w:rsidRDefault="00C346C2" w:rsidP="00C346C2">
      <w:pPr>
        <w:pStyle w:val="subsection"/>
      </w:pPr>
      <w:r w:rsidRPr="00FA5DEF">
        <w:tab/>
      </w:r>
      <w:r w:rsidR="00E30146">
        <w:t>(2)</w:t>
      </w:r>
      <w:r w:rsidRPr="00FA5DEF">
        <w:tab/>
        <w:t>For paragraph </w:t>
      </w:r>
      <w:r w:rsidR="00521D37">
        <w:t>(1)(b)</w:t>
      </w:r>
      <w:r w:rsidR="009558D4" w:rsidRPr="009507B5">
        <w:t xml:space="preserve">, </w:t>
      </w:r>
      <w:r w:rsidRPr="00FA5DEF">
        <w:t xml:space="preserve">each of the following is a </w:t>
      </w:r>
      <w:r w:rsidRPr="00FA5DEF">
        <w:rPr>
          <w:b/>
          <w:i/>
        </w:rPr>
        <w:t xml:space="preserve">permitted purpose </w:t>
      </w:r>
      <w:r w:rsidRPr="00FA5DEF">
        <w:t>for the linking of claims information:</w:t>
      </w:r>
    </w:p>
    <w:p w14:paraId="16F03305" w14:textId="77777777" w:rsidR="00DD43F7" w:rsidRPr="00FA5DEF" w:rsidRDefault="00DD609E" w:rsidP="00DD43F7">
      <w:pPr>
        <w:pStyle w:val="paragraph"/>
      </w:pPr>
      <w:r w:rsidRPr="00FA5DEF">
        <w:tab/>
      </w:r>
      <w:r w:rsidR="00E30146">
        <w:t>(a)</w:t>
      </w:r>
      <w:r w:rsidRPr="00FA5DEF">
        <w:tab/>
      </w:r>
      <w:r w:rsidR="00DD43F7" w:rsidRPr="00FA5DEF">
        <w:t xml:space="preserve">using the </w:t>
      </w:r>
      <w:r w:rsidR="00A45982" w:rsidRPr="00FA5DEF">
        <w:t xml:space="preserve">linked </w:t>
      </w:r>
      <w:r w:rsidR="00DD43F7" w:rsidRPr="00FA5DEF">
        <w:t xml:space="preserve">information as authorised or required by law, and as reasonably necessary for the discharge of statutory functions, duties and powers of the </w:t>
      </w:r>
      <w:r w:rsidR="00E33197">
        <w:t xml:space="preserve">Secretary or the </w:t>
      </w:r>
      <w:r w:rsidR="00DD43F7" w:rsidRPr="00FA5DEF">
        <w:t>Chief Executive Medicare</w:t>
      </w:r>
      <w:r w:rsidR="00912FCC">
        <w:t xml:space="preserve"> </w:t>
      </w:r>
      <w:r w:rsidR="00DD43F7" w:rsidRPr="00FA5DEF">
        <w:t>in relation to:</w:t>
      </w:r>
    </w:p>
    <w:p w14:paraId="17E206CF" w14:textId="77777777" w:rsidR="00DD43F7" w:rsidRPr="00FA5DEF" w:rsidRDefault="00A45982" w:rsidP="00A45982">
      <w:pPr>
        <w:pStyle w:val="paragraphsub"/>
      </w:pPr>
      <w:r w:rsidRPr="00FA5DEF">
        <w:tab/>
      </w:r>
      <w:r w:rsidR="00E30146">
        <w:t>(</w:t>
      </w:r>
      <w:proofErr w:type="spellStart"/>
      <w:r w:rsidR="00E30146">
        <w:t>i</w:t>
      </w:r>
      <w:proofErr w:type="spellEnd"/>
      <w:r w:rsidR="00E30146">
        <w:t>)</w:t>
      </w:r>
      <w:r w:rsidRPr="00FA5DEF">
        <w:tab/>
      </w:r>
      <w:r w:rsidR="00DD43F7" w:rsidRPr="00FA5DEF">
        <w:t>the enforcement of the criminal law;</w:t>
      </w:r>
    </w:p>
    <w:p w14:paraId="552BEB52" w14:textId="77777777" w:rsidR="00DD43F7" w:rsidRPr="00FA5DEF" w:rsidRDefault="00A45982" w:rsidP="00A45982">
      <w:pPr>
        <w:pStyle w:val="paragraphsub"/>
      </w:pPr>
      <w:r w:rsidRPr="00FA5DEF">
        <w:tab/>
      </w:r>
      <w:r w:rsidR="00E30146">
        <w:t>(ii)</w:t>
      </w:r>
      <w:r w:rsidRPr="00FA5DEF">
        <w:tab/>
      </w:r>
      <w:r w:rsidR="00DD43F7" w:rsidRPr="00FA5DEF">
        <w:t>the enforcement of a law imposing a pecuniary penalty; or</w:t>
      </w:r>
    </w:p>
    <w:p w14:paraId="10EF8481" w14:textId="77777777" w:rsidR="00DD43F7" w:rsidRDefault="00A45982" w:rsidP="00A45982">
      <w:pPr>
        <w:pStyle w:val="paragraphsub"/>
      </w:pPr>
      <w:r w:rsidRPr="00FA5DEF">
        <w:tab/>
      </w:r>
      <w:r w:rsidR="00E30146">
        <w:t>(iii)</w:t>
      </w:r>
      <w:r w:rsidRPr="00FA5DEF">
        <w:tab/>
      </w:r>
      <w:r w:rsidR="00DD43F7" w:rsidRPr="00FA5DEF">
        <w:t>the protection of the public revenue;</w:t>
      </w:r>
    </w:p>
    <w:p w14:paraId="4FBB08ED" w14:textId="77777777" w:rsidR="00C346C2" w:rsidRPr="00597DFC" w:rsidRDefault="00C346C2" w:rsidP="00C346C2">
      <w:pPr>
        <w:pStyle w:val="paragraph"/>
      </w:pPr>
      <w:r w:rsidRPr="0060589E">
        <w:tab/>
      </w:r>
      <w:r w:rsidR="00E30146">
        <w:t>(b)</w:t>
      </w:r>
      <w:r w:rsidRPr="0060589E">
        <w:tab/>
      </w:r>
      <w:r w:rsidRPr="00597DFC">
        <w:t xml:space="preserve">the agency that is linking the information disclosing it as required </w:t>
      </w:r>
      <w:r w:rsidR="00937675" w:rsidRPr="00597DFC">
        <w:t xml:space="preserve">or authorised </w:t>
      </w:r>
      <w:r w:rsidRPr="00597DFC">
        <w:t>by law;</w:t>
      </w:r>
    </w:p>
    <w:p w14:paraId="5552518D" w14:textId="77777777" w:rsidR="00C346C2" w:rsidRPr="0060589E" w:rsidRDefault="00C346C2" w:rsidP="002552B5">
      <w:pPr>
        <w:pStyle w:val="paragraph"/>
      </w:pPr>
      <w:r w:rsidRPr="0060589E">
        <w:tab/>
      </w:r>
      <w:r w:rsidR="00E30146">
        <w:t>(c)</w:t>
      </w:r>
      <w:r w:rsidRPr="0060589E">
        <w:tab/>
        <w:t>disclosing the linked information</w:t>
      </w:r>
      <w:r w:rsidRPr="0060589E">
        <w:rPr>
          <w:i/>
        </w:rPr>
        <w:t xml:space="preserve"> </w:t>
      </w:r>
      <w:r w:rsidRPr="0060589E">
        <w:t>to an enforcement body, if the disclosure</w:t>
      </w:r>
      <w:r w:rsidR="002552B5" w:rsidRPr="0060589E">
        <w:t xml:space="preserve"> </w:t>
      </w:r>
      <w:r w:rsidRPr="0060589E">
        <w:t>is reasonably necessary for:</w:t>
      </w:r>
    </w:p>
    <w:p w14:paraId="520F65D0" w14:textId="77777777" w:rsidR="00C346C2" w:rsidRPr="0060589E" w:rsidRDefault="002552B5" w:rsidP="002552B5">
      <w:pPr>
        <w:pStyle w:val="paragraphsub"/>
      </w:pPr>
      <w:r w:rsidRPr="0060589E">
        <w:tab/>
      </w:r>
      <w:r w:rsidR="00E30146">
        <w:t>(</w:t>
      </w:r>
      <w:proofErr w:type="spellStart"/>
      <w:r w:rsidR="00E30146">
        <w:t>i</w:t>
      </w:r>
      <w:proofErr w:type="spellEnd"/>
      <w:r w:rsidR="00E30146">
        <w:t>)</w:t>
      </w:r>
      <w:r w:rsidRPr="0060589E">
        <w:tab/>
      </w:r>
      <w:r w:rsidR="00C346C2" w:rsidRPr="0060589E">
        <w:t>the enforcement of the criminal law; or</w:t>
      </w:r>
    </w:p>
    <w:p w14:paraId="33C1C35D" w14:textId="77777777" w:rsidR="00C346C2" w:rsidRPr="0060589E" w:rsidRDefault="002552B5" w:rsidP="002552B5">
      <w:pPr>
        <w:pStyle w:val="paragraphsub"/>
      </w:pPr>
      <w:r w:rsidRPr="0060589E">
        <w:tab/>
      </w:r>
      <w:r w:rsidR="00E30146">
        <w:t>(ii)</w:t>
      </w:r>
      <w:r w:rsidRPr="0060589E">
        <w:tab/>
      </w:r>
      <w:r w:rsidR="00C346C2" w:rsidRPr="0060589E">
        <w:t>the enforcement of a law imposing a pecuniary penalty; or</w:t>
      </w:r>
    </w:p>
    <w:p w14:paraId="2B70A8B8" w14:textId="77777777" w:rsidR="00C346C2" w:rsidRPr="0060589E" w:rsidRDefault="002552B5" w:rsidP="002552B5">
      <w:pPr>
        <w:pStyle w:val="paragraphsub"/>
      </w:pPr>
      <w:r w:rsidRPr="0060589E">
        <w:tab/>
      </w:r>
      <w:r w:rsidR="00E30146">
        <w:t>(iii)</w:t>
      </w:r>
      <w:r w:rsidRPr="0060589E">
        <w:tab/>
      </w:r>
      <w:r w:rsidR="00C346C2" w:rsidRPr="0060589E">
        <w:t>the protection of the public revenue;</w:t>
      </w:r>
    </w:p>
    <w:p w14:paraId="1C055DD5" w14:textId="77777777" w:rsidR="00C346C2" w:rsidRPr="0060589E" w:rsidRDefault="00C346C2" w:rsidP="002552B5">
      <w:pPr>
        <w:pStyle w:val="paragraph"/>
      </w:pPr>
      <w:r w:rsidRPr="0060589E">
        <w:tab/>
      </w:r>
      <w:r w:rsidR="00E30146">
        <w:t>(d)</w:t>
      </w:r>
      <w:r w:rsidRPr="0060589E">
        <w:tab/>
        <w:t>determining the eligibility of the individual to whom the information relates for a benefit under a program where</w:t>
      </w:r>
      <w:r w:rsidR="002552B5" w:rsidRPr="0060589E">
        <w:t xml:space="preserve"> </w:t>
      </w:r>
      <w:r w:rsidRPr="0060589E">
        <w:t>the eligibility for that benefit is dependent upon services provided under another program;</w:t>
      </w:r>
    </w:p>
    <w:p w14:paraId="14ED76B2" w14:textId="77777777" w:rsidR="00C346C2" w:rsidRPr="0060589E" w:rsidRDefault="00C346C2" w:rsidP="002552B5">
      <w:pPr>
        <w:pStyle w:val="paragraph"/>
      </w:pPr>
      <w:r w:rsidRPr="0060589E">
        <w:tab/>
      </w:r>
      <w:r w:rsidR="00E30146">
        <w:t>(e)</w:t>
      </w:r>
      <w:r w:rsidRPr="0060589E">
        <w:tab/>
        <w:t>preventing or lessening a serious and imminent threat to the life or health of any individual, where</w:t>
      </w:r>
      <w:r w:rsidR="002552B5" w:rsidRPr="0060589E">
        <w:t xml:space="preserve"> </w:t>
      </w:r>
      <w:r w:rsidRPr="0060589E">
        <w:t xml:space="preserve">the </w:t>
      </w:r>
      <w:r w:rsidR="007404AE" w:rsidRPr="00912FCC">
        <w:t xml:space="preserve">Secretary or the </w:t>
      </w:r>
      <w:r w:rsidRPr="0060589E">
        <w:t>Chief Executive Medicare believes on reasonable grounds that the linkage is necessary for this purpose;</w:t>
      </w:r>
    </w:p>
    <w:p w14:paraId="74EF349F" w14:textId="77777777" w:rsidR="00C346C2" w:rsidRPr="0060589E" w:rsidRDefault="00C346C2" w:rsidP="002552B5">
      <w:pPr>
        <w:pStyle w:val="paragraph"/>
      </w:pPr>
      <w:r w:rsidRPr="0060589E">
        <w:tab/>
      </w:r>
      <w:r w:rsidR="00E30146">
        <w:t>(f)</w:t>
      </w:r>
      <w:r w:rsidRPr="0060589E">
        <w:tab/>
        <w:t xml:space="preserve">disclosing information to the individual to whom the information relates, </w:t>
      </w:r>
      <w:r w:rsidR="002552B5" w:rsidRPr="0060589E">
        <w:t xml:space="preserve">or to another person on behalf of that individual, </w:t>
      </w:r>
      <w:r w:rsidRPr="0060589E">
        <w:t>where</w:t>
      </w:r>
      <w:r w:rsidR="002552B5" w:rsidRPr="0060589E">
        <w:t xml:space="preserve"> the individual has expressly consented to the </w:t>
      </w:r>
      <w:r w:rsidR="0072710B" w:rsidRPr="0060589E">
        <w:t>disclosure</w:t>
      </w:r>
      <w:r w:rsidRPr="0060589E">
        <w:t>;</w:t>
      </w:r>
    </w:p>
    <w:p w14:paraId="17C2AD2D" w14:textId="77777777" w:rsidR="00C346C2" w:rsidRPr="0060589E" w:rsidRDefault="00C346C2" w:rsidP="00C346C2">
      <w:pPr>
        <w:pStyle w:val="paragraph"/>
      </w:pPr>
      <w:r w:rsidRPr="0060589E">
        <w:tab/>
      </w:r>
      <w:r w:rsidR="00E30146">
        <w:t>(g)</w:t>
      </w:r>
      <w:r w:rsidRPr="0060589E">
        <w:tab/>
      </w:r>
      <w:proofErr w:type="gramStart"/>
      <w:r w:rsidRPr="0060589E">
        <w:t>taking action</w:t>
      </w:r>
      <w:proofErr w:type="gramEnd"/>
      <w:r w:rsidRPr="0060589E">
        <w:t>:</w:t>
      </w:r>
    </w:p>
    <w:p w14:paraId="227A631A" w14:textId="77777777" w:rsidR="00C346C2" w:rsidRPr="0060589E" w:rsidRDefault="00C346C2" w:rsidP="00C346C2">
      <w:pPr>
        <w:pStyle w:val="paragraphsub"/>
      </w:pPr>
      <w:r w:rsidRPr="0060589E">
        <w:tab/>
      </w:r>
      <w:r w:rsidR="00E30146">
        <w:t>(</w:t>
      </w:r>
      <w:proofErr w:type="spellStart"/>
      <w:r w:rsidR="00E30146">
        <w:t>i</w:t>
      </w:r>
      <w:proofErr w:type="spellEnd"/>
      <w:r w:rsidR="00E30146">
        <w:t>)</w:t>
      </w:r>
      <w:r w:rsidRPr="0060589E">
        <w:tab/>
        <w:t>on an unresolved compensation matter; or</w:t>
      </w:r>
    </w:p>
    <w:p w14:paraId="4C38A86C" w14:textId="77777777" w:rsidR="00C346C2" w:rsidRPr="0060589E" w:rsidRDefault="00C346C2" w:rsidP="00C346C2">
      <w:pPr>
        <w:pStyle w:val="paragraphsub"/>
      </w:pPr>
      <w:r w:rsidRPr="0060589E">
        <w:tab/>
      </w:r>
      <w:r w:rsidR="00E30146">
        <w:t>(ii)</w:t>
      </w:r>
      <w:r w:rsidRPr="0060589E">
        <w:tab/>
        <w:t>on an investigation or a prosecution; or</w:t>
      </w:r>
    </w:p>
    <w:p w14:paraId="34A2181E" w14:textId="77777777" w:rsidR="00C346C2" w:rsidRPr="0060589E" w:rsidRDefault="00C346C2" w:rsidP="00C346C2">
      <w:pPr>
        <w:pStyle w:val="paragraphsub"/>
      </w:pPr>
      <w:r w:rsidRPr="0060589E">
        <w:tab/>
      </w:r>
      <w:r w:rsidR="00E30146">
        <w:t>(iii)</w:t>
      </w:r>
      <w:r w:rsidRPr="0060589E">
        <w:tab/>
        <w:t>for recovery of a debt;</w:t>
      </w:r>
    </w:p>
    <w:p w14:paraId="49840B6B" w14:textId="77777777" w:rsidR="00C346C2" w:rsidRPr="0060589E" w:rsidRDefault="00C346C2" w:rsidP="00C346C2">
      <w:pPr>
        <w:pStyle w:val="paragraph"/>
      </w:pPr>
      <w:r w:rsidRPr="0060589E">
        <w:tab/>
      </w:r>
      <w:r w:rsidR="00E30146">
        <w:t>(h)</w:t>
      </w:r>
      <w:r w:rsidRPr="0060589E">
        <w:tab/>
        <w:t>determining entitlement:</w:t>
      </w:r>
    </w:p>
    <w:p w14:paraId="69B6DD83" w14:textId="77777777" w:rsidR="00C346C2" w:rsidRPr="0060589E" w:rsidRDefault="00C346C2" w:rsidP="00C346C2">
      <w:pPr>
        <w:pStyle w:val="paragraphsub"/>
      </w:pPr>
      <w:r w:rsidRPr="0060589E">
        <w:tab/>
      </w:r>
      <w:r w:rsidR="00E30146">
        <w:t>(</w:t>
      </w:r>
      <w:proofErr w:type="spellStart"/>
      <w:r w:rsidR="00E30146">
        <w:t>i</w:t>
      </w:r>
      <w:proofErr w:type="spellEnd"/>
      <w:r w:rsidR="00E30146">
        <w:t>)</w:t>
      </w:r>
      <w:r w:rsidRPr="0060589E">
        <w:tab/>
        <w:t>on a late lodged claim or finalising the processing of a claim; or</w:t>
      </w:r>
    </w:p>
    <w:p w14:paraId="275CDC08" w14:textId="77777777" w:rsidR="00C346C2" w:rsidRPr="0060589E" w:rsidRDefault="00C346C2" w:rsidP="00C346C2">
      <w:pPr>
        <w:pStyle w:val="paragraphsub"/>
      </w:pPr>
      <w:r w:rsidRPr="0060589E">
        <w:tab/>
      </w:r>
      <w:r w:rsidR="00E30146">
        <w:t>(ii)</w:t>
      </w:r>
      <w:r w:rsidRPr="0060589E">
        <w:tab/>
        <w:t>for a related service rendered more than 5 years after the service which is the subject of the old information;</w:t>
      </w:r>
    </w:p>
    <w:p w14:paraId="3071F8E5" w14:textId="77777777" w:rsidR="00E35BA1" w:rsidRPr="0060589E" w:rsidRDefault="00C346C2" w:rsidP="00C346C2">
      <w:pPr>
        <w:pStyle w:val="paragraph"/>
      </w:pPr>
      <w:r w:rsidRPr="0060589E">
        <w:tab/>
      </w:r>
      <w:r w:rsidR="00E30146">
        <w:t>(</w:t>
      </w:r>
      <w:proofErr w:type="spellStart"/>
      <w:r w:rsidR="00E30146">
        <w:t>i</w:t>
      </w:r>
      <w:proofErr w:type="spellEnd"/>
      <w:r w:rsidR="00E30146">
        <w:t>)</w:t>
      </w:r>
      <w:r w:rsidRPr="0060589E">
        <w:tab/>
        <w:t>lawfully disclosing identified information in accordance with the secrecy provisions of a law of the Commonwealth</w:t>
      </w:r>
      <w:r w:rsidR="00E35BA1" w:rsidRPr="0060589E">
        <w:t>;</w:t>
      </w:r>
    </w:p>
    <w:p w14:paraId="1F6648CD" w14:textId="77777777" w:rsidR="00C346C2" w:rsidRDefault="00E35BA1" w:rsidP="00C346C2">
      <w:pPr>
        <w:pStyle w:val="paragraph"/>
      </w:pPr>
      <w:r w:rsidRPr="0060589E">
        <w:tab/>
      </w:r>
      <w:r w:rsidR="00E30146">
        <w:t>(j)</w:t>
      </w:r>
      <w:r w:rsidRPr="0060589E">
        <w:tab/>
        <w:t>in the case of the Health Department—the performance of the health provider compliance functions</w:t>
      </w:r>
      <w:r w:rsidR="00C346C2" w:rsidRPr="0060589E">
        <w:t>.</w:t>
      </w:r>
    </w:p>
    <w:p w14:paraId="3203B19F" w14:textId="77777777" w:rsidR="00B5133B" w:rsidRPr="00E244FE" w:rsidRDefault="00E30146" w:rsidP="00B5133B">
      <w:pPr>
        <w:pStyle w:val="ActHead5"/>
      </w:pPr>
      <w:bookmarkStart w:id="30" w:name="_Toc171078095"/>
      <w:bookmarkStart w:id="31" w:name="_Ref128223255"/>
      <w:proofErr w:type="gramStart"/>
      <w:r>
        <w:lastRenderedPageBreak/>
        <w:t>16</w:t>
      </w:r>
      <w:r w:rsidR="00B5133B">
        <w:t xml:space="preserve">  </w:t>
      </w:r>
      <w:r w:rsidR="00B5133B" w:rsidRPr="00E244FE">
        <w:t>Circumstance</w:t>
      </w:r>
      <w:proofErr w:type="gramEnd"/>
      <w:r w:rsidR="00B5133B" w:rsidRPr="00E244FE">
        <w:t xml:space="preserve"> </w:t>
      </w:r>
      <w:r w:rsidR="009E21FC">
        <w:t xml:space="preserve">in which </w:t>
      </w:r>
      <w:r w:rsidR="00B5133B" w:rsidRPr="00E244FE">
        <w:t>linkage is not authorised</w:t>
      </w:r>
      <w:bookmarkEnd w:id="30"/>
    </w:p>
    <w:p w14:paraId="52C1EFBC" w14:textId="77777777" w:rsidR="00B5133B" w:rsidRPr="00B5133B" w:rsidRDefault="00B5133B" w:rsidP="00B5133B">
      <w:pPr>
        <w:pStyle w:val="subsection"/>
      </w:pPr>
      <w:r w:rsidRPr="00B5133B">
        <w:tab/>
      </w:r>
      <w:r w:rsidRPr="00B5133B">
        <w:tab/>
        <w:t>Despite this Division, a linkage is not authorised by this instrument if the use is for the purposes of a primary agency establishing a data</w:t>
      </w:r>
      <w:r w:rsidR="00B54ED0">
        <w:noBreakHyphen/>
      </w:r>
      <w:r w:rsidRPr="00B5133B">
        <w:t>matching program between:</w:t>
      </w:r>
    </w:p>
    <w:p w14:paraId="7516EA5E" w14:textId="77777777" w:rsidR="00B5133B" w:rsidRPr="00B5133B" w:rsidRDefault="00B5133B" w:rsidP="00B5133B">
      <w:pPr>
        <w:pStyle w:val="paragraph"/>
      </w:pPr>
      <w:r w:rsidRPr="00B5133B">
        <w:tab/>
      </w:r>
      <w:r w:rsidR="00E30146">
        <w:t>(a)</w:t>
      </w:r>
      <w:r w:rsidRPr="00B5133B">
        <w:tab/>
        <w:t>a database that is maintained for the purposes of the Medicare Benefits Program; and</w:t>
      </w:r>
    </w:p>
    <w:p w14:paraId="0B2A07A5" w14:textId="77777777" w:rsidR="00B5133B" w:rsidRDefault="00B5133B" w:rsidP="00B5133B">
      <w:pPr>
        <w:pStyle w:val="paragraph"/>
      </w:pPr>
      <w:r w:rsidRPr="00B5133B">
        <w:tab/>
      </w:r>
      <w:r w:rsidR="00E30146">
        <w:t>(b)</w:t>
      </w:r>
      <w:r w:rsidRPr="00B5133B">
        <w:tab/>
        <w:t>a database that is maintained for the purposes of the Pharmaceutical Benefits Program.</w:t>
      </w:r>
    </w:p>
    <w:p w14:paraId="66740334" w14:textId="77777777" w:rsidR="00AC131D" w:rsidRPr="00912FCC" w:rsidRDefault="00E30146" w:rsidP="00AC131D">
      <w:pPr>
        <w:pStyle w:val="ActHead5"/>
      </w:pPr>
      <w:bookmarkStart w:id="32" w:name="_Toc171078096"/>
      <w:proofErr w:type="gramStart"/>
      <w:r>
        <w:t>17</w:t>
      </w:r>
      <w:r w:rsidR="00AC131D" w:rsidRPr="00912FCC">
        <w:t xml:space="preserve">  Reporting</w:t>
      </w:r>
      <w:proofErr w:type="gramEnd"/>
      <w:r w:rsidR="00AC131D" w:rsidRPr="00912FCC">
        <w:t xml:space="preserve"> requirements in relation to linkages</w:t>
      </w:r>
      <w:bookmarkEnd w:id="32"/>
    </w:p>
    <w:p w14:paraId="0BABDFEC" w14:textId="77777777" w:rsidR="00AC131D" w:rsidRPr="009507B5" w:rsidRDefault="00AC131D" w:rsidP="00AC131D">
      <w:pPr>
        <w:pStyle w:val="subsection"/>
      </w:pPr>
      <w:r w:rsidRPr="009507B5">
        <w:tab/>
      </w:r>
      <w:r w:rsidRPr="009507B5">
        <w:tab/>
      </w:r>
      <w:r w:rsidR="00F317B3" w:rsidRPr="009507B5">
        <w:t xml:space="preserve">Despite sections </w:t>
      </w:r>
      <w:r w:rsidR="00521D37">
        <w:t>14</w:t>
      </w:r>
      <w:r w:rsidR="00F317B3" w:rsidRPr="009507B5">
        <w:t xml:space="preserve"> and </w:t>
      </w:r>
      <w:r w:rsidR="00521D37">
        <w:t>15</w:t>
      </w:r>
      <w:r w:rsidR="00F317B3" w:rsidRPr="009507B5">
        <w:t xml:space="preserve">, a linkage that is authorised by those sections ceases to be authorised if, </w:t>
      </w:r>
      <w:r w:rsidRPr="009507B5">
        <w:t xml:space="preserve">by 30 September of each year, </w:t>
      </w:r>
      <w:r w:rsidR="00F317B3" w:rsidRPr="009507B5">
        <w:t xml:space="preserve">the agency does not </w:t>
      </w:r>
      <w:r w:rsidRPr="009507B5">
        <w:t>provide the Information Commissioner with a report that:</w:t>
      </w:r>
    </w:p>
    <w:p w14:paraId="5BBA2824" w14:textId="77777777" w:rsidR="00AC131D" w:rsidRDefault="00AC131D" w:rsidP="00AC131D">
      <w:pPr>
        <w:pStyle w:val="paragraph"/>
      </w:pPr>
      <w:r>
        <w:tab/>
      </w:r>
      <w:r w:rsidR="00E30146">
        <w:t>(a)</w:t>
      </w:r>
      <w:r>
        <w:tab/>
        <w:t>is in a form approved by the Information Commissioner; and</w:t>
      </w:r>
    </w:p>
    <w:p w14:paraId="0FA2CAE4" w14:textId="77777777" w:rsidR="00AC131D" w:rsidRPr="00F26839" w:rsidRDefault="00AC131D" w:rsidP="00AC131D">
      <w:pPr>
        <w:pStyle w:val="paragraph"/>
      </w:pPr>
      <w:r w:rsidRPr="00F26839">
        <w:tab/>
      </w:r>
      <w:r w:rsidR="00E30146">
        <w:t>(b)</w:t>
      </w:r>
      <w:r w:rsidRPr="00F26839">
        <w:tab/>
        <w:t xml:space="preserve">includes the following information for the previous financial year (the </w:t>
      </w:r>
      <w:r w:rsidRPr="00F26839">
        <w:rPr>
          <w:b/>
          <w:i/>
        </w:rPr>
        <w:t>reporting period</w:t>
      </w:r>
      <w:r w:rsidRPr="00F26839">
        <w:t>):</w:t>
      </w:r>
    </w:p>
    <w:p w14:paraId="734E5030" w14:textId="77777777" w:rsidR="00AC131D" w:rsidRPr="00F26839" w:rsidRDefault="00AC131D" w:rsidP="00AC131D">
      <w:pPr>
        <w:pStyle w:val="paragraphsub"/>
      </w:pPr>
      <w:r w:rsidRPr="00F26839">
        <w:tab/>
      </w:r>
      <w:r w:rsidR="00E30146">
        <w:t>(</w:t>
      </w:r>
      <w:proofErr w:type="spellStart"/>
      <w:r w:rsidR="00E30146">
        <w:t>i</w:t>
      </w:r>
      <w:proofErr w:type="spellEnd"/>
      <w:r w:rsidR="00E30146">
        <w:t>)</w:t>
      </w:r>
      <w:r w:rsidRPr="00F26839">
        <w:tab/>
        <w:t xml:space="preserve">for the records that were linked in accordance with </w:t>
      </w:r>
      <w:r w:rsidRPr="00912FCC">
        <w:t xml:space="preserve">section </w:t>
      </w:r>
      <w:r w:rsidR="00521D37">
        <w:t>14</w:t>
      </w:r>
      <w:r w:rsidRPr="00912FCC">
        <w:t xml:space="preserve"> or </w:t>
      </w:r>
      <w:r w:rsidR="00521D37">
        <w:t>15</w:t>
      </w:r>
      <w:r w:rsidRPr="00912FCC">
        <w:t xml:space="preserve"> </w:t>
      </w:r>
      <w:r w:rsidRPr="00F26839">
        <w:t>during the reporting period:</w:t>
      </w:r>
    </w:p>
    <w:p w14:paraId="1E672698" w14:textId="77777777" w:rsidR="00AC131D" w:rsidRPr="00F26839" w:rsidRDefault="00AC131D" w:rsidP="00AC131D">
      <w:pPr>
        <w:pStyle w:val="paragraphsub-sub"/>
      </w:pPr>
      <w:r w:rsidRPr="00F26839">
        <w:tab/>
      </w:r>
      <w:r w:rsidR="00E30146">
        <w:t>(A)</w:t>
      </w:r>
      <w:r w:rsidRPr="00F26839">
        <w:tab/>
        <w:t>the total number that were linked</w:t>
      </w:r>
      <w:r w:rsidRPr="00597DFC">
        <w:t xml:space="preserve"> </w:t>
      </w:r>
      <w:r w:rsidRPr="00912FCC">
        <w:t>under each section</w:t>
      </w:r>
      <w:r w:rsidRPr="00F26839">
        <w:t>; and</w:t>
      </w:r>
    </w:p>
    <w:p w14:paraId="76405115" w14:textId="77777777" w:rsidR="00AC131D" w:rsidRPr="00F26839" w:rsidRDefault="00AC131D" w:rsidP="00AC131D">
      <w:pPr>
        <w:pStyle w:val="paragraphsub-sub"/>
      </w:pPr>
      <w:r w:rsidRPr="00F26839">
        <w:tab/>
      </w:r>
      <w:r w:rsidR="00E30146">
        <w:t>(B)</w:t>
      </w:r>
      <w:r w:rsidRPr="00F26839">
        <w:tab/>
        <w:t>that number, broken down by reference to the permitted purposes;</w:t>
      </w:r>
    </w:p>
    <w:p w14:paraId="1C7397DB" w14:textId="77777777" w:rsidR="00AC131D" w:rsidRPr="00F26839" w:rsidRDefault="00AC131D" w:rsidP="00AC131D">
      <w:pPr>
        <w:pStyle w:val="paragraphsub"/>
      </w:pPr>
      <w:r w:rsidRPr="00F26839">
        <w:tab/>
      </w:r>
      <w:r w:rsidR="00E30146">
        <w:t>(ii)</w:t>
      </w:r>
      <w:r w:rsidRPr="00F26839">
        <w:tab/>
        <w:t>for the records of linked claims information that were destroyed during the reporting period:</w:t>
      </w:r>
    </w:p>
    <w:p w14:paraId="19955E8A" w14:textId="77777777" w:rsidR="00AC131D" w:rsidRPr="00F26839" w:rsidRDefault="00AC131D" w:rsidP="00AC131D">
      <w:pPr>
        <w:pStyle w:val="paragraphsub-sub"/>
      </w:pPr>
      <w:r w:rsidRPr="00F26839">
        <w:tab/>
      </w:r>
      <w:r w:rsidR="00E30146">
        <w:t>(A)</w:t>
      </w:r>
      <w:r w:rsidRPr="00F26839">
        <w:tab/>
        <w:t>the total number that were destroyed; and</w:t>
      </w:r>
    </w:p>
    <w:p w14:paraId="12588D88" w14:textId="77777777" w:rsidR="00AC131D" w:rsidRPr="00F26839" w:rsidRDefault="00AC131D" w:rsidP="00AC131D">
      <w:pPr>
        <w:pStyle w:val="paragraphsub-sub"/>
      </w:pPr>
      <w:r w:rsidRPr="00F26839">
        <w:tab/>
      </w:r>
      <w:r w:rsidR="00E30146">
        <w:t>(B)</w:t>
      </w:r>
      <w:r w:rsidRPr="00F26839">
        <w:tab/>
        <w:t>that number, broken down by reference to the permitted purposes;</w:t>
      </w:r>
    </w:p>
    <w:p w14:paraId="6A3A5320" w14:textId="77777777" w:rsidR="00AC131D" w:rsidRPr="00F26839" w:rsidRDefault="00AC131D" w:rsidP="00AC131D">
      <w:pPr>
        <w:pStyle w:val="paragraphsub"/>
      </w:pPr>
      <w:r w:rsidRPr="00F26839">
        <w:tab/>
      </w:r>
      <w:r w:rsidR="00E30146">
        <w:t>(iii)</w:t>
      </w:r>
      <w:r w:rsidRPr="00F26839">
        <w:tab/>
        <w:t>if there are records that were linked during the reporting period but not destroyed</w:t>
      </w:r>
      <w:r w:rsidRPr="00F26839">
        <w:rPr>
          <w:i/>
        </w:rPr>
        <w:t>:</w:t>
      </w:r>
    </w:p>
    <w:p w14:paraId="5A93DFB8" w14:textId="77777777" w:rsidR="00AC131D" w:rsidRPr="00F26839" w:rsidRDefault="00AC131D" w:rsidP="00AC131D">
      <w:pPr>
        <w:pStyle w:val="paragraphsub-sub"/>
      </w:pPr>
      <w:r w:rsidRPr="00F26839">
        <w:tab/>
      </w:r>
      <w:r w:rsidR="00E30146">
        <w:t>(A)</w:t>
      </w:r>
      <w:r w:rsidRPr="00F26839">
        <w:tab/>
        <w:t>the number of such records; and</w:t>
      </w:r>
    </w:p>
    <w:p w14:paraId="75FA81AA" w14:textId="77777777" w:rsidR="00AC131D" w:rsidRPr="00F26839" w:rsidRDefault="00AC131D" w:rsidP="00AC131D">
      <w:pPr>
        <w:pStyle w:val="paragraphsub-sub"/>
      </w:pPr>
      <w:r w:rsidRPr="00F26839">
        <w:tab/>
      </w:r>
      <w:r w:rsidR="00E30146">
        <w:t>(B)</w:t>
      </w:r>
      <w:r w:rsidRPr="00F26839">
        <w:tab/>
        <w:t>the reason the linked claims information was not destroyed;</w:t>
      </w:r>
    </w:p>
    <w:p w14:paraId="264D3F36" w14:textId="77777777" w:rsidR="00AC131D" w:rsidRPr="00F26839" w:rsidRDefault="00AC131D" w:rsidP="00AC131D">
      <w:pPr>
        <w:pStyle w:val="paragraphsub"/>
      </w:pPr>
      <w:r w:rsidRPr="00F26839">
        <w:tab/>
      </w:r>
      <w:r w:rsidR="00E30146">
        <w:t>(iv)</w:t>
      </w:r>
      <w:r w:rsidRPr="00F26839">
        <w:tab/>
        <w:t>if there are records that were linked in previous reporting periods but not destroyed:</w:t>
      </w:r>
    </w:p>
    <w:p w14:paraId="7C7EB62F" w14:textId="77777777" w:rsidR="00AC131D" w:rsidRPr="00F26839" w:rsidRDefault="00AC131D" w:rsidP="00AC131D">
      <w:pPr>
        <w:pStyle w:val="paragraphsub-sub"/>
      </w:pPr>
      <w:r w:rsidRPr="00F26839">
        <w:tab/>
      </w:r>
      <w:r w:rsidR="00E30146">
        <w:t>(A)</w:t>
      </w:r>
      <w:r w:rsidRPr="00F26839">
        <w:tab/>
        <w:t>the number of such records; and</w:t>
      </w:r>
    </w:p>
    <w:p w14:paraId="2420126D" w14:textId="77777777" w:rsidR="00AC131D" w:rsidRPr="00F26839" w:rsidRDefault="00AC131D" w:rsidP="00AC131D">
      <w:pPr>
        <w:pStyle w:val="paragraphsub-sub"/>
      </w:pPr>
      <w:r w:rsidRPr="00F26839">
        <w:tab/>
      </w:r>
      <w:r w:rsidR="00E30146">
        <w:t>(B)</w:t>
      </w:r>
      <w:r w:rsidRPr="00F26839">
        <w:tab/>
        <w:t>the reason the linked claims information was not destroyed.</w:t>
      </w:r>
    </w:p>
    <w:p w14:paraId="7D6FA20E" w14:textId="77777777" w:rsidR="00AC131D" w:rsidRPr="00F26839" w:rsidRDefault="00AC131D" w:rsidP="00AC131D">
      <w:pPr>
        <w:pStyle w:val="notetext"/>
      </w:pPr>
      <w:r w:rsidRPr="00F26839">
        <w:t>Note 1:</w:t>
      </w:r>
      <w:r w:rsidRPr="00F26839">
        <w:tab/>
        <w:t xml:space="preserve">See subsection </w:t>
      </w:r>
      <w:r w:rsidR="00521D37">
        <w:t>5(2)</w:t>
      </w:r>
      <w:r w:rsidRPr="00F26839">
        <w:t xml:space="preserve"> for the meaning of references to destroying linked claims information.</w:t>
      </w:r>
    </w:p>
    <w:p w14:paraId="3EA8F7B6" w14:textId="77777777" w:rsidR="00AA580E" w:rsidRPr="00AA580E" w:rsidRDefault="00AC131D" w:rsidP="00AA580E">
      <w:pPr>
        <w:pStyle w:val="notetext"/>
      </w:pPr>
      <w:r w:rsidRPr="00F26839">
        <w:t>Note 2:</w:t>
      </w:r>
      <w:r w:rsidRPr="00F26839">
        <w:tab/>
        <w:t>The Information Commissioner may make the report publicly available.</w:t>
      </w:r>
    </w:p>
    <w:p w14:paraId="7333C812" w14:textId="77777777" w:rsidR="00E06E87" w:rsidRPr="00AF5E46" w:rsidRDefault="00E30146" w:rsidP="00E06E87">
      <w:pPr>
        <w:pStyle w:val="ActHead2"/>
      </w:pPr>
      <w:bookmarkStart w:id="33" w:name="_Toc171078097"/>
      <w:bookmarkEnd w:id="31"/>
      <w:r>
        <w:lastRenderedPageBreak/>
        <w:t>Part 7</w:t>
      </w:r>
      <w:r w:rsidR="00E06E87" w:rsidRPr="00AF5E46">
        <w:t>—</w:t>
      </w:r>
      <w:r w:rsidR="00C4526C" w:rsidRPr="00AF5E46">
        <w:t>Requirements with which agencies must comply in relation to o</w:t>
      </w:r>
      <w:r w:rsidR="00E06E87" w:rsidRPr="00AF5E46">
        <w:t>ld information</w:t>
      </w:r>
      <w:bookmarkEnd w:id="33"/>
    </w:p>
    <w:p w14:paraId="248F5B45" w14:textId="77777777" w:rsidR="00C4172F" w:rsidRDefault="00C4172F" w:rsidP="00C4172F">
      <w:pPr>
        <w:pStyle w:val="notemargin"/>
      </w:pPr>
      <w:r w:rsidRPr="00AF5E46">
        <w:t>Note:</w:t>
      </w:r>
      <w:r w:rsidRPr="00AF5E46">
        <w:tab/>
      </w:r>
      <w:r w:rsidRPr="00AF5E46">
        <w:tab/>
        <w:t>This Part is made for the purposes of paragraph 135AA(5)(f) of the Act.</w:t>
      </w:r>
    </w:p>
    <w:p w14:paraId="2AAD1BF1" w14:textId="77777777" w:rsidR="00E06E87" w:rsidRPr="00AF5E46" w:rsidRDefault="00E30146" w:rsidP="00E06E87">
      <w:pPr>
        <w:pStyle w:val="ActHead5"/>
      </w:pPr>
      <w:bookmarkStart w:id="34" w:name="_Toc171078098"/>
      <w:proofErr w:type="gramStart"/>
      <w:r>
        <w:t>18</w:t>
      </w:r>
      <w:r w:rsidR="00E06E87" w:rsidRPr="00AF5E46">
        <w:t xml:space="preserve">  </w:t>
      </w:r>
      <w:r w:rsidR="003300C2" w:rsidRPr="00AF5E46">
        <w:t>Requirements</w:t>
      </w:r>
      <w:proofErr w:type="gramEnd"/>
      <w:r w:rsidR="003300C2" w:rsidRPr="00AF5E46">
        <w:t xml:space="preserve"> relating to storage of old information</w:t>
      </w:r>
      <w:bookmarkEnd w:id="34"/>
    </w:p>
    <w:p w14:paraId="4E15B707" w14:textId="77777777" w:rsidR="00FF3F55" w:rsidRDefault="00B47B5B" w:rsidP="00B47B5B">
      <w:pPr>
        <w:pStyle w:val="subsection"/>
      </w:pPr>
      <w:r w:rsidRPr="00AF5E46">
        <w:tab/>
      </w:r>
      <w:r w:rsidR="00E30146">
        <w:t>(1)</w:t>
      </w:r>
      <w:r w:rsidRPr="00AF5E46">
        <w:tab/>
      </w:r>
      <w:r w:rsidR="004F73FE">
        <w:t>Subject to section </w:t>
      </w:r>
      <w:r w:rsidR="00521D37">
        <w:t>19</w:t>
      </w:r>
      <w:r w:rsidR="004F73FE">
        <w:t>, a</w:t>
      </w:r>
      <w:r w:rsidR="00441729" w:rsidRPr="00B87B7C">
        <w:t xml:space="preserve">n </w:t>
      </w:r>
      <w:r w:rsidR="003926E9" w:rsidRPr="00AF5E46">
        <w:t>agency</w:t>
      </w:r>
      <w:r w:rsidR="003A3153" w:rsidRPr="00AF5E46">
        <w:rPr>
          <w:i/>
        </w:rPr>
        <w:t xml:space="preserve"> </w:t>
      </w:r>
      <w:r w:rsidR="00C76D8F" w:rsidRPr="00AF5E46">
        <w:t>must</w:t>
      </w:r>
      <w:r w:rsidR="00314B04" w:rsidRPr="00AF5E46">
        <w:t xml:space="preserve"> </w:t>
      </w:r>
      <w:r w:rsidR="00C76D8F" w:rsidRPr="00AF5E46">
        <w:t>store o</w:t>
      </w:r>
      <w:r w:rsidRPr="00AF5E46">
        <w:t xml:space="preserve">ld information </w:t>
      </w:r>
      <w:r w:rsidR="00C76D8F" w:rsidRPr="00AF5E46">
        <w:t xml:space="preserve">in </w:t>
      </w:r>
      <w:r w:rsidR="00275A12" w:rsidRPr="00AF5E46">
        <w:t xml:space="preserve">such a way that the </w:t>
      </w:r>
      <w:r w:rsidR="00FF3F55" w:rsidRPr="00AF5E46">
        <w:t>personal identification components</w:t>
      </w:r>
      <w:r w:rsidR="00275A12" w:rsidRPr="00AF5E46">
        <w:t xml:space="preserve"> are </w:t>
      </w:r>
      <w:r w:rsidR="006E5DCB">
        <w:t xml:space="preserve">not </w:t>
      </w:r>
      <w:r w:rsidR="00275A12" w:rsidRPr="00AF5E46">
        <w:t>linked with the rest of the information</w:t>
      </w:r>
      <w:r w:rsidR="00FF3F55" w:rsidRPr="00AF5E46">
        <w:t>.</w:t>
      </w:r>
    </w:p>
    <w:p w14:paraId="321B7683" w14:textId="77777777" w:rsidR="006254CD" w:rsidRPr="00AF5E46" w:rsidRDefault="006254CD" w:rsidP="006254CD">
      <w:pPr>
        <w:pStyle w:val="subsection"/>
      </w:pPr>
      <w:r w:rsidRPr="00AF5E46">
        <w:tab/>
      </w:r>
      <w:r w:rsidR="00E30146">
        <w:t>(2)</w:t>
      </w:r>
      <w:r w:rsidRPr="00AF5E46">
        <w:tab/>
        <w:t>Despite subsection </w:t>
      </w:r>
      <w:r w:rsidR="00521D37">
        <w:t>7(3)</w:t>
      </w:r>
      <w:r w:rsidRPr="00AF5E46">
        <w:t>:</w:t>
      </w:r>
    </w:p>
    <w:p w14:paraId="629E59CD" w14:textId="77777777" w:rsidR="006254CD" w:rsidRPr="00AF5E46" w:rsidRDefault="006254CD" w:rsidP="006254CD">
      <w:pPr>
        <w:pStyle w:val="paragraph"/>
      </w:pPr>
      <w:r w:rsidRPr="00AF5E46">
        <w:tab/>
      </w:r>
      <w:r w:rsidR="00E30146">
        <w:t>(a)</w:t>
      </w:r>
      <w:r w:rsidRPr="00AF5E46">
        <w:tab/>
        <w:t xml:space="preserve">a database that stores old information from the Medicare Benefits Program must not include </w:t>
      </w:r>
      <w:r w:rsidR="00F75913" w:rsidRPr="00AF5E46">
        <w:t>a Medicare card number; and</w:t>
      </w:r>
    </w:p>
    <w:p w14:paraId="6FE801FC" w14:textId="77777777" w:rsidR="00F75913" w:rsidRPr="00AF5E46" w:rsidRDefault="00F75913" w:rsidP="00F75913">
      <w:pPr>
        <w:pStyle w:val="paragraph"/>
      </w:pPr>
      <w:r w:rsidRPr="00AF5E46">
        <w:tab/>
      </w:r>
      <w:r w:rsidR="00E30146">
        <w:t>(b)</w:t>
      </w:r>
      <w:r w:rsidRPr="00AF5E46">
        <w:tab/>
        <w:t>a database that stores old information from the Pharmaceutical Benefits Program must not include a Pharmaceutical entitlements number.</w:t>
      </w:r>
    </w:p>
    <w:p w14:paraId="32A10BB2" w14:textId="77777777" w:rsidR="00273040" w:rsidRPr="00AF5E46" w:rsidRDefault="00273040" w:rsidP="00273040">
      <w:pPr>
        <w:pStyle w:val="subsection"/>
      </w:pPr>
      <w:r w:rsidRPr="00AF5E46">
        <w:tab/>
      </w:r>
      <w:r w:rsidR="00E30146">
        <w:t>(3)</w:t>
      </w:r>
      <w:r w:rsidRPr="00AF5E46">
        <w:tab/>
        <w:t xml:space="preserve">However, </w:t>
      </w:r>
      <w:r w:rsidR="00652532" w:rsidRPr="00AF5E46">
        <w:t xml:space="preserve">subject to section </w:t>
      </w:r>
      <w:r w:rsidR="00521D37">
        <w:t>12</w:t>
      </w:r>
      <w:r w:rsidR="00652532" w:rsidRPr="00AF5E46">
        <w:t xml:space="preserve">, </w:t>
      </w:r>
      <w:r w:rsidR="00314B04" w:rsidRPr="00AF5E46">
        <w:t xml:space="preserve">this </w:t>
      </w:r>
      <w:r w:rsidR="00652532" w:rsidRPr="00AF5E46">
        <w:t>section</w:t>
      </w:r>
      <w:r w:rsidR="00314B04" w:rsidRPr="00AF5E46">
        <w:t xml:space="preserve"> does not prevent </w:t>
      </w:r>
      <w:r w:rsidR="003926E9" w:rsidRPr="00AF5E46">
        <w:t xml:space="preserve">an agency </w:t>
      </w:r>
      <w:r w:rsidR="00314B04" w:rsidRPr="00AF5E46">
        <w:t>from storing in the same database:</w:t>
      </w:r>
    </w:p>
    <w:p w14:paraId="674A7BE9" w14:textId="77777777" w:rsidR="00273040" w:rsidRPr="00AF5E46" w:rsidRDefault="00273040" w:rsidP="00273040">
      <w:pPr>
        <w:pStyle w:val="paragraph"/>
      </w:pPr>
      <w:r w:rsidRPr="00AF5E46">
        <w:tab/>
      </w:r>
      <w:r w:rsidR="00E30146">
        <w:t>(a)</w:t>
      </w:r>
      <w:r w:rsidRPr="00AF5E46">
        <w:tab/>
        <w:t>old information;</w:t>
      </w:r>
      <w:r w:rsidR="00314B04" w:rsidRPr="00AF5E46">
        <w:t xml:space="preserve"> and</w:t>
      </w:r>
    </w:p>
    <w:p w14:paraId="2F808817" w14:textId="77777777" w:rsidR="00273040" w:rsidRPr="00AF5E46" w:rsidRDefault="00273040" w:rsidP="00273040">
      <w:pPr>
        <w:pStyle w:val="paragraph"/>
      </w:pPr>
      <w:r w:rsidRPr="00AF5E46">
        <w:tab/>
      </w:r>
      <w:r w:rsidR="00E30146">
        <w:t>(b)</w:t>
      </w:r>
      <w:r w:rsidRPr="00AF5E46">
        <w:tab/>
        <w:t>claims information that is not old information.</w:t>
      </w:r>
    </w:p>
    <w:p w14:paraId="70F1AA27" w14:textId="77777777" w:rsidR="00DF2D97" w:rsidRPr="00AF5E46" w:rsidRDefault="00DF2D97" w:rsidP="00DF2D97">
      <w:pPr>
        <w:pStyle w:val="notetext"/>
      </w:pPr>
      <w:r w:rsidRPr="00AF5E46">
        <w:t>Note:</w:t>
      </w:r>
      <w:r w:rsidRPr="00AF5E46">
        <w:tab/>
        <w:t xml:space="preserve">Section </w:t>
      </w:r>
      <w:r w:rsidR="00521D37">
        <w:t>12</w:t>
      </w:r>
      <w:r w:rsidRPr="00AF5E46">
        <w:t xml:space="preserve"> deals with the prohibition on storing, in the same database, claims information that was obtained under the Medicare Benefits Program and claims information that was obtained under the Pharmaceutical Benefits Program.</w:t>
      </w:r>
    </w:p>
    <w:p w14:paraId="0219852B" w14:textId="77777777" w:rsidR="00912FCC" w:rsidRPr="005A1705" w:rsidRDefault="00E30146" w:rsidP="00912FCC">
      <w:pPr>
        <w:pStyle w:val="ActHead5"/>
      </w:pPr>
      <w:bookmarkStart w:id="35" w:name="_Ref127808961"/>
      <w:bookmarkStart w:id="36" w:name="_Ref128557292"/>
      <w:bookmarkStart w:id="37" w:name="_Toc168584281"/>
      <w:bookmarkStart w:id="38" w:name="_Toc171078099"/>
      <w:bookmarkEnd w:id="35"/>
      <w:bookmarkEnd w:id="36"/>
      <w:proofErr w:type="gramStart"/>
      <w:r>
        <w:t>19</w:t>
      </w:r>
      <w:r w:rsidR="00912FCC">
        <w:t xml:space="preserve">  </w:t>
      </w:r>
      <w:r w:rsidR="00912FCC" w:rsidRPr="0014648A">
        <w:t>Requirements</w:t>
      </w:r>
      <w:proofErr w:type="gramEnd"/>
      <w:r w:rsidR="00912FCC" w:rsidRPr="0014648A">
        <w:t xml:space="preserve"> relating to </w:t>
      </w:r>
      <w:r w:rsidR="00912FCC" w:rsidRPr="005A1705">
        <w:t>the re-linking of old information with personal identification components</w:t>
      </w:r>
      <w:bookmarkEnd w:id="37"/>
      <w:bookmarkEnd w:id="38"/>
    </w:p>
    <w:p w14:paraId="281684C9" w14:textId="77777777" w:rsidR="00912FCC" w:rsidRPr="005A1705" w:rsidRDefault="00912FCC" w:rsidP="00912FCC">
      <w:pPr>
        <w:pStyle w:val="subsection"/>
      </w:pPr>
      <w:r>
        <w:tab/>
      </w:r>
      <w:r>
        <w:tab/>
      </w:r>
      <w:r w:rsidRPr="005A1705">
        <w:t xml:space="preserve">Old information may be re-linked with </w:t>
      </w:r>
      <w:r>
        <w:t>its personal identification components if</w:t>
      </w:r>
      <w:r w:rsidRPr="005A1705">
        <w:t>:</w:t>
      </w:r>
    </w:p>
    <w:p w14:paraId="02F0D56A" w14:textId="77777777" w:rsidR="00912FCC" w:rsidRPr="00643A7E" w:rsidRDefault="00912FCC" w:rsidP="00912FCC">
      <w:pPr>
        <w:pStyle w:val="paragraph"/>
      </w:pPr>
      <w:r>
        <w:tab/>
      </w:r>
      <w:r w:rsidR="00E30146">
        <w:t>(a)</w:t>
      </w:r>
      <w:r>
        <w:tab/>
      </w:r>
      <w:r w:rsidRPr="00643A7E">
        <w:t>the re-linkage is necessary to enable a linkage that:</w:t>
      </w:r>
    </w:p>
    <w:p w14:paraId="6C37E513" w14:textId="77777777" w:rsidR="00912FCC" w:rsidRPr="002667E9" w:rsidRDefault="00912FCC" w:rsidP="00912FCC">
      <w:pPr>
        <w:pStyle w:val="paragraphsub"/>
      </w:pPr>
      <w:r w:rsidRPr="002667E9">
        <w:tab/>
      </w:r>
      <w:r w:rsidR="00E30146">
        <w:t>(</w:t>
      </w:r>
      <w:proofErr w:type="spellStart"/>
      <w:r w:rsidR="00E30146">
        <w:t>i</w:t>
      </w:r>
      <w:proofErr w:type="spellEnd"/>
      <w:r w:rsidR="00E30146">
        <w:t>)</w:t>
      </w:r>
      <w:r w:rsidRPr="002667E9">
        <w:tab/>
        <w:t xml:space="preserve">is authorised by </w:t>
      </w:r>
      <w:r w:rsidR="00521D37">
        <w:t>Part 6</w:t>
      </w:r>
      <w:r w:rsidR="00AC51F7" w:rsidRPr="002667E9">
        <w:t xml:space="preserve"> because of </w:t>
      </w:r>
      <w:r w:rsidRPr="002667E9">
        <w:t xml:space="preserve">section </w:t>
      </w:r>
      <w:r w:rsidR="00521D37">
        <w:t>14</w:t>
      </w:r>
      <w:r w:rsidRPr="002667E9">
        <w:t>; or</w:t>
      </w:r>
    </w:p>
    <w:p w14:paraId="375BF221" w14:textId="77777777" w:rsidR="00912FCC" w:rsidRPr="002667E9" w:rsidRDefault="00912FCC" w:rsidP="00912FCC">
      <w:pPr>
        <w:pStyle w:val="paragraphsub"/>
      </w:pPr>
      <w:r w:rsidRPr="002667E9">
        <w:tab/>
      </w:r>
      <w:r w:rsidR="00E30146">
        <w:t>(ii)</w:t>
      </w:r>
      <w:r w:rsidRPr="002667E9">
        <w:tab/>
        <w:t xml:space="preserve">is authorised by </w:t>
      </w:r>
      <w:r w:rsidR="00521D37">
        <w:t>Part 6</w:t>
      </w:r>
      <w:r w:rsidR="00AC51F7" w:rsidRPr="002667E9">
        <w:t xml:space="preserve"> because of </w:t>
      </w:r>
      <w:r w:rsidRPr="002667E9">
        <w:t xml:space="preserve">section </w:t>
      </w:r>
      <w:r w:rsidR="00521D37">
        <w:t>15</w:t>
      </w:r>
      <w:r w:rsidRPr="002667E9">
        <w:t xml:space="preserve"> with a permitted purpose mentioned in paragraph </w:t>
      </w:r>
      <w:r w:rsidR="00521D37">
        <w:t>15(2)(f)</w:t>
      </w:r>
      <w:r w:rsidRPr="002667E9">
        <w:t xml:space="preserve">, </w:t>
      </w:r>
      <w:r w:rsidR="00521D37">
        <w:t>(g)</w:t>
      </w:r>
      <w:r w:rsidRPr="002667E9">
        <w:t xml:space="preserve">, </w:t>
      </w:r>
      <w:r w:rsidR="00521D37">
        <w:t>(h)</w:t>
      </w:r>
      <w:r w:rsidRPr="002667E9">
        <w:t xml:space="preserve">, </w:t>
      </w:r>
      <w:r w:rsidR="00521D37">
        <w:t>(</w:t>
      </w:r>
      <w:proofErr w:type="spellStart"/>
      <w:r w:rsidR="00521D37">
        <w:t>i</w:t>
      </w:r>
      <w:proofErr w:type="spellEnd"/>
      <w:r w:rsidR="00521D37">
        <w:t>)</w:t>
      </w:r>
      <w:r w:rsidRPr="002667E9">
        <w:t xml:space="preserve"> or </w:t>
      </w:r>
      <w:r w:rsidR="00521D37">
        <w:t>(j)</w:t>
      </w:r>
      <w:r w:rsidRPr="002667E9">
        <w:t xml:space="preserve">; and  </w:t>
      </w:r>
    </w:p>
    <w:p w14:paraId="5D64BFDE" w14:textId="77777777" w:rsidR="00912FCC" w:rsidRPr="002667E9" w:rsidRDefault="00912FCC" w:rsidP="00912FCC">
      <w:pPr>
        <w:pStyle w:val="paragraph"/>
      </w:pPr>
      <w:r w:rsidRPr="002667E9">
        <w:tab/>
      </w:r>
      <w:r w:rsidR="00E30146">
        <w:t>(b)</w:t>
      </w:r>
      <w:r w:rsidRPr="002667E9">
        <w:tab/>
        <w:t>the re-linkage is by use of a Medicare PIN; and</w:t>
      </w:r>
    </w:p>
    <w:p w14:paraId="7D21865B" w14:textId="77777777" w:rsidR="00912FCC" w:rsidRPr="002667E9" w:rsidRDefault="00912FCC" w:rsidP="00912FCC">
      <w:pPr>
        <w:pStyle w:val="paragraph"/>
      </w:pPr>
      <w:r w:rsidRPr="002667E9">
        <w:tab/>
      </w:r>
      <w:r w:rsidR="00E30146">
        <w:t>(c)</w:t>
      </w:r>
      <w:r w:rsidRPr="002667E9">
        <w:tab/>
        <w:t xml:space="preserve">as soon as practicable after the purpose for which the information has been </w:t>
      </w:r>
      <w:r w:rsidR="00B51E9B" w:rsidRPr="002667E9">
        <w:t>re</w:t>
      </w:r>
      <w:r w:rsidR="00B51E9B" w:rsidRPr="002667E9">
        <w:noBreakHyphen/>
      </w:r>
      <w:r w:rsidRPr="002667E9">
        <w:t>linked has been met, the agency destroys the re-linked information; and</w:t>
      </w:r>
    </w:p>
    <w:p w14:paraId="0A2C41AE" w14:textId="77777777" w:rsidR="00912FCC" w:rsidRPr="005A1705" w:rsidRDefault="00912FCC" w:rsidP="00912FCC">
      <w:pPr>
        <w:pStyle w:val="paragraph"/>
      </w:pPr>
      <w:r>
        <w:tab/>
      </w:r>
      <w:r w:rsidR="00E30146">
        <w:t>(d)</w:t>
      </w:r>
      <w:r>
        <w:tab/>
      </w:r>
      <w:r w:rsidRPr="005A1705">
        <w:t xml:space="preserve">the agency has in place measures to ensure that the </w:t>
      </w:r>
      <w:r>
        <w:t>re-</w:t>
      </w:r>
      <w:r w:rsidRPr="005A1705">
        <w:t>linkages are traceable; and</w:t>
      </w:r>
    </w:p>
    <w:p w14:paraId="5EE063FC" w14:textId="77777777" w:rsidR="00912FCC" w:rsidRPr="005A1705" w:rsidRDefault="00912FCC" w:rsidP="00912FCC">
      <w:pPr>
        <w:pStyle w:val="paragraph"/>
      </w:pPr>
      <w:r>
        <w:tab/>
      </w:r>
      <w:r w:rsidR="00E30146">
        <w:t>(e)</w:t>
      </w:r>
      <w:r>
        <w:tab/>
      </w:r>
      <w:r w:rsidRPr="005A1705">
        <w:t xml:space="preserve">the agency </w:t>
      </w:r>
      <w:proofErr w:type="gramStart"/>
      <w:r w:rsidRPr="005A1705">
        <w:t>makes arrangements</w:t>
      </w:r>
      <w:proofErr w:type="gramEnd"/>
      <w:r w:rsidRPr="005A1705">
        <w:t xml:space="preserve">, for the purposes of this instrument, for the security of records of </w:t>
      </w:r>
      <w:r>
        <w:t xml:space="preserve">re-linked </w:t>
      </w:r>
      <w:r w:rsidRPr="005A1705">
        <w:t>information; and</w:t>
      </w:r>
    </w:p>
    <w:p w14:paraId="6168A817" w14:textId="77777777" w:rsidR="00912FCC" w:rsidRDefault="00912FCC" w:rsidP="00912FCC">
      <w:pPr>
        <w:pStyle w:val="paragraph"/>
      </w:pPr>
      <w:r>
        <w:tab/>
      </w:r>
      <w:r w:rsidR="00E30146">
        <w:t>(f)</w:t>
      </w:r>
      <w:r>
        <w:tab/>
      </w:r>
      <w:r w:rsidRPr="005A1705">
        <w:t xml:space="preserve">the </w:t>
      </w:r>
      <w:r>
        <w:t>re-</w:t>
      </w:r>
      <w:r w:rsidRPr="005A1705">
        <w:t>linkage complies with the data minimisation principle.</w:t>
      </w:r>
    </w:p>
    <w:p w14:paraId="070569A1" w14:textId="77777777" w:rsidR="00F64EE3" w:rsidRPr="00597DFC" w:rsidRDefault="00F64EE3" w:rsidP="00F64EE3">
      <w:pPr>
        <w:pStyle w:val="notetext"/>
      </w:pPr>
      <w:r w:rsidRPr="00597DFC">
        <w:t>Note:</w:t>
      </w:r>
      <w:r w:rsidRPr="00597DFC">
        <w:tab/>
        <w:t>See subsections </w:t>
      </w:r>
      <w:r w:rsidR="00521D37">
        <w:t>5(2)</w:t>
      </w:r>
      <w:r w:rsidRPr="00597DFC">
        <w:t xml:space="preserve"> and </w:t>
      </w:r>
      <w:r w:rsidR="00521D37">
        <w:t>(3)</w:t>
      </w:r>
      <w:r w:rsidRPr="00597DFC">
        <w:t xml:space="preserve"> for the meaning of references to destroying re</w:t>
      </w:r>
      <w:r w:rsidRPr="00597DFC">
        <w:noBreakHyphen/>
        <w:t>linked claims information.</w:t>
      </w:r>
    </w:p>
    <w:p w14:paraId="75B1EED9" w14:textId="77777777" w:rsidR="003300C2" w:rsidRPr="00AF5E46" w:rsidRDefault="00E30146" w:rsidP="003300C2">
      <w:pPr>
        <w:pStyle w:val="ActHead5"/>
      </w:pPr>
      <w:bookmarkStart w:id="39" w:name="_Toc171078100"/>
      <w:bookmarkStart w:id="40" w:name="_Ref128208571"/>
      <w:proofErr w:type="gramStart"/>
      <w:r>
        <w:t>20</w:t>
      </w:r>
      <w:r w:rsidR="003300C2" w:rsidRPr="00AF5E46">
        <w:t xml:space="preserve">  Requirements</w:t>
      </w:r>
      <w:proofErr w:type="gramEnd"/>
      <w:r w:rsidR="003300C2" w:rsidRPr="00AF5E46">
        <w:t xml:space="preserve"> relating to </w:t>
      </w:r>
      <w:r w:rsidR="00BF11F3">
        <w:t>reporting—</w:t>
      </w:r>
      <w:r w:rsidR="003300C2" w:rsidRPr="00AF5E46">
        <w:t>old information</w:t>
      </w:r>
      <w:bookmarkEnd w:id="39"/>
    </w:p>
    <w:p w14:paraId="4624DEDC" w14:textId="77777777" w:rsidR="00912FCC" w:rsidRPr="008C27FB" w:rsidRDefault="00912FCC" w:rsidP="00912FCC">
      <w:pPr>
        <w:pStyle w:val="subsection"/>
      </w:pPr>
      <w:r>
        <w:tab/>
      </w:r>
      <w:r w:rsidR="00E30146">
        <w:t>(1)</w:t>
      </w:r>
      <w:r>
        <w:tab/>
      </w:r>
      <w:r w:rsidRPr="008C27FB">
        <w:t xml:space="preserve">This section applies in </w:t>
      </w:r>
      <w:r w:rsidR="00872539" w:rsidRPr="002667E9">
        <w:t xml:space="preserve">relation </w:t>
      </w:r>
      <w:r w:rsidRPr="008C27FB">
        <w:t>to records of old information that were re-linked with their personal identification components in accordance with section</w:t>
      </w:r>
      <w:r w:rsidRPr="00F631AA">
        <w:t xml:space="preserve"> </w:t>
      </w:r>
      <w:r>
        <w:t>19 (</w:t>
      </w:r>
      <w:r w:rsidRPr="008C27FB">
        <w:rPr>
          <w:b/>
          <w:i/>
        </w:rPr>
        <w:t>relevant records</w:t>
      </w:r>
      <w:r>
        <w:t>)</w:t>
      </w:r>
      <w:r w:rsidRPr="008C27FB">
        <w:t>.</w:t>
      </w:r>
    </w:p>
    <w:bookmarkEnd w:id="40"/>
    <w:p w14:paraId="0F868AA5" w14:textId="77777777" w:rsidR="00B15C2D" w:rsidRDefault="00912FCC" w:rsidP="00912FCC">
      <w:pPr>
        <w:pStyle w:val="subsection"/>
      </w:pPr>
      <w:r>
        <w:lastRenderedPageBreak/>
        <w:tab/>
      </w:r>
      <w:r w:rsidR="00E30146">
        <w:t>(2)</w:t>
      </w:r>
      <w:r>
        <w:tab/>
      </w:r>
      <w:r w:rsidR="003300C2" w:rsidRPr="00AF5E46">
        <w:t>A primary agency</w:t>
      </w:r>
      <w:r w:rsidR="00FF3F55" w:rsidRPr="00AF5E46">
        <w:t xml:space="preserve"> must</w:t>
      </w:r>
      <w:r w:rsidR="00B15C2D">
        <w:t>,</w:t>
      </w:r>
      <w:r w:rsidR="00FF3F55" w:rsidRPr="00AF5E46">
        <w:t xml:space="preserve"> </w:t>
      </w:r>
      <w:r w:rsidR="00012C6D">
        <w:t>by 30 September of each year</w:t>
      </w:r>
      <w:r w:rsidR="00B15C2D">
        <w:t xml:space="preserve">, </w:t>
      </w:r>
      <w:r w:rsidR="00B15C2D" w:rsidRPr="00AF5E46">
        <w:t xml:space="preserve">provide the Information Commissioner </w:t>
      </w:r>
      <w:r w:rsidR="00B15C2D">
        <w:t xml:space="preserve">with </w:t>
      </w:r>
      <w:r w:rsidR="00B15C2D" w:rsidRPr="00AF5E46">
        <w:t>a report</w:t>
      </w:r>
      <w:r w:rsidR="00012C6D">
        <w:t xml:space="preserve"> </w:t>
      </w:r>
      <w:r w:rsidR="00B15C2D">
        <w:t>that:</w:t>
      </w:r>
    </w:p>
    <w:p w14:paraId="3781A4EC" w14:textId="77777777" w:rsidR="00B15C2D" w:rsidRPr="00F26839" w:rsidRDefault="00B15C2D" w:rsidP="00B15C2D">
      <w:pPr>
        <w:pStyle w:val="paragraph"/>
      </w:pPr>
      <w:r w:rsidRPr="00F26839">
        <w:tab/>
      </w:r>
      <w:r w:rsidR="00E30146">
        <w:t>(a)</w:t>
      </w:r>
      <w:r w:rsidRPr="00F26839">
        <w:tab/>
        <w:t>is in a form approved by the Information Commissioner; and</w:t>
      </w:r>
    </w:p>
    <w:p w14:paraId="03A0C86E" w14:textId="77777777" w:rsidR="00A42AE4" w:rsidRPr="00F26839" w:rsidRDefault="00B15C2D" w:rsidP="00B15C2D">
      <w:pPr>
        <w:pStyle w:val="paragraph"/>
      </w:pPr>
      <w:r w:rsidRPr="00F26839">
        <w:tab/>
      </w:r>
      <w:r w:rsidR="00E30146">
        <w:t>(b)</w:t>
      </w:r>
      <w:r w:rsidRPr="00F26839">
        <w:tab/>
        <w:t>includes the</w:t>
      </w:r>
      <w:r w:rsidR="00A42AE4" w:rsidRPr="00F26839">
        <w:t xml:space="preserve"> following</w:t>
      </w:r>
      <w:r w:rsidRPr="00F26839">
        <w:t xml:space="preserve"> information </w:t>
      </w:r>
      <w:r w:rsidR="00012C6D" w:rsidRPr="00F26839">
        <w:t>for the previous financial year</w:t>
      </w:r>
      <w:r w:rsidRPr="00F26839">
        <w:t xml:space="preserve"> (the </w:t>
      </w:r>
      <w:r w:rsidRPr="00F26839">
        <w:rPr>
          <w:b/>
          <w:i/>
        </w:rPr>
        <w:t>reporting period</w:t>
      </w:r>
      <w:r w:rsidRPr="00F26839">
        <w:t>)</w:t>
      </w:r>
      <w:r w:rsidR="00A42AE4" w:rsidRPr="00F26839">
        <w:t>:</w:t>
      </w:r>
    </w:p>
    <w:p w14:paraId="4A35DD81" w14:textId="77777777" w:rsidR="00A42AE4" w:rsidRPr="00F26839" w:rsidRDefault="00A42AE4" w:rsidP="00A42AE4">
      <w:pPr>
        <w:pStyle w:val="paragraphsub"/>
      </w:pPr>
      <w:r w:rsidRPr="00F26839">
        <w:tab/>
      </w:r>
      <w:r w:rsidR="00E30146">
        <w:t>(</w:t>
      </w:r>
      <w:proofErr w:type="spellStart"/>
      <w:r w:rsidR="00E30146">
        <w:t>i</w:t>
      </w:r>
      <w:proofErr w:type="spellEnd"/>
      <w:r w:rsidR="00E30146">
        <w:t>)</w:t>
      </w:r>
      <w:r w:rsidRPr="00F26839">
        <w:tab/>
        <w:t xml:space="preserve">for the </w:t>
      </w:r>
      <w:r w:rsidR="00912FCC">
        <w:t xml:space="preserve">relevant </w:t>
      </w:r>
      <w:r w:rsidRPr="00F26839">
        <w:t>records that were re</w:t>
      </w:r>
      <w:r w:rsidRPr="00F26839">
        <w:noBreakHyphen/>
        <w:t>linked during the reporting period:</w:t>
      </w:r>
    </w:p>
    <w:p w14:paraId="0F7F8AE3" w14:textId="77777777" w:rsidR="00A42AE4" w:rsidRPr="00F26839" w:rsidRDefault="00A42AE4" w:rsidP="00A42AE4">
      <w:pPr>
        <w:pStyle w:val="paragraphsub-sub"/>
      </w:pPr>
      <w:r w:rsidRPr="00F26839">
        <w:tab/>
      </w:r>
      <w:r w:rsidR="00E30146">
        <w:t>(A)</w:t>
      </w:r>
      <w:r w:rsidRPr="00F26839">
        <w:tab/>
        <w:t>the total number that were re</w:t>
      </w:r>
      <w:r w:rsidRPr="00F26839">
        <w:noBreakHyphen/>
        <w:t>linked; and</w:t>
      </w:r>
    </w:p>
    <w:p w14:paraId="2AFFE4F5" w14:textId="77777777" w:rsidR="00A42AE4" w:rsidRPr="00F26839" w:rsidRDefault="00A42AE4" w:rsidP="00A42AE4">
      <w:pPr>
        <w:pStyle w:val="paragraphsub-sub"/>
      </w:pPr>
      <w:r w:rsidRPr="00F26839">
        <w:tab/>
      </w:r>
      <w:r w:rsidR="00E30146">
        <w:t>(B)</w:t>
      </w:r>
      <w:r w:rsidRPr="00F26839">
        <w:tab/>
        <w:t xml:space="preserve">that number, broken down by reference to the </w:t>
      </w:r>
      <w:r w:rsidRPr="00912FCC">
        <w:t xml:space="preserve">permitted </w:t>
      </w:r>
      <w:r w:rsidRPr="00F26839">
        <w:t>purposes referred to in paragraph </w:t>
      </w:r>
      <w:r w:rsidR="00521D37">
        <w:t>19(a)</w:t>
      </w:r>
      <w:r w:rsidRPr="00F26839">
        <w:t>; and</w:t>
      </w:r>
    </w:p>
    <w:p w14:paraId="35FF5136" w14:textId="77777777" w:rsidR="00A42AE4" w:rsidRPr="00F26839" w:rsidRDefault="00A42AE4" w:rsidP="00A42AE4">
      <w:pPr>
        <w:pStyle w:val="paragraphsub"/>
      </w:pPr>
      <w:r w:rsidRPr="00F26839">
        <w:tab/>
      </w:r>
      <w:r w:rsidR="00E30146">
        <w:t>(ii)</w:t>
      </w:r>
      <w:r w:rsidRPr="00F26839">
        <w:tab/>
        <w:t xml:space="preserve">for the </w:t>
      </w:r>
      <w:r w:rsidR="00FD4CC7">
        <w:t xml:space="preserve">relevant </w:t>
      </w:r>
      <w:r w:rsidRPr="00F26839">
        <w:t>records that were destroyed during the reporting period:</w:t>
      </w:r>
    </w:p>
    <w:p w14:paraId="1EDB6607" w14:textId="77777777" w:rsidR="00A42AE4" w:rsidRPr="00F26839" w:rsidRDefault="00A42AE4" w:rsidP="00A42AE4">
      <w:pPr>
        <w:pStyle w:val="paragraphsub-sub"/>
      </w:pPr>
      <w:r w:rsidRPr="00F26839">
        <w:tab/>
      </w:r>
      <w:r w:rsidR="00E30146">
        <w:t>(A)</w:t>
      </w:r>
      <w:r w:rsidRPr="00F26839">
        <w:tab/>
        <w:t>the total number that were destroyed; and</w:t>
      </w:r>
    </w:p>
    <w:p w14:paraId="61E5D31D" w14:textId="77777777" w:rsidR="00A42AE4" w:rsidRPr="00F26839" w:rsidRDefault="00A42AE4" w:rsidP="00A42AE4">
      <w:pPr>
        <w:pStyle w:val="paragraphsub-sub"/>
      </w:pPr>
      <w:r w:rsidRPr="00F26839">
        <w:tab/>
      </w:r>
      <w:r w:rsidR="00E30146">
        <w:t>(B)</w:t>
      </w:r>
      <w:r w:rsidRPr="00F26839">
        <w:tab/>
        <w:t xml:space="preserve">that number, broken down by reference to the </w:t>
      </w:r>
      <w:r w:rsidRPr="002667E9">
        <w:t xml:space="preserve">permitted </w:t>
      </w:r>
      <w:r w:rsidRPr="00F26839">
        <w:t>purposes referred to in paragraph </w:t>
      </w:r>
      <w:r w:rsidR="00521D37">
        <w:t>19(a)</w:t>
      </w:r>
      <w:r w:rsidRPr="00F26839">
        <w:t>; and</w:t>
      </w:r>
    </w:p>
    <w:p w14:paraId="48E0DEB2" w14:textId="77777777" w:rsidR="00A42AE4" w:rsidRPr="00F26839" w:rsidRDefault="00A42AE4" w:rsidP="00A42AE4">
      <w:pPr>
        <w:pStyle w:val="paragraphsub"/>
      </w:pPr>
      <w:r w:rsidRPr="00F26839">
        <w:tab/>
      </w:r>
      <w:r w:rsidR="00E30146">
        <w:t>(iii)</w:t>
      </w:r>
      <w:r w:rsidRPr="00F26839">
        <w:tab/>
        <w:t xml:space="preserve">if there are </w:t>
      </w:r>
      <w:r w:rsidR="00FD4CC7">
        <w:t>relevant r</w:t>
      </w:r>
      <w:r w:rsidRPr="00F26839">
        <w:t>ecords that were re</w:t>
      </w:r>
      <w:r w:rsidRPr="00F26839">
        <w:noBreakHyphen/>
        <w:t>linked during the reporting period but not destroyed:</w:t>
      </w:r>
    </w:p>
    <w:p w14:paraId="75CC205D" w14:textId="77777777" w:rsidR="00A42AE4" w:rsidRPr="00F26839" w:rsidRDefault="00A42AE4" w:rsidP="00A42AE4">
      <w:pPr>
        <w:pStyle w:val="paragraphsub-sub"/>
      </w:pPr>
      <w:r w:rsidRPr="00F26839">
        <w:tab/>
      </w:r>
      <w:r w:rsidR="00E30146">
        <w:t>(A)</w:t>
      </w:r>
      <w:r w:rsidRPr="00F26839">
        <w:tab/>
        <w:t>the total number of such records; and</w:t>
      </w:r>
    </w:p>
    <w:p w14:paraId="3302777D" w14:textId="77777777" w:rsidR="00A42AE4" w:rsidRPr="00F26839" w:rsidRDefault="00A42AE4" w:rsidP="00A42AE4">
      <w:pPr>
        <w:pStyle w:val="paragraphsub-sub"/>
      </w:pPr>
      <w:r w:rsidRPr="00F26839">
        <w:tab/>
      </w:r>
      <w:r w:rsidR="00E30146">
        <w:t>(B)</w:t>
      </w:r>
      <w:r w:rsidRPr="00F26839">
        <w:tab/>
        <w:t>the reason the re</w:t>
      </w:r>
      <w:r w:rsidRPr="00F26839">
        <w:noBreakHyphen/>
        <w:t>linked claims information was not destroyed; and</w:t>
      </w:r>
    </w:p>
    <w:p w14:paraId="00AEB8E0" w14:textId="77777777" w:rsidR="00A42AE4" w:rsidRPr="00F26839" w:rsidRDefault="00A42AE4" w:rsidP="00A42AE4">
      <w:pPr>
        <w:pStyle w:val="paragraphsub"/>
      </w:pPr>
      <w:r w:rsidRPr="00F26839">
        <w:tab/>
      </w:r>
      <w:r w:rsidR="00E30146">
        <w:t>(iv)</w:t>
      </w:r>
      <w:r w:rsidRPr="00F26839">
        <w:tab/>
        <w:t xml:space="preserve">if there are </w:t>
      </w:r>
      <w:r w:rsidR="00FD4CC7">
        <w:t xml:space="preserve">relevant </w:t>
      </w:r>
      <w:r w:rsidRPr="00F26839">
        <w:t>records that were re</w:t>
      </w:r>
      <w:r w:rsidRPr="00F26839">
        <w:noBreakHyphen/>
        <w:t>linked in previous reporting periods but not destroyed:</w:t>
      </w:r>
    </w:p>
    <w:p w14:paraId="49F72145" w14:textId="77777777" w:rsidR="00A42AE4" w:rsidRPr="00F26839" w:rsidRDefault="00A42AE4" w:rsidP="00A42AE4">
      <w:pPr>
        <w:pStyle w:val="paragraphsub-sub"/>
      </w:pPr>
      <w:r w:rsidRPr="00F26839">
        <w:tab/>
      </w:r>
      <w:r w:rsidR="00E30146">
        <w:t>(A)</w:t>
      </w:r>
      <w:r w:rsidRPr="00F26839">
        <w:tab/>
        <w:t>the total number of such records; and</w:t>
      </w:r>
    </w:p>
    <w:p w14:paraId="28C4413D" w14:textId="77777777" w:rsidR="00A42AE4" w:rsidRPr="00F26839" w:rsidRDefault="00A42AE4" w:rsidP="00A42AE4">
      <w:pPr>
        <w:pStyle w:val="paragraphsub-sub"/>
      </w:pPr>
      <w:r w:rsidRPr="00F26839">
        <w:tab/>
      </w:r>
      <w:r w:rsidR="00E30146">
        <w:t>(B)</w:t>
      </w:r>
      <w:r w:rsidRPr="00F26839">
        <w:tab/>
        <w:t>the reason the linked claims information was not destroyed.</w:t>
      </w:r>
    </w:p>
    <w:p w14:paraId="0C07990E" w14:textId="77777777" w:rsidR="00A42AE4" w:rsidRPr="00F26839" w:rsidRDefault="00A42AE4" w:rsidP="00A42AE4">
      <w:pPr>
        <w:pStyle w:val="notetext"/>
      </w:pPr>
      <w:r w:rsidRPr="00F26839">
        <w:t>Note 1:</w:t>
      </w:r>
      <w:r w:rsidRPr="00F26839">
        <w:tab/>
        <w:t xml:space="preserve">See subsection </w:t>
      </w:r>
      <w:r w:rsidR="00521D37">
        <w:t>5(2)</w:t>
      </w:r>
      <w:r w:rsidRPr="00F26839">
        <w:t xml:space="preserve"> for the meaning of references to destroying linked claims information.</w:t>
      </w:r>
    </w:p>
    <w:p w14:paraId="1A876409" w14:textId="77777777" w:rsidR="00012C6D" w:rsidRPr="00F26839" w:rsidRDefault="00A42AE4" w:rsidP="00F26839">
      <w:pPr>
        <w:pStyle w:val="notetext"/>
      </w:pPr>
      <w:r w:rsidRPr="00F26839">
        <w:t>Note 2:</w:t>
      </w:r>
      <w:r w:rsidRPr="00F26839">
        <w:tab/>
        <w:t>The Information Commissioner may make the report publicly available.</w:t>
      </w:r>
    </w:p>
    <w:p w14:paraId="57157EB7" w14:textId="77777777" w:rsidR="00012C6D" w:rsidRDefault="00E30146" w:rsidP="00DF1891">
      <w:pPr>
        <w:pStyle w:val="ActHead2"/>
      </w:pPr>
      <w:bookmarkStart w:id="41" w:name="_Toc171078101"/>
      <w:r>
        <w:lastRenderedPageBreak/>
        <w:t>Part 8</w:t>
      </w:r>
      <w:r w:rsidR="00DF1891">
        <w:t>—Application and transitional provisions</w:t>
      </w:r>
      <w:bookmarkEnd w:id="41"/>
    </w:p>
    <w:p w14:paraId="6EAB1D53" w14:textId="77777777" w:rsidR="00DF1891" w:rsidRPr="006D14E4" w:rsidRDefault="00E30146" w:rsidP="00DF1891">
      <w:pPr>
        <w:pStyle w:val="ActHead5"/>
      </w:pPr>
      <w:bookmarkStart w:id="42" w:name="_Toc171078102"/>
      <w:proofErr w:type="gramStart"/>
      <w:r>
        <w:t>21</w:t>
      </w:r>
      <w:r w:rsidR="00DF1891">
        <w:t xml:space="preserve">  </w:t>
      </w:r>
      <w:r w:rsidR="006D14E4">
        <w:t>Agency</w:t>
      </w:r>
      <w:proofErr w:type="gramEnd"/>
      <w:r w:rsidR="006D14E4">
        <w:t xml:space="preserve"> may comply with certain provisions of the </w:t>
      </w:r>
      <w:r w:rsidR="006D14E4">
        <w:rPr>
          <w:i/>
        </w:rPr>
        <w:t xml:space="preserve">National Health (Privacy) Rules 2021 </w:t>
      </w:r>
      <w:r w:rsidR="006D14E4">
        <w:t>during the grace period</w:t>
      </w:r>
      <w:bookmarkEnd w:id="42"/>
    </w:p>
    <w:p w14:paraId="3590FA1B" w14:textId="77777777" w:rsidR="00AE6505" w:rsidRDefault="00AE6505" w:rsidP="00AE6505">
      <w:pPr>
        <w:pStyle w:val="subsection"/>
      </w:pPr>
      <w:r>
        <w:tab/>
      </w:r>
      <w:r w:rsidR="00E30146">
        <w:t>(1)</w:t>
      </w:r>
      <w:r>
        <w:tab/>
        <w:t>This section applies during the period that:</w:t>
      </w:r>
    </w:p>
    <w:p w14:paraId="15D7A884" w14:textId="77777777" w:rsidR="00AE6505" w:rsidRDefault="00AE6505" w:rsidP="00AE6505">
      <w:pPr>
        <w:pStyle w:val="paragraph"/>
      </w:pPr>
      <w:r>
        <w:tab/>
      </w:r>
      <w:r w:rsidR="00E30146">
        <w:t>(a)</w:t>
      </w:r>
      <w:r>
        <w:tab/>
        <w:t>commences on the day this instrument commences (see section </w:t>
      </w:r>
      <w:r w:rsidR="00521D37">
        <w:t>2</w:t>
      </w:r>
      <w:r>
        <w:t>); and</w:t>
      </w:r>
    </w:p>
    <w:p w14:paraId="0D68871B" w14:textId="77777777" w:rsidR="00AE6505" w:rsidRDefault="00AE6505" w:rsidP="00AE6505">
      <w:pPr>
        <w:pStyle w:val="paragraph"/>
      </w:pPr>
      <w:r>
        <w:tab/>
      </w:r>
      <w:r w:rsidR="00E30146">
        <w:t>(b)</w:t>
      </w:r>
      <w:r>
        <w:tab/>
        <w:t xml:space="preserve">ends on the day at the end of the period of </w:t>
      </w:r>
      <w:r w:rsidRPr="00FD4CC7">
        <w:t>6 months</w:t>
      </w:r>
      <w:r>
        <w:rPr>
          <w:i/>
        </w:rPr>
        <w:t xml:space="preserve"> </w:t>
      </w:r>
      <w:r>
        <w:t>that commences on that day.</w:t>
      </w:r>
    </w:p>
    <w:p w14:paraId="7E13BE4B" w14:textId="77777777" w:rsidR="0073181B" w:rsidRDefault="00DF1891" w:rsidP="00DF1891">
      <w:pPr>
        <w:pStyle w:val="subsection"/>
      </w:pPr>
      <w:r>
        <w:tab/>
      </w:r>
      <w:r w:rsidR="00E30146">
        <w:t>(2)</w:t>
      </w:r>
      <w:r>
        <w:tab/>
      </w:r>
      <w:r w:rsidR="00AE6505">
        <w:t>While this section applies</w:t>
      </w:r>
      <w:r w:rsidR="006D14E4">
        <w:t>, an agency may store claims information in accordance with:</w:t>
      </w:r>
    </w:p>
    <w:p w14:paraId="567838E2" w14:textId="77777777" w:rsidR="006D14E4" w:rsidRDefault="006D14E4" w:rsidP="006D14E4">
      <w:pPr>
        <w:pStyle w:val="paragraph"/>
      </w:pPr>
      <w:r>
        <w:tab/>
      </w:r>
      <w:r w:rsidR="00E30146">
        <w:t>(a)</w:t>
      </w:r>
      <w:r>
        <w:tab/>
        <w:t>this instrument; or</w:t>
      </w:r>
    </w:p>
    <w:p w14:paraId="5D2B16D5" w14:textId="77777777" w:rsidR="006D14E4" w:rsidRDefault="006D14E4" w:rsidP="006D14E4">
      <w:pPr>
        <w:pStyle w:val="paragraph"/>
      </w:pPr>
      <w:r>
        <w:tab/>
      </w:r>
      <w:r w:rsidR="00E30146">
        <w:t>(b)</w:t>
      </w:r>
      <w:r>
        <w:tab/>
        <w:t>the old rules (as if the old rules had not been repealed).</w:t>
      </w:r>
    </w:p>
    <w:p w14:paraId="5917D653" w14:textId="77777777" w:rsidR="006D14E4" w:rsidRDefault="006D14E4" w:rsidP="006D14E4">
      <w:pPr>
        <w:pStyle w:val="subsection"/>
      </w:pPr>
      <w:r>
        <w:tab/>
      </w:r>
      <w:r w:rsidR="00E30146">
        <w:t>(3)</w:t>
      </w:r>
      <w:r>
        <w:tab/>
      </w:r>
      <w:r w:rsidR="00AE6505">
        <w:t>While this section applies</w:t>
      </w:r>
      <w:r>
        <w:t>, an agency may use claims information that was disclosed to it in accordance with the old rules prior to their repeal in accordance with:</w:t>
      </w:r>
    </w:p>
    <w:p w14:paraId="02860C0B" w14:textId="77777777" w:rsidR="006D14E4" w:rsidRDefault="006D14E4" w:rsidP="006D14E4">
      <w:pPr>
        <w:pStyle w:val="paragraph"/>
      </w:pPr>
      <w:r>
        <w:tab/>
      </w:r>
      <w:r w:rsidR="00E30146">
        <w:t>(a)</w:t>
      </w:r>
      <w:r>
        <w:tab/>
        <w:t>this instrument; or</w:t>
      </w:r>
    </w:p>
    <w:p w14:paraId="6B88A5F6" w14:textId="77777777" w:rsidR="006D14E4" w:rsidRDefault="006D14E4" w:rsidP="006D14E4">
      <w:pPr>
        <w:pStyle w:val="paragraph"/>
      </w:pPr>
      <w:r>
        <w:tab/>
      </w:r>
      <w:r w:rsidR="00E30146">
        <w:t>(b)</w:t>
      </w:r>
      <w:r>
        <w:tab/>
        <w:t xml:space="preserve">the </w:t>
      </w:r>
      <w:r w:rsidRPr="006D14E4">
        <w:t>old rules</w:t>
      </w:r>
      <w:r>
        <w:rPr>
          <w:i/>
        </w:rPr>
        <w:t xml:space="preserve"> </w:t>
      </w:r>
      <w:r>
        <w:t>(as if the old rules had not been repealed).</w:t>
      </w:r>
    </w:p>
    <w:p w14:paraId="7453AF66" w14:textId="77777777" w:rsidR="006D14E4" w:rsidRDefault="006D14E4" w:rsidP="006D14E4">
      <w:pPr>
        <w:pStyle w:val="subsection"/>
      </w:pPr>
      <w:r>
        <w:tab/>
      </w:r>
      <w:r w:rsidR="00E30146">
        <w:t>(4)</w:t>
      </w:r>
      <w:r>
        <w:tab/>
        <w:t>In this section:</w:t>
      </w:r>
    </w:p>
    <w:p w14:paraId="497CD583" w14:textId="77777777" w:rsidR="006D14E4" w:rsidRPr="006D14E4" w:rsidRDefault="006D14E4" w:rsidP="006D14E4">
      <w:pPr>
        <w:pStyle w:val="Definition"/>
      </w:pPr>
      <w:r w:rsidRPr="006D14E4">
        <w:rPr>
          <w:b/>
          <w:i/>
        </w:rPr>
        <w:t>old rules</w:t>
      </w:r>
      <w:r>
        <w:t xml:space="preserve"> </w:t>
      </w:r>
      <w:proofErr w:type="gramStart"/>
      <w:r>
        <w:t>means</w:t>
      </w:r>
      <w:proofErr w:type="gramEnd"/>
      <w:r>
        <w:t xml:space="preserve"> the </w:t>
      </w:r>
      <w:r>
        <w:rPr>
          <w:i/>
        </w:rPr>
        <w:t>National Health (Privacy) Rules 2021</w:t>
      </w:r>
      <w:r>
        <w:t>.</w:t>
      </w:r>
    </w:p>
    <w:p w14:paraId="5517ED5D" w14:textId="77777777" w:rsidR="00201991" w:rsidRPr="00AF5E46" w:rsidRDefault="00201991" w:rsidP="00676DA5">
      <w:pPr>
        <w:pStyle w:val="notedraft"/>
      </w:pPr>
    </w:p>
    <w:p w14:paraId="11F9DC69" w14:textId="77777777" w:rsidR="00C66A96" w:rsidRPr="00AF5E46" w:rsidRDefault="00C66A96" w:rsidP="00FF3F55">
      <w:pPr>
        <w:pStyle w:val="paragraph"/>
      </w:pPr>
    </w:p>
    <w:p w14:paraId="39895088" w14:textId="77777777" w:rsidR="00FF3F55" w:rsidRPr="00AF5E46" w:rsidRDefault="00FF3F55" w:rsidP="00FF3F55">
      <w:pPr>
        <w:pStyle w:val="subsection"/>
      </w:pPr>
    </w:p>
    <w:p w14:paraId="63E34792" w14:textId="77777777" w:rsidR="00E06E87" w:rsidRPr="00AF5E46" w:rsidRDefault="00E06E87" w:rsidP="00E06E87">
      <w:pPr>
        <w:pStyle w:val="subsection"/>
      </w:pPr>
      <w:r w:rsidRPr="00AF5E46">
        <w:tab/>
      </w:r>
    </w:p>
    <w:p w14:paraId="18C5BD05" w14:textId="77777777" w:rsidR="00E06E87" w:rsidRPr="00AF5E46" w:rsidRDefault="00E06E87" w:rsidP="0074507B">
      <w:pPr>
        <w:pStyle w:val="paragraph"/>
        <w:sectPr w:rsidR="00E06E87" w:rsidRPr="00AF5E46"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pPr>
    </w:p>
    <w:p w14:paraId="74F123DB" w14:textId="77777777" w:rsidR="000B627C" w:rsidRPr="00AF5E46" w:rsidRDefault="003F053F" w:rsidP="008F718F">
      <w:pPr>
        <w:pStyle w:val="ActHead1"/>
      </w:pPr>
      <w:bookmarkStart w:id="43" w:name="_Toc171078103"/>
      <w:bookmarkStart w:id="44" w:name="_Toc454512518"/>
      <w:r w:rsidRPr="00AF5E46">
        <w:lastRenderedPageBreak/>
        <w:t>Schedule 1—Data sharing agreements</w:t>
      </w:r>
      <w:bookmarkEnd w:id="43"/>
    </w:p>
    <w:p w14:paraId="61F98DDB" w14:textId="77777777" w:rsidR="00681038" w:rsidRDefault="004B1D88" w:rsidP="004B1D88">
      <w:pPr>
        <w:pStyle w:val="notemargin"/>
      </w:pPr>
      <w:r w:rsidRPr="00AF5E46">
        <w:t>Note:</w:t>
      </w:r>
      <w:r w:rsidRPr="00AF5E46">
        <w:tab/>
        <w:t xml:space="preserve">See </w:t>
      </w:r>
      <w:r w:rsidR="00242487">
        <w:t xml:space="preserve">the definition of “data sharing agreement” in </w:t>
      </w:r>
      <w:r w:rsidRPr="00AF5E46">
        <w:t>section</w:t>
      </w:r>
      <w:r w:rsidR="00242487">
        <w:t> </w:t>
      </w:r>
      <w:r w:rsidR="00521D37">
        <w:t>5</w:t>
      </w:r>
      <w:r w:rsidRPr="00AF5E46">
        <w:t>.</w:t>
      </w:r>
    </w:p>
    <w:p w14:paraId="3DC3E9CB" w14:textId="77777777" w:rsidR="008F1D0A" w:rsidRPr="009500A6" w:rsidRDefault="00E30146" w:rsidP="00681038">
      <w:pPr>
        <w:pStyle w:val="ActHead5"/>
      </w:pPr>
      <w:bookmarkStart w:id="45" w:name="_Toc171078104"/>
      <w:proofErr w:type="gramStart"/>
      <w:r>
        <w:t>1</w:t>
      </w:r>
      <w:r w:rsidR="00681038" w:rsidRPr="009500A6">
        <w:t xml:space="preserve">  </w:t>
      </w:r>
      <w:r w:rsidR="008F1D0A" w:rsidRPr="009500A6">
        <w:t>Requirements</w:t>
      </w:r>
      <w:proofErr w:type="gramEnd"/>
      <w:r w:rsidR="008F1D0A" w:rsidRPr="009500A6">
        <w:t xml:space="preserve"> for data sharing agreements</w:t>
      </w:r>
      <w:bookmarkEnd w:id="45"/>
    </w:p>
    <w:p w14:paraId="1FECE56B" w14:textId="77777777" w:rsidR="00383200" w:rsidRPr="009500A6" w:rsidRDefault="00383200" w:rsidP="00383200">
      <w:pPr>
        <w:pStyle w:val="subsection"/>
      </w:pPr>
      <w:r w:rsidRPr="009500A6">
        <w:tab/>
      </w:r>
      <w:r w:rsidR="00E30146">
        <w:t>(1)</w:t>
      </w:r>
      <w:r w:rsidRPr="009500A6">
        <w:tab/>
        <w:t>A data sharing agreement (including</w:t>
      </w:r>
      <w:r w:rsidR="00945424" w:rsidRPr="009500A6">
        <w:t xml:space="preserve"> such an </w:t>
      </w:r>
      <w:r w:rsidRPr="009500A6">
        <w:t>agreement as varied by the parties to the agreement) must be in writing.</w:t>
      </w:r>
    </w:p>
    <w:p w14:paraId="5E29F716" w14:textId="77777777" w:rsidR="00DB2D5B" w:rsidRPr="009500A6" w:rsidRDefault="00383200" w:rsidP="00383200">
      <w:pPr>
        <w:pStyle w:val="subsection"/>
      </w:pPr>
      <w:r w:rsidRPr="009500A6">
        <w:tab/>
      </w:r>
      <w:r w:rsidR="00E30146">
        <w:t>(2)</w:t>
      </w:r>
      <w:r w:rsidRPr="009500A6">
        <w:tab/>
      </w:r>
      <w:r w:rsidR="00DB2D5B" w:rsidRPr="009500A6">
        <w:t>A data sharing agreement must include the provisions specified in:</w:t>
      </w:r>
    </w:p>
    <w:p w14:paraId="0AF8F032" w14:textId="77777777" w:rsidR="00DB2D5B" w:rsidRPr="002667E9" w:rsidRDefault="006A44A5" w:rsidP="006A44A5">
      <w:pPr>
        <w:pStyle w:val="paragraph"/>
      </w:pPr>
      <w:r>
        <w:tab/>
      </w:r>
      <w:r w:rsidR="00E30146">
        <w:t>(a)</w:t>
      </w:r>
      <w:r>
        <w:tab/>
      </w:r>
      <w:r w:rsidR="008462FF" w:rsidRPr="002667E9">
        <w:t>for a disclosure under subsection </w:t>
      </w:r>
      <w:r w:rsidR="00521D37">
        <w:t>11(6)</w:t>
      </w:r>
      <w:r w:rsidR="008462FF" w:rsidRPr="002667E9">
        <w:t xml:space="preserve"> of this instrument</w:t>
      </w:r>
      <w:r w:rsidR="00DB2D5B" w:rsidRPr="002667E9">
        <w:t>—clause </w:t>
      </w:r>
      <w:r w:rsidR="00521D37">
        <w:t>2</w:t>
      </w:r>
      <w:r w:rsidR="00E36267" w:rsidRPr="002667E9">
        <w:t xml:space="preserve"> of this Schedule</w:t>
      </w:r>
      <w:r w:rsidR="00DB2D5B" w:rsidRPr="002667E9">
        <w:t>; and</w:t>
      </w:r>
    </w:p>
    <w:p w14:paraId="0B23628B" w14:textId="77777777" w:rsidR="00DB2D5B" w:rsidRPr="002667E9" w:rsidRDefault="00DB2D5B" w:rsidP="00DB2D5B">
      <w:pPr>
        <w:pStyle w:val="paragraph"/>
      </w:pPr>
      <w:r w:rsidRPr="002667E9">
        <w:tab/>
      </w:r>
      <w:r w:rsidR="00E30146">
        <w:t>(b)</w:t>
      </w:r>
      <w:r w:rsidRPr="002667E9">
        <w:tab/>
      </w:r>
      <w:r w:rsidR="008462FF" w:rsidRPr="002667E9">
        <w:t>for a disclosure under subsection </w:t>
      </w:r>
      <w:r w:rsidR="00521D37">
        <w:t>11(7)</w:t>
      </w:r>
      <w:r w:rsidR="008462FF" w:rsidRPr="002667E9">
        <w:t xml:space="preserve"> of this instrument</w:t>
      </w:r>
      <w:r w:rsidRPr="002667E9">
        <w:t>—clause </w:t>
      </w:r>
      <w:r w:rsidR="00521D37">
        <w:t>3</w:t>
      </w:r>
      <w:r w:rsidR="00E36267" w:rsidRPr="002667E9">
        <w:t xml:space="preserve"> of this Schedule</w:t>
      </w:r>
      <w:r w:rsidRPr="002667E9">
        <w:t>.</w:t>
      </w:r>
    </w:p>
    <w:p w14:paraId="678820B2" w14:textId="77777777" w:rsidR="003F053F" w:rsidRPr="00AF5E46" w:rsidRDefault="00E30146" w:rsidP="008F1D0A">
      <w:pPr>
        <w:pStyle w:val="ActHead5"/>
      </w:pPr>
      <w:bookmarkStart w:id="46" w:name="_Toc171078105"/>
      <w:proofErr w:type="gramStart"/>
      <w:r>
        <w:t>2</w:t>
      </w:r>
      <w:r w:rsidR="008F1D0A" w:rsidRPr="00AF5E46">
        <w:t xml:space="preserve">  </w:t>
      </w:r>
      <w:r w:rsidR="00B166D6">
        <w:t>D</w:t>
      </w:r>
      <w:r w:rsidR="003F053F" w:rsidRPr="00AF5E46">
        <w:t>ata</w:t>
      </w:r>
      <w:proofErr w:type="gramEnd"/>
      <w:r w:rsidR="003F053F" w:rsidRPr="00AF5E46">
        <w:t xml:space="preserve"> sharing agreement</w:t>
      </w:r>
      <w:r w:rsidR="00B166D6">
        <w:t>s</w:t>
      </w:r>
      <w:r w:rsidR="007A7452" w:rsidRPr="002667E9">
        <w:t>—</w:t>
      </w:r>
      <w:r w:rsidR="008462FF" w:rsidRPr="002667E9">
        <w:t>disclosure under</w:t>
      </w:r>
      <w:r w:rsidR="00872539" w:rsidRPr="002667E9">
        <w:t xml:space="preserve"> </w:t>
      </w:r>
      <w:r w:rsidR="007A7452" w:rsidRPr="002667E9">
        <w:t>subsection </w:t>
      </w:r>
      <w:r w:rsidR="00521D37">
        <w:t>11(6)</w:t>
      </w:r>
      <w:bookmarkEnd w:id="46"/>
    </w:p>
    <w:p w14:paraId="6C5B4153" w14:textId="77777777" w:rsidR="000941E7" w:rsidRPr="00C95BDF" w:rsidRDefault="000941E7" w:rsidP="000941E7">
      <w:pPr>
        <w:pStyle w:val="SubsectionHead"/>
      </w:pPr>
      <w:r w:rsidRPr="00AF5E46">
        <w:t>Data sharing agreement must deal with how disclosed claims information can be used</w:t>
      </w:r>
    </w:p>
    <w:p w14:paraId="03E6063E" w14:textId="77777777" w:rsidR="000941E7" w:rsidRPr="00AF5E46" w:rsidRDefault="000941E7" w:rsidP="000941E7">
      <w:pPr>
        <w:pStyle w:val="subsection"/>
      </w:pPr>
      <w:r w:rsidRPr="00AF5E46">
        <w:tab/>
      </w:r>
      <w:r w:rsidR="00E30146">
        <w:t>(1)</w:t>
      </w:r>
      <w:r w:rsidRPr="00AF5E46">
        <w:tab/>
        <w:t>A data sharing agreement must:</w:t>
      </w:r>
    </w:p>
    <w:p w14:paraId="2A8A1A05" w14:textId="77777777" w:rsidR="000941E7" w:rsidRPr="00AF5E46" w:rsidRDefault="000941E7" w:rsidP="000941E7">
      <w:pPr>
        <w:pStyle w:val="paragraph"/>
      </w:pPr>
      <w:r w:rsidRPr="00AF5E46">
        <w:tab/>
      </w:r>
      <w:r w:rsidR="00E30146">
        <w:t>(a)</w:t>
      </w:r>
      <w:r w:rsidRPr="00AF5E46">
        <w:tab/>
        <w:t>specify the purposes for which the recipient may use the information disclosed under the agreement; and</w:t>
      </w:r>
    </w:p>
    <w:p w14:paraId="0F14ECB7" w14:textId="77777777" w:rsidR="000941E7" w:rsidRPr="00AF5E46" w:rsidRDefault="000941E7" w:rsidP="000941E7">
      <w:pPr>
        <w:pStyle w:val="paragraph"/>
      </w:pPr>
      <w:r w:rsidRPr="00AF5E46">
        <w:tab/>
      </w:r>
      <w:r w:rsidR="00E30146">
        <w:t>(b)</w:t>
      </w:r>
      <w:r w:rsidRPr="00AF5E46">
        <w:tab/>
        <w:t>not permit the recipient to use the information for other purposes.</w:t>
      </w:r>
    </w:p>
    <w:p w14:paraId="30C9D31E" w14:textId="77777777" w:rsidR="000941E7" w:rsidRPr="000941E7" w:rsidRDefault="000941E7" w:rsidP="000941E7">
      <w:pPr>
        <w:pStyle w:val="subsection"/>
      </w:pPr>
      <w:r w:rsidRPr="000941E7">
        <w:tab/>
      </w:r>
      <w:r w:rsidR="00E30146">
        <w:t>(2)</w:t>
      </w:r>
      <w:r w:rsidRPr="000941E7">
        <w:tab/>
        <w:t>The purposes may only be one or more of the following:</w:t>
      </w:r>
    </w:p>
    <w:p w14:paraId="49B4E6F0" w14:textId="77777777" w:rsidR="000941E7" w:rsidRPr="000941E7" w:rsidRDefault="000941E7" w:rsidP="000941E7">
      <w:pPr>
        <w:pStyle w:val="paragraph"/>
      </w:pPr>
      <w:r w:rsidRPr="000941E7">
        <w:tab/>
      </w:r>
      <w:r w:rsidR="00E30146">
        <w:t>(a)</w:t>
      </w:r>
      <w:r w:rsidRPr="000941E7">
        <w:tab/>
        <w:t>use for research (</w:t>
      </w:r>
      <w:r w:rsidR="006A44A5" w:rsidRPr="002667E9">
        <w:t xml:space="preserve">other than </w:t>
      </w:r>
      <w:r w:rsidRPr="000941E7">
        <w:t>medical research);</w:t>
      </w:r>
    </w:p>
    <w:p w14:paraId="3C0C5224" w14:textId="77777777" w:rsidR="000941E7" w:rsidRPr="000941E7" w:rsidRDefault="000941E7" w:rsidP="000941E7">
      <w:pPr>
        <w:pStyle w:val="paragraph"/>
      </w:pPr>
      <w:r w:rsidRPr="000941E7">
        <w:tab/>
      </w:r>
      <w:r w:rsidR="00E30146">
        <w:t>(b)</w:t>
      </w:r>
      <w:r w:rsidRPr="000941E7">
        <w:tab/>
        <w:t>statistical analysis;</w:t>
      </w:r>
    </w:p>
    <w:p w14:paraId="3FB7F776" w14:textId="77777777" w:rsidR="000941E7" w:rsidRDefault="000941E7" w:rsidP="000941E7">
      <w:pPr>
        <w:pStyle w:val="paragraph"/>
      </w:pPr>
      <w:r w:rsidRPr="000941E7">
        <w:tab/>
      </w:r>
      <w:r w:rsidR="00E30146">
        <w:t>(c)</w:t>
      </w:r>
      <w:r w:rsidRPr="000941E7">
        <w:tab/>
        <w:t>development of government policies and programs;</w:t>
      </w:r>
    </w:p>
    <w:p w14:paraId="0F9D2F2E" w14:textId="77777777" w:rsidR="00E837DE" w:rsidRDefault="00E837DE" w:rsidP="00E837DE">
      <w:pPr>
        <w:pStyle w:val="paragraph"/>
      </w:pPr>
      <w:r w:rsidRPr="000941E7">
        <w:tab/>
      </w:r>
      <w:r w:rsidR="00E30146">
        <w:t>(d)</w:t>
      </w:r>
      <w:r w:rsidRPr="000941E7">
        <w:tab/>
        <w:t xml:space="preserve">consulting as described in </w:t>
      </w:r>
      <w:r w:rsidR="00BA2678">
        <w:t>subsection </w:t>
      </w:r>
      <w:r w:rsidR="00521D37">
        <w:t>11(8)</w:t>
      </w:r>
      <w:r>
        <w:t>;</w:t>
      </w:r>
    </w:p>
    <w:p w14:paraId="1C27ABDD" w14:textId="77777777" w:rsidR="00E837DE" w:rsidRDefault="00131739" w:rsidP="00E837DE">
      <w:pPr>
        <w:pStyle w:val="paragraph"/>
      </w:pPr>
      <w:r>
        <w:tab/>
      </w:r>
      <w:r w:rsidR="00E30146">
        <w:t>(e)</w:t>
      </w:r>
      <w:r>
        <w:tab/>
        <w:t>linking claims information as described in section </w:t>
      </w:r>
      <w:r w:rsidR="00521D37">
        <w:t>14</w:t>
      </w:r>
      <w:r w:rsidR="00E837DE">
        <w:t>.</w:t>
      </w:r>
    </w:p>
    <w:p w14:paraId="38F900F2" w14:textId="77777777" w:rsidR="00D96B82" w:rsidRPr="00AF5E46" w:rsidRDefault="00D96B82" w:rsidP="00D96B82">
      <w:pPr>
        <w:pStyle w:val="SubsectionHead"/>
      </w:pPr>
      <w:r w:rsidRPr="00AF5E46">
        <w:t>Data sharing agreement must deal with re-identification of de</w:t>
      </w:r>
      <w:r w:rsidRPr="00AF5E46">
        <w:noBreakHyphen/>
        <w:t>identified claims information</w:t>
      </w:r>
    </w:p>
    <w:p w14:paraId="43A61E94" w14:textId="77777777" w:rsidR="000941E7" w:rsidRDefault="000941E7" w:rsidP="000941E7">
      <w:pPr>
        <w:pStyle w:val="subsection"/>
      </w:pPr>
      <w:r w:rsidRPr="00AF5E46">
        <w:tab/>
      </w:r>
      <w:r w:rsidR="00E30146">
        <w:t>(3)</w:t>
      </w:r>
      <w:r w:rsidRPr="00AF5E46">
        <w:tab/>
        <w:t>A data sharing agreement must include a requirement that, if de</w:t>
      </w:r>
      <w:r w:rsidRPr="00AF5E46">
        <w:noBreakHyphen/>
        <w:t>identified claims information is disclosed to the recipient in accordance with the agreement, the recipient is not to</w:t>
      </w:r>
      <w:r w:rsidRPr="00C95BDF">
        <w:t xml:space="preserve"> </w:t>
      </w:r>
      <w:r w:rsidRPr="00AF5E46">
        <w:t>re</w:t>
      </w:r>
      <w:r w:rsidRPr="00AF5E46">
        <w:noBreakHyphen/>
        <w:t>identify the information</w:t>
      </w:r>
      <w:r>
        <w:t xml:space="preserve"> other than in accordance with the agreement</w:t>
      </w:r>
      <w:r w:rsidRPr="00AF5E46">
        <w:t>.</w:t>
      </w:r>
    </w:p>
    <w:p w14:paraId="56EFE55D" w14:textId="77777777" w:rsidR="003F053F" w:rsidRPr="00AF5E46" w:rsidRDefault="00A34EC0" w:rsidP="00CD7CCF">
      <w:pPr>
        <w:pStyle w:val="subsection"/>
      </w:pPr>
      <w:r w:rsidRPr="00AF5E46">
        <w:tab/>
      </w:r>
      <w:r w:rsidR="00E30146">
        <w:t>(4)</w:t>
      </w:r>
      <w:r w:rsidRPr="00AF5E46">
        <w:tab/>
        <w:t xml:space="preserve">A data sharing agreement must include </w:t>
      </w:r>
      <w:r w:rsidR="00CD7CCF" w:rsidRPr="00AF5E46">
        <w:t xml:space="preserve">a requirement that, </w:t>
      </w:r>
      <w:r w:rsidR="003F053F" w:rsidRPr="00AF5E46">
        <w:t>if:</w:t>
      </w:r>
    </w:p>
    <w:p w14:paraId="4C3EF335" w14:textId="77777777" w:rsidR="003F053F" w:rsidRPr="00AF5E46" w:rsidRDefault="003F053F" w:rsidP="00CD7CCF">
      <w:pPr>
        <w:pStyle w:val="paragraph"/>
      </w:pPr>
      <w:r w:rsidRPr="00AF5E46">
        <w:tab/>
      </w:r>
      <w:r w:rsidR="00E30146">
        <w:t>(a)</w:t>
      </w:r>
      <w:r w:rsidRPr="00AF5E46">
        <w:tab/>
        <w:t>the recipient re</w:t>
      </w:r>
      <w:r w:rsidRPr="00AF5E46">
        <w:noBreakHyphen/>
        <w:t>identifies claims information, whether advertently or inadvertently; and</w:t>
      </w:r>
    </w:p>
    <w:p w14:paraId="26050A9A" w14:textId="77777777" w:rsidR="003F053F" w:rsidRPr="00AF5E46" w:rsidRDefault="003F053F" w:rsidP="00CD7CCF">
      <w:pPr>
        <w:pStyle w:val="paragraph"/>
      </w:pPr>
      <w:r w:rsidRPr="00AF5E46">
        <w:tab/>
      </w:r>
      <w:r w:rsidR="00E30146">
        <w:t>(b)</w:t>
      </w:r>
      <w:r w:rsidRPr="00AF5E46">
        <w:tab/>
        <w:t>the re</w:t>
      </w:r>
      <w:r w:rsidRPr="00AF5E46">
        <w:noBreakHyphen/>
        <w:t>identification was not in accordance</w:t>
      </w:r>
      <w:r w:rsidR="00214593">
        <w:t xml:space="preserve"> </w:t>
      </w:r>
      <w:r w:rsidR="00214593" w:rsidRPr="008C05A5">
        <w:t>with</w:t>
      </w:r>
      <w:r w:rsidRPr="008C05A5">
        <w:t xml:space="preserve"> </w:t>
      </w:r>
      <w:r w:rsidRPr="00AF5E46">
        <w:t>the agreement;</w:t>
      </w:r>
    </w:p>
    <w:p w14:paraId="2A748153" w14:textId="77777777" w:rsidR="003F053F" w:rsidRPr="00AF5E46" w:rsidRDefault="003F053F" w:rsidP="00CD7CCF">
      <w:pPr>
        <w:pStyle w:val="subsection2"/>
      </w:pPr>
      <w:r w:rsidRPr="00AF5E46">
        <w:t xml:space="preserve">the recipient </w:t>
      </w:r>
      <w:r w:rsidR="00CD7CCF" w:rsidRPr="00AF5E46">
        <w:t xml:space="preserve">must </w:t>
      </w:r>
      <w:r w:rsidRPr="00AF5E46">
        <w:t>notify the disclosing agency of:</w:t>
      </w:r>
    </w:p>
    <w:p w14:paraId="52921CA7" w14:textId="77777777" w:rsidR="003F053F" w:rsidRPr="00AF5E46" w:rsidRDefault="003F053F" w:rsidP="00CD7CCF">
      <w:pPr>
        <w:pStyle w:val="paragraph"/>
      </w:pPr>
      <w:r w:rsidRPr="00AF5E46">
        <w:tab/>
      </w:r>
      <w:r w:rsidR="00E30146">
        <w:t>(c)</w:t>
      </w:r>
      <w:r w:rsidRPr="00AF5E46">
        <w:tab/>
        <w:t>that fact; and</w:t>
      </w:r>
    </w:p>
    <w:p w14:paraId="4A6201CB" w14:textId="77777777" w:rsidR="003F053F" w:rsidRPr="00AF5E46" w:rsidRDefault="003F053F" w:rsidP="00CD7CCF">
      <w:pPr>
        <w:pStyle w:val="paragraph"/>
      </w:pPr>
      <w:r w:rsidRPr="00AF5E46">
        <w:tab/>
      </w:r>
      <w:r w:rsidR="00E30146">
        <w:t>(d)</w:t>
      </w:r>
      <w:r w:rsidRPr="00AF5E46">
        <w:tab/>
        <w:t>the steps the recipient has taken to:</w:t>
      </w:r>
    </w:p>
    <w:p w14:paraId="2CEB9B65" w14:textId="77777777" w:rsidR="00CD7CCF" w:rsidRPr="00AF5E46" w:rsidRDefault="003F053F" w:rsidP="00CD7CCF">
      <w:pPr>
        <w:pStyle w:val="paragraphsub"/>
      </w:pPr>
      <w:r w:rsidRPr="00AF5E46">
        <w:tab/>
      </w:r>
      <w:r w:rsidR="00E30146">
        <w:t>(</w:t>
      </w:r>
      <w:proofErr w:type="spellStart"/>
      <w:r w:rsidR="00E30146">
        <w:t>i</w:t>
      </w:r>
      <w:proofErr w:type="spellEnd"/>
      <w:r w:rsidR="00E30146">
        <w:t>)</w:t>
      </w:r>
      <w:r w:rsidRPr="00AF5E46">
        <w:tab/>
      </w:r>
      <w:r w:rsidR="00636269" w:rsidRPr="00AF5E46">
        <w:t>either destroy the re</w:t>
      </w:r>
      <w:r w:rsidR="00636269" w:rsidRPr="00AF5E46">
        <w:noBreakHyphen/>
        <w:t>identified information, or de</w:t>
      </w:r>
      <w:r w:rsidR="00636269" w:rsidRPr="00AF5E46">
        <w:noBreakHyphen/>
        <w:t>identify it</w:t>
      </w:r>
      <w:r w:rsidRPr="00AF5E46">
        <w:t>; and</w:t>
      </w:r>
    </w:p>
    <w:p w14:paraId="65B53294" w14:textId="77777777" w:rsidR="003F053F" w:rsidRDefault="003F053F" w:rsidP="00CD7CCF">
      <w:pPr>
        <w:pStyle w:val="paragraphsub"/>
      </w:pPr>
      <w:r w:rsidRPr="00AF5E46">
        <w:tab/>
      </w:r>
      <w:r w:rsidR="00E30146">
        <w:t>(ii)</w:t>
      </w:r>
      <w:r w:rsidRPr="00AF5E46">
        <w:tab/>
        <w:t>prevent further claims information being re</w:t>
      </w:r>
      <w:r w:rsidRPr="00AF5E46">
        <w:noBreakHyphen/>
        <w:t>identified</w:t>
      </w:r>
      <w:r w:rsidR="00CD7CCF" w:rsidRPr="00AF5E46">
        <w:t>.</w:t>
      </w:r>
    </w:p>
    <w:p w14:paraId="73623D24" w14:textId="77777777" w:rsidR="00D96B82" w:rsidRPr="00C95BDF" w:rsidRDefault="00D96B82" w:rsidP="00D96B82">
      <w:pPr>
        <w:pStyle w:val="SubsectionHead"/>
      </w:pPr>
      <w:r w:rsidRPr="00AF5E46">
        <w:lastRenderedPageBreak/>
        <w:t>Data sharing agreement must not permit disclosure of claims information</w:t>
      </w:r>
    </w:p>
    <w:p w14:paraId="1AD08511" w14:textId="77777777" w:rsidR="00596624" w:rsidRDefault="004D6163" w:rsidP="004D6163">
      <w:pPr>
        <w:pStyle w:val="subsection"/>
      </w:pPr>
      <w:r w:rsidRPr="00AF5E46">
        <w:tab/>
      </w:r>
      <w:r w:rsidR="00E30146">
        <w:t>(5)</w:t>
      </w:r>
      <w:r w:rsidRPr="00AF5E46">
        <w:tab/>
        <w:t xml:space="preserve">A data sharing agreement must </w:t>
      </w:r>
      <w:r w:rsidR="00596624" w:rsidRPr="00AF5E46">
        <w:t xml:space="preserve">not permit the </w:t>
      </w:r>
      <w:r w:rsidRPr="00AF5E46">
        <w:t xml:space="preserve">recipient </w:t>
      </w:r>
      <w:r w:rsidR="00596624" w:rsidRPr="00AF5E46">
        <w:t xml:space="preserve">to </w:t>
      </w:r>
      <w:r w:rsidR="000941E7" w:rsidRPr="000941E7">
        <w:t>on</w:t>
      </w:r>
      <w:r w:rsidR="000941E7" w:rsidRPr="000941E7">
        <w:noBreakHyphen/>
      </w:r>
      <w:r w:rsidR="002F2F27" w:rsidRPr="000941E7">
        <w:t xml:space="preserve">disclose </w:t>
      </w:r>
      <w:r w:rsidR="00C753A4">
        <w:t xml:space="preserve">claims </w:t>
      </w:r>
      <w:r w:rsidR="002F2F27" w:rsidRPr="000941E7">
        <w:t>information that was disclosed under the data sharing agreement</w:t>
      </w:r>
      <w:r w:rsidR="00596624" w:rsidRPr="000941E7">
        <w:t>.</w:t>
      </w:r>
    </w:p>
    <w:p w14:paraId="4C8DA1BC" w14:textId="77777777" w:rsidR="00C753A4" w:rsidRPr="000941E7" w:rsidRDefault="00C753A4" w:rsidP="00C753A4">
      <w:pPr>
        <w:pStyle w:val="notetext"/>
      </w:pPr>
      <w:r>
        <w:t>Note:</w:t>
      </w:r>
      <w:r>
        <w:tab/>
        <w:t>A data sharing agreement will not have the effect of preventing a recipient from disclosing information such as de-identified or aggregated information which was derived from, but no longer is, claims information.</w:t>
      </w:r>
    </w:p>
    <w:p w14:paraId="70828ADA" w14:textId="77777777" w:rsidR="003F053F" w:rsidRPr="00AF5E46" w:rsidRDefault="00E30146" w:rsidP="003F053F">
      <w:pPr>
        <w:pStyle w:val="ActHead5"/>
      </w:pPr>
      <w:bookmarkStart w:id="47" w:name="_Toc171078106"/>
      <w:proofErr w:type="gramStart"/>
      <w:r>
        <w:t>3</w:t>
      </w:r>
      <w:r w:rsidR="003F053F" w:rsidRPr="00AF5E46">
        <w:t xml:space="preserve">  </w:t>
      </w:r>
      <w:r w:rsidR="00B166D6">
        <w:t>Data</w:t>
      </w:r>
      <w:proofErr w:type="gramEnd"/>
      <w:r w:rsidR="00B166D6">
        <w:t xml:space="preserve"> sharing agreements</w:t>
      </w:r>
      <w:r w:rsidR="007A7452" w:rsidRPr="002667E9">
        <w:t>—</w:t>
      </w:r>
      <w:r w:rsidR="008462FF" w:rsidRPr="002667E9">
        <w:t xml:space="preserve">disclosure under </w:t>
      </w:r>
      <w:r w:rsidR="007A7452" w:rsidRPr="002667E9">
        <w:t>subsection </w:t>
      </w:r>
      <w:r w:rsidR="00521D37">
        <w:t>11(7)</w:t>
      </w:r>
      <w:bookmarkEnd w:id="47"/>
    </w:p>
    <w:p w14:paraId="5B15BA11" w14:textId="77777777" w:rsidR="00B166D6" w:rsidRPr="00C95BDF" w:rsidRDefault="00B166D6" w:rsidP="00B166D6">
      <w:pPr>
        <w:pStyle w:val="SubsectionHead"/>
      </w:pPr>
      <w:r w:rsidRPr="00AF5E46">
        <w:t>Data sharing agreement must deal with how disclosed claims information can be used</w:t>
      </w:r>
    </w:p>
    <w:p w14:paraId="6B8FF52A" w14:textId="77777777" w:rsidR="00B166D6" w:rsidRPr="00AF5E46" w:rsidRDefault="00B166D6" w:rsidP="00B166D6">
      <w:pPr>
        <w:pStyle w:val="subsection"/>
      </w:pPr>
      <w:r w:rsidRPr="00AF5E46">
        <w:tab/>
      </w:r>
      <w:r w:rsidR="00E30146">
        <w:t>(1)</w:t>
      </w:r>
      <w:r w:rsidRPr="00AF5E46">
        <w:tab/>
        <w:t>A data sharing agreement must:</w:t>
      </w:r>
    </w:p>
    <w:p w14:paraId="0CBD480B" w14:textId="77777777" w:rsidR="00B166D6" w:rsidRPr="00AF5E46" w:rsidRDefault="00B166D6" w:rsidP="00B166D6">
      <w:pPr>
        <w:pStyle w:val="paragraph"/>
      </w:pPr>
      <w:r w:rsidRPr="00AF5E46">
        <w:tab/>
      </w:r>
      <w:r w:rsidR="00E30146">
        <w:t>(a)</w:t>
      </w:r>
      <w:r w:rsidRPr="00AF5E46">
        <w:tab/>
        <w:t>specify the purpose for which the recipient may use the information disclosed under the agreement</w:t>
      </w:r>
      <w:r w:rsidR="00AA4B7F">
        <w:t xml:space="preserve"> as use for medical research</w:t>
      </w:r>
      <w:r w:rsidRPr="00AF5E46">
        <w:t>; and</w:t>
      </w:r>
    </w:p>
    <w:p w14:paraId="5481842B" w14:textId="77777777" w:rsidR="00B166D6" w:rsidRPr="00AF5E46" w:rsidRDefault="00B166D6" w:rsidP="00B166D6">
      <w:pPr>
        <w:pStyle w:val="paragraph"/>
      </w:pPr>
      <w:r w:rsidRPr="00AF5E46">
        <w:tab/>
      </w:r>
      <w:r w:rsidR="00E30146">
        <w:t>(b)</w:t>
      </w:r>
      <w:r w:rsidRPr="00AF5E46">
        <w:tab/>
        <w:t>not permit the recipient to use the information for other purposes.</w:t>
      </w:r>
    </w:p>
    <w:p w14:paraId="07B84BFA" w14:textId="77777777" w:rsidR="00B166D6" w:rsidRPr="00AF5E46" w:rsidRDefault="00B166D6" w:rsidP="00B166D6">
      <w:pPr>
        <w:pStyle w:val="SubsectionHead"/>
      </w:pPr>
      <w:r w:rsidRPr="00AF5E46">
        <w:t>Data sharing agreement must deal with re-identification of de</w:t>
      </w:r>
      <w:r w:rsidRPr="00AF5E46">
        <w:noBreakHyphen/>
        <w:t>identified claims information</w:t>
      </w:r>
    </w:p>
    <w:p w14:paraId="44476DF1" w14:textId="77777777" w:rsidR="00B166D6" w:rsidRDefault="00B166D6" w:rsidP="00B166D6">
      <w:pPr>
        <w:pStyle w:val="subsection"/>
      </w:pPr>
      <w:r w:rsidRPr="00AF5E46">
        <w:tab/>
      </w:r>
      <w:r w:rsidR="00E30146">
        <w:t>(2)</w:t>
      </w:r>
      <w:r w:rsidRPr="00AF5E46">
        <w:tab/>
        <w:t>A data sharing agreement must include a requirement that, if de</w:t>
      </w:r>
      <w:r w:rsidRPr="00AF5E46">
        <w:noBreakHyphen/>
        <w:t>identified claims information is disclosed to the recipient in accordance with the agreement, the recipient is not to</w:t>
      </w:r>
      <w:r w:rsidRPr="00C95BDF">
        <w:t xml:space="preserve"> </w:t>
      </w:r>
      <w:r w:rsidRPr="00AF5E46">
        <w:t>re</w:t>
      </w:r>
      <w:r w:rsidRPr="00AF5E46">
        <w:noBreakHyphen/>
        <w:t>identify the information</w:t>
      </w:r>
      <w:r>
        <w:t xml:space="preserve"> other than in accordance with the agreement</w:t>
      </w:r>
      <w:r w:rsidRPr="00AF5E46">
        <w:t>.</w:t>
      </w:r>
    </w:p>
    <w:p w14:paraId="03519244" w14:textId="77777777" w:rsidR="00B166D6" w:rsidRPr="00AF5E46" w:rsidRDefault="00B166D6" w:rsidP="00B166D6">
      <w:pPr>
        <w:pStyle w:val="subsection"/>
      </w:pPr>
      <w:r w:rsidRPr="00AF5E46">
        <w:tab/>
      </w:r>
      <w:r w:rsidR="00E30146">
        <w:t>(3)</w:t>
      </w:r>
      <w:r w:rsidRPr="00AF5E46">
        <w:tab/>
        <w:t>A data sharing agreement must include a requirement that, if:</w:t>
      </w:r>
    </w:p>
    <w:p w14:paraId="6B64FAC4" w14:textId="77777777" w:rsidR="00B166D6" w:rsidRPr="00AF5E46" w:rsidRDefault="00B166D6" w:rsidP="00B166D6">
      <w:pPr>
        <w:pStyle w:val="paragraph"/>
      </w:pPr>
      <w:r w:rsidRPr="00AF5E46">
        <w:tab/>
      </w:r>
      <w:r w:rsidR="00E30146">
        <w:t>(a)</w:t>
      </w:r>
      <w:r w:rsidRPr="00AF5E46">
        <w:tab/>
        <w:t>the recipient re</w:t>
      </w:r>
      <w:r w:rsidRPr="00AF5E46">
        <w:noBreakHyphen/>
        <w:t>identifies claims information, whether advertently or inadvertently; and</w:t>
      </w:r>
    </w:p>
    <w:p w14:paraId="1BF516A9" w14:textId="77777777" w:rsidR="00B166D6" w:rsidRPr="00AF5E46" w:rsidRDefault="00B166D6" w:rsidP="00B166D6">
      <w:pPr>
        <w:pStyle w:val="paragraph"/>
      </w:pPr>
      <w:r w:rsidRPr="00AF5E46">
        <w:tab/>
      </w:r>
      <w:r w:rsidR="00E30146">
        <w:t>(b)</w:t>
      </w:r>
      <w:r w:rsidRPr="00AF5E46">
        <w:tab/>
        <w:t>the re</w:t>
      </w:r>
      <w:r w:rsidRPr="00AF5E46">
        <w:noBreakHyphen/>
        <w:t>identification was not in accordance</w:t>
      </w:r>
      <w:r>
        <w:t xml:space="preserve"> </w:t>
      </w:r>
      <w:r w:rsidRPr="008C05A5">
        <w:t xml:space="preserve">with </w:t>
      </w:r>
      <w:r w:rsidRPr="00AF5E46">
        <w:t>the agreement;</w:t>
      </w:r>
    </w:p>
    <w:p w14:paraId="247319B4" w14:textId="77777777" w:rsidR="00B166D6" w:rsidRPr="00AF5E46" w:rsidRDefault="00B166D6" w:rsidP="00B166D6">
      <w:pPr>
        <w:pStyle w:val="subsection2"/>
      </w:pPr>
      <w:r w:rsidRPr="00AF5E46">
        <w:t>the recipient must notify the disclosing agency of:</w:t>
      </w:r>
    </w:p>
    <w:p w14:paraId="6EADCCBA" w14:textId="77777777" w:rsidR="00B166D6" w:rsidRPr="00AF5E46" w:rsidRDefault="00B166D6" w:rsidP="00B166D6">
      <w:pPr>
        <w:pStyle w:val="paragraph"/>
      </w:pPr>
      <w:r w:rsidRPr="00AF5E46">
        <w:tab/>
      </w:r>
      <w:r w:rsidR="00E30146">
        <w:t>(c)</w:t>
      </w:r>
      <w:r w:rsidRPr="00AF5E46">
        <w:tab/>
        <w:t>that fact; and</w:t>
      </w:r>
    </w:p>
    <w:p w14:paraId="1C940092" w14:textId="77777777" w:rsidR="00B166D6" w:rsidRPr="00AF5E46" w:rsidRDefault="00B166D6" w:rsidP="00B166D6">
      <w:pPr>
        <w:pStyle w:val="paragraph"/>
      </w:pPr>
      <w:r w:rsidRPr="00AF5E46">
        <w:tab/>
      </w:r>
      <w:r w:rsidR="00E30146">
        <w:t>(d)</w:t>
      </w:r>
      <w:r w:rsidRPr="00AF5E46">
        <w:tab/>
        <w:t>the steps the recipient has taken to:</w:t>
      </w:r>
    </w:p>
    <w:p w14:paraId="74E6A466" w14:textId="77777777" w:rsidR="00B166D6" w:rsidRPr="00AF5E46" w:rsidRDefault="00B166D6" w:rsidP="00B166D6">
      <w:pPr>
        <w:pStyle w:val="paragraphsub"/>
      </w:pPr>
      <w:r w:rsidRPr="00AF5E46">
        <w:tab/>
      </w:r>
      <w:r w:rsidR="00E30146">
        <w:t>(</w:t>
      </w:r>
      <w:proofErr w:type="spellStart"/>
      <w:r w:rsidR="00E30146">
        <w:t>i</w:t>
      </w:r>
      <w:proofErr w:type="spellEnd"/>
      <w:r w:rsidR="00E30146">
        <w:t>)</w:t>
      </w:r>
      <w:r w:rsidRPr="00AF5E46">
        <w:tab/>
        <w:t>either destroy the re</w:t>
      </w:r>
      <w:r w:rsidRPr="00AF5E46">
        <w:noBreakHyphen/>
        <w:t>identified information, or de</w:t>
      </w:r>
      <w:r w:rsidRPr="00AF5E46">
        <w:noBreakHyphen/>
        <w:t>identify it; and</w:t>
      </w:r>
    </w:p>
    <w:p w14:paraId="4F3DC235" w14:textId="77777777" w:rsidR="00B166D6" w:rsidRDefault="00B166D6" w:rsidP="00B166D6">
      <w:pPr>
        <w:pStyle w:val="paragraphsub"/>
      </w:pPr>
      <w:r w:rsidRPr="00AF5E46">
        <w:tab/>
      </w:r>
      <w:r w:rsidR="00E30146">
        <w:t>(ii)</w:t>
      </w:r>
      <w:r w:rsidRPr="00AF5E46">
        <w:tab/>
        <w:t>prevent further claims information being re</w:t>
      </w:r>
      <w:r w:rsidRPr="00AF5E46">
        <w:noBreakHyphen/>
        <w:t>identified.</w:t>
      </w:r>
    </w:p>
    <w:p w14:paraId="0F504D7D" w14:textId="77777777" w:rsidR="00B166D6" w:rsidRPr="00C95BDF" w:rsidRDefault="00B166D6" w:rsidP="00B166D6">
      <w:pPr>
        <w:pStyle w:val="SubsectionHead"/>
      </w:pPr>
      <w:r w:rsidRPr="00AF5E46">
        <w:t>Data sharing agreement must not permit disclosure of claims information</w:t>
      </w:r>
    </w:p>
    <w:p w14:paraId="16B96CE9" w14:textId="77777777" w:rsidR="00B166D6" w:rsidRDefault="00B166D6" w:rsidP="00B166D6">
      <w:pPr>
        <w:pStyle w:val="subsection"/>
      </w:pPr>
      <w:r w:rsidRPr="00AF5E46">
        <w:tab/>
      </w:r>
      <w:r w:rsidR="00E30146">
        <w:t>(4)</w:t>
      </w:r>
      <w:r w:rsidRPr="00AF5E46">
        <w:tab/>
        <w:t xml:space="preserve">A data sharing agreement must not permit the recipient to </w:t>
      </w:r>
      <w:r w:rsidRPr="000941E7">
        <w:t>on</w:t>
      </w:r>
      <w:r w:rsidRPr="000941E7">
        <w:noBreakHyphen/>
        <w:t xml:space="preserve">disclose </w:t>
      </w:r>
      <w:r>
        <w:t xml:space="preserve">claims </w:t>
      </w:r>
      <w:r w:rsidRPr="000941E7">
        <w:t>information that was disclosed under the data sharing agreement.</w:t>
      </w:r>
    </w:p>
    <w:p w14:paraId="6293D878" w14:textId="77777777" w:rsidR="00B166D6" w:rsidRPr="000941E7" w:rsidRDefault="00B166D6" w:rsidP="00B166D6">
      <w:pPr>
        <w:pStyle w:val="notetext"/>
      </w:pPr>
      <w:r>
        <w:t>Note:</w:t>
      </w:r>
      <w:r>
        <w:tab/>
        <w:t>A data sharing agreement will not have the effect of preventing a recipient from disclosing information such as de-identified or aggregated information which was derived from, but no longer is, claims information.</w:t>
      </w:r>
    </w:p>
    <w:p w14:paraId="5CE46BC7" w14:textId="77777777" w:rsidR="00D96B82" w:rsidRPr="00AF5E46" w:rsidRDefault="00D96B82" w:rsidP="00D96B82">
      <w:pPr>
        <w:pStyle w:val="SubsectionHead"/>
      </w:pPr>
      <w:r w:rsidRPr="00AF5E46">
        <w:t>Data sharing agreement must require compliance with Australian Privacy Principles in appropriate cases</w:t>
      </w:r>
    </w:p>
    <w:p w14:paraId="4207989F" w14:textId="77777777" w:rsidR="003F053F" w:rsidRDefault="00D26B0D" w:rsidP="00D26B0D">
      <w:pPr>
        <w:pStyle w:val="subsection"/>
      </w:pPr>
      <w:r w:rsidRPr="00AF5E46">
        <w:tab/>
      </w:r>
      <w:r w:rsidR="00E30146">
        <w:t>(5)</w:t>
      </w:r>
      <w:r w:rsidRPr="00AF5E46">
        <w:tab/>
      </w:r>
      <w:r w:rsidR="0018567F" w:rsidRPr="00AF5E46">
        <w:t>A</w:t>
      </w:r>
      <w:r w:rsidRPr="00AF5E46">
        <w:t xml:space="preserve"> data sharing agreement must, </w:t>
      </w:r>
      <w:r w:rsidR="003F053F" w:rsidRPr="00AF5E46">
        <w:t xml:space="preserve">if the recipient is not covered by the </w:t>
      </w:r>
      <w:r w:rsidR="003F053F" w:rsidRPr="00AF5E46">
        <w:rPr>
          <w:i/>
        </w:rPr>
        <w:t xml:space="preserve">Privacy Act </w:t>
      </w:r>
      <w:r w:rsidR="00581BA7" w:rsidRPr="00AF5E46">
        <w:rPr>
          <w:i/>
        </w:rPr>
        <w:t>1988</w:t>
      </w:r>
      <w:r w:rsidR="00581BA7" w:rsidRPr="00AF5E46">
        <w:t xml:space="preserve"> </w:t>
      </w:r>
      <w:r w:rsidR="003F053F" w:rsidRPr="00AF5E46">
        <w:t xml:space="preserve">or a </w:t>
      </w:r>
      <w:r w:rsidR="00581BA7" w:rsidRPr="00AF5E46">
        <w:t>S</w:t>
      </w:r>
      <w:r w:rsidR="003F053F" w:rsidRPr="00AF5E46">
        <w:t xml:space="preserve">tate or </w:t>
      </w:r>
      <w:r w:rsidR="00581BA7" w:rsidRPr="00AF5E46">
        <w:t>T</w:t>
      </w:r>
      <w:r w:rsidR="003F053F" w:rsidRPr="00AF5E46">
        <w:t>erritory privacy law</w:t>
      </w:r>
      <w:r w:rsidR="00581BA7" w:rsidRPr="00AF5E46">
        <w:t xml:space="preserve">, </w:t>
      </w:r>
      <w:r w:rsidR="003F053F" w:rsidRPr="00AF5E46">
        <w:t>require the recipient to comply with the Australian Privacy Principles in relation to claims information that is personal information</w:t>
      </w:r>
      <w:r w:rsidR="00725B1B">
        <w:t xml:space="preserve"> </w:t>
      </w:r>
      <w:r w:rsidR="00725B1B" w:rsidRPr="00AA4B7F">
        <w:t xml:space="preserve">as if the recipient were an organisation (within the meaning of the </w:t>
      </w:r>
      <w:r w:rsidR="00725B1B" w:rsidRPr="00AA4B7F">
        <w:rPr>
          <w:i/>
        </w:rPr>
        <w:t>Privacy Act 1988</w:t>
      </w:r>
      <w:r w:rsidR="00725B1B" w:rsidRPr="00AA4B7F">
        <w:t>)</w:t>
      </w:r>
      <w:r w:rsidR="00581BA7" w:rsidRPr="00AA4B7F">
        <w:t>.</w:t>
      </w:r>
    </w:p>
    <w:p w14:paraId="3876D1BF" w14:textId="77777777" w:rsidR="00D96B82" w:rsidRPr="00AF5E46" w:rsidRDefault="00D96B82" w:rsidP="00D96B82">
      <w:pPr>
        <w:pStyle w:val="SubsectionHead"/>
      </w:pPr>
      <w:r w:rsidRPr="00AF5E46">
        <w:lastRenderedPageBreak/>
        <w:t>Data sharing agreement must deal with storage and security requirements</w:t>
      </w:r>
    </w:p>
    <w:p w14:paraId="415958E4" w14:textId="77777777" w:rsidR="00D27453" w:rsidRDefault="00D26B0D" w:rsidP="00D26B0D">
      <w:pPr>
        <w:pStyle w:val="subsection"/>
      </w:pPr>
      <w:r w:rsidRPr="00AF5E46">
        <w:tab/>
      </w:r>
      <w:r w:rsidR="00E30146">
        <w:t>(6)</w:t>
      </w:r>
      <w:r w:rsidRPr="00AF5E46">
        <w:tab/>
      </w:r>
      <w:r w:rsidR="0018567F" w:rsidRPr="00AF5E46">
        <w:t>A</w:t>
      </w:r>
      <w:r w:rsidRPr="00AF5E46">
        <w:t xml:space="preserve"> data sharing agreement must</w:t>
      </w:r>
      <w:r w:rsidR="00D27453">
        <w:t>:</w:t>
      </w:r>
    </w:p>
    <w:p w14:paraId="1BB3E7C4" w14:textId="77777777" w:rsidR="00D27453" w:rsidRDefault="00D27453" w:rsidP="00D27453">
      <w:pPr>
        <w:pStyle w:val="paragraph"/>
      </w:pPr>
      <w:r>
        <w:tab/>
      </w:r>
      <w:r w:rsidR="00E30146">
        <w:t>(a)</w:t>
      </w:r>
      <w:r>
        <w:tab/>
      </w:r>
      <w:r w:rsidR="003F053F" w:rsidRPr="00AF5E46">
        <w:t xml:space="preserve">specify the storage </w:t>
      </w:r>
      <w:r w:rsidR="00C23A86">
        <w:t>and</w:t>
      </w:r>
      <w:r w:rsidR="00C23A86" w:rsidRPr="002667E9">
        <w:t xml:space="preserve">, if the recipient is not an agency, </w:t>
      </w:r>
      <w:r w:rsidR="003F053F" w:rsidRPr="00AF5E46">
        <w:t xml:space="preserve">security requirements that apply to the </w:t>
      </w:r>
      <w:r w:rsidR="00D26B0D" w:rsidRPr="00AF5E46">
        <w:t>disclosed claims information</w:t>
      </w:r>
      <w:r>
        <w:t>; and</w:t>
      </w:r>
    </w:p>
    <w:p w14:paraId="5FCF01E0" w14:textId="77777777" w:rsidR="003F053F" w:rsidRPr="00AF5E46" w:rsidRDefault="00D27453" w:rsidP="00D27453">
      <w:pPr>
        <w:pStyle w:val="paragraph"/>
      </w:pPr>
      <w:r>
        <w:tab/>
      </w:r>
      <w:r w:rsidR="00E30146">
        <w:t>(b)</w:t>
      </w:r>
      <w:r>
        <w:tab/>
        <w:t>require the recipient to comply with those requirements.</w:t>
      </w:r>
    </w:p>
    <w:p w14:paraId="2387C6A5" w14:textId="77777777" w:rsidR="00D96B82" w:rsidRPr="00AF5E46" w:rsidRDefault="00D96B82" w:rsidP="00D96B82">
      <w:pPr>
        <w:pStyle w:val="SubsectionHead"/>
      </w:pPr>
      <w:r w:rsidRPr="00AF5E46">
        <w:t xml:space="preserve">Data sharing agreement must deal with </w:t>
      </w:r>
      <w:r w:rsidR="00F26822" w:rsidRPr="00AF5E46">
        <w:t>disposal or destruction of claims information</w:t>
      </w:r>
    </w:p>
    <w:p w14:paraId="2ADC5A5F" w14:textId="77777777" w:rsidR="002E7F87" w:rsidRPr="00AF5E46" w:rsidRDefault="002E7F87" w:rsidP="002E7F87">
      <w:pPr>
        <w:pStyle w:val="subsection"/>
      </w:pPr>
      <w:r w:rsidRPr="00AF5E46">
        <w:tab/>
      </w:r>
      <w:r w:rsidR="00E30146">
        <w:t>(7)</w:t>
      </w:r>
      <w:r w:rsidRPr="00AF5E46">
        <w:tab/>
      </w:r>
      <w:r w:rsidR="0018567F" w:rsidRPr="00AF5E46">
        <w:t>A</w:t>
      </w:r>
      <w:r w:rsidRPr="00AF5E46">
        <w:t xml:space="preserve"> data sharing agreement must</w:t>
      </w:r>
      <w:r w:rsidR="00F111FD" w:rsidRPr="002667E9">
        <w:t>, if the recipient is not an agency,</w:t>
      </w:r>
      <w:r w:rsidRPr="002667E9">
        <w:t xml:space="preserve"> </w:t>
      </w:r>
      <w:r w:rsidRPr="00AF5E46">
        <w:t>contain provisions which:</w:t>
      </w:r>
    </w:p>
    <w:p w14:paraId="6283AB5A" w14:textId="77777777" w:rsidR="002E7F87" w:rsidRPr="00AF5E46" w:rsidRDefault="002E7F87" w:rsidP="002E7F87">
      <w:pPr>
        <w:pStyle w:val="paragraph"/>
      </w:pPr>
      <w:r w:rsidRPr="00AF5E46">
        <w:tab/>
      </w:r>
      <w:r w:rsidR="00E30146">
        <w:t>(a)</w:t>
      </w:r>
      <w:r w:rsidRPr="00AF5E46">
        <w:tab/>
        <w:t>require the recipient of the disclosed information to dispose of or destroy the information by a date specified in the agreement; and</w:t>
      </w:r>
    </w:p>
    <w:p w14:paraId="7051886A" w14:textId="77777777" w:rsidR="002E7F87" w:rsidRPr="002667E9" w:rsidRDefault="002E7F87" w:rsidP="002E7F87">
      <w:pPr>
        <w:pStyle w:val="paragraph"/>
      </w:pPr>
      <w:r w:rsidRPr="00AF5E46">
        <w:tab/>
      </w:r>
      <w:r w:rsidR="00E30146">
        <w:t>(b)</w:t>
      </w:r>
      <w:r w:rsidRPr="00AF5E46">
        <w:tab/>
        <w:t xml:space="preserve">provide for the recipient to apply to the </w:t>
      </w:r>
      <w:r w:rsidR="009C148D" w:rsidRPr="002667E9">
        <w:t xml:space="preserve">primary </w:t>
      </w:r>
      <w:r w:rsidRPr="002667E9">
        <w:t>agency which disclosed the information for an extension of that date, in a form approved by the agency; and</w:t>
      </w:r>
    </w:p>
    <w:p w14:paraId="02EB39DB" w14:textId="77777777" w:rsidR="002E7F87" w:rsidRDefault="002E7F87" w:rsidP="002E7F87">
      <w:pPr>
        <w:pStyle w:val="paragraph"/>
      </w:pPr>
      <w:r w:rsidRPr="002667E9">
        <w:tab/>
      </w:r>
      <w:r w:rsidR="00E30146">
        <w:t>(c)</w:t>
      </w:r>
      <w:r w:rsidRPr="002667E9">
        <w:tab/>
        <w:t xml:space="preserve">permit the </w:t>
      </w:r>
      <w:r w:rsidR="009C148D" w:rsidRPr="002667E9">
        <w:t xml:space="preserve">primary </w:t>
      </w:r>
      <w:r w:rsidRPr="002667E9">
        <w:t xml:space="preserve">agency to extend that date if the </w:t>
      </w:r>
      <w:r w:rsidR="009C148D" w:rsidRPr="002667E9">
        <w:t xml:space="preserve">primary </w:t>
      </w:r>
      <w:r w:rsidRPr="002667E9">
        <w:t xml:space="preserve">agency </w:t>
      </w:r>
      <w:r w:rsidRPr="00AF5E46">
        <w:t>is satisfied that the extension is needed in order to achieve the purposes for which the recipient may use the information</w:t>
      </w:r>
      <w:r w:rsidR="00267ADA">
        <w:t xml:space="preserve"> (paragraph </w:t>
      </w:r>
      <w:r w:rsidR="00521D37">
        <w:t>(1)(a)</w:t>
      </w:r>
      <w:r w:rsidR="00267ADA">
        <w:t xml:space="preserve"> of this clause)</w:t>
      </w:r>
      <w:r w:rsidRPr="00AF5E46">
        <w:t>.</w:t>
      </w:r>
    </w:p>
    <w:p w14:paraId="1517370A" w14:textId="77777777" w:rsidR="00C23A86" w:rsidRDefault="00C23A86" w:rsidP="00C23A86">
      <w:pPr>
        <w:pStyle w:val="nDrafterComment"/>
      </w:pPr>
    </w:p>
    <w:p w14:paraId="75847067" w14:textId="77777777" w:rsidR="00C23A86" w:rsidRPr="00AF5E46" w:rsidRDefault="00C23A86" w:rsidP="00C23A86">
      <w:pPr>
        <w:pStyle w:val="nDrafterComment"/>
        <w:sectPr w:rsidR="00C23A86" w:rsidRPr="00AF5E46" w:rsidSect="00E049C4">
          <w:headerReference w:type="even" r:id="rId24"/>
          <w:headerReference w:type="default" r:id="rId25"/>
          <w:footerReference w:type="even" r:id="rId26"/>
          <w:footerReference w:type="default" r:id="rId27"/>
          <w:pgSz w:w="11907" w:h="16839" w:code="9"/>
          <w:pgMar w:top="2234" w:right="1797" w:bottom="1440" w:left="1797" w:header="720" w:footer="709" w:gutter="0"/>
          <w:cols w:space="708"/>
          <w:docGrid w:linePitch="360"/>
        </w:sectPr>
      </w:pPr>
    </w:p>
    <w:p w14:paraId="74D90D8F" w14:textId="77777777" w:rsidR="00604E79" w:rsidRPr="00AF5E46" w:rsidRDefault="00604E79" w:rsidP="00034F8F">
      <w:pPr>
        <w:pStyle w:val="ActHead1"/>
      </w:pPr>
      <w:bookmarkStart w:id="48" w:name="_Toc171078107"/>
      <w:r w:rsidRPr="00AF5E46">
        <w:lastRenderedPageBreak/>
        <w:t xml:space="preserve">Schedule </w:t>
      </w:r>
      <w:r w:rsidR="003F053F" w:rsidRPr="00AF5E46">
        <w:t>2</w:t>
      </w:r>
      <w:r w:rsidRPr="00AF5E46">
        <w:t>—Repeals</w:t>
      </w:r>
      <w:bookmarkEnd w:id="44"/>
      <w:bookmarkEnd w:id="48"/>
    </w:p>
    <w:p w14:paraId="45EA27C0" w14:textId="77777777" w:rsidR="00604E79" w:rsidRPr="00AF5E46" w:rsidRDefault="00604E79" w:rsidP="00604E79">
      <w:pPr>
        <w:pStyle w:val="ActHead9"/>
      </w:pPr>
      <w:bookmarkStart w:id="49" w:name="_Toc171078108"/>
      <w:r w:rsidRPr="00AF5E46">
        <w:t>National Health (Privacy) Rules 2021</w:t>
      </w:r>
      <w:bookmarkEnd w:id="49"/>
    </w:p>
    <w:p w14:paraId="4303D3E1" w14:textId="77777777" w:rsidR="00604E79" w:rsidRPr="00AF5E46" w:rsidRDefault="00604E79" w:rsidP="00604E79">
      <w:pPr>
        <w:pStyle w:val="ItemHead"/>
      </w:pPr>
      <w:proofErr w:type="gramStart"/>
      <w:r w:rsidRPr="00AF5E46">
        <w:t>1  The</w:t>
      </w:r>
      <w:proofErr w:type="gramEnd"/>
      <w:r w:rsidRPr="00AF5E46">
        <w:t xml:space="preserve"> whole of the instrument</w:t>
      </w:r>
    </w:p>
    <w:p w14:paraId="04E4447F" w14:textId="77777777" w:rsidR="00604E79" w:rsidRPr="00AF5E46" w:rsidRDefault="00604E79" w:rsidP="00C219C2">
      <w:pPr>
        <w:pStyle w:val="Item"/>
      </w:pPr>
      <w:r w:rsidRPr="00AF5E46">
        <w:t>Repeal the instrument</w:t>
      </w:r>
      <w:r w:rsidR="00E820C2" w:rsidRPr="00AF5E46">
        <w:t>.</w:t>
      </w:r>
    </w:p>
    <w:sectPr w:rsidR="00604E79" w:rsidRPr="00AF5E46" w:rsidSect="00022092">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7B6F" w14:textId="77777777" w:rsidR="00D433A6" w:rsidRDefault="00D433A6" w:rsidP="00715914">
      <w:pPr>
        <w:spacing w:line="240" w:lineRule="auto"/>
      </w:pPr>
      <w:r>
        <w:separator/>
      </w:r>
    </w:p>
  </w:endnote>
  <w:endnote w:type="continuationSeparator" w:id="0">
    <w:p w14:paraId="09CB1D3E" w14:textId="77777777" w:rsidR="00D433A6" w:rsidRDefault="00D433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6105" w14:textId="77777777" w:rsidR="00E049C4" w:rsidRPr="00E33C1C" w:rsidRDefault="00E049C4"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049C4" w14:paraId="3F5A8545" w14:textId="77777777" w:rsidTr="004F1BE1">
      <w:tc>
        <w:tcPr>
          <w:tcW w:w="709" w:type="dxa"/>
          <w:tcBorders>
            <w:top w:val="nil"/>
            <w:left w:val="nil"/>
            <w:bottom w:val="nil"/>
            <w:right w:val="nil"/>
          </w:tcBorders>
        </w:tcPr>
        <w:p w14:paraId="1BEAF168" w14:textId="77777777" w:rsidR="00E049C4" w:rsidRDefault="00E049C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F3BEE89" w14:textId="77777777" w:rsidR="00E049C4" w:rsidRPr="004E1307" w:rsidRDefault="00E049C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Health (Privacy) Rules 2025</w:t>
          </w:r>
          <w:r w:rsidRPr="004E1307">
            <w:rPr>
              <w:i/>
              <w:sz w:val="18"/>
            </w:rPr>
            <w:fldChar w:fldCharType="end"/>
          </w:r>
        </w:p>
      </w:tc>
      <w:tc>
        <w:tcPr>
          <w:tcW w:w="1384" w:type="dxa"/>
          <w:tcBorders>
            <w:top w:val="nil"/>
            <w:left w:val="nil"/>
            <w:bottom w:val="nil"/>
            <w:right w:val="nil"/>
          </w:tcBorders>
        </w:tcPr>
        <w:p w14:paraId="593AC9BF" w14:textId="77777777" w:rsidR="00E049C4" w:rsidRDefault="00E049C4" w:rsidP="00A369E3">
          <w:pPr>
            <w:spacing w:line="0" w:lineRule="atLeast"/>
            <w:jc w:val="right"/>
            <w:rPr>
              <w:sz w:val="18"/>
            </w:rPr>
          </w:pPr>
        </w:p>
      </w:tc>
    </w:tr>
  </w:tbl>
  <w:p w14:paraId="0EB77C97" w14:textId="77777777" w:rsidR="00E049C4" w:rsidRPr="00ED79B6" w:rsidRDefault="00E049C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75CB" w14:textId="77777777" w:rsidR="00E049C4" w:rsidRPr="00E33C1C" w:rsidRDefault="00E049C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5"/>
      <w:gridCol w:w="700"/>
    </w:tblGrid>
    <w:tr w:rsidR="00E049C4" w14:paraId="7011ECEF" w14:textId="77777777" w:rsidTr="00A369E3">
      <w:tc>
        <w:tcPr>
          <w:tcW w:w="1384" w:type="dxa"/>
          <w:tcBorders>
            <w:top w:val="nil"/>
            <w:left w:val="nil"/>
            <w:bottom w:val="nil"/>
            <w:right w:val="nil"/>
          </w:tcBorders>
        </w:tcPr>
        <w:p w14:paraId="054DC6BD" w14:textId="77777777" w:rsidR="00E049C4" w:rsidRDefault="00E049C4" w:rsidP="00A369E3">
          <w:pPr>
            <w:spacing w:line="0" w:lineRule="atLeast"/>
            <w:rPr>
              <w:sz w:val="18"/>
            </w:rPr>
          </w:pPr>
        </w:p>
      </w:tc>
      <w:tc>
        <w:tcPr>
          <w:tcW w:w="6379" w:type="dxa"/>
          <w:tcBorders>
            <w:top w:val="nil"/>
            <w:left w:val="nil"/>
            <w:bottom w:val="nil"/>
            <w:right w:val="nil"/>
          </w:tcBorders>
        </w:tcPr>
        <w:p w14:paraId="13CDF9E9" w14:textId="77777777" w:rsidR="00E049C4" w:rsidRDefault="00E049C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Health (Privacy) Rules 2025</w:t>
          </w:r>
          <w:r w:rsidRPr="004E1307">
            <w:rPr>
              <w:i/>
              <w:sz w:val="18"/>
            </w:rPr>
            <w:fldChar w:fldCharType="end"/>
          </w:r>
        </w:p>
      </w:tc>
      <w:tc>
        <w:tcPr>
          <w:tcW w:w="709" w:type="dxa"/>
          <w:tcBorders>
            <w:top w:val="nil"/>
            <w:left w:val="nil"/>
            <w:bottom w:val="nil"/>
            <w:right w:val="nil"/>
          </w:tcBorders>
        </w:tcPr>
        <w:p w14:paraId="5FF90A6D" w14:textId="77777777" w:rsidR="00E049C4" w:rsidRDefault="00E049C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E049C4" w14:paraId="04F37BC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BB77E5" w14:textId="77777777" w:rsidR="00E049C4" w:rsidRDefault="00E049C4" w:rsidP="00A369E3">
          <w:pPr>
            <w:rPr>
              <w:sz w:val="18"/>
            </w:rPr>
          </w:pPr>
        </w:p>
      </w:tc>
    </w:tr>
  </w:tbl>
  <w:p w14:paraId="0BDFAD27" w14:textId="77777777" w:rsidR="00E049C4" w:rsidRPr="00ED79B6" w:rsidRDefault="00E049C4" w:rsidP="00472DBE">
    <w:pPr>
      <w:rPr>
        <w:i/>
        <w:sz w:val="18"/>
      </w:rPr>
    </w:pPr>
    <w:r>
      <w:rPr>
        <w:i/>
        <w:sz w:val="18"/>
      </w:rPr>
      <w:fldChar w:fldCharType="begin"/>
    </w:r>
    <w:r>
      <w:rPr>
        <w:i/>
        <w:sz w:val="18"/>
      </w:rPr>
      <w:instrText xml:space="preserve"> FILENAME \* MERGEFORMAT </w:instrText>
    </w:r>
    <w:r>
      <w:rPr>
        <w:i/>
        <w:sz w:val="18"/>
      </w:rPr>
      <w:fldChar w:fldCharType="separate"/>
    </w:r>
    <w:r>
      <w:rPr>
        <w:i/>
        <w:noProof/>
        <w:sz w:val="18"/>
      </w:rPr>
      <w:t>20240229 National Health (Privacy) Rules 2025 _Draft 2.3_(47951721.64)</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BE73" w14:textId="77777777" w:rsidR="00E049C4" w:rsidRPr="00E33C1C" w:rsidRDefault="00E049C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049C4" w14:paraId="2D3AA7EB" w14:textId="77777777" w:rsidTr="00C4526C">
      <w:tc>
        <w:tcPr>
          <w:tcW w:w="1360" w:type="dxa"/>
          <w:tcBorders>
            <w:top w:val="nil"/>
            <w:left w:val="nil"/>
            <w:bottom w:val="nil"/>
            <w:right w:val="nil"/>
          </w:tcBorders>
        </w:tcPr>
        <w:p w14:paraId="23981C71" w14:textId="77777777" w:rsidR="00E049C4" w:rsidRDefault="00E049C4" w:rsidP="00A369E3">
          <w:pPr>
            <w:spacing w:line="0" w:lineRule="atLeast"/>
            <w:rPr>
              <w:sz w:val="18"/>
            </w:rPr>
          </w:pPr>
        </w:p>
      </w:tc>
      <w:tc>
        <w:tcPr>
          <w:tcW w:w="6254" w:type="dxa"/>
          <w:tcBorders>
            <w:top w:val="nil"/>
            <w:left w:val="nil"/>
            <w:bottom w:val="nil"/>
            <w:right w:val="nil"/>
          </w:tcBorders>
        </w:tcPr>
        <w:p w14:paraId="1D87ECA6" w14:textId="77777777" w:rsidR="00E049C4" w:rsidRDefault="00E049C4" w:rsidP="00A369E3">
          <w:pPr>
            <w:spacing w:line="0" w:lineRule="atLeast"/>
            <w:jc w:val="center"/>
            <w:rPr>
              <w:sz w:val="18"/>
            </w:rPr>
          </w:pPr>
        </w:p>
      </w:tc>
      <w:tc>
        <w:tcPr>
          <w:tcW w:w="699" w:type="dxa"/>
          <w:tcBorders>
            <w:top w:val="nil"/>
            <w:left w:val="nil"/>
            <w:bottom w:val="nil"/>
            <w:right w:val="nil"/>
          </w:tcBorders>
        </w:tcPr>
        <w:p w14:paraId="028E6EBB" w14:textId="77777777" w:rsidR="00E049C4" w:rsidRDefault="00E049C4" w:rsidP="00A369E3">
          <w:pPr>
            <w:spacing w:line="0" w:lineRule="atLeast"/>
            <w:jc w:val="right"/>
            <w:rPr>
              <w:sz w:val="18"/>
            </w:rPr>
          </w:pPr>
        </w:p>
      </w:tc>
    </w:tr>
  </w:tbl>
  <w:p w14:paraId="3E48ADC0" w14:textId="77777777" w:rsidR="00E049C4" w:rsidRPr="00440433" w:rsidRDefault="00E049C4" w:rsidP="00E30146">
    <w:pPr>
      <w:jc w:val="center"/>
      <w:rPr>
        <w:b/>
        <w:i/>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4EF"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049C4" w14:paraId="0245B2DD" w14:textId="77777777" w:rsidTr="00674CB3">
      <w:tc>
        <w:tcPr>
          <w:tcW w:w="365" w:type="pct"/>
        </w:tcPr>
        <w:p w14:paraId="3AB5FB70" w14:textId="77777777" w:rsidR="00E049C4" w:rsidRDefault="00E049C4" w:rsidP="00674CB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27BBFC4" w14:textId="77777777"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Health (Privacy) Rules 2025</w:t>
          </w:r>
          <w:r w:rsidRPr="004E1307">
            <w:rPr>
              <w:i/>
              <w:sz w:val="18"/>
            </w:rPr>
            <w:fldChar w:fldCharType="end"/>
          </w:r>
        </w:p>
      </w:tc>
      <w:tc>
        <w:tcPr>
          <w:tcW w:w="947" w:type="pct"/>
        </w:tcPr>
        <w:p w14:paraId="1078B85E" w14:textId="77777777" w:rsidR="00E049C4" w:rsidRDefault="00E049C4" w:rsidP="00674CB3">
          <w:pPr>
            <w:spacing w:line="0" w:lineRule="atLeast"/>
            <w:jc w:val="right"/>
            <w:rPr>
              <w:sz w:val="18"/>
            </w:rPr>
          </w:pPr>
        </w:p>
      </w:tc>
    </w:tr>
    <w:tr w:rsidR="00E049C4" w14:paraId="5076B65A" w14:textId="77777777" w:rsidTr="00674CB3">
      <w:tc>
        <w:tcPr>
          <w:tcW w:w="5000" w:type="pct"/>
          <w:gridSpan w:val="3"/>
        </w:tcPr>
        <w:p w14:paraId="46EB6B0D" w14:textId="77777777" w:rsidR="00E049C4" w:rsidRDefault="00E049C4" w:rsidP="00674CB3">
          <w:pPr>
            <w:jc w:val="right"/>
            <w:rPr>
              <w:sz w:val="18"/>
            </w:rPr>
          </w:pPr>
        </w:p>
      </w:tc>
    </w:tr>
  </w:tbl>
  <w:p w14:paraId="753E895D" w14:textId="77777777" w:rsidR="00E049C4" w:rsidRPr="00ED79B6" w:rsidRDefault="00E049C4" w:rsidP="00674CB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2F0B"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049C4" w14:paraId="40A37482" w14:textId="77777777" w:rsidTr="00674CB3">
      <w:tc>
        <w:tcPr>
          <w:tcW w:w="947" w:type="pct"/>
        </w:tcPr>
        <w:p w14:paraId="793AA2B7" w14:textId="77777777" w:rsidR="00E049C4" w:rsidRDefault="00E049C4" w:rsidP="00674CB3">
          <w:pPr>
            <w:spacing w:line="0" w:lineRule="atLeast"/>
            <w:rPr>
              <w:sz w:val="18"/>
            </w:rPr>
          </w:pPr>
        </w:p>
      </w:tc>
      <w:tc>
        <w:tcPr>
          <w:tcW w:w="3688" w:type="pct"/>
        </w:tcPr>
        <w:p w14:paraId="598151FF" w14:textId="6CF49DC3"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10390">
            <w:rPr>
              <w:i/>
              <w:noProof/>
              <w:sz w:val="18"/>
            </w:rPr>
            <w:t>National Health (Privacy) Rules 2025</w:t>
          </w:r>
          <w:r w:rsidRPr="004E1307">
            <w:rPr>
              <w:i/>
              <w:sz w:val="18"/>
            </w:rPr>
            <w:fldChar w:fldCharType="end"/>
          </w:r>
        </w:p>
      </w:tc>
      <w:tc>
        <w:tcPr>
          <w:tcW w:w="365" w:type="pct"/>
        </w:tcPr>
        <w:p w14:paraId="513385DE" w14:textId="77777777" w:rsidR="00E049C4" w:rsidRDefault="00E049C4" w:rsidP="00674C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B9776A" w14:textId="77777777" w:rsidR="00E049C4" w:rsidRPr="00440433" w:rsidRDefault="00E049C4" w:rsidP="00E30146">
    <w:pPr>
      <w:jc w:val="center"/>
      <w:rPr>
        <w:b/>
        <w:i/>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146F"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049C4" w14:paraId="617345F8" w14:textId="77777777" w:rsidTr="00674CB3">
      <w:tc>
        <w:tcPr>
          <w:tcW w:w="365" w:type="pct"/>
        </w:tcPr>
        <w:p w14:paraId="4564C99B" w14:textId="77777777" w:rsidR="00E049C4" w:rsidRDefault="00E049C4" w:rsidP="00674CB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6970CA2" w14:textId="77777777"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Health (Privacy) Rules 2025</w:t>
          </w:r>
          <w:r w:rsidRPr="004E1307">
            <w:rPr>
              <w:i/>
              <w:sz w:val="18"/>
            </w:rPr>
            <w:fldChar w:fldCharType="end"/>
          </w:r>
        </w:p>
      </w:tc>
      <w:tc>
        <w:tcPr>
          <w:tcW w:w="947" w:type="pct"/>
        </w:tcPr>
        <w:p w14:paraId="2BCC8E13" w14:textId="77777777" w:rsidR="00E049C4" w:rsidRDefault="00E049C4" w:rsidP="00674CB3">
          <w:pPr>
            <w:spacing w:line="0" w:lineRule="atLeast"/>
            <w:jc w:val="right"/>
            <w:rPr>
              <w:sz w:val="18"/>
            </w:rPr>
          </w:pPr>
        </w:p>
      </w:tc>
    </w:tr>
    <w:tr w:rsidR="00E049C4" w14:paraId="01A1A21A" w14:textId="77777777" w:rsidTr="00674CB3">
      <w:tc>
        <w:tcPr>
          <w:tcW w:w="5000" w:type="pct"/>
          <w:gridSpan w:val="3"/>
        </w:tcPr>
        <w:p w14:paraId="1E50177C" w14:textId="77777777" w:rsidR="00E049C4" w:rsidRDefault="00E049C4" w:rsidP="00674CB3">
          <w:pPr>
            <w:jc w:val="right"/>
            <w:rPr>
              <w:sz w:val="18"/>
            </w:rPr>
          </w:pPr>
        </w:p>
      </w:tc>
    </w:tr>
  </w:tbl>
  <w:p w14:paraId="30D47FCF" w14:textId="77777777" w:rsidR="00E049C4" w:rsidRPr="00ED79B6" w:rsidRDefault="00E049C4" w:rsidP="00674CB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34DD"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049C4" w14:paraId="3F966740" w14:textId="77777777" w:rsidTr="00674CB3">
      <w:tc>
        <w:tcPr>
          <w:tcW w:w="947" w:type="pct"/>
        </w:tcPr>
        <w:p w14:paraId="459EF945" w14:textId="77777777" w:rsidR="00E049C4" w:rsidRDefault="00E049C4" w:rsidP="00674CB3">
          <w:pPr>
            <w:spacing w:line="0" w:lineRule="atLeast"/>
            <w:rPr>
              <w:sz w:val="18"/>
            </w:rPr>
          </w:pPr>
        </w:p>
      </w:tc>
      <w:tc>
        <w:tcPr>
          <w:tcW w:w="3688" w:type="pct"/>
        </w:tcPr>
        <w:p w14:paraId="7ECDB6FC" w14:textId="2E66F1E7"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3E1">
            <w:rPr>
              <w:i/>
              <w:noProof/>
              <w:sz w:val="18"/>
            </w:rPr>
            <w:t>National Health (Privacy) Rules 2025</w:t>
          </w:r>
          <w:r w:rsidRPr="004E1307">
            <w:rPr>
              <w:i/>
              <w:sz w:val="18"/>
            </w:rPr>
            <w:fldChar w:fldCharType="end"/>
          </w:r>
        </w:p>
      </w:tc>
      <w:tc>
        <w:tcPr>
          <w:tcW w:w="365" w:type="pct"/>
        </w:tcPr>
        <w:p w14:paraId="34F1E978" w14:textId="77777777" w:rsidR="00E049C4" w:rsidRDefault="00E049C4" w:rsidP="00674C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0803E71B" w14:textId="77777777" w:rsidR="00E049C4" w:rsidRDefault="00E049C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81F2"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049C4" w14:paraId="2F944188" w14:textId="77777777" w:rsidTr="00674CB3">
      <w:tc>
        <w:tcPr>
          <w:tcW w:w="365" w:type="pct"/>
        </w:tcPr>
        <w:p w14:paraId="429E17AD" w14:textId="77777777" w:rsidR="00E049C4" w:rsidRDefault="00E049C4" w:rsidP="00674CB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5FF1DF1" w14:textId="77777777"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Health (Privacy) Rules 2025</w:t>
          </w:r>
          <w:r w:rsidRPr="004E1307">
            <w:rPr>
              <w:i/>
              <w:sz w:val="18"/>
            </w:rPr>
            <w:fldChar w:fldCharType="end"/>
          </w:r>
        </w:p>
      </w:tc>
      <w:tc>
        <w:tcPr>
          <w:tcW w:w="947" w:type="pct"/>
        </w:tcPr>
        <w:p w14:paraId="672C7513" w14:textId="77777777" w:rsidR="00E049C4" w:rsidRDefault="00E049C4" w:rsidP="00674CB3">
          <w:pPr>
            <w:spacing w:line="0" w:lineRule="atLeast"/>
            <w:jc w:val="right"/>
            <w:rPr>
              <w:sz w:val="18"/>
            </w:rPr>
          </w:pPr>
        </w:p>
      </w:tc>
    </w:tr>
    <w:tr w:rsidR="00E049C4" w14:paraId="2EC28EF0" w14:textId="77777777" w:rsidTr="00674CB3">
      <w:tc>
        <w:tcPr>
          <w:tcW w:w="5000" w:type="pct"/>
          <w:gridSpan w:val="3"/>
        </w:tcPr>
        <w:p w14:paraId="65A2B9E6" w14:textId="77777777" w:rsidR="00E049C4" w:rsidRDefault="00E049C4" w:rsidP="00674CB3">
          <w:pPr>
            <w:jc w:val="right"/>
            <w:rPr>
              <w:sz w:val="18"/>
            </w:rPr>
          </w:pPr>
        </w:p>
      </w:tc>
    </w:tr>
  </w:tbl>
  <w:p w14:paraId="78F2539E" w14:textId="77777777" w:rsidR="00E049C4" w:rsidRPr="00ED79B6" w:rsidRDefault="00E049C4" w:rsidP="00674CB3">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7AC4" w14:textId="77777777" w:rsidR="00E049C4" w:rsidRPr="002B0EA5" w:rsidRDefault="00E049C4" w:rsidP="00674CB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5716"/>
      <w:gridCol w:w="565"/>
      <w:gridCol w:w="565"/>
    </w:tblGrid>
    <w:tr w:rsidR="00E049C4" w14:paraId="7BEE83B1" w14:textId="77777777" w:rsidTr="00E049C4">
      <w:tc>
        <w:tcPr>
          <w:tcW w:w="882" w:type="pct"/>
        </w:tcPr>
        <w:p w14:paraId="7BF97216" w14:textId="77777777" w:rsidR="00E049C4" w:rsidRDefault="00E049C4" w:rsidP="00674CB3">
          <w:pPr>
            <w:spacing w:line="0" w:lineRule="atLeast"/>
            <w:rPr>
              <w:sz w:val="18"/>
            </w:rPr>
          </w:pPr>
        </w:p>
      </w:tc>
      <w:tc>
        <w:tcPr>
          <w:tcW w:w="3438" w:type="pct"/>
        </w:tcPr>
        <w:p w14:paraId="2B9AC1BC" w14:textId="61A6B43F" w:rsidR="00E049C4" w:rsidRDefault="00E049C4" w:rsidP="00674CB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13E1">
            <w:rPr>
              <w:i/>
              <w:noProof/>
              <w:sz w:val="18"/>
            </w:rPr>
            <w:t>National Health (Privacy) Rules 2025</w:t>
          </w:r>
          <w:r w:rsidRPr="004E1307">
            <w:rPr>
              <w:i/>
              <w:sz w:val="18"/>
            </w:rPr>
            <w:fldChar w:fldCharType="end"/>
          </w:r>
        </w:p>
      </w:tc>
      <w:tc>
        <w:tcPr>
          <w:tcW w:w="340" w:type="pct"/>
        </w:tcPr>
        <w:p w14:paraId="6B0719FE" w14:textId="77777777" w:rsidR="00E049C4" w:rsidRDefault="00E049C4" w:rsidP="00674C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c>
        <w:tcPr>
          <w:tcW w:w="340" w:type="pct"/>
        </w:tcPr>
        <w:p w14:paraId="0A7D172B" w14:textId="77777777" w:rsidR="00E049C4" w:rsidRPr="00ED79B6" w:rsidRDefault="00E049C4" w:rsidP="00674CB3">
          <w:pPr>
            <w:spacing w:line="0" w:lineRule="atLeast"/>
            <w:jc w:val="right"/>
            <w:rPr>
              <w:i/>
              <w:sz w:val="18"/>
            </w:rPr>
          </w:pPr>
        </w:p>
      </w:tc>
    </w:tr>
  </w:tbl>
  <w:p w14:paraId="083F0A8D" w14:textId="77777777" w:rsidR="00E049C4" w:rsidRDefault="00E049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F93E" w14:textId="77777777" w:rsidR="00D433A6" w:rsidRDefault="00D433A6" w:rsidP="00715914">
      <w:pPr>
        <w:spacing w:line="240" w:lineRule="auto"/>
      </w:pPr>
      <w:r>
        <w:separator/>
      </w:r>
    </w:p>
  </w:footnote>
  <w:footnote w:type="continuationSeparator" w:id="0">
    <w:p w14:paraId="6E502DEF" w14:textId="77777777" w:rsidR="00D433A6" w:rsidRDefault="00D433A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F6A5" w14:textId="77777777" w:rsidR="00E049C4" w:rsidRPr="005F1388" w:rsidRDefault="00E049C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4DF6" w14:textId="77777777" w:rsidR="00E049C4" w:rsidRPr="005F1388" w:rsidRDefault="00E049C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CD37" w14:textId="77777777" w:rsidR="00E049C4" w:rsidRPr="00ED79B6" w:rsidRDefault="00E049C4" w:rsidP="00674CB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2B08" w14:textId="77777777" w:rsidR="00E049C4" w:rsidRPr="00ED79B6" w:rsidRDefault="00E049C4" w:rsidP="00674CB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0EA0" w14:textId="77777777" w:rsidR="00E049C4" w:rsidRPr="00ED79B6" w:rsidRDefault="00E049C4"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DFB2" w14:textId="77777777" w:rsidR="00E049C4" w:rsidRDefault="00E049C4" w:rsidP="00715914">
    <w:pPr>
      <w:rPr>
        <w:sz w:val="20"/>
      </w:rPr>
    </w:pPr>
  </w:p>
  <w:p w14:paraId="33B891E5" w14:textId="77777777" w:rsidR="00E049C4" w:rsidRDefault="00E049C4" w:rsidP="00715914">
    <w:pPr>
      <w:rPr>
        <w:sz w:val="20"/>
      </w:rPr>
    </w:pPr>
  </w:p>
  <w:p w14:paraId="4AC1DD0D" w14:textId="77777777" w:rsidR="00E049C4" w:rsidRPr="007A1328" w:rsidRDefault="00E049C4" w:rsidP="00715914">
    <w:pPr>
      <w:rPr>
        <w:sz w:val="20"/>
      </w:rPr>
    </w:pPr>
  </w:p>
  <w:p w14:paraId="0A4A13EB" w14:textId="77777777" w:rsidR="00E049C4" w:rsidRPr="007A1328" w:rsidRDefault="00E049C4" w:rsidP="00715914">
    <w:pPr>
      <w:rPr>
        <w:b/>
        <w:sz w:val="24"/>
      </w:rPr>
    </w:pPr>
  </w:p>
  <w:p w14:paraId="56EAC9D4" w14:textId="77777777" w:rsidR="00E049C4" w:rsidRPr="007A1328" w:rsidRDefault="00E049C4"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42F4" w14:textId="77777777" w:rsidR="00E049C4" w:rsidRPr="007A1328" w:rsidRDefault="00E049C4" w:rsidP="00715914">
    <w:pPr>
      <w:jc w:val="right"/>
      <w:rPr>
        <w:sz w:val="20"/>
      </w:rPr>
    </w:pPr>
  </w:p>
  <w:p w14:paraId="3DAA5725" w14:textId="77777777" w:rsidR="00E049C4" w:rsidRPr="007A1328" w:rsidRDefault="00E049C4" w:rsidP="00715914">
    <w:pPr>
      <w:jc w:val="right"/>
      <w:rPr>
        <w:sz w:val="20"/>
      </w:rPr>
    </w:pPr>
  </w:p>
  <w:p w14:paraId="4ADDEB60" w14:textId="77777777" w:rsidR="00E049C4" w:rsidRPr="007A1328" w:rsidRDefault="00E049C4" w:rsidP="00715914">
    <w:pPr>
      <w:jc w:val="right"/>
      <w:rPr>
        <w:b/>
        <w:sz w:val="24"/>
      </w:rPr>
    </w:pPr>
  </w:p>
  <w:p w14:paraId="3E9B9FE9" w14:textId="77777777" w:rsidR="00E049C4" w:rsidRPr="007A1328" w:rsidRDefault="00E049C4"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4E51" w14:textId="77777777" w:rsidR="00E049C4" w:rsidRDefault="00E049C4" w:rsidP="00715914">
    <w:pPr>
      <w:rPr>
        <w:sz w:val="20"/>
      </w:rPr>
    </w:pPr>
  </w:p>
  <w:p w14:paraId="25E955F7" w14:textId="77777777" w:rsidR="00E049C4" w:rsidRDefault="00E049C4" w:rsidP="00715914">
    <w:pPr>
      <w:rPr>
        <w:sz w:val="20"/>
      </w:rPr>
    </w:pPr>
  </w:p>
  <w:p w14:paraId="0393A4B9" w14:textId="77777777" w:rsidR="00E049C4" w:rsidRPr="007A1328" w:rsidRDefault="00E049C4" w:rsidP="00715914">
    <w:pPr>
      <w:rPr>
        <w:sz w:val="20"/>
      </w:rPr>
    </w:pPr>
  </w:p>
  <w:p w14:paraId="52230554" w14:textId="77777777" w:rsidR="00E049C4" w:rsidRPr="007A1328" w:rsidRDefault="00E049C4" w:rsidP="00715914">
    <w:pPr>
      <w:rPr>
        <w:b/>
        <w:sz w:val="24"/>
      </w:rPr>
    </w:pPr>
  </w:p>
  <w:p w14:paraId="2490433B" w14:textId="77777777" w:rsidR="00E049C4" w:rsidRPr="007A1328" w:rsidRDefault="00E049C4" w:rsidP="00D6537E">
    <w:pPr>
      <w:pBdr>
        <w:bottom w:val="single" w:sz="6" w:space="1" w:color="auto"/>
      </w:pBdr>
      <w:spacing w:after="12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6397" w14:textId="77777777" w:rsidR="00E049C4" w:rsidRPr="007A1328" w:rsidRDefault="00E049C4" w:rsidP="00715914">
    <w:pPr>
      <w:jc w:val="right"/>
      <w:rPr>
        <w:sz w:val="20"/>
      </w:rPr>
    </w:pPr>
  </w:p>
  <w:p w14:paraId="34826F73" w14:textId="77777777" w:rsidR="00E049C4" w:rsidRPr="007A1328" w:rsidRDefault="00E049C4" w:rsidP="00715914">
    <w:pPr>
      <w:jc w:val="right"/>
      <w:rPr>
        <w:sz w:val="20"/>
      </w:rPr>
    </w:pPr>
  </w:p>
  <w:p w14:paraId="0AFA4F38" w14:textId="77777777" w:rsidR="00E049C4" w:rsidRPr="007A1328" w:rsidRDefault="00E049C4" w:rsidP="00715914">
    <w:pPr>
      <w:jc w:val="right"/>
      <w:rPr>
        <w:b/>
        <w:sz w:val="24"/>
      </w:rPr>
    </w:pPr>
  </w:p>
  <w:p w14:paraId="3FBDD2E9" w14:textId="77777777" w:rsidR="00E049C4" w:rsidRPr="007A1328" w:rsidRDefault="00E049C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72B2C8E"/>
    <w:multiLevelType w:val="hybridMultilevel"/>
    <w:tmpl w:val="EB884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54BFF"/>
    <w:multiLevelType w:val="hybridMultilevel"/>
    <w:tmpl w:val="55504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6" w15:restartNumberingAfterBreak="0">
    <w:nsid w:val="3D397DDA"/>
    <w:multiLevelType w:val="hybridMultilevel"/>
    <w:tmpl w:val="2BFE2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0678D"/>
    <w:multiLevelType w:val="hybridMultilevel"/>
    <w:tmpl w:val="C9C4F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B964959"/>
    <w:multiLevelType w:val="hybridMultilevel"/>
    <w:tmpl w:val="545CA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45A70"/>
    <w:multiLevelType w:val="hybridMultilevel"/>
    <w:tmpl w:val="0C021538"/>
    <w:lvl w:ilvl="0" w:tplc="063ECCB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78765F"/>
    <w:multiLevelType w:val="hybridMultilevel"/>
    <w:tmpl w:val="BB46DE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5029">
    <w:abstractNumId w:val="0"/>
  </w:num>
  <w:num w:numId="2" w16cid:durableId="652953540">
    <w:abstractNumId w:val="4"/>
  </w:num>
  <w:num w:numId="3" w16cid:durableId="107310683">
    <w:abstractNumId w:val="5"/>
  </w:num>
  <w:num w:numId="4" w16cid:durableId="71591091">
    <w:abstractNumId w:val="6"/>
  </w:num>
  <w:num w:numId="5" w16cid:durableId="2070877440">
    <w:abstractNumId w:val="9"/>
  </w:num>
  <w:num w:numId="6" w16cid:durableId="1208253858">
    <w:abstractNumId w:val="8"/>
  </w:num>
  <w:num w:numId="7" w16cid:durableId="539099363">
    <w:abstractNumId w:val="10"/>
  </w:num>
  <w:num w:numId="8" w16cid:durableId="1761756008">
    <w:abstractNumId w:val="3"/>
  </w:num>
  <w:num w:numId="9" w16cid:durableId="324552476">
    <w:abstractNumId w:val="2"/>
  </w:num>
  <w:num w:numId="10" w16cid:durableId="124579687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98"/>
    <w:rsid w:val="0000036D"/>
    <w:rsid w:val="00000601"/>
    <w:rsid w:val="000025AF"/>
    <w:rsid w:val="000039E0"/>
    <w:rsid w:val="00004148"/>
    <w:rsid w:val="00004174"/>
    <w:rsid w:val="00004470"/>
    <w:rsid w:val="00004F42"/>
    <w:rsid w:val="00005EB7"/>
    <w:rsid w:val="0000681F"/>
    <w:rsid w:val="00007015"/>
    <w:rsid w:val="000070F5"/>
    <w:rsid w:val="00007ADF"/>
    <w:rsid w:val="00010816"/>
    <w:rsid w:val="000118FF"/>
    <w:rsid w:val="000121AC"/>
    <w:rsid w:val="0001270D"/>
    <w:rsid w:val="00012C6D"/>
    <w:rsid w:val="00012FDD"/>
    <w:rsid w:val="000136AF"/>
    <w:rsid w:val="00013761"/>
    <w:rsid w:val="0001394B"/>
    <w:rsid w:val="00020BDA"/>
    <w:rsid w:val="00021E31"/>
    <w:rsid w:val="00021FA6"/>
    <w:rsid w:val="00022092"/>
    <w:rsid w:val="00022E2E"/>
    <w:rsid w:val="00024D1E"/>
    <w:rsid w:val="000258B1"/>
    <w:rsid w:val="0002619F"/>
    <w:rsid w:val="0002655B"/>
    <w:rsid w:val="0002781C"/>
    <w:rsid w:val="00030E10"/>
    <w:rsid w:val="0003121B"/>
    <w:rsid w:val="0003174E"/>
    <w:rsid w:val="00034F8F"/>
    <w:rsid w:val="00035894"/>
    <w:rsid w:val="00036956"/>
    <w:rsid w:val="000369FB"/>
    <w:rsid w:val="00037796"/>
    <w:rsid w:val="00040268"/>
    <w:rsid w:val="00040A89"/>
    <w:rsid w:val="00041BD0"/>
    <w:rsid w:val="00042258"/>
    <w:rsid w:val="000437C1"/>
    <w:rsid w:val="00043D14"/>
    <w:rsid w:val="000443D5"/>
    <w:rsid w:val="0004455A"/>
    <w:rsid w:val="0004524C"/>
    <w:rsid w:val="000467FE"/>
    <w:rsid w:val="000468BF"/>
    <w:rsid w:val="00046D20"/>
    <w:rsid w:val="000509F8"/>
    <w:rsid w:val="00052309"/>
    <w:rsid w:val="0005365D"/>
    <w:rsid w:val="00054546"/>
    <w:rsid w:val="00054752"/>
    <w:rsid w:val="00055CF8"/>
    <w:rsid w:val="00055E1E"/>
    <w:rsid w:val="00056495"/>
    <w:rsid w:val="000579B0"/>
    <w:rsid w:val="00060352"/>
    <w:rsid w:val="00061214"/>
    <w:rsid w:val="0006144B"/>
    <w:rsid w:val="000614BF"/>
    <w:rsid w:val="00061530"/>
    <w:rsid w:val="000624B0"/>
    <w:rsid w:val="00062F55"/>
    <w:rsid w:val="00062F89"/>
    <w:rsid w:val="00063640"/>
    <w:rsid w:val="00064E51"/>
    <w:rsid w:val="00065333"/>
    <w:rsid w:val="00065E02"/>
    <w:rsid w:val="000662CB"/>
    <w:rsid w:val="00066983"/>
    <w:rsid w:val="00066A59"/>
    <w:rsid w:val="00066E2A"/>
    <w:rsid w:val="0006709C"/>
    <w:rsid w:val="000706FD"/>
    <w:rsid w:val="00071255"/>
    <w:rsid w:val="00073DD0"/>
    <w:rsid w:val="00074376"/>
    <w:rsid w:val="0007504F"/>
    <w:rsid w:val="00075E62"/>
    <w:rsid w:val="00077A0D"/>
    <w:rsid w:val="0008117B"/>
    <w:rsid w:val="0008151D"/>
    <w:rsid w:val="0008187D"/>
    <w:rsid w:val="00081A53"/>
    <w:rsid w:val="00081E83"/>
    <w:rsid w:val="00082B2D"/>
    <w:rsid w:val="000832FA"/>
    <w:rsid w:val="0008351D"/>
    <w:rsid w:val="0008397F"/>
    <w:rsid w:val="00087C18"/>
    <w:rsid w:val="000911DC"/>
    <w:rsid w:val="000941E7"/>
    <w:rsid w:val="0009746E"/>
    <w:rsid w:val="000978F5"/>
    <w:rsid w:val="000A00A2"/>
    <w:rsid w:val="000A0735"/>
    <w:rsid w:val="000A181A"/>
    <w:rsid w:val="000A3EC7"/>
    <w:rsid w:val="000A5D20"/>
    <w:rsid w:val="000A6605"/>
    <w:rsid w:val="000B15CD"/>
    <w:rsid w:val="000B213A"/>
    <w:rsid w:val="000B2BFD"/>
    <w:rsid w:val="000B304B"/>
    <w:rsid w:val="000B35EB"/>
    <w:rsid w:val="000B52E7"/>
    <w:rsid w:val="000B545B"/>
    <w:rsid w:val="000B60DA"/>
    <w:rsid w:val="000B627C"/>
    <w:rsid w:val="000B6551"/>
    <w:rsid w:val="000B6895"/>
    <w:rsid w:val="000B7D55"/>
    <w:rsid w:val="000C2D36"/>
    <w:rsid w:val="000C3FDF"/>
    <w:rsid w:val="000C4F64"/>
    <w:rsid w:val="000C72CF"/>
    <w:rsid w:val="000C753F"/>
    <w:rsid w:val="000C7836"/>
    <w:rsid w:val="000D05EF"/>
    <w:rsid w:val="000D1F62"/>
    <w:rsid w:val="000D228B"/>
    <w:rsid w:val="000D3A94"/>
    <w:rsid w:val="000D5EB7"/>
    <w:rsid w:val="000D6113"/>
    <w:rsid w:val="000D7DBA"/>
    <w:rsid w:val="000E043E"/>
    <w:rsid w:val="000E1FDD"/>
    <w:rsid w:val="000E2261"/>
    <w:rsid w:val="000E2B3D"/>
    <w:rsid w:val="000E3722"/>
    <w:rsid w:val="000E38DB"/>
    <w:rsid w:val="000E3C92"/>
    <w:rsid w:val="000E50B3"/>
    <w:rsid w:val="000E5438"/>
    <w:rsid w:val="000E55B8"/>
    <w:rsid w:val="000E5885"/>
    <w:rsid w:val="000E78B7"/>
    <w:rsid w:val="000F04B9"/>
    <w:rsid w:val="000F0FD0"/>
    <w:rsid w:val="000F21C1"/>
    <w:rsid w:val="000F277E"/>
    <w:rsid w:val="000F3302"/>
    <w:rsid w:val="000F420E"/>
    <w:rsid w:val="000F5579"/>
    <w:rsid w:val="000F59F4"/>
    <w:rsid w:val="000F6072"/>
    <w:rsid w:val="000F62B2"/>
    <w:rsid w:val="000F6CAB"/>
    <w:rsid w:val="000F7161"/>
    <w:rsid w:val="000F7FD9"/>
    <w:rsid w:val="001020FB"/>
    <w:rsid w:val="00102167"/>
    <w:rsid w:val="00102360"/>
    <w:rsid w:val="00102866"/>
    <w:rsid w:val="00102CB2"/>
    <w:rsid w:val="00102D73"/>
    <w:rsid w:val="0010443A"/>
    <w:rsid w:val="00105269"/>
    <w:rsid w:val="001062BE"/>
    <w:rsid w:val="0010745C"/>
    <w:rsid w:val="00110390"/>
    <w:rsid w:val="00111D42"/>
    <w:rsid w:val="00113508"/>
    <w:rsid w:val="00113EFE"/>
    <w:rsid w:val="00114A9A"/>
    <w:rsid w:val="001202A5"/>
    <w:rsid w:val="001232F9"/>
    <w:rsid w:val="001237C2"/>
    <w:rsid w:val="001246C6"/>
    <w:rsid w:val="00125435"/>
    <w:rsid w:val="001255EA"/>
    <w:rsid w:val="001271E8"/>
    <w:rsid w:val="00131739"/>
    <w:rsid w:val="00131F26"/>
    <w:rsid w:val="00132CEB"/>
    <w:rsid w:val="00132E91"/>
    <w:rsid w:val="001339B0"/>
    <w:rsid w:val="0013462D"/>
    <w:rsid w:val="00134B99"/>
    <w:rsid w:val="00134F7A"/>
    <w:rsid w:val="00136C6D"/>
    <w:rsid w:val="0013793A"/>
    <w:rsid w:val="00137AE1"/>
    <w:rsid w:val="00140C7F"/>
    <w:rsid w:val="00142B62"/>
    <w:rsid w:val="00143A0C"/>
    <w:rsid w:val="001441B7"/>
    <w:rsid w:val="001444AE"/>
    <w:rsid w:val="00146221"/>
    <w:rsid w:val="0014728D"/>
    <w:rsid w:val="00151505"/>
    <w:rsid w:val="001516CB"/>
    <w:rsid w:val="00151D80"/>
    <w:rsid w:val="00152336"/>
    <w:rsid w:val="00153010"/>
    <w:rsid w:val="001534E5"/>
    <w:rsid w:val="001552FE"/>
    <w:rsid w:val="001556A3"/>
    <w:rsid w:val="00157657"/>
    <w:rsid w:val="00157B8B"/>
    <w:rsid w:val="00157D80"/>
    <w:rsid w:val="00157FB1"/>
    <w:rsid w:val="00160276"/>
    <w:rsid w:val="001609C4"/>
    <w:rsid w:val="00161631"/>
    <w:rsid w:val="00163BB3"/>
    <w:rsid w:val="00166C2F"/>
    <w:rsid w:val="001670FE"/>
    <w:rsid w:val="00170418"/>
    <w:rsid w:val="001709CE"/>
    <w:rsid w:val="00170BE9"/>
    <w:rsid w:val="00172771"/>
    <w:rsid w:val="001732A6"/>
    <w:rsid w:val="0017610D"/>
    <w:rsid w:val="0017616D"/>
    <w:rsid w:val="00176ACA"/>
    <w:rsid w:val="00176B6F"/>
    <w:rsid w:val="001777EA"/>
    <w:rsid w:val="00180487"/>
    <w:rsid w:val="001809D7"/>
    <w:rsid w:val="00180B83"/>
    <w:rsid w:val="00180C3B"/>
    <w:rsid w:val="00180FFB"/>
    <w:rsid w:val="00182F2B"/>
    <w:rsid w:val="00183468"/>
    <w:rsid w:val="0018350D"/>
    <w:rsid w:val="00185395"/>
    <w:rsid w:val="0018567F"/>
    <w:rsid w:val="00187308"/>
    <w:rsid w:val="00187E06"/>
    <w:rsid w:val="00190545"/>
    <w:rsid w:val="001913E1"/>
    <w:rsid w:val="00191D56"/>
    <w:rsid w:val="00191FB3"/>
    <w:rsid w:val="00192732"/>
    <w:rsid w:val="00192B3E"/>
    <w:rsid w:val="0019386B"/>
    <w:rsid w:val="001939E1"/>
    <w:rsid w:val="00194140"/>
    <w:rsid w:val="00194C3E"/>
    <w:rsid w:val="00195382"/>
    <w:rsid w:val="0019678A"/>
    <w:rsid w:val="0019680F"/>
    <w:rsid w:val="001A1641"/>
    <w:rsid w:val="001A3ADA"/>
    <w:rsid w:val="001A4E57"/>
    <w:rsid w:val="001A63D7"/>
    <w:rsid w:val="001A71DD"/>
    <w:rsid w:val="001A753F"/>
    <w:rsid w:val="001A7E97"/>
    <w:rsid w:val="001B033F"/>
    <w:rsid w:val="001B269E"/>
    <w:rsid w:val="001B2CB6"/>
    <w:rsid w:val="001B2E0F"/>
    <w:rsid w:val="001B4A0F"/>
    <w:rsid w:val="001B53E0"/>
    <w:rsid w:val="001B5853"/>
    <w:rsid w:val="001B6D35"/>
    <w:rsid w:val="001B6DFD"/>
    <w:rsid w:val="001B7ED6"/>
    <w:rsid w:val="001C00E8"/>
    <w:rsid w:val="001C011C"/>
    <w:rsid w:val="001C216E"/>
    <w:rsid w:val="001C3113"/>
    <w:rsid w:val="001C61C5"/>
    <w:rsid w:val="001C661E"/>
    <w:rsid w:val="001C68F9"/>
    <w:rsid w:val="001C69C4"/>
    <w:rsid w:val="001D0A72"/>
    <w:rsid w:val="001D0BFB"/>
    <w:rsid w:val="001D0E07"/>
    <w:rsid w:val="001D20CC"/>
    <w:rsid w:val="001D247A"/>
    <w:rsid w:val="001D2D5F"/>
    <w:rsid w:val="001D37EF"/>
    <w:rsid w:val="001D3C4F"/>
    <w:rsid w:val="001D4DF7"/>
    <w:rsid w:val="001E1AA5"/>
    <w:rsid w:val="001E1BF5"/>
    <w:rsid w:val="001E2EF0"/>
    <w:rsid w:val="001E3590"/>
    <w:rsid w:val="001E4848"/>
    <w:rsid w:val="001E628C"/>
    <w:rsid w:val="001E6DD9"/>
    <w:rsid w:val="001E713E"/>
    <w:rsid w:val="001E7407"/>
    <w:rsid w:val="001E780D"/>
    <w:rsid w:val="001E7FD2"/>
    <w:rsid w:val="001F217D"/>
    <w:rsid w:val="001F282C"/>
    <w:rsid w:val="001F3B5E"/>
    <w:rsid w:val="001F3D74"/>
    <w:rsid w:val="001F41E6"/>
    <w:rsid w:val="001F5D5E"/>
    <w:rsid w:val="001F6219"/>
    <w:rsid w:val="001F6CD4"/>
    <w:rsid w:val="001F705D"/>
    <w:rsid w:val="0020021B"/>
    <w:rsid w:val="00201991"/>
    <w:rsid w:val="00202BF6"/>
    <w:rsid w:val="00204B3A"/>
    <w:rsid w:val="00204FAE"/>
    <w:rsid w:val="002051F1"/>
    <w:rsid w:val="00205244"/>
    <w:rsid w:val="0020655C"/>
    <w:rsid w:val="00206C4D"/>
    <w:rsid w:val="00210C11"/>
    <w:rsid w:val="00211C55"/>
    <w:rsid w:val="00211EAA"/>
    <w:rsid w:val="002135D3"/>
    <w:rsid w:val="00213C78"/>
    <w:rsid w:val="00214593"/>
    <w:rsid w:val="002154D4"/>
    <w:rsid w:val="00215671"/>
    <w:rsid w:val="00215AF1"/>
    <w:rsid w:val="002176CE"/>
    <w:rsid w:val="00217F96"/>
    <w:rsid w:val="0022114B"/>
    <w:rsid w:val="00221250"/>
    <w:rsid w:val="00221277"/>
    <w:rsid w:val="00223C2A"/>
    <w:rsid w:val="00224CE7"/>
    <w:rsid w:val="00225175"/>
    <w:rsid w:val="00230108"/>
    <w:rsid w:val="002304D9"/>
    <w:rsid w:val="002317B8"/>
    <w:rsid w:val="00231931"/>
    <w:rsid w:val="00231CF3"/>
    <w:rsid w:val="002321E8"/>
    <w:rsid w:val="00232984"/>
    <w:rsid w:val="00232BBD"/>
    <w:rsid w:val="002338CD"/>
    <w:rsid w:val="00233D5C"/>
    <w:rsid w:val="0023611D"/>
    <w:rsid w:val="002379FB"/>
    <w:rsid w:val="00237A1F"/>
    <w:rsid w:val="00237F78"/>
    <w:rsid w:val="002400B6"/>
    <w:rsid w:val="0024010F"/>
    <w:rsid w:val="002402D9"/>
    <w:rsid w:val="00240749"/>
    <w:rsid w:val="00240BA3"/>
    <w:rsid w:val="00241C22"/>
    <w:rsid w:val="00241F6C"/>
    <w:rsid w:val="002420A2"/>
    <w:rsid w:val="00242487"/>
    <w:rsid w:val="00243018"/>
    <w:rsid w:val="00244465"/>
    <w:rsid w:val="00244BD9"/>
    <w:rsid w:val="00244C87"/>
    <w:rsid w:val="002473E1"/>
    <w:rsid w:val="00247BCB"/>
    <w:rsid w:val="00250CAF"/>
    <w:rsid w:val="00252365"/>
    <w:rsid w:val="00253720"/>
    <w:rsid w:val="00253BAD"/>
    <w:rsid w:val="002552B5"/>
    <w:rsid w:val="002554E0"/>
    <w:rsid w:val="002562C7"/>
    <w:rsid w:val="002564A4"/>
    <w:rsid w:val="002577F5"/>
    <w:rsid w:val="00257806"/>
    <w:rsid w:val="00257FC8"/>
    <w:rsid w:val="002613FE"/>
    <w:rsid w:val="002621CB"/>
    <w:rsid w:val="0026356C"/>
    <w:rsid w:val="002639B3"/>
    <w:rsid w:val="00263C1D"/>
    <w:rsid w:val="0026492A"/>
    <w:rsid w:val="002657C2"/>
    <w:rsid w:val="002667E9"/>
    <w:rsid w:val="00266F8F"/>
    <w:rsid w:val="0026736C"/>
    <w:rsid w:val="00267619"/>
    <w:rsid w:val="00267707"/>
    <w:rsid w:val="00267ADA"/>
    <w:rsid w:val="002705DE"/>
    <w:rsid w:val="002714CB"/>
    <w:rsid w:val="00273040"/>
    <w:rsid w:val="00275A12"/>
    <w:rsid w:val="00275D44"/>
    <w:rsid w:val="00276A3F"/>
    <w:rsid w:val="00276AD9"/>
    <w:rsid w:val="00276E98"/>
    <w:rsid w:val="00277236"/>
    <w:rsid w:val="002810CB"/>
    <w:rsid w:val="00281308"/>
    <w:rsid w:val="002825B9"/>
    <w:rsid w:val="0028345D"/>
    <w:rsid w:val="00284719"/>
    <w:rsid w:val="00284D3B"/>
    <w:rsid w:val="00285476"/>
    <w:rsid w:val="0028548B"/>
    <w:rsid w:val="002857A5"/>
    <w:rsid w:val="00287DCC"/>
    <w:rsid w:val="002906B6"/>
    <w:rsid w:val="00290735"/>
    <w:rsid w:val="00291E02"/>
    <w:rsid w:val="00292EAD"/>
    <w:rsid w:val="0029433B"/>
    <w:rsid w:val="002944DA"/>
    <w:rsid w:val="00294F14"/>
    <w:rsid w:val="00296135"/>
    <w:rsid w:val="00296B55"/>
    <w:rsid w:val="00297856"/>
    <w:rsid w:val="00297ECB"/>
    <w:rsid w:val="002A0852"/>
    <w:rsid w:val="002A0F4D"/>
    <w:rsid w:val="002A2C9B"/>
    <w:rsid w:val="002A32C2"/>
    <w:rsid w:val="002A3509"/>
    <w:rsid w:val="002A3990"/>
    <w:rsid w:val="002A47BA"/>
    <w:rsid w:val="002A49AE"/>
    <w:rsid w:val="002A7B16"/>
    <w:rsid w:val="002A7BCF"/>
    <w:rsid w:val="002A7F37"/>
    <w:rsid w:val="002B13C9"/>
    <w:rsid w:val="002B1E39"/>
    <w:rsid w:val="002B2C06"/>
    <w:rsid w:val="002B2D23"/>
    <w:rsid w:val="002B32AD"/>
    <w:rsid w:val="002B3400"/>
    <w:rsid w:val="002B3FF4"/>
    <w:rsid w:val="002B40E6"/>
    <w:rsid w:val="002B59B7"/>
    <w:rsid w:val="002B6DF7"/>
    <w:rsid w:val="002B707D"/>
    <w:rsid w:val="002B7133"/>
    <w:rsid w:val="002B7EEA"/>
    <w:rsid w:val="002C07CD"/>
    <w:rsid w:val="002C0998"/>
    <w:rsid w:val="002C2E93"/>
    <w:rsid w:val="002C3FD1"/>
    <w:rsid w:val="002C4629"/>
    <w:rsid w:val="002C5E5F"/>
    <w:rsid w:val="002C622B"/>
    <w:rsid w:val="002C68B3"/>
    <w:rsid w:val="002D043A"/>
    <w:rsid w:val="002D2307"/>
    <w:rsid w:val="002D266B"/>
    <w:rsid w:val="002D2CFC"/>
    <w:rsid w:val="002D5611"/>
    <w:rsid w:val="002D59CD"/>
    <w:rsid w:val="002D61D5"/>
    <w:rsid w:val="002D6224"/>
    <w:rsid w:val="002D651E"/>
    <w:rsid w:val="002D7497"/>
    <w:rsid w:val="002E0068"/>
    <w:rsid w:val="002E0154"/>
    <w:rsid w:val="002E0D82"/>
    <w:rsid w:val="002E12D8"/>
    <w:rsid w:val="002E1474"/>
    <w:rsid w:val="002E17AA"/>
    <w:rsid w:val="002E325B"/>
    <w:rsid w:val="002E49D8"/>
    <w:rsid w:val="002E550A"/>
    <w:rsid w:val="002E5B62"/>
    <w:rsid w:val="002E7488"/>
    <w:rsid w:val="002E7ECE"/>
    <w:rsid w:val="002E7F87"/>
    <w:rsid w:val="002F06ED"/>
    <w:rsid w:val="002F243C"/>
    <w:rsid w:val="002F2F27"/>
    <w:rsid w:val="002F4215"/>
    <w:rsid w:val="002F609A"/>
    <w:rsid w:val="002F78EC"/>
    <w:rsid w:val="003015C7"/>
    <w:rsid w:val="0030224B"/>
    <w:rsid w:val="00303699"/>
    <w:rsid w:val="003045D3"/>
    <w:rsid w:val="003046F4"/>
    <w:rsid w:val="00304F8B"/>
    <w:rsid w:val="003062B5"/>
    <w:rsid w:val="00306826"/>
    <w:rsid w:val="00306C7A"/>
    <w:rsid w:val="0030731C"/>
    <w:rsid w:val="00314493"/>
    <w:rsid w:val="00314B04"/>
    <w:rsid w:val="00317976"/>
    <w:rsid w:val="00320AF0"/>
    <w:rsid w:val="0032148F"/>
    <w:rsid w:val="00321511"/>
    <w:rsid w:val="00322213"/>
    <w:rsid w:val="0032236A"/>
    <w:rsid w:val="00322AD2"/>
    <w:rsid w:val="0032365A"/>
    <w:rsid w:val="0032366D"/>
    <w:rsid w:val="003236B5"/>
    <w:rsid w:val="0032384C"/>
    <w:rsid w:val="0032672F"/>
    <w:rsid w:val="0032691B"/>
    <w:rsid w:val="003269A7"/>
    <w:rsid w:val="00327096"/>
    <w:rsid w:val="003300C2"/>
    <w:rsid w:val="0033160C"/>
    <w:rsid w:val="00335495"/>
    <w:rsid w:val="0033560C"/>
    <w:rsid w:val="00335BC6"/>
    <w:rsid w:val="00335DD7"/>
    <w:rsid w:val="00336170"/>
    <w:rsid w:val="00336299"/>
    <w:rsid w:val="003404EE"/>
    <w:rsid w:val="00340694"/>
    <w:rsid w:val="003415D3"/>
    <w:rsid w:val="003415FA"/>
    <w:rsid w:val="00341973"/>
    <w:rsid w:val="00342330"/>
    <w:rsid w:val="0034299A"/>
    <w:rsid w:val="0034318F"/>
    <w:rsid w:val="00344338"/>
    <w:rsid w:val="00344701"/>
    <w:rsid w:val="00344739"/>
    <w:rsid w:val="00344ECC"/>
    <w:rsid w:val="00346699"/>
    <w:rsid w:val="00350BDD"/>
    <w:rsid w:val="00351156"/>
    <w:rsid w:val="00352B0F"/>
    <w:rsid w:val="00353298"/>
    <w:rsid w:val="00353762"/>
    <w:rsid w:val="00355521"/>
    <w:rsid w:val="00357513"/>
    <w:rsid w:val="00357727"/>
    <w:rsid w:val="00360459"/>
    <w:rsid w:val="00361313"/>
    <w:rsid w:val="00362C38"/>
    <w:rsid w:val="00362C4F"/>
    <w:rsid w:val="00363C85"/>
    <w:rsid w:val="003652E6"/>
    <w:rsid w:val="00366876"/>
    <w:rsid w:val="00366AC8"/>
    <w:rsid w:val="00366EA9"/>
    <w:rsid w:val="0036717E"/>
    <w:rsid w:val="003679AF"/>
    <w:rsid w:val="003700F1"/>
    <w:rsid w:val="0037051C"/>
    <w:rsid w:val="0037080F"/>
    <w:rsid w:val="00371139"/>
    <w:rsid w:val="00371CB1"/>
    <w:rsid w:val="00372121"/>
    <w:rsid w:val="00372BFE"/>
    <w:rsid w:val="00373B11"/>
    <w:rsid w:val="00375D84"/>
    <w:rsid w:val="0038049F"/>
    <w:rsid w:val="0038145F"/>
    <w:rsid w:val="00383200"/>
    <w:rsid w:val="00383655"/>
    <w:rsid w:val="00383C3E"/>
    <w:rsid w:val="00384F61"/>
    <w:rsid w:val="00385596"/>
    <w:rsid w:val="003855C0"/>
    <w:rsid w:val="0038630C"/>
    <w:rsid w:val="00390FE8"/>
    <w:rsid w:val="00391DC9"/>
    <w:rsid w:val="003926E9"/>
    <w:rsid w:val="00392F78"/>
    <w:rsid w:val="00393002"/>
    <w:rsid w:val="00394B70"/>
    <w:rsid w:val="00394B75"/>
    <w:rsid w:val="003A122D"/>
    <w:rsid w:val="003A190C"/>
    <w:rsid w:val="003A259F"/>
    <w:rsid w:val="003A2D88"/>
    <w:rsid w:val="003A2FB0"/>
    <w:rsid w:val="003A3153"/>
    <w:rsid w:val="003A3195"/>
    <w:rsid w:val="003A34C5"/>
    <w:rsid w:val="003A35E9"/>
    <w:rsid w:val="003A3ABD"/>
    <w:rsid w:val="003A4E37"/>
    <w:rsid w:val="003B05FE"/>
    <w:rsid w:val="003B07AF"/>
    <w:rsid w:val="003B19D8"/>
    <w:rsid w:val="003B1B27"/>
    <w:rsid w:val="003B273F"/>
    <w:rsid w:val="003B2BCE"/>
    <w:rsid w:val="003B3074"/>
    <w:rsid w:val="003B30C8"/>
    <w:rsid w:val="003B4BAF"/>
    <w:rsid w:val="003B593A"/>
    <w:rsid w:val="003B6251"/>
    <w:rsid w:val="003B6567"/>
    <w:rsid w:val="003B75FC"/>
    <w:rsid w:val="003C14AA"/>
    <w:rsid w:val="003C1C60"/>
    <w:rsid w:val="003C1CC2"/>
    <w:rsid w:val="003C32B9"/>
    <w:rsid w:val="003C3524"/>
    <w:rsid w:val="003C3999"/>
    <w:rsid w:val="003C5372"/>
    <w:rsid w:val="003C6231"/>
    <w:rsid w:val="003C7103"/>
    <w:rsid w:val="003D0630"/>
    <w:rsid w:val="003D0BFE"/>
    <w:rsid w:val="003D0DA0"/>
    <w:rsid w:val="003D0F59"/>
    <w:rsid w:val="003D1597"/>
    <w:rsid w:val="003D1950"/>
    <w:rsid w:val="003D1B32"/>
    <w:rsid w:val="003D4726"/>
    <w:rsid w:val="003D54B5"/>
    <w:rsid w:val="003D5700"/>
    <w:rsid w:val="003D5CA1"/>
    <w:rsid w:val="003D6B60"/>
    <w:rsid w:val="003D7F12"/>
    <w:rsid w:val="003E0417"/>
    <w:rsid w:val="003E0559"/>
    <w:rsid w:val="003E0C36"/>
    <w:rsid w:val="003E341B"/>
    <w:rsid w:val="003E4381"/>
    <w:rsid w:val="003E4572"/>
    <w:rsid w:val="003E4D00"/>
    <w:rsid w:val="003E4DD2"/>
    <w:rsid w:val="003E5322"/>
    <w:rsid w:val="003E5B30"/>
    <w:rsid w:val="003E5DF2"/>
    <w:rsid w:val="003E7CCA"/>
    <w:rsid w:val="003F053F"/>
    <w:rsid w:val="003F0B6F"/>
    <w:rsid w:val="003F1FFE"/>
    <w:rsid w:val="003F22B4"/>
    <w:rsid w:val="003F3001"/>
    <w:rsid w:val="003F30AA"/>
    <w:rsid w:val="003F32BA"/>
    <w:rsid w:val="003F3922"/>
    <w:rsid w:val="003F3978"/>
    <w:rsid w:val="003F41F3"/>
    <w:rsid w:val="003F57D8"/>
    <w:rsid w:val="00401D7F"/>
    <w:rsid w:val="00404316"/>
    <w:rsid w:val="004050BD"/>
    <w:rsid w:val="00406411"/>
    <w:rsid w:val="00406EE0"/>
    <w:rsid w:val="00410491"/>
    <w:rsid w:val="00410909"/>
    <w:rsid w:val="004116CD"/>
    <w:rsid w:val="004126D4"/>
    <w:rsid w:val="004127D3"/>
    <w:rsid w:val="00413D5B"/>
    <w:rsid w:val="00413E69"/>
    <w:rsid w:val="004147C9"/>
    <w:rsid w:val="0041666C"/>
    <w:rsid w:val="0041681C"/>
    <w:rsid w:val="00416D20"/>
    <w:rsid w:val="00417EB9"/>
    <w:rsid w:val="00420333"/>
    <w:rsid w:val="00422D25"/>
    <w:rsid w:val="00423187"/>
    <w:rsid w:val="00424CA9"/>
    <w:rsid w:val="00427146"/>
    <w:rsid w:val="004276DF"/>
    <w:rsid w:val="00427907"/>
    <w:rsid w:val="00427AC8"/>
    <w:rsid w:val="00430966"/>
    <w:rsid w:val="00431867"/>
    <w:rsid w:val="00431E9B"/>
    <w:rsid w:val="00431EE3"/>
    <w:rsid w:val="00433D65"/>
    <w:rsid w:val="00434090"/>
    <w:rsid w:val="00434D58"/>
    <w:rsid w:val="0043714F"/>
    <w:rsid w:val="004379E3"/>
    <w:rsid w:val="00437D12"/>
    <w:rsid w:val="00437FD2"/>
    <w:rsid w:val="0044010E"/>
    <w:rsid w:val="0044015E"/>
    <w:rsid w:val="00440433"/>
    <w:rsid w:val="0044107E"/>
    <w:rsid w:val="00441729"/>
    <w:rsid w:val="00441EBE"/>
    <w:rsid w:val="00442540"/>
    <w:rsid w:val="00442777"/>
    <w:rsid w:val="0044291A"/>
    <w:rsid w:val="0044384B"/>
    <w:rsid w:val="00443CCA"/>
    <w:rsid w:val="00444FF8"/>
    <w:rsid w:val="004460AE"/>
    <w:rsid w:val="00447083"/>
    <w:rsid w:val="004477C3"/>
    <w:rsid w:val="00447A52"/>
    <w:rsid w:val="004507D8"/>
    <w:rsid w:val="00451AB5"/>
    <w:rsid w:val="00451E7F"/>
    <w:rsid w:val="0045264C"/>
    <w:rsid w:val="00452728"/>
    <w:rsid w:val="00454C6D"/>
    <w:rsid w:val="00455BB0"/>
    <w:rsid w:val="00457459"/>
    <w:rsid w:val="004574AF"/>
    <w:rsid w:val="00460BA2"/>
    <w:rsid w:val="00461074"/>
    <w:rsid w:val="0046108D"/>
    <w:rsid w:val="004623D7"/>
    <w:rsid w:val="004629CD"/>
    <w:rsid w:val="00463716"/>
    <w:rsid w:val="00463A46"/>
    <w:rsid w:val="00465257"/>
    <w:rsid w:val="00465C73"/>
    <w:rsid w:val="004660C0"/>
    <w:rsid w:val="0046665D"/>
    <w:rsid w:val="004675C9"/>
    <w:rsid w:val="00467661"/>
    <w:rsid w:val="004708CA"/>
    <w:rsid w:val="004712ED"/>
    <w:rsid w:val="0047191C"/>
    <w:rsid w:val="0047251D"/>
    <w:rsid w:val="00472B0E"/>
    <w:rsid w:val="00472DBE"/>
    <w:rsid w:val="00473D20"/>
    <w:rsid w:val="00474A19"/>
    <w:rsid w:val="0047535D"/>
    <w:rsid w:val="0047623B"/>
    <w:rsid w:val="00477830"/>
    <w:rsid w:val="00477B5E"/>
    <w:rsid w:val="00477E01"/>
    <w:rsid w:val="00477F44"/>
    <w:rsid w:val="00480595"/>
    <w:rsid w:val="00482CEC"/>
    <w:rsid w:val="00486848"/>
    <w:rsid w:val="00487764"/>
    <w:rsid w:val="00491E93"/>
    <w:rsid w:val="00493C22"/>
    <w:rsid w:val="00494515"/>
    <w:rsid w:val="004947D4"/>
    <w:rsid w:val="00495CEB"/>
    <w:rsid w:val="00496F97"/>
    <w:rsid w:val="004979D0"/>
    <w:rsid w:val="004A08D3"/>
    <w:rsid w:val="004A17E4"/>
    <w:rsid w:val="004A1E71"/>
    <w:rsid w:val="004A1F8B"/>
    <w:rsid w:val="004A282A"/>
    <w:rsid w:val="004A47F2"/>
    <w:rsid w:val="004A4EE9"/>
    <w:rsid w:val="004A753C"/>
    <w:rsid w:val="004A7D31"/>
    <w:rsid w:val="004A7F5E"/>
    <w:rsid w:val="004B0E78"/>
    <w:rsid w:val="004B1386"/>
    <w:rsid w:val="004B188C"/>
    <w:rsid w:val="004B1D88"/>
    <w:rsid w:val="004B25EA"/>
    <w:rsid w:val="004B2670"/>
    <w:rsid w:val="004B594A"/>
    <w:rsid w:val="004B5B6A"/>
    <w:rsid w:val="004B6C48"/>
    <w:rsid w:val="004B72DC"/>
    <w:rsid w:val="004C1EF8"/>
    <w:rsid w:val="004C324D"/>
    <w:rsid w:val="004C32B6"/>
    <w:rsid w:val="004C4A63"/>
    <w:rsid w:val="004C4E59"/>
    <w:rsid w:val="004C65B0"/>
    <w:rsid w:val="004C6809"/>
    <w:rsid w:val="004C6A43"/>
    <w:rsid w:val="004C6AA6"/>
    <w:rsid w:val="004C74E0"/>
    <w:rsid w:val="004D02CA"/>
    <w:rsid w:val="004D10E6"/>
    <w:rsid w:val="004D229B"/>
    <w:rsid w:val="004D3EEB"/>
    <w:rsid w:val="004D3F7E"/>
    <w:rsid w:val="004D4D99"/>
    <w:rsid w:val="004D531B"/>
    <w:rsid w:val="004D6163"/>
    <w:rsid w:val="004D654D"/>
    <w:rsid w:val="004E0318"/>
    <w:rsid w:val="004E063A"/>
    <w:rsid w:val="004E0C5A"/>
    <w:rsid w:val="004E1307"/>
    <w:rsid w:val="004E18CD"/>
    <w:rsid w:val="004E308F"/>
    <w:rsid w:val="004E40B5"/>
    <w:rsid w:val="004E585C"/>
    <w:rsid w:val="004E5895"/>
    <w:rsid w:val="004E7BEC"/>
    <w:rsid w:val="004F1924"/>
    <w:rsid w:val="004F1BE1"/>
    <w:rsid w:val="004F4C4A"/>
    <w:rsid w:val="004F73FE"/>
    <w:rsid w:val="00500267"/>
    <w:rsid w:val="00500549"/>
    <w:rsid w:val="00500BF8"/>
    <w:rsid w:val="00500D41"/>
    <w:rsid w:val="0050121A"/>
    <w:rsid w:val="0050174A"/>
    <w:rsid w:val="00501914"/>
    <w:rsid w:val="00501E50"/>
    <w:rsid w:val="00501F23"/>
    <w:rsid w:val="005041CF"/>
    <w:rsid w:val="00505A25"/>
    <w:rsid w:val="00505D3D"/>
    <w:rsid w:val="00506379"/>
    <w:rsid w:val="00506760"/>
    <w:rsid w:val="00506AF6"/>
    <w:rsid w:val="00506FBF"/>
    <w:rsid w:val="00507BC6"/>
    <w:rsid w:val="00510056"/>
    <w:rsid w:val="00510DDB"/>
    <w:rsid w:val="00510E92"/>
    <w:rsid w:val="00511A59"/>
    <w:rsid w:val="005126DA"/>
    <w:rsid w:val="005133FC"/>
    <w:rsid w:val="00515014"/>
    <w:rsid w:val="0051522D"/>
    <w:rsid w:val="00516743"/>
    <w:rsid w:val="00516B8D"/>
    <w:rsid w:val="00516CB4"/>
    <w:rsid w:val="00516F5D"/>
    <w:rsid w:val="00516FE8"/>
    <w:rsid w:val="00521A68"/>
    <w:rsid w:val="00521D37"/>
    <w:rsid w:val="00522870"/>
    <w:rsid w:val="00523627"/>
    <w:rsid w:val="00523667"/>
    <w:rsid w:val="00523852"/>
    <w:rsid w:val="0052494C"/>
    <w:rsid w:val="00525A19"/>
    <w:rsid w:val="00526055"/>
    <w:rsid w:val="00527FE4"/>
    <w:rsid w:val="005303C8"/>
    <w:rsid w:val="0053052E"/>
    <w:rsid w:val="00530550"/>
    <w:rsid w:val="0053086A"/>
    <w:rsid w:val="0053088E"/>
    <w:rsid w:val="0053183E"/>
    <w:rsid w:val="00532FA6"/>
    <w:rsid w:val="00533177"/>
    <w:rsid w:val="00533463"/>
    <w:rsid w:val="00533B2B"/>
    <w:rsid w:val="00533B87"/>
    <w:rsid w:val="00533D04"/>
    <w:rsid w:val="00534C7A"/>
    <w:rsid w:val="00537FBC"/>
    <w:rsid w:val="00540E59"/>
    <w:rsid w:val="005433E7"/>
    <w:rsid w:val="00547735"/>
    <w:rsid w:val="0055049B"/>
    <w:rsid w:val="005507ED"/>
    <w:rsid w:val="00553652"/>
    <w:rsid w:val="00553750"/>
    <w:rsid w:val="00554632"/>
    <w:rsid w:val="00554826"/>
    <w:rsid w:val="00554A14"/>
    <w:rsid w:val="00557067"/>
    <w:rsid w:val="00562113"/>
    <w:rsid w:val="00562266"/>
    <w:rsid w:val="005625D5"/>
    <w:rsid w:val="0056387E"/>
    <w:rsid w:val="00564E28"/>
    <w:rsid w:val="005650B8"/>
    <w:rsid w:val="0056544F"/>
    <w:rsid w:val="00566521"/>
    <w:rsid w:val="00571415"/>
    <w:rsid w:val="005727C3"/>
    <w:rsid w:val="00573249"/>
    <w:rsid w:val="00573F11"/>
    <w:rsid w:val="00575044"/>
    <w:rsid w:val="00576200"/>
    <w:rsid w:val="005819EB"/>
    <w:rsid w:val="00581BA7"/>
    <w:rsid w:val="005834DC"/>
    <w:rsid w:val="00583999"/>
    <w:rsid w:val="00584811"/>
    <w:rsid w:val="00584D1B"/>
    <w:rsid w:val="0058516D"/>
    <w:rsid w:val="00585784"/>
    <w:rsid w:val="0058644A"/>
    <w:rsid w:val="0058675E"/>
    <w:rsid w:val="00586B6E"/>
    <w:rsid w:val="00587D6F"/>
    <w:rsid w:val="00590279"/>
    <w:rsid w:val="00590FD6"/>
    <w:rsid w:val="0059132D"/>
    <w:rsid w:val="00592301"/>
    <w:rsid w:val="005936EC"/>
    <w:rsid w:val="00593AA6"/>
    <w:rsid w:val="00593DA5"/>
    <w:rsid w:val="00594161"/>
    <w:rsid w:val="00594749"/>
    <w:rsid w:val="00594CD3"/>
    <w:rsid w:val="00595593"/>
    <w:rsid w:val="00595E33"/>
    <w:rsid w:val="00596049"/>
    <w:rsid w:val="00596624"/>
    <w:rsid w:val="00597DFC"/>
    <w:rsid w:val="005A176A"/>
    <w:rsid w:val="005A1AEC"/>
    <w:rsid w:val="005A2A53"/>
    <w:rsid w:val="005A3AA6"/>
    <w:rsid w:val="005A3F9F"/>
    <w:rsid w:val="005A609C"/>
    <w:rsid w:val="005A65D5"/>
    <w:rsid w:val="005A6E38"/>
    <w:rsid w:val="005A7CE7"/>
    <w:rsid w:val="005B1686"/>
    <w:rsid w:val="005B2025"/>
    <w:rsid w:val="005B24B9"/>
    <w:rsid w:val="005B2B9E"/>
    <w:rsid w:val="005B4067"/>
    <w:rsid w:val="005B44CE"/>
    <w:rsid w:val="005B55FF"/>
    <w:rsid w:val="005B5657"/>
    <w:rsid w:val="005B5D72"/>
    <w:rsid w:val="005B640B"/>
    <w:rsid w:val="005B703F"/>
    <w:rsid w:val="005C021A"/>
    <w:rsid w:val="005C0AE8"/>
    <w:rsid w:val="005C3F41"/>
    <w:rsid w:val="005C666D"/>
    <w:rsid w:val="005D0999"/>
    <w:rsid w:val="005D1B5A"/>
    <w:rsid w:val="005D1D92"/>
    <w:rsid w:val="005D1F1B"/>
    <w:rsid w:val="005D211B"/>
    <w:rsid w:val="005D21C3"/>
    <w:rsid w:val="005D2D09"/>
    <w:rsid w:val="005D471C"/>
    <w:rsid w:val="005D549F"/>
    <w:rsid w:val="005D576C"/>
    <w:rsid w:val="005D612F"/>
    <w:rsid w:val="005D6B46"/>
    <w:rsid w:val="005D737E"/>
    <w:rsid w:val="005D7D71"/>
    <w:rsid w:val="005E0EFA"/>
    <w:rsid w:val="005E39A8"/>
    <w:rsid w:val="005E618C"/>
    <w:rsid w:val="005E7E70"/>
    <w:rsid w:val="005F0601"/>
    <w:rsid w:val="005F0CB6"/>
    <w:rsid w:val="005F16FE"/>
    <w:rsid w:val="005F46F3"/>
    <w:rsid w:val="005F5286"/>
    <w:rsid w:val="005F604C"/>
    <w:rsid w:val="005F7303"/>
    <w:rsid w:val="00600219"/>
    <w:rsid w:val="00601BA3"/>
    <w:rsid w:val="00604E79"/>
    <w:rsid w:val="00604F2A"/>
    <w:rsid w:val="0060559F"/>
    <w:rsid w:val="0060589E"/>
    <w:rsid w:val="0060611D"/>
    <w:rsid w:val="006078E0"/>
    <w:rsid w:val="00610B79"/>
    <w:rsid w:val="00611A07"/>
    <w:rsid w:val="00612DA0"/>
    <w:rsid w:val="0061394A"/>
    <w:rsid w:val="00613EFB"/>
    <w:rsid w:val="00614507"/>
    <w:rsid w:val="00615959"/>
    <w:rsid w:val="0061658D"/>
    <w:rsid w:val="00617494"/>
    <w:rsid w:val="00617911"/>
    <w:rsid w:val="00620076"/>
    <w:rsid w:val="0062089A"/>
    <w:rsid w:val="00620D36"/>
    <w:rsid w:val="006210C4"/>
    <w:rsid w:val="0062143E"/>
    <w:rsid w:val="00622C9D"/>
    <w:rsid w:val="006254CD"/>
    <w:rsid w:val="0062563A"/>
    <w:rsid w:val="00625969"/>
    <w:rsid w:val="00626D5F"/>
    <w:rsid w:val="00627AF4"/>
    <w:rsid w:val="00627E0A"/>
    <w:rsid w:val="00632D2F"/>
    <w:rsid w:val="00632DAC"/>
    <w:rsid w:val="00634090"/>
    <w:rsid w:val="00636269"/>
    <w:rsid w:val="00636298"/>
    <w:rsid w:val="006363C5"/>
    <w:rsid w:val="0063696C"/>
    <w:rsid w:val="00640345"/>
    <w:rsid w:val="006407F2"/>
    <w:rsid w:val="006430BF"/>
    <w:rsid w:val="00643BFD"/>
    <w:rsid w:val="00644B6E"/>
    <w:rsid w:val="00644EB9"/>
    <w:rsid w:val="006461FA"/>
    <w:rsid w:val="006462DE"/>
    <w:rsid w:val="00647502"/>
    <w:rsid w:val="00647C84"/>
    <w:rsid w:val="00647FC2"/>
    <w:rsid w:val="0065161E"/>
    <w:rsid w:val="00652532"/>
    <w:rsid w:val="00652B69"/>
    <w:rsid w:val="006539DF"/>
    <w:rsid w:val="00653BA4"/>
    <w:rsid w:val="0065488B"/>
    <w:rsid w:val="00655757"/>
    <w:rsid w:val="00655DFA"/>
    <w:rsid w:val="00655EEE"/>
    <w:rsid w:val="0065642D"/>
    <w:rsid w:val="00656D1F"/>
    <w:rsid w:val="006572CB"/>
    <w:rsid w:val="00660F10"/>
    <w:rsid w:val="00661DB5"/>
    <w:rsid w:val="00662D8C"/>
    <w:rsid w:val="00663480"/>
    <w:rsid w:val="0066402B"/>
    <w:rsid w:val="00664CD5"/>
    <w:rsid w:val="00665102"/>
    <w:rsid w:val="00665416"/>
    <w:rsid w:val="00665AE6"/>
    <w:rsid w:val="0066666F"/>
    <w:rsid w:val="00670484"/>
    <w:rsid w:val="00670EA1"/>
    <w:rsid w:val="00670F28"/>
    <w:rsid w:val="006712B1"/>
    <w:rsid w:val="00672556"/>
    <w:rsid w:val="00673E81"/>
    <w:rsid w:val="00674CB3"/>
    <w:rsid w:val="00674CE0"/>
    <w:rsid w:val="00675206"/>
    <w:rsid w:val="00676DA5"/>
    <w:rsid w:val="0067743C"/>
    <w:rsid w:val="00677821"/>
    <w:rsid w:val="00677CC2"/>
    <w:rsid w:val="00680AE0"/>
    <w:rsid w:val="00681038"/>
    <w:rsid w:val="00681457"/>
    <w:rsid w:val="006816DB"/>
    <w:rsid w:val="00682162"/>
    <w:rsid w:val="006839D0"/>
    <w:rsid w:val="00684A96"/>
    <w:rsid w:val="00684ABE"/>
    <w:rsid w:val="00684D5D"/>
    <w:rsid w:val="00685BCE"/>
    <w:rsid w:val="00686D94"/>
    <w:rsid w:val="0068744B"/>
    <w:rsid w:val="006905DE"/>
    <w:rsid w:val="0069093E"/>
    <w:rsid w:val="00691CC7"/>
    <w:rsid w:val="00691E70"/>
    <w:rsid w:val="0069207B"/>
    <w:rsid w:val="00694524"/>
    <w:rsid w:val="00694F4F"/>
    <w:rsid w:val="00695479"/>
    <w:rsid w:val="0069641D"/>
    <w:rsid w:val="0069744C"/>
    <w:rsid w:val="0069755F"/>
    <w:rsid w:val="00697F25"/>
    <w:rsid w:val="006A0317"/>
    <w:rsid w:val="006A154F"/>
    <w:rsid w:val="006A1D3D"/>
    <w:rsid w:val="006A2481"/>
    <w:rsid w:val="006A284C"/>
    <w:rsid w:val="006A29C5"/>
    <w:rsid w:val="006A29FF"/>
    <w:rsid w:val="006A3C1F"/>
    <w:rsid w:val="006A437B"/>
    <w:rsid w:val="006A44A5"/>
    <w:rsid w:val="006A4F41"/>
    <w:rsid w:val="006A5B89"/>
    <w:rsid w:val="006A5D3F"/>
    <w:rsid w:val="006B0D38"/>
    <w:rsid w:val="006B12AD"/>
    <w:rsid w:val="006B173F"/>
    <w:rsid w:val="006B1B60"/>
    <w:rsid w:val="006B1CFF"/>
    <w:rsid w:val="006B285C"/>
    <w:rsid w:val="006B3877"/>
    <w:rsid w:val="006B5789"/>
    <w:rsid w:val="006B5B72"/>
    <w:rsid w:val="006B6195"/>
    <w:rsid w:val="006C1CB9"/>
    <w:rsid w:val="006C1F11"/>
    <w:rsid w:val="006C2885"/>
    <w:rsid w:val="006C2F34"/>
    <w:rsid w:val="006C30C5"/>
    <w:rsid w:val="006C3C1E"/>
    <w:rsid w:val="006C4E15"/>
    <w:rsid w:val="006C5278"/>
    <w:rsid w:val="006C616B"/>
    <w:rsid w:val="006C6B55"/>
    <w:rsid w:val="006C76CC"/>
    <w:rsid w:val="006C7F8C"/>
    <w:rsid w:val="006D02FD"/>
    <w:rsid w:val="006D0B1D"/>
    <w:rsid w:val="006D0BBB"/>
    <w:rsid w:val="006D14E4"/>
    <w:rsid w:val="006D30C2"/>
    <w:rsid w:val="006D3D48"/>
    <w:rsid w:val="006D5E18"/>
    <w:rsid w:val="006D6365"/>
    <w:rsid w:val="006D7EEB"/>
    <w:rsid w:val="006E15E2"/>
    <w:rsid w:val="006E2E1C"/>
    <w:rsid w:val="006E4486"/>
    <w:rsid w:val="006E560B"/>
    <w:rsid w:val="006E5D5F"/>
    <w:rsid w:val="006E5DCB"/>
    <w:rsid w:val="006E6246"/>
    <w:rsid w:val="006E6528"/>
    <w:rsid w:val="006E69C2"/>
    <w:rsid w:val="006E6B60"/>
    <w:rsid w:val="006E6DCC"/>
    <w:rsid w:val="006F074E"/>
    <w:rsid w:val="006F1804"/>
    <w:rsid w:val="006F26FD"/>
    <w:rsid w:val="006F318F"/>
    <w:rsid w:val="006F329E"/>
    <w:rsid w:val="006F478C"/>
    <w:rsid w:val="006F79B1"/>
    <w:rsid w:val="0070017E"/>
    <w:rsid w:val="00700B2C"/>
    <w:rsid w:val="0070122B"/>
    <w:rsid w:val="007022FE"/>
    <w:rsid w:val="00702BFA"/>
    <w:rsid w:val="00702E21"/>
    <w:rsid w:val="00704634"/>
    <w:rsid w:val="00704D9A"/>
    <w:rsid w:val="00705088"/>
    <w:rsid w:val="007050A2"/>
    <w:rsid w:val="007052E2"/>
    <w:rsid w:val="00705EAD"/>
    <w:rsid w:val="00707485"/>
    <w:rsid w:val="00707F79"/>
    <w:rsid w:val="007103F6"/>
    <w:rsid w:val="00711EE3"/>
    <w:rsid w:val="007126D1"/>
    <w:rsid w:val="00712AF8"/>
    <w:rsid w:val="00713084"/>
    <w:rsid w:val="00713219"/>
    <w:rsid w:val="007132BC"/>
    <w:rsid w:val="007132F2"/>
    <w:rsid w:val="0071390A"/>
    <w:rsid w:val="00713984"/>
    <w:rsid w:val="0071414A"/>
    <w:rsid w:val="00714E3D"/>
    <w:rsid w:val="00714F20"/>
    <w:rsid w:val="0071590F"/>
    <w:rsid w:val="00715914"/>
    <w:rsid w:val="00716750"/>
    <w:rsid w:val="00717D24"/>
    <w:rsid w:val="00717D3A"/>
    <w:rsid w:val="0072147A"/>
    <w:rsid w:val="00721D84"/>
    <w:rsid w:val="00722208"/>
    <w:rsid w:val="00722B7C"/>
    <w:rsid w:val="00722E6A"/>
    <w:rsid w:val="0072327C"/>
    <w:rsid w:val="00723791"/>
    <w:rsid w:val="00724724"/>
    <w:rsid w:val="00725319"/>
    <w:rsid w:val="00725A93"/>
    <w:rsid w:val="00725B1B"/>
    <w:rsid w:val="0072608A"/>
    <w:rsid w:val="00726F60"/>
    <w:rsid w:val="0072710B"/>
    <w:rsid w:val="00727B68"/>
    <w:rsid w:val="00727E7C"/>
    <w:rsid w:val="0073181B"/>
    <w:rsid w:val="00731E00"/>
    <w:rsid w:val="00732DBD"/>
    <w:rsid w:val="007331D7"/>
    <w:rsid w:val="00734384"/>
    <w:rsid w:val="007344CF"/>
    <w:rsid w:val="00734A60"/>
    <w:rsid w:val="007351AF"/>
    <w:rsid w:val="00735437"/>
    <w:rsid w:val="007361E3"/>
    <w:rsid w:val="007404AE"/>
    <w:rsid w:val="00742F92"/>
    <w:rsid w:val="007440B7"/>
    <w:rsid w:val="00744FC2"/>
    <w:rsid w:val="0074507B"/>
    <w:rsid w:val="0074648A"/>
    <w:rsid w:val="00746704"/>
    <w:rsid w:val="007473DD"/>
    <w:rsid w:val="007500C8"/>
    <w:rsid w:val="0075014C"/>
    <w:rsid w:val="00750D5D"/>
    <w:rsid w:val="007531F1"/>
    <w:rsid w:val="007532F3"/>
    <w:rsid w:val="00753E8D"/>
    <w:rsid w:val="00754893"/>
    <w:rsid w:val="00754998"/>
    <w:rsid w:val="00754FA5"/>
    <w:rsid w:val="00755314"/>
    <w:rsid w:val="0075608C"/>
    <w:rsid w:val="00756272"/>
    <w:rsid w:val="00756FEC"/>
    <w:rsid w:val="00762D38"/>
    <w:rsid w:val="00764891"/>
    <w:rsid w:val="00764D22"/>
    <w:rsid w:val="00766142"/>
    <w:rsid w:val="00766468"/>
    <w:rsid w:val="00766A43"/>
    <w:rsid w:val="007715C9"/>
    <w:rsid w:val="00771613"/>
    <w:rsid w:val="0077469C"/>
    <w:rsid w:val="007748B4"/>
    <w:rsid w:val="00774BA5"/>
    <w:rsid w:val="00774BC8"/>
    <w:rsid w:val="00774E53"/>
    <w:rsid w:val="00774EDD"/>
    <w:rsid w:val="007757DE"/>
    <w:rsid w:val="007757EC"/>
    <w:rsid w:val="00775D71"/>
    <w:rsid w:val="00777823"/>
    <w:rsid w:val="00780269"/>
    <w:rsid w:val="00780A01"/>
    <w:rsid w:val="00781D58"/>
    <w:rsid w:val="00781E43"/>
    <w:rsid w:val="00782692"/>
    <w:rsid w:val="00782B57"/>
    <w:rsid w:val="00782B85"/>
    <w:rsid w:val="00783E14"/>
    <w:rsid w:val="00783E89"/>
    <w:rsid w:val="007842A6"/>
    <w:rsid w:val="0078483D"/>
    <w:rsid w:val="0078543E"/>
    <w:rsid w:val="00785CBC"/>
    <w:rsid w:val="007863B8"/>
    <w:rsid w:val="007867D5"/>
    <w:rsid w:val="00787C47"/>
    <w:rsid w:val="00787D83"/>
    <w:rsid w:val="00787F30"/>
    <w:rsid w:val="0079017A"/>
    <w:rsid w:val="00790DB1"/>
    <w:rsid w:val="00790EDA"/>
    <w:rsid w:val="0079202F"/>
    <w:rsid w:val="007921FB"/>
    <w:rsid w:val="007933AD"/>
    <w:rsid w:val="0079387F"/>
    <w:rsid w:val="00793915"/>
    <w:rsid w:val="00794FFC"/>
    <w:rsid w:val="00795223"/>
    <w:rsid w:val="00795BBF"/>
    <w:rsid w:val="007A0C26"/>
    <w:rsid w:val="007A3537"/>
    <w:rsid w:val="007A4508"/>
    <w:rsid w:val="007A4744"/>
    <w:rsid w:val="007A5DDE"/>
    <w:rsid w:val="007A7452"/>
    <w:rsid w:val="007B0C72"/>
    <w:rsid w:val="007B138A"/>
    <w:rsid w:val="007B32EB"/>
    <w:rsid w:val="007B3A5E"/>
    <w:rsid w:val="007B3D4B"/>
    <w:rsid w:val="007B4950"/>
    <w:rsid w:val="007B4BFF"/>
    <w:rsid w:val="007B547D"/>
    <w:rsid w:val="007C055D"/>
    <w:rsid w:val="007C0F15"/>
    <w:rsid w:val="007C2253"/>
    <w:rsid w:val="007C3C0C"/>
    <w:rsid w:val="007C3D89"/>
    <w:rsid w:val="007C4495"/>
    <w:rsid w:val="007C4C71"/>
    <w:rsid w:val="007C6030"/>
    <w:rsid w:val="007C6952"/>
    <w:rsid w:val="007C6E31"/>
    <w:rsid w:val="007D07BC"/>
    <w:rsid w:val="007D0DFD"/>
    <w:rsid w:val="007D38BA"/>
    <w:rsid w:val="007D4116"/>
    <w:rsid w:val="007D425C"/>
    <w:rsid w:val="007D46F2"/>
    <w:rsid w:val="007D4914"/>
    <w:rsid w:val="007D619F"/>
    <w:rsid w:val="007D6B20"/>
    <w:rsid w:val="007D72B2"/>
    <w:rsid w:val="007D7911"/>
    <w:rsid w:val="007E0457"/>
    <w:rsid w:val="007E0A2F"/>
    <w:rsid w:val="007E163D"/>
    <w:rsid w:val="007E1AF0"/>
    <w:rsid w:val="007E1C4A"/>
    <w:rsid w:val="007E56CD"/>
    <w:rsid w:val="007E5CFE"/>
    <w:rsid w:val="007E667A"/>
    <w:rsid w:val="007F10EF"/>
    <w:rsid w:val="007F12D9"/>
    <w:rsid w:val="007F28C9"/>
    <w:rsid w:val="007F3F23"/>
    <w:rsid w:val="007F4290"/>
    <w:rsid w:val="007F51B2"/>
    <w:rsid w:val="007F5377"/>
    <w:rsid w:val="007F5DE4"/>
    <w:rsid w:val="007F6133"/>
    <w:rsid w:val="008009ED"/>
    <w:rsid w:val="008013B8"/>
    <w:rsid w:val="00801DE2"/>
    <w:rsid w:val="0080407E"/>
    <w:rsid w:val="008040DD"/>
    <w:rsid w:val="00804482"/>
    <w:rsid w:val="00804885"/>
    <w:rsid w:val="008060D8"/>
    <w:rsid w:val="00806B69"/>
    <w:rsid w:val="008075FE"/>
    <w:rsid w:val="00810A5B"/>
    <w:rsid w:val="008117E9"/>
    <w:rsid w:val="00812111"/>
    <w:rsid w:val="008130A3"/>
    <w:rsid w:val="0081383B"/>
    <w:rsid w:val="00814215"/>
    <w:rsid w:val="00815BEC"/>
    <w:rsid w:val="008161A5"/>
    <w:rsid w:val="00816E84"/>
    <w:rsid w:val="0081766C"/>
    <w:rsid w:val="008213BE"/>
    <w:rsid w:val="00823E15"/>
    <w:rsid w:val="00824498"/>
    <w:rsid w:val="0082475A"/>
    <w:rsid w:val="00825E2C"/>
    <w:rsid w:val="00826BD1"/>
    <w:rsid w:val="00826E66"/>
    <w:rsid w:val="0082751A"/>
    <w:rsid w:val="00830AEF"/>
    <w:rsid w:val="00832544"/>
    <w:rsid w:val="0083391E"/>
    <w:rsid w:val="00833D5C"/>
    <w:rsid w:val="00835E44"/>
    <w:rsid w:val="008421E6"/>
    <w:rsid w:val="00842DBC"/>
    <w:rsid w:val="00845149"/>
    <w:rsid w:val="00845FC6"/>
    <w:rsid w:val="008462FF"/>
    <w:rsid w:val="00846F76"/>
    <w:rsid w:val="0084718D"/>
    <w:rsid w:val="00847D06"/>
    <w:rsid w:val="008502A1"/>
    <w:rsid w:val="00852692"/>
    <w:rsid w:val="00853DD3"/>
    <w:rsid w:val="00853F47"/>
    <w:rsid w:val="00854411"/>
    <w:rsid w:val="00854445"/>
    <w:rsid w:val="00854D0B"/>
    <w:rsid w:val="00855D5B"/>
    <w:rsid w:val="00856A31"/>
    <w:rsid w:val="00856D38"/>
    <w:rsid w:val="00860870"/>
    <w:rsid w:val="00860B4E"/>
    <w:rsid w:val="008612A8"/>
    <w:rsid w:val="00863060"/>
    <w:rsid w:val="00863659"/>
    <w:rsid w:val="0086368E"/>
    <w:rsid w:val="00864653"/>
    <w:rsid w:val="0086477C"/>
    <w:rsid w:val="00864A8C"/>
    <w:rsid w:val="0086615C"/>
    <w:rsid w:val="00866AC9"/>
    <w:rsid w:val="0086771C"/>
    <w:rsid w:val="00867B37"/>
    <w:rsid w:val="00871B5D"/>
    <w:rsid w:val="00872539"/>
    <w:rsid w:val="008754D0"/>
    <w:rsid w:val="0087570F"/>
    <w:rsid w:val="00875C77"/>
    <w:rsid w:val="00875D13"/>
    <w:rsid w:val="008763F1"/>
    <w:rsid w:val="008766F8"/>
    <w:rsid w:val="00877051"/>
    <w:rsid w:val="00877760"/>
    <w:rsid w:val="008804FA"/>
    <w:rsid w:val="008817D5"/>
    <w:rsid w:val="008824A2"/>
    <w:rsid w:val="00882B2A"/>
    <w:rsid w:val="00882E32"/>
    <w:rsid w:val="00883B15"/>
    <w:rsid w:val="00883FC0"/>
    <w:rsid w:val="00885563"/>
    <w:rsid w:val="008855C9"/>
    <w:rsid w:val="00886401"/>
    <w:rsid w:val="00886456"/>
    <w:rsid w:val="00886726"/>
    <w:rsid w:val="00886EB5"/>
    <w:rsid w:val="00887607"/>
    <w:rsid w:val="00891EEF"/>
    <w:rsid w:val="008924F0"/>
    <w:rsid w:val="00893187"/>
    <w:rsid w:val="008951B8"/>
    <w:rsid w:val="008955FF"/>
    <w:rsid w:val="00896176"/>
    <w:rsid w:val="008962DD"/>
    <w:rsid w:val="00897386"/>
    <w:rsid w:val="008A020F"/>
    <w:rsid w:val="008A1279"/>
    <w:rsid w:val="008A135D"/>
    <w:rsid w:val="008A41BF"/>
    <w:rsid w:val="008A46E1"/>
    <w:rsid w:val="008A4940"/>
    <w:rsid w:val="008A4F43"/>
    <w:rsid w:val="008A55F6"/>
    <w:rsid w:val="008A5D48"/>
    <w:rsid w:val="008A5E36"/>
    <w:rsid w:val="008A5FF2"/>
    <w:rsid w:val="008A6282"/>
    <w:rsid w:val="008B0790"/>
    <w:rsid w:val="008B13D0"/>
    <w:rsid w:val="008B1BE1"/>
    <w:rsid w:val="008B2451"/>
    <w:rsid w:val="008B2706"/>
    <w:rsid w:val="008B4920"/>
    <w:rsid w:val="008B5084"/>
    <w:rsid w:val="008B6C74"/>
    <w:rsid w:val="008B74B6"/>
    <w:rsid w:val="008B7A35"/>
    <w:rsid w:val="008C05A5"/>
    <w:rsid w:val="008C08F4"/>
    <w:rsid w:val="008C2A43"/>
    <w:rsid w:val="008C2C17"/>
    <w:rsid w:val="008C2EAC"/>
    <w:rsid w:val="008C537C"/>
    <w:rsid w:val="008C7DD7"/>
    <w:rsid w:val="008D0EE0"/>
    <w:rsid w:val="008D16E3"/>
    <w:rsid w:val="008D1C75"/>
    <w:rsid w:val="008D1F1E"/>
    <w:rsid w:val="008D2596"/>
    <w:rsid w:val="008D38AC"/>
    <w:rsid w:val="008D4361"/>
    <w:rsid w:val="008E0027"/>
    <w:rsid w:val="008E015C"/>
    <w:rsid w:val="008E0551"/>
    <w:rsid w:val="008E1FD9"/>
    <w:rsid w:val="008E4429"/>
    <w:rsid w:val="008E492A"/>
    <w:rsid w:val="008E542A"/>
    <w:rsid w:val="008E6067"/>
    <w:rsid w:val="008E6461"/>
    <w:rsid w:val="008E6BFF"/>
    <w:rsid w:val="008F1D0A"/>
    <w:rsid w:val="008F284A"/>
    <w:rsid w:val="008F2992"/>
    <w:rsid w:val="008F415B"/>
    <w:rsid w:val="008F440D"/>
    <w:rsid w:val="008F4E63"/>
    <w:rsid w:val="008F54E7"/>
    <w:rsid w:val="008F57CE"/>
    <w:rsid w:val="008F718F"/>
    <w:rsid w:val="008F71F3"/>
    <w:rsid w:val="008F757A"/>
    <w:rsid w:val="009004AA"/>
    <w:rsid w:val="0090117E"/>
    <w:rsid w:val="00903422"/>
    <w:rsid w:val="009035A4"/>
    <w:rsid w:val="00904054"/>
    <w:rsid w:val="0090491B"/>
    <w:rsid w:val="00904FDC"/>
    <w:rsid w:val="00905437"/>
    <w:rsid w:val="00906107"/>
    <w:rsid w:val="009062BD"/>
    <w:rsid w:val="00907992"/>
    <w:rsid w:val="009102C9"/>
    <w:rsid w:val="00910DF8"/>
    <w:rsid w:val="00912711"/>
    <w:rsid w:val="00912FCC"/>
    <w:rsid w:val="00913758"/>
    <w:rsid w:val="00913938"/>
    <w:rsid w:val="00914E3F"/>
    <w:rsid w:val="00921823"/>
    <w:rsid w:val="009247FD"/>
    <w:rsid w:val="009254C3"/>
    <w:rsid w:val="00925FFD"/>
    <w:rsid w:val="009264C8"/>
    <w:rsid w:val="0093077A"/>
    <w:rsid w:val="00930C37"/>
    <w:rsid w:val="00931FEC"/>
    <w:rsid w:val="009320F9"/>
    <w:rsid w:val="00932377"/>
    <w:rsid w:val="009327E0"/>
    <w:rsid w:val="00934866"/>
    <w:rsid w:val="00934C45"/>
    <w:rsid w:val="00937675"/>
    <w:rsid w:val="009400DC"/>
    <w:rsid w:val="00941236"/>
    <w:rsid w:val="00942500"/>
    <w:rsid w:val="00943FD5"/>
    <w:rsid w:val="00944081"/>
    <w:rsid w:val="009450F8"/>
    <w:rsid w:val="00945424"/>
    <w:rsid w:val="00947D5A"/>
    <w:rsid w:val="009500A6"/>
    <w:rsid w:val="009507B5"/>
    <w:rsid w:val="00950D18"/>
    <w:rsid w:val="00950E50"/>
    <w:rsid w:val="009514F6"/>
    <w:rsid w:val="009532A5"/>
    <w:rsid w:val="009545BD"/>
    <w:rsid w:val="0095460D"/>
    <w:rsid w:val="00954A5A"/>
    <w:rsid w:val="009558D4"/>
    <w:rsid w:val="00955D57"/>
    <w:rsid w:val="00962695"/>
    <w:rsid w:val="009626C2"/>
    <w:rsid w:val="00963E3A"/>
    <w:rsid w:val="00964CF0"/>
    <w:rsid w:val="00965C99"/>
    <w:rsid w:val="00965DF5"/>
    <w:rsid w:val="00965E77"/>
    <w:rsid w:val="00966103"/>
    <w:rsid w:val="00967395"/>
    <w:rsid w:val="00967589"/>
    <w:rsid w:val="00970F98"/>
    <w:rsid w:val="009717C0"/>
    <w:rsid w:val="009736F9"/>
    <w:rsid w:val="00977806"/>
    <w:rsid w:val="00977B80"/>
    <w:rsid w:val="0098029F"/>
    <w:rsid w:val="009808FF"/>
    <w:rsid w:val="00981C6D"/>
    <w:rsid w:val="00981DDE"/>
    <w:rsid w:val="009821E1"/>
    <w:rsid w:val="00982242"/>
    <w:rsid w:val="00982461"/>
    <w:rsid w:val="0098342F"/>
    <w:rsid w:val="0098355B"/>
    <w:rsid w:val="00983CF5"/>
    <w:rsid w:val="00984F15"/>
    <w:rsid w:val="00985151"/>
    <w:rsid w:val="00985334"/>
    <w:rsid w:val="009857E6"/>
    <w:rsid w:val="00985B4C"/>
    <w:rsid w:val="00985DB8"/>
    <w:rsid w:val="009862E5"/>
    <w:rsid w:val="009868E9"/>
    <w:rsid w:val="0098720B"/>
    <w:rsid w:val="009878AB"/>
    <w:rsid w:val="009900A3"/>
    <w:rsid w:val="00990FFF"/>
    <w:rsid w:val="00991B85"/>
    <w:rsid w:val="009943FA"/>
    <w:rsid w:val="00994A67"/>
    <w:rsid w:val="00995ADB"/>
    <w:rsid w:val="009971B8"/>
    <w:rsid w:val="0099735E"/>
    <w:rsid w:val="00997A17"/>
    <w:rsid w:val="00997C46"/>
    <w:rsid w:val="009A1A2D"/>
    <w:rsid w:val="009A2747"/>
    <w:rsid w:val="009A42EE"/>
    <w:rsid w:val="009A48B8"/>
    <w:rsid w:val="009A4AA8"/>
    <w:rsid w:val="009A5413"/>
    <w:rsid w:val="009A581B"/>
    <w:rsid w:val="009A6554"/>
    <w:rsid w:val="009A7C35"/>
    <w:rsid w:val="009B03D7"/>
    <w:rsid w:val="009B1992"/>
    <w:rsid w:val="009B1D78"/>
    <w:rsid w:val="009B248F"/>
    <w:rsid w:val="009B2FEF"/>
    <w:rsid w:val="009B3BE9"/>
    <w:rsid w:val="009B4921"/>
    <w:rsid w:val="009B6017"/>
    <w:rsid w:val="009B6CB5"/>
    <w:rsid w:val="009B6EB9"/>
    <w:rsid w:val="009C148D"/>
    <w:rsid w:val="009C282E"/>
    <w:rsid w:val="009C2AAD"/>
    <w:rsid w:val="009C2F1A"/>
    <w:rsid w:val="009C323A"/>
    <w:rsid w:val="009C3413"/>
    <w:rsid w:val="009C4216"/>
    <w:rsid w:val="009C457E"/>
    <w:rsid w:val="009C52D0"/>
    <w:rsid w:val="009C6982"/>
    <w:rsid w:val="009C71BE"/>
    <w:rsid w:val="009D118C"/>
    <w:rsid w:val="009D236B"/>
    <w:rsid w:val="009D42A9"/>
    <w:rsid w:val="009D5471"/>
    <w:rsid w:val="009D6349"/>
    <w:rsid w:val="009D6AF5"/>
    <w:rsid w:val="009D7A69"/>
    <w:rsid w:val="009E1137"/>
    <w:rsid w:val="009E21FC"/>
    <w:rsid w:val="009E4078"/>
    <w:rsid w:val="009E57BA"/>
    <w:rsid w:val="009E6A51"/>
    <w:rsid w:val="009F0C16"/>
    <w:rsid w:val="009F126A"/>
    <w:rsid w:val="009F1CB2"/>
    <w:rsid w:val="009F2500"/>
    <w:rsid w:val="009F2505"/>
    <w:rsid w:val="009F25C7"/>
    <w:rsid w:val="009F56B1"/>
    <w:rsid w:val="009F65E1"/>
    <w:rsid w:val="00A00C37"/>
    <w:rsid w:val="00A013B1"/>
    <w:rsid w:val="00A01450"/>
    <w:rsid w:val="00A0165E"/>
    <w:rsid w:val="00A01B82"/>
    <w:rsid w:val="00A02D61"/>
    <w:rsid w:val="00A02F58"/>
    <w:rsid w:val="00A0374D"/>
    <w:rsid w:val="00A03B41"/>
    <w:rsid w:val="00A040F2"/>
    <w:rsid w:val="00A0441E"/>
    <w:rsid w:val="00A07081"/>
    <w:rsid w:val="00A0724B"/>
    <w:rsid w:val="00A073A2"/>
    <w:rsid w:val="00A0766B"/>
    <w:rsid w:val="00A07AE1"/>
    <w:rsid w:val="00A10B45"/>
    <w:rsid w:val="00A10CAF"/>
    <w:rsid w:val="00A11352"/>
    <w:rsid w:val="00A11646"/>
    <w:rsid w:val="00A11752"/>
    <w:rsid w:val="00A12128"/>
    <w:rsid w:val="00A135A1"/>
    <w:rsid w:val="00A1373A"/>
    <w:rsid w:val="00A14D91"/>
    <w:rsid w:val="00A1666C"/>
    <w:rsid w:val="00A20083"/>
    <w:rsid w:val="00A20974"/>
    <w:rsid w:val="00A21043"/>
    <w:rsid w:val="00A21158"/>
    <w:rsid w:val="00A2180A"/>
    <w:rsid w:val="00A21BA9"/>
    <w:rsid w:val="00A22C98"/>
    <w:rsid w:val="00A22EAB"/>
    <w:rsid w:val="00A22F1D"/>
    <w:rsid w:val="00A231E2"/>
    <w:rsid w:val="00A23862"/>
    <w:rsid w:val="00A2388B"/>
    <w:rsid w:val="00A24139"/>
    <w:rsid w:val="00A24636"/>
    <w:rsid w:val="00A25166"/>
    <w:rsid w:val="00A2677F"/>
    <w:rsid w:val="00A30586"/>
    <w:rsid w:val="00A307A7"/>
    <w:rsid w:val="00A31C80"/>
    <w:rsid w:val="00A31FFA"/>
    <w:rsid w:val="00A328CE"/>
    <w:rsid w:val="00A329CD"/>
    <w:rsid w:val="00A33E23"/>
    <w:rsid w:val="00A34EC0"/>
    <w:rsid w:val="00A35EC3"/>
    <w:rsid w:val="00A36483"/>
    <w:rsid w:val="00A36972"/>
    <w:rsid w:val="00A369E3"/>
    <w:rsid w:val="00A3706A"/>
    <w:rsid w:val="00A40200"/>
    <w:rsid w:val="00A42AE4"/>
    <w:rsid w:val="00A42F48"/>
    <w:rsid w:val="00A433C3"/>
    <w:rsid w:val="00A45982"/>
    <w:rsid w:val="00A45AC2"/>
    <w:rsid w:val="00A45D34"/>
    <w:rsid w:val="00A45E1D"/>
    <w:rsid w:val="00A46820"/>
    <w:rsid w:val="00A47A64"/>
    <w:rsid w:val="00A510B4"/>
    <w:rsid w:val="00A51FB0"/>
    <w:rsid w:val="00A5258F"/>
    <w:rsid w:val="00A532E0"/>
    <w:rsid w:val="00A539E9"/>
    <w:rsid w:val="00A54936"/>
    <w:rsid w:val="00A54D2C"/>
    <w:rsid w:val="00A553F8"/>
    <w:rsid w:val="00A55410"/>
    <w:rsid w:val="00A57600"/>
    <w:rsid w:val="00A57A61"/>
    <w:rsid w:val="00A57C37"/>
    <w:rsid w:val="00A6114D"/>
    <w:rsid w:val="00A616C9"/>
    <w:rsid w:val="00A62326"/>
    <w:rsid w:val="00A62716"/>
    <w:rsid w:val="00A6480F"/>
    <w:rsid w:val="00A64912"/>
    <w:rsid w:val="00A649BB"/>
    <w:rsid w:val="00A65236"/>
    <w:rsid w:val="00A7028E"/>
    <w:rsid w:val="00A70A74"/>
    <w:rsid w:val="00A70B6E"/>
    <w:rsid w:val="00A70BB0"/>
    <w:rsid w:val="00A71114"/>
    <w:rsid w:val="00A717A9"/>
    <w:rsid w:val="00A7440B"/>
    <w:rsid w:val="00A74AD9"/>
    <w:rsid w:val="00A74B1A"/>
    <w:rsid w:val="00A74BA0"/>
    <w:rsid w:val="00A74C6C"/>
    <w:rsid w:val="00A755A3"/>
    <w:rsid w:val="00A75FE9"/>
    <w:rsid w:val="00A80381"/>
    <w:rsid w:val="00A818D0"/>
    <w:rsid w:val="00A81CAB"/>
    <w:rsid w:val="00A8468B"/>
    <w:rsid w:val="00A84713"/>
    <w:rsid w:val="00A8478A"/>
    <w:rsid w:val="00A85A11"/>
    <w:rsid w:val="00A85EAE"/>
    <w:rsid w:val="00A85F83"/>
    <w:rsid w:val="00A86458"/>
    <w:rsid w:val="00A86983"/>
    <w:rsid w:val="00A87501"/>
    <w:rsid w:val="00A87825"/>
    <w:rsid w:val="00A87C12"/>
    <w:rsid w:val="00A90DDB"/>
    <w:rsid w:val="00A92874"/>
    <w:rsid w:val="00A94961"/>
    <w:rsid w:val="00A951FE"/>
    <w:rsid w:val="00A959DD"/>
    <w:rsid w:val="00A95A68"/>
    <w:rsid w:val="00A96205"/>
    <w:rsid w:val="00A96EEA"/>
    <w:rsid w:val="00A96EF5"/>
    <w:rsid w:val="00A971A5"/>
    <w:rsid w:val="00A972A4"/>
    <w:rsid w:val="00A972BE"/>
    <w:rsid w:val="00A976F4"/>
    <w:rsid w:val="00A979B7"/>
    <w:rsid w:val="00AA1B78"/>
    <w:rsid w:val="00AA262D"/>
    <w:rsid w:val="00AA4168"/>
    <w:rsid w:val="00AA4B7F"/>
    <w:rsid w:val="00AA532D"/>
    <w:rsid w:val="00AA580E"/>
    <w:rsid w:val="00AB1AF1"/>
    <w:rsid w:val="00AB2225"/>
    <w:rsid w:val="00AB228B"/>
    <w:rsid w:val="00AB318F"/>
    <w:rsid w:val="00AB460B"/>
    <w:rsid w:val="00AB4A1C"/>
    <w:rsid w:val="00AB6ACF"/>
    <w:rsid w:val="00AC0102"/>
    <w:rsid w:val="00AC131D"/>
    <w:rsid w:val="00AC1F4D"/>
    <w:rsid w:val="00AC24CA"/>
    <w:rsid w:val="00AC335F"/>
    <w:rsid w:val="00AC3906"/>
    <w:rsid w:val="00AC51F7"/>
    <w:rsid w:val="00AC5C90"/>
    <w:rsid w:val="00AC6E04"/>
    <w:rsid w:val="00AC7145"/>
    <w:rsid w:val="00AD0C88"/>
    <w:rsid w:val="00AD2109"/>
    <w:rsid w:val="00AD2D75"/>
    <w:rsid w:val="00AD33D1"/>
    <w:rsid w:val="00AD41B0"/>
    <w:rsid w:val="00AD53CC"/>
    <w:rsid w:val="00AD5641"/>
    <w:rsid w:val="00AD5672"/>
    <w:rsid w:val="00AD6075"/>
    <w:rsid w:val="00AE04CF"/>
    <w:rsid w:val="00AE078B"/>
    <w:rsid w:val="00AE1666"/>
    <w:rsid w:val="00AE1D47"/>
    <w:rsid w:val="00AE46A3"/>
    <w:rsid w:val="00AE50D7"/>
    <w:rsid w:val="00AE6505"/>
    <w:rsid w:val="00AE77CE"/>
    <w:rsid w:val="00AE7D28"/>
    <w:rsid w:val="00AF0198"/>
    <w:rsid w:val="00AF06CF"/>
    <w:rsid w:val="00AF111C"/>
    <w:rsid w:val="00AF2213"/>
    <w:rsid w:val="00AF22A3"/>
    <w:rsid w:val="00AF3B6E"/>
    <w:rsid w:val="00AF3CED"/>
    <w:rsid w:val="00AF4200"/>
    <w:rsid w:val="00AF4FC9"/>
    <w:rsid w:val="00AF5E46"/>
    <w:rsid w:val="00AF6A52"/>
    <w:rsid w:val="00AF701D"/>
    <w:rsid w:val="00AF7D2C"/>
    <w:rsid w:val="00B0002C"/>
    <w:rsid w:val="00B02C71"/>
    <w:rsid w:val="00B02D76"/>
    <w:rsid w:val="00B0705E"/>
    <w:rsid w:val="00B076DC"/>
    <w:rsid w:val="00B0794F"/>
    <w:rsid w:val="00B07CAB"/>
    <w:rsid w:val="00B07CDB"/>
    <w:rsid w:val="00B108BD"/>
    <w:rsid w:val="00B11F7F"/>
    <w:rsid w:val="00B141C2"/>
    <w:rsid w:val="00B15417"/>
    <w:rsid w:val="00B15776"/>
    <w:rsid w:val="00B15C2D"/>
    <w:rsid w:val="00B166D6"/>
    <w:rsid w:val="00B16A31"/>
    <w:rsid w:val="00B17DFD"/>
    <w:rsid w:val="00B25306"/>
    <w:rsid w:val="00B25E68"/>
    <w:rsid w:val="00B26412"/>
    <w:rsid w:val="00B27831"/>
    <w:rsid w:val="00B27EC7"/>
    <w:rsid w:val="00B3035D"/>
    <w:rsid w:val="00B308FE"/>
    <w:rsid w:val="00B31331"/>
    <w:rsid w:val="00B31DC7"/>
    <w:rsid w:val="00B321B3"/>
    <w:rsid w:val="00B32C48"/>
    <w:rsid w:val="00B33474"/>
    <w:rsid w:val="00B33709"/>
    <w:rsid w:val="00B33B3C"/>
    <w:rsid w:val="00B36392"/>
    <w:rsid w:val="00B3646A"/>
    <w:rsid w:val="00B37078"/>
    <w:rsid w:val="00B370A0"/>
    <w:rsid w:val="00B37EA2"/>
    <w:rsid w:val="00B40C99"/>
    <w:rsid w:val="00B418CB"/>
    <w:rsid w:val="00B42657"/>
    <w:rsid w:val="00B42704"/>
    <w:rsid w:val="00B431C0"/>
    <w:rsid w:val="00B434E2"/>
    <w:rsid w:val="00B4490E"/>
    <w:rsid w:val="00B44B45"/>
    <w:rsid w:val="00B452BE"/>
    <w:rsid w:val="00B4560B"/>
    <w:rsid w:val="00B45611"/>
    <w:rsid w:val="00B459FC"/>
    <w:rsid w:val="00B45A19"/>
    <w:rsid w:val="00B45F90"/>
    <w:rsid w:val="00B46447"/>
    <w:rsid w:val="00B470C0"/>
    <w:rsid w:val="00B47444"/>
    <w:rsid w:val="00B47B5B"/>
    <w:rsid w:val="00B50ADC"/>
    <w:rsid w:val="00B5133B"/>
    <w:rsid w:val="00B516EB"/>
    <w:rsid w:val="00B51E9B"/>
    <w:rsid w:val="00B54999"/>
    <w:rsid w:val="00B54BAD"/>
    <w:rsid w:val="00B54ED0"/>
    <w:rsid w:val="00B55465"/>
    <w:rsid w:val="00B566B1"/>
    <w:rsid w:val="00B572AE"/>
    <w:rsid w:val="00B5734D"/>
    <w:rsid w:val="00B57AA6"/>
    <w:rsid w:val="00B57D90"/>
    <w:rsid w:val="00B615BF"/>
    <w:rsid w:val="00B62788"/>
    <w:rsid w:val="00B627ED"/>
    <w:rsid w:val="00B632C8"/>
    <w:rsid w:val="00B636C7"/>
    <w:rsid w:val="00B63834"/>
    <w:rsid w:val="00B63CCD"/>
    <w:rsid w:val="00B63EE7"/>
    <w:rsid w:val="00B70CEA"/>
    <w:rsid w:val="00B70E8B"/>
    <w:rsid w:val="00B70FFE"/>
    <w:rsid w:val="00B716A9"/>
    <w:rsid w:val="00B7221D"/>
    <w:rsid w:val="00B72E14"/>
    <w:rsid w:val="00B7339C"/>
    <w:rsid w:val="00B74ED1"/>
    <w:rsid w:val="00B751B2"/>
    <w:rsid w:val="00B76410"/>
    <w:rsid w:val="00B76CDF"/>
    <w:rsid w:val="00B77707"/>
    <w:rsid w:val="00B80199"/>
    <w:rsid w:val="00B801B6"/>
    <w:rsid w:val="00B81506"/>
    <w:rsid w:val="00B82B4C"/>
    <w:rsid w:val="00B83204"/>
    <w:rsid w:val="00B856E7"/>
    <w:rsid w:val="00B8657E"/>
    <w:rsid w:val="00B87B7C"/>
    <w:rsid w:val="00B87DBF"/>
    <w:rsid w:val="00B90535"/>
    <w:rsid w:val="00B90927"/>
    <w:rsid w:val="00B90C54"/>
    <w:rsid w:val="00B9180D"/>
    <w:rsid w:val="00B91C9B"/>
    <w:rsid w:val="00B93755"/>
    <w:rsid w:val="00B93EC4"/>
    <w:rsid w:val="00B958C7"/>
    <w:rsid w:val="00B9598E"/>
    <w:rsid w:val="00B96C8B"/>
    <w:rsid w:val="00B97330"/>
    <w:rsid w:val="00BA01D6"/>
    <w:rsid w:val="00BA1D47"/>
    <w:rsid w:val="00BA205F"/>
    <w:rsid w:val="00BA220B"/>
    <w:rsid w:val="00BA23BB"/>
    <w:rsid w:val="00BA2678"/>
    <w:rsid w:val="00BA3A57"/>
    <w:rsid w:val="00BA5100"/>
    <w:rsid w:val="00BA5E35"/>
    <w:rsid w:val="00BA60F7"/>
    <w:rsid w:val="00BA6E70"/>
    <w:rsid w:val="00BA7A09"/>
    <w:rsid w:val="00BA7C1A"/>
    <w:rsid w:val="00BB1533"/>
    <w:rsid w:val="00BB16F6"/>
    <w:rsid w:val="00BB204D"/>
    <w:rsid w:val="00BB4074"/>
    <w:rsid w:val="00BB432D"/>
    <w:rsid w:val="00BB4490"/>
    <w:rsid w:val="00BB4C06"/>
    <w:rsid w:val="00BB4E1A"/>
    <w:rsid w:val="00BB5005"/>
    <w:rsid w:val="00BB54B4"/>
    <w:rsid w:val="00BB5779"/>
    <w:rsid w:val="00BB6028"/>
    <w:rsid w:val="00BB7DFE"/>
    <w:rsid w:val="00BC015E"/>
    <w:rsid w:val="00BC2B55"/>
    <w:rsid w:val="00BC350A"/>
    <w:rsid w:val="00BC3A13"/>
    <w:rsid w:val="00BC42D6"/>
    <w:rsid w:val="00BC5148"/>
    <w:rsid w:val="00BC6039"/>
    <w:rsid w:val="00BC6267"/>
    <w:rsid w:val="00BC68D4"/>
    <w:rsid w:val="00BC69C9"/>
    <w:rsid w:val="00BC76AC"/>
    <w:rsid w:val="00BC7D9E"/>
    <w:rsid w:val="00BD0ECB"/>
    <w:rsid w:val="00BD2BED"/>
    <w:rsid w:val="00BD2F99"/>
    <w:rsid w:val="00BD4A53"/>
    <w:rsid w:val="00BD5E32"/>
    <w:rsid w:val="00BD5ED3"/>
    <w:rsid w:val="00BD6A26"/>
    <w:rsid w:val="00BD6FFA"/>
    <w:rsid w:val="00BD785A"/>
    <w:rsid w:val="00BE03FD"/>
    <w:rsid w:val="00BE2155"/>
    <w:rsid w:val="00BE2A56"/>
    <w:rsid w:val="00BE646B"/>
    <w:rsid w:val="00BE719A"/>
    <w:rsid w:val="00BE720A"/>
    <w:rsid w:val="00BF0D73"/>
    <w:rsid w:val="00BF11F3"/>
    <w:rsid w:val="00BF1CBC"/>
    <w:rsid w:val="00BF1F56"/>
    <w:rsid w:val="00BF2465"/>
    <w:rsid w:val="00BF3908"/>
    <w:rsid w:val="00BF6E0E"/>
    <w:rsid w:val="00BF6FA6"/>
    <w:rsid w:val="00BF7091"/>
    <w:rsid w:val="00C02DDB"/>
    <w:rsid w:val="00C040F0"/>
    <w:rsid w:val="00C056B0"/>
    <w:rsid w:val="00C06B22"/>
    <w:rsid w:val="00C10722"/>
    <w:rsid w:val="00C10B16"/>
    <w:rsid w:val="00C10BE7"/>
    <w:rsid w:val="00C10FB3"/>
    <w:rsid w:val="00C11765"/>
    <w:rsid w:val="00C12DC1"/>
    <w:rsid w:val="00C13CA5"/>
    <w:rsid w:val="00C145F2"/>
    <w:rsid w:val="00C15D33"/>
    <w:rsid w:val="00C1617D"/>
    <w:rsid w:val="00C16619"/>
    <w:rsid w:val="00C16B04"/>
    <w:rsid w:val="00C17BB1"/>
    <w:rsid w:val="00C20700"/>
    <w:rsid w:val="00C219C2"/>
    <w:rsid w:val="00C22BBE"/>
    <w:rsid w:val="00C234DD"/>
    <w:rsid w:val="00C23A86"/>
    <w:rsid w:val="00C24833"/>
    <w:rsid w:val="00C25E7F"/>
    <w:rsid w:val="00C2746F"/>
    <w:rsid w:val="00C304DD"/>
    <w:rsid w:val="00C314F4"/>
    <w:rsid w:val="00C315FF"/>
    <w:rsid w:val="00C323D6"/>
    <w:rsid w:val="00C324A0"/>
    <w:rsid w:val="00C32980"/>
    <w:rsid w:val="00C3354C"/>
    <w:rsid w:val="00C335C9"/>
    <w:rsid w:val="00C3362C"/>
    <w:rsid w:val="00C33792"/>
    <w:rsid w:val="00C34100"/>
    <w:rsid w:val="00C346C2"/>
    <w:rsid w:val="00C347E5"/>
    <w:rsid w:val="00C34E85"/>
    <w:rsid w:val="00C35AAC"/>
    <w:rsid w:val="00C40A33"/>
    <w:rsid w:val="00C4172F"/>
    <w:rsid w:val="00C42803"/>
    <w:rsid w:val="00C42BF8"/>
    <w:rsid w:val="00C42DA3"/>
    <w:rsid w:val="00C44118"/>
    <w:rsid w:val="00C4467E"/>
    <w:rsid w:val="00C4526C"/>
    <w:rsid w:val="00C457D9"/>
    <w:rsid w:val="00C46146"/>
    <w:rsid w:val="00C46C9A"/>
    <w:rsid w:val="00C47135"/>
    <w:rsid w:val="00C47A99"/>
    <w:rsid w:val="00C47D86"/>
    <w:rsid w:val="00C50043"/>
    <w:rsid w:val="00C50213"/>
    <w:rsid w:val="00C50D12"/>
    <w:rsid w:val="00C51F25"/>
    <w:rsid w:val="00C53631"/>
    <w:rsid w:val="00C5522D"/>
    <w:rsid w:val="00C55743"/>
    <w:rsid w:val="00C57029"/>
    <w:rsid w:val="00C61494"/>
    <w:rsid w:val="00C62EA4"/>
    <w:rsid w:val="00C63DB2"/>
    <w:rsid w:val="00C63F03"/>
    <w:rsid w:val="00C65BA9"/>
    <w:rsid w:val="00C65DD0"/>
    <w:rsid w:val="00C66302"/>
    <w:rsid w:val="00C6643C"/>
    <w:rsid w:val="00C66542"/>
    <w:rsid w:val="00C66A96"/>
    <w:rsid w:val="00C6705C"/>
    <w:rsid w:val="00C67566"/>
    <w:rsid w:val="00C6788E"/>
    <w:rsid w:val="00C70205"/>
    <w:rsid w:val="00C7077C"/>
    <w:rsid w:val="00C70D11"/>
    <w:rsid w:val="00C712B3"/>
    <w:rsid w:val="00C7185E"/>
    <w:rsid w:val="00C71A3A"/>
    <w:rsid w:val="00C7326A"/>
    <w:rsid w:val="00C7405F"/>
    <w:rsid w:val="00C74540"/>
    <w:rsid w:val="00C74742"/>
    <w:rsid w:val="00C753A4"/>
    <w:rsid w:val="00C7573B"/>
    <w:rsid w:val="00C757F1"/>
    <w:rsid w:val="00C75D3E"/>
    <w:rsid w:val="00C76D8F"/>
    <w:rsid w:val="00C77381"/>
    <w:rsid w:val="00C775ED"/>
    <w:rsid w:val="00C83D51"/>
    <w:rsid w:val="00C86467"/>
    <w:rsid w:val="00C865D6"/>
    <w:rsid w:val="00C87464"/>
    <w:rsid w:val="00C90EB6"/>
    <w:rsid w:val="00C94BFB"/>
    <w:rsid w:val="00C95BDF"/>
    <w:rsid w:val="00C96711"/>
    <w:rsid w:val="00C96C4F"/>
    <w:rsid w:val="00C97A54"/>
    <w:rsid w:val="00CA400C"/>
    <w:rsid w:val="00CA4917"/>
    <w:rsid w:val="00CA4B9C"/>
    <w:rsid w:val="00CA4DC0"/>
    <w:rsid w:val="00CA52C6"/>
    <w:rsid w:val="00CA5703"/>
    <w:rsid w:val="00CA5AF0"/>
    <w:rsid w:val="00CA5B23"/>
    <w:rsid w:val="00CA6979"/>
    <w:rsid w:val="00CA707C"/>
    <w:rsid w:val="00CB0202"/>
    <w:rsid w:val="00CB070F"/>
    <w:rsid w:val="00CB071D"/>
    <w:rsid w:val="00CB0BB4"/>
    <w:rsid w:val="00CB17EF"/>
    <w:rsid w:val="00CB21EE"/>
    <w:rsid w:val="00CB3421"/>
    <w:rsid w:val="00CB4B97"/>
    <w:rsid w:val="00CB4D0F"/>
    <w:rsid w:val="00CB57E7"/>
    <w:rsid w:val="00CB602E"/>
    <w:rsid w:val="00CB7228"/>
    <w:rsid w:val="00CB7C58"/>
    <w:rsid w:val="00CB7E90"/>
    <w:rsid w:val="00CC17C8"/>
    <w:rsid w:val="00CC41A5"/>
    <w:rsid w:val="00CC4285"/>
    <w:rsid w:val="00CC4969"/>
    <w:rsid w:val="00CC5438"/>
    <w:rsid w:val="00CC5B88"/>
    <w:rsid w:val="00CC5FEE"/>
    <w:rsid w:val="00CC62B1"/>
    <w:rsid w:val="00CC791F"/>
    <w:rsid w:val="00CC7D60"/>
    <w:rsid w:val="00CD03F6"/>
    <w:rsid w:val="00CD1657"/>
    <w:rsid w:val="00CD1ABD"/>
    <w:rsid w:val="00CD1E31"/>
    <w:rsid w:val="00CD3689"/>
    <w:rsid w:val="00CD44AF"/>
    <w:rsid w:val="00CD48D0"/>
    <w:rsid w:val="00CD598C"/>
    <w:rsid w:val="00CD7CCF"/>
    <w:rsid w:val="00CD7D4B"/>
    <w:rsid w:val="00CE051D"/>
    <w:rsid w:val="00CE1335"/>
    <w:rsid w:val="00CE163E"/>
    <w:rsid w:val="00CE18EA"/>
    <w:rsid w:val="00CE2CD8"/>
    <w:rsid w:val="00CE31C1"/>
    <w:rsid w:val="00CE3821"/>
    <w:rsid w:val="00CE3EC2"/>
    <w:rsid w:val="00CE493A"/>
    <w:rsid w:val="00CE493D"/>
    <w:rsid w:val="00CE5D8F"/>
    <w:rsid w:val="00CE62A4"/>
    <w:rsid w:val="00CE635B"/>
    <w:rsid w:val="00CE7302"/>
    <w:rsid w:val="00CE79AB"/>
    <w:rsid w:val="00CF07FA"/>
    <w:rsid w:val="00CF0BB2"/>
    <w:rsid w:val="00CF2052"/>
    <w:rsid w:val="00CF24BC"/>
    <w:rsid w:val="00CF35BC"/>
    <w:rsid w:val="00CF3EE8"/>
    <w:rsid w:val="00CF43EE"/>
    <w:rsid w:val="00CF63D8"/>
    <w:rsid w:val="00CF6C7F"/>
    <w:rsid w:val="00CF7393"/>
    <w:rsid w:val="00CF7971"/>
    <w:rsid w:val="00D002BB"/>
    <w:rsid w:val="00D013D6"/>
    <w:rsid w:val="00D01F0C"/>
    <w:rsid w:val="00D02A02"/>
    <w:rsid w:val="00D0335A"/>
    <w:rsid w:val="00D04705"/>
    <w:rsid w:val="00D04B2D"/>
    <w:rsid w:val="00D04C47"/>
    <w:rsid w:val="00D04E48"/>
    <w:rsid w:val="00D056B1"/>
    <w:rsid w:val="00D057B8"/>
    <w:rsid w:val="00D06551"/>
    <w:rsid w:val="00D07B03"/>
    <w:rsid w:val="00D11F1F"/>
    <w:rsid w:val="00D1226C"/>
    <w:rsid w:val="00D13441"/>
    <w:rsid w:val="00D137BF"/>
    <w:rsid w:val="00D13CCB"/>
    <w:rsid w:val="00D150E7"/>
    <w:rsid w:val="00D15549"/>
    <w:rsid w:val="00D159B4"/>
    <w:rsid w:val="00D15D21"/>
    <w:rsid w:val="00D216A0"/>
    <w:rsid w:val="00D21845"/>
    <w:rsid w:val="00D22480"/>
    <w:rsid w:val="00D2320C"/>
    <w:rsid w:val="00D24A85"/>
    <w:rsid w:val="00D26B0D"/>
    <w:rsid w:val="00D27453"/>
    <w:rsid w:val="00D27787"/>
    <w:rsid w:val="00D27CBC"/>
    <w:rsid w:val="00D306B7"/>
    <w:rsid w:val="00D30ED7"/>
    <w:rsid w:val="00D32B23"/>
    <w:rsid w:val="00D33E41"/>
    <w:rsid w:val="00D35547"/>
    <w:rsid w:val="00D37240"/>
    <w:rsid w:val="00D37735"/>
    <w:rsid w:val="00D37BD6"/>
    <w:rsid w:val="00D37EBD"/>
    <w:rsid w:val="00D41EBC"/>
    <w:rsid w:val="00D42A7E"/>
    <w:rsid w:val="00D431F8"/>
    <w:rsid w:val="00D433A6"/>
    <w:rsid w:val="00D449AC"/>
    <w:rsid w:val="00D46A58"/>
    <w:rsid w:val="00D473DC"/>
    <w:rsid w:val="00D47D71"/>
    <w:rsid w:val="00D52DC2"/>
    <w:rsid w:val="00D53655"/>
    <w:rsid w:val="00D53BCC"/>
    <w:rsid w:val="00D5478D"/>
    <w:rsid w:val="00D54C9E"/>
    <w:rsid w:val="00D54E99"/>
    <w:rsid w:val="00D55AD1"/>
    <w:rsid w:val="00D56716"/>
    <w:rsid w:val="00D6024F"/>
    <w:rsid w:val="00D604AD"/>
    <w:rsid w:val="00D6084D"/>
    <w:rsid w:val="00D61E8C"/>
    <w:rsid w:val="00D64C75"/>
    <w:rsid w:val="00D6537E"/>
    <w:rsid w:val="00D65926"/>
    <w:rsid w:val="00D6639C"/>
    <w:rsid w:val="00D7019D"/>
    <w:rsid w:val="00D70DFB"/>
    <w:rsid w:val="00D710B1"/>
    <w:rsid w:val="00D7118B"/>
    <w:rsid w:val="00D723E8"/>
    <w:rsid w:val="00D73E4A"/>
    <w:rsid w:val="00D7472F"/>
    <w:rsid w:val="00D75980"/>
    <w:rsid w:val="00D75C88"/>
    <w:rsid w:val="00D75D75"/>
    <w:rsid w:val="00D766DF"/>
    <w:rsid w:val="00D76CFF"/>
    <w:rsid w:val="00D803B4"/>
    <w:rsid w:val="00D811DD"/>
    <w:rsid w:val="00D8206C"/>
    <w:rsid w:val="00D822E6"/>
    <w:rsid w:val="00D835DF"/>
    <w:rsid w:val="00D83AA3"/>
    <w:rsid w:val="00D87BF0"/>
    <w:rsid w:val="00D87EC2"/>
    <w:rsid w:val="00D91F10"/>
    <w:rsid w:val="00D933AD"/>
    <w:rsid w:val="00D93B95"/>
    <w:rsid w:val="00D9649C"/>
    <w:rsid w:val="00D96B82"/>
    <w:rsid w:val="00D97E84"/>
    <w:rsid w:val="00DA04B4"/>
    <w:rsid w:val="00DA186E"/>
    <w:rsid w:val="00DA1ECF"/>
    <w:rsid w:val="00DA2E79"/>
    <w:rsid w:val="00DA4116"/>
    <w:rsid w:val="00DA509E"/>
    <w:rsid w:val="00DA5930"/>
    <w:rsid w:val="00DA6B64"/>
    <w:rsid w:val="00DA7184"/>
    <w:rsid w:val="00DB0014"/>
    <w:rsid w:val="00DB0C5E"/>
    <w:rsid w:val="00DB0CBB"/>
    <w:rsid w:val="00DB1197"/>
    <w:rsid w:val="00DB251C"/>
    <w:rsid w:val="00DB27FC"/>
    <w:rsid w:val="00DB28D7"/>
    <w:rsid w:val="00DB2D5B"/>
    <w:rsid w:val="00DB2E40"/>
    <w:rsid w:val="00DB313A"/>
    <w:rsid w:val="00DB3F08"/>
    <w:rsid w:val="00DB3F22"/>
    <w:rsid w:val="00DB4501"/>
    <w:rsid w:val="00DB454A"/>
    <w:rsid w:val="00DB4630"/>
    <w:rsid w:val="00DB53B2"/>
    <w:rsid w:val="00DB5A45"/>
    <w:rsid w:val="00DB5A50"/>
    <w:rsid w:val="00DC044F"/>
    <w:rsid w:val="00DC0FA2"/>
    <w:rsid w:val="00DC25E5"/>
    <w:rsid w:val="00DC3F26"/>
    <w:rsid w:val="00DC4F88"/>
    <w:rsid w:val="00DC7423"/>
    <w:rsid w:val="00DD2237"/>
    <w:rsid w:val="00DD2DE7"/>
    <w:rsid w:val="00DD43F7"/>
    <w:rsid w:val="00DD5100"/>
    <w:rsid w:val="00DD5639"/>
    <w:rsid w:val="00DD609E"/>
    <w:rsid w:val="00DD6864"/>
    <w:rsid w:val="00DD6BAB"/>
    <w:rsid w:val="00DD6FDD"/>
    <w:rsid w:val="00DE0425"/>
    <w:rsid w:val="00DE071C"/>
    <w:rsid w:val="00DE0A79"/>
    <w:rsid w:val="00DE107C"/>
    <w:rsid w:val="00DE1F38"/>
    <w:rsid w:val="00DE1FA5"/>
    <w:rsid w:val="00DE5AD0"/>
    <w:rsid w:val="00DE5B60"/>
    <w:rsid w:val="00DE627C"/>
    <w:rsid w:val="00DE6745"/>
    <w:rsid w:val="00DE6D94"/>
    <w:rsid w:val="00DE7B2A"/>
    <w:rsid w:val="00DF0D18"/>
    <w:rsid w:val="00DF0FA6"/>
    <w:rsid w:val="00DF1495"/>
    <w:rsid w:val="00DF16E2"/>
    <w:rsid w:val="00DF1891"/>
    <w:rsid w:val="00DF1F01"/>
    <w:rsid w:val="00DF2388"/>
    <w:rsid w:val="00DF2D97"/>
    <w:rsid w:val="00DF6075"/>
    <w:rsid w:val="00DF7637"/>
    <w:rsid w:val="00E0086F"/>
    <w:rsid w:val="00E018DF"/>
    <w:rsid w:val="00E01E84"/>
    <w:rsid w:val="00E02050"/>
    <w:rsid w:val="00E02289"/>
    <w:rsid w:val="00E026A5"/>
    <w:rsid w:val="00E049C4"/>
    <w:rsid w:val="00E05704"/>
    <w:rsid w:val="00E05BA6"/>
    <w:rsid w:val="00E05E4F"/>
    <w:rsid w:val="00E05EE7"/>
    <w:rsid w:val="00E0608F"/>
    <w:rsid w:val="00E06216"/>
    <w:rsid w:val="00E06E87"/>
    <w:rsid w:val="00E072E3"/>
    <w:rsid w:val="00E11907"/>
    <w:rsid w:val="00E11ABC"/>
    <w:rsid w:val="00E12ABA"/>
    <w:rsid w:val="00E16300"/>
    <w:rsid w:val="00E17E73"/>
    <w:rsid w:val="00E20138"/>
    <w:rsid w:val="00E212BA"/>
    <w:rsid w:val="00E221DE"/>
    <w:rsid w:val="00E22474"/>
    <w:rsid w:val="00E22B40"/>
    <w:rsid w:val="00E22D11"/>
    <w:rsid w:val="00E22DEB"/>
    <w:rsid w:val="00E2347E"/>
    <w:rsid w:val="00E23487"/>
    <w:rsid w:val="00E244FE"/>
    <w:rsid w:val="00E24B86"/>
    <w:rsid w:val="00E26B10"/>
    <w:rsid w:val="00E30146"/>
    <w:rsid w:val="00E3094B"/>
    <w:rsid w:val="00E30BFA"/>
    <w:rsid w:val="00E312C4"/>
    <w:rsid w:val="00E31D38"/>
    <w:rsid w:val="00E32FA3"/>
    <w:rsid w:val="00E33197"/>
    <w:rsid w:val="00E3346E"/>
    <w:rsid w:val="00E335EF"/>
    <w:rsid w:val="00E338EF"/>
    <w:rsid w:val="00E34492"/>
    <w:rsid w:val="00E344B7"/>
    <w:rsid w:val="00E34535"/>
    <w:rsid w:val="00E35B6E"/>
    <w:rsid w:val="00E35BA1"/>
    <w:rsid w:val="00E36267"/>
    <w:rsid w:val="00E37503"/>
    <w:rsid w:val="00E37D21"/>
    <w:rsid w:val="00E4172F"/>
    <w:rsid w:val="00E41F1B"/>
    <w:rsid w:val="00E4410D"/>
    <w:rsid w:val="00E44718"/>
    <w:rsid w:val="00E45624"/>
    <w:rsid w:val="00E45C05"/>
    <w:rsid w:val="00E46638"/>
    <w:rsid w:val="00E46859"/>
    <w:rsid w:val="00E47B90"/>
    <w:rsid w:val="00E51593"/>
    <w:rsid w:val="00E529AB"/>
    <w:rsid w:val="00E53AA6"/>
    <w:rsid w:val="00E53AAB"/>
    <w:rsid w:val="00E53BEB"/>
    <w:rsid w:val="00E53EEE"/>
    <w:rsid w:val="00E544BB"/>
    <w:rsid w:val="00E56456"/>
    <w:rsid w:val="00E5658A"/>
    <w:rsid w:val="00E56970"/>
    <w:rsid w:val="00E57191"/>
    <w:rsid w:val="00E61B58"/>
    <w:rsid w:val="00E63545"/>
    <w:rsid w:val="00E638B6"/>
    <w:rsid w:val="00E67AE3"/>
    <w:rsid w:val="00E7083C"/>
    <w:rsid w:val="00E730F5"/>
    <w:rsid w:val="00E7339E"/>
    <w:rsid w:val="00E74DC7"/>
    <w:rsid w:val="00E7597D"/>
    <w:rsid w:val="00E76FE8"/>
    <w:rsid w:val="00E77654"/>
    <w:rsid w:val="00E800B5"/>
    <w:rsid w:val="00E804B9"/>
    <w:rsid w:val="00E8069B"/>
    <w:rsid w:val="00E8075A"/>
    <w:rsid w:val="00E81796"/>
    <w:rsid w:val="00E820C2"/>
    <w:rsid w:val="00E837DE"/>
    <w:rsid w:val="00E85AD8"/>
    <w:rsid w:val="00E8667B"/>
    <w:rsid w:val="00E8699A"/>
    <w:rsid w:val="00E872DA"/>
    <w:rsid w:val="00E911A5"/>
    <w:rsid w:val="00E9173B"/>
    <w:rsid w:val="00E93827"/>
    <w:rsid w:val="00E93AF7"/>
    <w:rsid w:val="00E93D47"/>
    <w:rsid w:val="00E93F98"/>
    <w:rsid w:val="00E940D8"/>
    <w:rsid w:val="00E944C2"/>
    <w:rsid w:val="00E94D5E"/>
    <w:rsid w:val="00E950EC"/>
    <w:rsid w:val="00E951B2"/>
    <w:rsid w:val="00E953CF"/>
    <w:rsid w:val="00E96910"/>
    <w:rsid w:val="00EA0804"/>
    <w:rsid w:val="00EA288D"/>
    <w:rsid w:val="00EA4884"/>
    <w:rsid w:val="00EA4B6A"/>
    <w:rsid w:val="00EA6415"/>
    <w:rsid w:val="00EA6481"/>
    <w:rsid w:val="00EA7100"/>
    <w:rsid w:val="00EA74BB"/>
    <w:rsid w:val="00EA7A19"/>
    <w:rsid w:val="00EA7F9F"/>
    <w:rsid w:val="00EB0D3C"/>
    <w:rsid w:val="00EB1274"/>
    <w:rsid w:val="00EB1F49"/>
    <w:rsid w:val="00EB2363"/>
    <w:rsid w:val="00EB594A"/>
    <w:rsid w:val="00EB59DE"/>
    <w:rsid w:val="00EB5D41"/>
    <w:rsid w:val="00EB7DE6"/>
    <w:rsid w:val="00EC19D2"/>
    <w:rsid w:val="00EC2D4A"/>
    <w:rsid w:val="00EC2E67"/>
    <w:rsid w:val="00EC3804"/>
    <w:rsid w:val="00EC575B"/>
    <w:rsid w:val="00EC58C9"/>
    <w:rsid w:val="00EC5C90"/>
    <w:rsid w:val="00EC6131"/>
    <w:rsid w:val="00EC6568"/>
    <w:rsid w:val="00EC702C"/>
    <w:rsid w:val="00ED0BF3"/>
    <w:rsid w:val="00ED1DA0"/>
    <w:rsid w:val="00ED28E2"/>
    <w:rsid w:val="00ED299E"/>
    <w:rsid w:val="00ED2BB6"/>
    <w:rsid w:val="00ED2BFC"/>
    <w:rsid w:val="00ED34E1"/>
    <w:rsid w:val="00ED3B8D"/>
    <w:rsid w:val="00ED3F2F"/>
    <w:rsid w:val="00ED46F8"/>
    <w:rsid w:val="00ED559C"/>
    <w:rsid w:val="00EE1689"/>
    <w:rsid w:val="00EE2636"/>
    <w:rsid w:val="00EE346C"/>
    <w:rsid w:val="00EE3517"/>
    <w:rsid w:val="00EE3841"/>
    <w:rsid w:val="00EE3F8A"/>
    <w:rsid w:val="00EE5E36"/>
    <w:rsid w:val="00EF0685"/>
    <w:rsid w:val="00EF242B"/>
    <w:rsid w:val="00EF26DC"/>
    <w:rsid w:val="00EF2E3A"/>
    <w:rsid w:val="00EF6112"/>
    <w:rsid w:val="00EF646C"/>
    <w:rsid w:val="00EF717C"/>
    <w:rsid w:val="00F02C7C"/>
    <w:rsid w:val="00F0321A"/>
    <w:rsid w:val="00F0351B"/>
    <w:rsid w:val="00F03AD8"/>
    <w:rsid w:val="00F050B0"/>
    <w:rsid w:val="00F072A7"/>
    <w:rsid w:val="00F078BF"/>
    <w:rsid w:val="00F078DC"/>
    <w:rsid w:val="00F11182"/>
    <w:rsid w:val="00F111FD"/>
    <w:rsid w:val="00F117D2"/>
    <w:rsid w:val="00F117DB"/>
    <w:rsid w:val="00F11E62"/>
    <w:rsid w:val="00F13A35"/>
    <w:rsid w:val="00F13E3B"/>
    <w:rsid w:val="00F13EF8"/>
    <w:rsid w:val="00F1557C"/>
    <w:rsid w:val="00F15994"/>
    <w:rsid w:val="00F17B81"/>
    <w:rsid w:val="00F2169F"/>
    <w:rsid w:val="00F21CDE"/>
    <w:rsid w:val="00F21F59"/>
    <w:rsid w:val="00F2302F"/>
    <w:rsid w:val="00F2341E"/>
    <w:rsid w:val="00F25069"/>
    <w:rsid w:val="00F25160"/>
    <w:rsid w:val="00F26822"/>
    <w:rsid w:val="00F26839"/>
    <w:rsid w:val="00F2705F"/>
    <w:rsid w:val="00F275E4"/>
    <w:rsid w:val="00F3035B"/>
    <w:rsid w:val="00F3064B"/>
    <w:rsid w:val="00F317B3"/>
    <w:rsid w:val="00F32BA8"/>
    <w:rsid w:val="00F32D92"/>
    <w:rsid w:val="00F32DC3"/>
    <w:rsid w:val="00F32EE0"/>
    <w:rsid w:val="00F32F9A"/>
    <w:rsid w:val="00F342DE"/>
    <w:rsid w:val="00F349F1"/>
    <w:rsid w:val="00F34A8E"/>
    <w:rsid w:val="00F351FE"/>
    <w:rsid w:val="00F36CCA"/>
    <w:rsid w:val="00F37B3E"/>
    <w:rsid w:val="00F40750"/>
    <w:rsid w:val="00F40C12"/>
    <w:rsid w:val="00F41B59"/>
    <w:rsid w:val="00F41FAE"/>
    <w:rsid w:val="00F42210"/>
    <w:rsid w:val="00F4271A"/>
    <w:rsid w:val="00F43021"/>
    <w:rsid w:val="00F430CA"/>
    <w:rsid w:val="00F432E7"/>
    <w:rsid w:val="00F4350D"/>
    <w:rsid w:val="00F45471"/>
    <w:rsid w:val="00F4573E"/>
    <w:rsid w:val="00F45A23"/>
    <w:rsid w:val="00F4682D"/>
    <w:rsid w:val="00F479C4"/>
    <w:rsid w:val="00F5094D"/>
    <w:rsid w:val="00F51630"/>
    <w:rsid w:val="00F518E7"/>
    <w:rsid w:val="00F52378"/>
    <w:rsid w:val="00F52E7F"/>
    <w:rsid w:val="00F531AC"/>
    <w:rsid w:val="00F562BC"/>
    <w:rsid w:val="00F567F7"/>
    <w:rsid w:val="00F56CB9"/>
    <w:rsid w:val="00F56CF5"/>
    <w:rsid w:val="00F56EF8"/>
    <w:rsid w:val="00F60CFB"/>
    <w:rsid w:val="00F61C88"/>
    <w:rsid w:val="00F64EE3"/>
    <w:rsid w:val="00F660A8"/>
    <w:rsid w:val="00F6696E"/>
    <w:rsid w:val="00F6699B"/>
    <w:rsid w:val="00F67F08"/>
    <w:rsid w:val="00F700D7"/>
    <w:rsid w:val="00F72DCD"/>
    <w:rsid w:val="00F73BD6"/>
    <w:rsid w:val="00F74FF0"/>
    <w:rsid w:val="00F75913"/>
    <w:rsid w:val="00F760A7"/>
    <w:rsid w:val="00F76A5E"/>
    <w:rsid w:val="00F7706A"/>
    <w:rsid w:val="00F80CC5"/>
    <w:rsid w:val="00F81D2D"/>
    <w:rsid w:val="00F81E7B"/>
    <w:rsid w:val="00F81F44"/>
    <w:rsid w:val="00F82443"/>
    <w:rsid w:val="00F8276D"/>
    <w:rsid w:val="00F83989"/>
    <w:rsid w:val="00F85099"/>
    <w:rsid w:val="00F85114"/>
    <w:rsid w:val="00F85678"/>
    <w:rsid w:val="00F875E3"/>
    <w:rsid w:val="00F87C71"/>
    <w:rsid w:val="00F87E00"/>
    <w:rsid w:val="00F90716"/>
    <w:rsid w:val="00F91A56"/>
    <w:rsid w:val="00F92A15"/>
    <w:rsid w:val="00F9379C"/>
    <w:rsid w:val="00F9421C"/>
    <w:rsid w:val="00F94701"/>
    <w:rsid w:val="00F94829"/>
    <w:rsid w:val="00F95FB4"/>
    <w:rsid w:val="00F9632C"/>
    <w:rsid w:val="00F9641F"/>
    <w:rsid w:val="00F96548"/>
    <w:rsid w:val="00F97227"/>
    <w:rsid w:val="00FA00ED"/>
    <w:rsid w:val="00FA00F0"/>
    <w:rsid w:val="00FA0EA5"/>
    <w:rsid w:val="00FA1E52"/>
    <w:rsid w:val="00FA2EC7"/>
    <w:rsid w:val="00FA3038"/>
    <w:rsid w:val="00FA37CD"/>
    <w:rsid w:val="00FA3A44"/>
    <w:rsid w:val="00FA5959"/>
    <w:rsid w:val="00FA5DEF"/>
    <w:rsid w:val="00FA6A81"/>
    <w:rsid w:val="00FB1AA9"/>
    <w:rsid w:val="00FB2A0E"/>
    <w:rsid w:val="00FB34E5"/>
    <w:rsid w:val="00FB4372"/>
    <w:rsid w:val="00FB43BF"/>
    <w:rsid w:val="00FB4A39"/>
    <w:rsid w:val="00FB4E05"/>
    <w:rsid w:val="00FB5A08"/>
    <w:rsid w:val="00FB672D"/>
    <w:rsid w:val="00FB6C57"/>
    <w:rsid w:val="00FC05E1"/>
    <w:rsid w:val="00FC20E8"/>
    <w:rsid w:val="00FC3CC1"/>
    <w:rsid w:val="00FC3DCF"/>
    <w:rsid w:val="00FC5191"/>
    <w:rsid w:val="00FC5B72"/>
    <w:rsid w:val="00FC6238"/>
    <w:rsid w:val="00FC683E"/>
    <w:rsid w:val="00FC6A80"/>
    <w:rsid w:val="00FC76B4"/>
    <w:rsid w:val="00FC7CE3"/>
    <w:rsid w:val="00FC7E0B"/>
    <w:rsid w:val="00FD12E7"/>
    <w:rsid w:val="00FD1550"/>
    <w:rsid w:val="00FD4CC7"/>
    <w:rsid w:val="00FE03BE"/>
    <w:rsid w:val="00FE05C4"/>
    <w:rsid w:val="00FE0FDF"/>
    <w:rsid w:val="00FE11FD"/>
    <w:rsid w:val="00FE1FD2"/>
    <w:rsid w:val="00FE2A86"/>
    <w:rsid w:val="00FE2F29"/>
    <w:rsid w:val="00FE33FE"/>
    <w:rsid w:val="00FE3584"/>
    <w:rsid w:val="00FE3AA3"/>
    <w:rsid w:val="00FE4688"/>
    <w:rsid w:val="00FE6493"/>
    <w:rsid w:val="00FE686F"/>
    <w:rsid w:val="00FE754A"/>
    <w:rsid w:val="00FE7C44"/>
    <w:rsid w:val="00FF025A"/>
    <w:rsid w:val="00FF1345"/>
    <w:rsid w:val="00FF285F"/>
    <w:rsid w:val="00FF3F55"/>
    <w:rsid w:val="00FF402C"/>
    <w:rsid w:val="00FF5318"/>
    <w:rsid w:val="00FF56D8"/>
    <w:rsid w:val="00FF5704"/>
    <w:rsid w:val="00FF60FF"/>
    <w:rsid w:val="00FF6EDE"/>
    <w:rsid w:val="00FF6F50"/>
    <w:rsid w:val="00FF799C"/>
    <w:rsid w:val="00FF7EE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7619"/>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autoRedefine/>
    <w:qFormat/>
    <w:rsid w:val="00361313"/>
    <w:pPr>
      <w:keepNext/>
      <w:keepLines/>
      <w:pageBreakBefore/>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267619"/>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aliases w:val="List Bullet Cab,CAB - List Bullet,Bullet Point,Bullet point,Bullet points,Bulleted Para,CV text,Content descriptions,Dot pt,L,List Paragraph Number,List Paragraph1,List Paragraph11,List Paragraph2,NFP GP Bulleted List,Recommendation,列出段落"/>
    <w:basedOn w:val="Normal"/>
    <w:link w:val="ListParagraphChar"/>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unhideWhenUsed/>
    <w:rsid w:val="00314493"/>
    <w:pPr>
      <w:spacing w:line="240" w:lineRule="auto"/>
    </w:pPr>
  </w:style>
  <w:style w:type="character" w:customStyle="1" w:styleId="NoteHeadingChar">
    <w:name w:val="Note Heading Char"/>
    <w:basedOn w:val="DefaultParagraphFont"/>
    <w:link w:val="NoteHeading"/>
    <w:uiPriority w:val="99"/>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subsectionhead0">
    <w:name w:val="subsectionhead"/>
    <w:basedOn w:val="Normal"/>
    <w:rsid w:val="00F74FF0"/>
    <w:pPr>
      <w:spacing w:before="100" w:beforeAutospacing="1" w:after="100" w:afterAutospacing="1" w:line="240" w:lineRule="auto"/>
    </w:pPr>
    <w:rPr>
      <w:rFonts w:eastAsia="Times New Roman" w:cs="Times New Roman"/>
      <w:sz w:val="24"/>
      <w:szCs w:val="24"/>
      <w:lang w:eastAsia="en-AU"/>
    </w:rPr>
  </w:style>
  <w:style w:type="paragraph" w:customStyle="1" w:styleId="definition0">
    <w:name w:val="definition"/>
    <w:basedOn w:val="Normal"/>
    <w:rsid w:val="00BD2F99"/>
    <w:pPr>
      <w:spacing w:before="100" w:beforeAutospacing="1" w:after="100" w:afterAutospacing="1" w:line="240" w:lineRule="auto"/>
    </w:pPr>
    <w:rPr>
      <w:rFonts w:eastAsia="Calibri" w:cs="Times New Roman"/>
      <w:sz w:val="24"/>
      <w:szCs w:val="24"/>
      <w:lang w:eastAsia="en-AU"/>
    </w:rPr>
  </w:style>
  <w:style w:type="character" w:customStyle="1" w:styleId="ListParagraphChar">
    <w:name w:val="List Paragraph Char"/>
    <w:aliases w:val="List Bullet Cab Char,CAB - List Bullet Char,Bullet Point Char,Bullet point Char,Bullet points Char,Bulleted Para Char,CV text Char,Content descriptions Char,Dot pt Char,L Char,List Paragraph Number Char,List Paragraph1 Char,列出段落 Char"/>
    <w:basedOn w:val="DefaultParagraphFont"/>
    <w:link w:val="ListParagraph"/>
    <w:uiPriority w:val="34"/>
    <w:locked/>
    <w:rsid w:val="00E16300"/>
    <w:rPr>
      <w:sz w:val="22"/>
    </w:rPr>
  </w:style>
  <w:style w:type="paragraph" w:customStyle="1" w:styleId="paragraphsub0">
    <w:name w:val="paragraphsub"/>
    <w:basedOn w:val="Normal"/>
    <w:rsid w:val="0080407E"/>
    <w:pPr>
      <w:spacing w:before="100" w:beforeAutospacing="1" w:after="100" w:afterAutospacing="1" w:line="240" w:lineRule="auto"/>
    </w:pPr>
    <w:rPr>
      <w:rFonts w:eastAsia="Times New Roman" w:cs="Times New Roman"/>
      <w:sz w:val="24"/>
      <w:szCs w:val="24"/>
      <w:lang w:eastAsia="en-AU"/>
    </w:rPr>
  </w:style>
  <w:style w:type="paragraph" w:customStyle="1" w:styleId="Notes">
    <w:name w:val="Notes("/>
    <w:basedOn w:val="ActHead7"/>
    <w:rsid w:val="000B627C"/>
  </w:style>
  <w:style w:type="paragraph" w:customStyle="1" w:styleId="PlainParagraph">
    <w:name w:val="Plain Paragraph"/>
    <w:aliases w:val="PP"/>
    <w:basedOn w:val="Normal"/>
    <w:link w:val="PlainParagraphChar"/>
    <w:qFormat/>
    <w:rsid w:val="001777EA"/>
    <w:pPr>
      <w:spacing w:before="140" w:after="140" w:line="280" w:lineRule="atLeast"/>
    </w:pPr>
    <w:rPr>
      <w:rFonts w:ascii="Arial" w:eastAsia="Times New Roman" w:hAnsi="Arial" w:cs="Arial"/>
      <w:szCs w:val="22"/>
      <w:lang w:eastAsia="en-AU"/>
    </w:rPr>
  </w:style>
  <w:style w:type="paragraph" w:customStyle="1" w:styleId="TablePlainParagraph">
    <w:name w:val="Table: Plain Paragraph"/>
    <w:aliases w:val="Table PP"/>
    <w:basedOn w:val="PlainParagraph"/>
    <w:uiPriority w:val="11"/>
    <w:qFormat/>
    <w:rsid w:val="001777EA"/>
    <w:pPr>
      <w:spacing w:before="60" w:after="60" w:line="240" w:lineRule="atLeast"/>
    </w:pPr>
    <w:rPr>
      <w:sz w:val="20"/>
    </w:rPr>
  </w:style>
  <w:style w:type="paragraph" w:customStyle="1" w:styleId="TableHeading2">
    <w:name w:val="Table: Heading 2"/>
    <w:basedOn w:val="Normal"/>
    <w:next w:val="TablePlainParagraph"/>
    <w:uiPriority w:val="12"/>
    <w:rsid w:val="001777EA"/>
    <w:pPr>
      <w:keepNext/>
      <w:keepLines/>
      <w:spacing w:before="60" w:line="240" w:lineRule="atLeast"/>
    </w:pPr>
    <w:rPr>
      <w:rFonts w:ascii="Arial" w:eastAsia="Times New Roman" w:hAnsi="Arial" w:cs="Arial"/>
      <w:b/>
      <w:sz w:val="20"/>
      <w:szCs w:val="22"/>
      <w:lang w:eastAsia="en-AU"/>
    </w:rPr>
  </w:style>
  <w:style w:type="paragraph" w:customStyle="1" w:styleId="TableDashEn1">
    <w:name w:val="Table: Dash: En 1"/>
    <w:basedOn w:val="TablePlainParagraph"/>
    <w:uiPriority w:val="12"/>
    <w:rsid w:val="001777EA"/>
    <w:pPr>
      <w:numPr>
        <w:ilvl w:val="2"/>
        <w:numId w:val="3"/>
      </w:numPr>
      <w:tabs>
        <w:tab w:val="clear" w:pos="567"/>
      </w:tabs>
      <w:spacing w:before="0"/>
      <w:ind w:left="2160" w:hanging="360"/>
    </w:pPr>
  </w:style>
  <w:style w:type="paragraph" w:customStyle="1" w:styleId="TableDashEn2">
    <w:name w:val="Table: Dash: En 2"/>
    <w:basedOn w:val="TablePlainParagraph"/>
    <w:uiPriority w:val="12"/>
    <w:semiHidden/>
    <w:rsid w:val="001777EA"/>
    <w:pPr>
      <w:numPr>
        <w:ilvl w:val="3"/>
        <w:numId w:val="3"/>
      </w:numPr>
      <w:tabs>
        <w:tab w:val="clear" w:pos="1134"/>
      </w:tabs>
      <w:spacing w:before="0"/>
      <w:ind w:left="2880" w:hanging="360"/>
    </w:pPr>
  </w:style>
  <w:style w:type="paragraph" w:customStyle="1" w:styleId="TableDashEn3">
    <w:name w:val="Table: Dash: En 3"/>
    <w:basedOn w:val="TablePlainParagraph"/>
    <w:uiPriority w:val="12"/>
    <w:semiHidden/>
    <w:rsid w:val="001777EA"/>
    <w:pPr>
      <w:numPr>
        <w:ilvl w:val="4"/>
        <w:numId w:val="3"/>
      </w:numPr>
      <w:tabs>
        <w:tab w:val="clear" w:pos="1417"/>
      </w:tabs>
      <w:spacing w:before="0"/>
      <w:ind w:left="3600" w:hanging="360"/>
    </w:pPr>
  </w:style>
  <w:style w:type="paragraph" w:customStyle="1" w:styleId="TableDashEn4">
    <w:name w:val="Table: Dash: En 4"/>
    <w:basedOn w:val="TablePlainParagraph"/>
    <w:uiPriority w:val="12"/>
    <w:semiHidden/>
    <w:rsid w:val="001777EA"/>
    <w:pPr>
      <w:numPr>
        <w:ilvl w:val="5"/>
        <w:numId w:val="3"/>
      </w:numPr>
      <w:tabs>
        <w:tab w:val="clear" w:pos="1701"/>
      </w:tabs>
      <w:spacing w:before="0"/>
      <w:ind w:left="4320" w:hanging="360"/>
    </w:pPr>
  </w:style>
  <w:style w:type="paragraph" w:customStyle="1" w:styleId="TableDashEn5">
    <w:name w:val="Table: Dash: En 5"/>
    <w:basedOn w:val="TablePlainParagraph"/>
    <w:uiPriority w:val="12"/>
    <w:semiHidden/>
    <w:rsid w:val="001777EA"/>
    <w:pPr>
      <w:numPr>
        <w:ilvl w:val="6"/>
        <w:numId w:val="3"/>
      </w:numPr>
      <w:tabs>
        <w:tab w:val="clear" w:pos="1984"/>
      </w:tabs>
      <w:spacing w:before="0"/>
      <w:ind w:left="5040" w:hanging="360"/>
    </w:pPr>
  </w:style>
  <w:style w:type="paragraph" w:customStyle="1" w:styleId="TableDashEn6">
    <w:name w:val="Table: Dash: En 6"/>
    <w:basedOn w:val="TablePlainParagraph"/>
    <w:uiPriority w:val="12"/>
    <w:semiHidden/>
    <w:rsid w:val="001777EA"/>
    <w:pPr>
      <w:numPr>
        <w:ilvl w:val="7"/>
        <w:numId w:val="3"/>
      </w:numPr>
      <w:tabs>
        <w:tab w:val="clear" w:pos="2268"/>
      </w:tabs>
      <w:spacing w:before="0"/>
      <w:ind w:left="5760" w:hanging="360"/>
    </w:pPr>
  </w:style>
  <w:style w:type="paragraph" w:customStyle="1" w:styleId="TableDashEn7">
    <w:name w:val="Table: Dash: En 7"/>
    <w:basedOn w:val="TablePlainParagraph"/>
    <w:uiPriority w:val="12"/>
    <w:semiHidden/>
    <w:rsid w:val="001777EA"/>
    <w:pPr>
      <w:numPr>
        <w:ilvl w:val="8"/>
        <w:numId w:val="3"/>
      </w:numPr>
      <w:tabs>
        <w:tab w:val="clear" w:pos="2551"/>
      </w:tabs>
      <w:spacing w:before="0"/>
      <w:ind w:left="6480" w:hanging="360"/>
    </w:pPr>
  </w:style>
  <w:style w:type="character" w:customStyle="1" w:styleId="PlainParagraphChar">
    <w:name w:val="Plain Paragraph Char"/>
    <w:aliases w:val="PP Char"/>
    <w:basedOn w:val="DefaultParagraphFont"/>
    <w:link w:val="PlainParagraph"/>
    <w:rsid w:val="001777EA"/>
    <w:rPr>
      <w:rFonts w:ascii="Arial" w:eastAsia="Times New Roman" w:hAnsi="Arial" w:cs="Arial"/>
      <w:sz w:val="22"/>
      <w:szCs w:val="22"/>
      <w:lang w:eastAsia="en-AU"/>
    </w:rPr>
  </w:style>
  <w:style w:type="paragraph" w:customStyle="1" w:styleId="TableDot">
    <w:name w:val="Table: Dot"/>
    <w:basedOn w:val="Normal"/>
    <w:uiPriority w:val="12"/>
    <w:semiHidden/>
    <w:rsid w:val="001777EA"/>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1777EA"/>
    <w:pPr>
      <w:numPr>
        <w:ilvl w:val="1"/>
      </w:numPr>
    </w:pPr>
  </w:style>
  <w:style w:type="character" w:styleId="CommentReference">
    <w:name w:val="annotation reference"/>
    <w:basedOn w:val="DefaultParagraphFont"/>
    <w:uiPriority w:val="99"/>
    <w:semiHidden/>
    <w:unhideWhenUsed/>
    <w:rsid w:val="00134F7A"/>
    <w:rPr>
      <w:sz w:val="16"/>
      <w:szCs w:val="16"/>
    </w:rPr>
  </w:style>
  <w:style w:type="paragraph" w:customStyle="1" w:styleId="6">
    <w:name w:val="6"/>
    <w:basedOn w:val="subsection"/>
    <w:rsid w:val="00CB17EF"/>
  </w:style>
  <w:style w:type="paragraph" w:customStyle="1" w:styleId="Nte">
    <w:name w:val="Nte("/>
    <w:basedOn w:val="paragraph"/>
    <w:rsid w:val="00A80381"/>
  </w:style>
  <w:style w:type="paragraph" w:customStyle="1" w:styleId="Note">
    <w:name w:val="Note"/>
    <w:basedOn w:val="paragraphsub"/>
    <w:rsid w:val="00294F14"/>
    <w:rPr>
      <w:color w:val="0000FF"/>
    </w:rPr>
  </w:style>
  <w:style w:type="paragraph" w:customStyle="1" w:styleId="nDrafterComment">
    <w:name w:val="n_Drafter_Comment"/>
    <w:basedOn w:val="Normal"/>
    <w:qFormat/>
    <w:rsid w:val="000A181A"/>
    <w:pPr>
      <w:spacing w:before="80"/>
    </w:pPr>
    <w:rPr>
      <w:rFonts w:ascii="Arial" w:eastAsia="Calibri" w:hAnsi="Arial" w:cs="Times New Roman"/>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0079">
      <w:bodyDiv w:val="1"/>
      <w:marLeft w:val="0"/>
      <w:marRight w:val="0"/>
      <w:marTop w:val="0"/>
      <w:marBottom w:val="0"/>
      <w:divBdr>
        <w:top w:val="none" w:sz="0" w:space="0" w:color="auto"/>
        <w:left w:val="none" w:sz="0" w:space="0" w:color="auto"/>
        <w:bottom w:val="none" w:sz="0" w:space="0" w:color="auto"/>
        <w:right w:val="none" w:sz="0" w:space="0" w:color="auto"/>
      </w:divBdr>
    </w:div>
    <w:div w:id="240410175">
      <w:bodyDiv w:val="1"/>
      <w:marLeft w:val="0"/>
      <w:marRight w:val="0"/>
      <w:marTop w:val="0"/>
      <w:marBottom w:val="0"/>
      <w:divBdr>
        <w:top w:val="none" w:sz="0" w:space="0" w:color="auto"/>
        <w:left w:val="none" w:sz="0" w:space="0" w:color="auto"/>
        <w:bottom w:val="none" w:sz="0" w:space="0" w:color="auto"/>
        <w:right w:val="none" w:sz="0" w:space="0" w:color="auto"/>
      </w:divBdr>
    </w:div>
    <w:div w:id="516696343">
      <w:bodyDiv w:val="1"/>
      <w:marLeft w:val="0"/>
      <w:marRight w:val="0"/>
      <w:marTop w:val="0"/>
      <w:marBottom w:val="0"/>
      <w:divBdr>
        <w:top w:val="none" w:sz="0" w:space="0" w:color="auto"/>
        <w:left w:val="none" w:sz="0" w:space="0" w:color="auto"/>
        <w:bottom w:val="none" w:sz="0" w:space="0" w:color="auto"/>
        <w:right w:val="none" w:sz="0" w:space="0" w:color="auto"/>
      </w:divBdr>
    </w:div>
    <w:div w:id="522790522">
      <w:bodyDiv w:val="1"/>
      <w:marLeft w:val="0"/>
      <w:marRight w:val="0"/>
      <w:marTop w:val="0"/>
      <w:marBottom w:val="0"/>
      <w:divBdr>
        <w:top w:val="none" w:sz="0" w:space="0" w:color="auto"/>
        <w:left w:val="none" w:sz="0" w:space="0" w:color="auto"/>
        <w:bottom w:val="none" w:sz="0" w:space="0" w:color="auto"/>
        <w:right w:val="none" w:sz="0" w:space="0" w:color="auto"/>
      </w:divBdr>
      <w:divsChild>
        <w:div w:id="882444846">
          <w:marLeft w:val="1440"/>
          <w:marRight w:val="0"/>
          <w:marTop w:val="280"/>
          <w:marBottom w:val="280"/>
          <w:divBdr>
            <w:top w:val="none" w:sz="0" w:space="0" w:color="auto"/>
            <w:left w:val="none" w:sz="0" w:space="0" w:color="auto"/>
            <w:bottom w:val="none" w:sz="0" w:space="0" w:color="auto"/>
            <w:right w:val="none" w:sz="0" w:space="0" w:color="auto"/>
          </w:divBdr>
        </w:div>
      </w:divsChild>
    </w:div>
    <w:div w:id="540633540">
      <w:bodyDiv w:val="1"/>
      <w:marLeft w:val="0"/>
      <w:marRight w:val="0"/>
      <w:marTop w:val="0"/>
      <w:marBottom w:val="0"/>
      <w:divBdr>
        <w:top w:val="none" w:sz="0" w:space="0" w:color="auto"/>
        <w:left w:val="none" w:sz="0" w:space="0" w:color="auto"/>
        <w:bottom w:val="none" w:sz="0" w:space="0" w:color="auto"/>
        <w:right w:val="none" w:sz="0" w:space="0" w:color="auto"/>
      </w:divBdr>
    </w:div>
    <w:div w:id="567109570">
      <w:bodyDiv w:val="1"/>
      <w:marLeft w:val="0"/>
      <w:marRight w:val="0"/>
      <w:marTop w:val="0"/>
      <w:marBottom w:val="0"/>
      <w:divBdr>
        <w:top w:val="none" w:sz="0" w:space="0" w:color="auto"/>
        <w:left w:val="none" w:sz="0" w:space="0" w:color="auto"/>
        <w:bottom w:val="none" w:sz="0" w:space="0" w:color="auto"/>
        <w:right w:val="none" w:sz="0" w:space="0" w:color="auto"/>
      </w:divBdr>
    </w:div>
    <w:div w:id="666396747">
      <w:bodyDiv w:val="1"/>
      <w:marLeft w:val="0"/>
      <w:marRight w:val="0"/>
      <w:marTop w:val="0"/>
      <w:marBottom w:val="0"/>
      <w:divBdr>
        <w:top w:val="none" w:sz="0" w:space="0" w:color="auto"/>
        <w:left w:val="none" w:sz="0" w:space="0" w:color="auto"/>
        <w:bottom w:val="none" w:sz="0" w:space="0" w:color="auto"/>
        <w:right w:val="none" w:sz="0" w:space="0" w:color="auto"/>
      </w:divBdr>
    </w:div>
    <w:div w:id="687558371">
      <w:bodyDiv w:val="1"/>
      <w:marLeft w:val="0"/>
      <w:marRight w:val="0"/>
      <w:marTop w:val="0"/>
      <w:marBottom w:val="0"/>
      <w:divBdr>
        <w:top w:val="none" w:sz="0" w:space="0" w:color="auto"/>
        <w:left w:val="none" w:sz="0" w:space="0" w:color="auto"/>
        <w:bottom w:val="none" w:sz="0" w:space="0" w:color="auto"/>
        <w:right w:val="none" w:sz="0" w:space="0" w:color="auto"/>
      </w:divBdr>
    </w:div>
    <w:div w:id="715206424">
      <w:bodyDiv w:val="1"/>
      <w:marLeft w:val="0"/>
      <w:marRight w:val="0"/>
      <w:marTop w:val="0"/>
      <w:marBottom w:val="0"/>
      <w:divBdr>
        <w:top w:val="none" w:sz="0" w:space="0" w:color="auto"/>
        <w:left w:val="none" w:sz="0" w:space="0" w:color="auto"/>
        <w:bottom w:val="none" w:sz="0" w:space="0" w:color="auto"/>
        <w:right w:val="none" w:sz="0" w:space="0" w:color="auto"/>
      </w:divBdr>
    </w:div>
    <w:div w:id="812023082">
      <w:bodyDiv w:val="1"/>
      <w:marLeft w:val="0"/>
      <w:marRight w:val="0"/>
      <w:marTop w:val="0"/>
      <w:marBottom w:val="0"/>
      <w:divBdr>
        <w:top w:val="none" w:sz="0" w:space="0" w:color="auto"/>
        <w:left w:val="none" w:sz="0" w:space="0" w:color="auto"/>
        <w:bottom w:val="none" w:sz="0" w:space="0" w:color="auto"/>
        <w:right w:val="none" w:sz="0" w:space="0" w:color="auto"/>
      </w:divBdr>
    </w:div>
    <w:div w:id="814107362">
      <w:bodyDiv w:val="1"/>
      <w:marLeft w:val="0"/>
      <w:marRight w:val="0"/>
      <w:marTop w:val="0"/>
      <w:marBottom w:val="0"/>
      <w:divBdr>
        <w:top w:val="none" w:sz="0" w:space="0" w:color="auto"/>
        <w:left w:val="none" w:sz="0" w:space="0" w:color="auto"/>
        <w:bottom w:val="none" w:sz="0" w:space="0" w:color="auto"/>
        <w:right w:val="none" w:sz="0" w:space="0" w:color="auto"/>
      </w:divBdr>
    </w:div>
    <w:div w:id="889656088">
      <w:bodyDiv w:val="1"/>
      <w:marLeft w:val="0"/>
      <w:marRight w:val="0"/>
      <w:marTop w:val="0"/>
      <w:marBottom w:val="0"/>
      <w:divBdr>
        <w:top w:val="none" w:sz="0" w:space="0" w:color="auto"/>
        <w:left w:val="none" w:sz="0" w:space="0" w:color="auto"/>
        <w:bottom w:val="none" w:sz="0" w:space="0" w:color="auto"/>
        <w:right w:val="none" w:sz="0" w:space="0" w:color="auto"/>
      </w:divBdr>
    </w:div>
    <w:div w:id="933053150">
      <w:bodyDiv w:val="1"/>
      <w:marLeft w:val="0"/>
      <w:marRight w:val="0"/>
      <w:marTop w:val="0"/>
      <w:marBottom w:val="0"/>
      <w:divBdr>
        <w:top w:val="none" w:sz="0" w:space="0" w:color="auto"/>
        <w:left w:val="none" w:sz="0" w:space="0" w:color="auto"/>
        <w:bottom w:val="none" w:sz="0" w:space="0" w:color="auto"/>
        <w:right w:val="none" w:sz="0" w:space="0" w:color="auto"/>
      </w:divBdr>
    </w:div>
    <w:div w:id="973289558">
      <w:bodyDiv w:val="1"/>
      <w:marLeft w:val="0"/>
      <w:marRight w:val="0"/>
      <w:marTop w:val="0"/>
      <w:marBottom w:val="0"/>
      <w:divBdr>
        <w:top w:val="none" w:sz="0" w:space="0" w:color="auto"/>
        <w:left w:val="none" w:sz="0" w:space="0" w:color="auto"/>
        <w:bottom w:val="none" w:sz="0" w:space="0" w:color="auto"/>
        <w:right w:val="none" w:sz="0" w:space="0" w:color="auto"/>
      </w:divBdr>
    </w:div>
    <w:div w:id="1024937977">
      <w:bodyDiv w:val="1"/>
      <w:marLeft w:val="0"/>
      <w:marRight w:val="0"/>
      <w:marTop w:val="0"/>
      <w:marBottom w:val="0"/>
      <w:divBdr>
        <w:top w:val="none" w:sz="0" w:space="0" w:color="auto"/>
        <w:left w:val="none" w:sz="0" w:space="0" w:color="auto"/>
        <w:bottom w:val="none" w:sz="0" w:space="0" w:color="auto"/>
        <w:right w:val="none" w:sz="0" w:space="0" w:color="auto"/>
      </w:divBdr>
    </w:div>
    <w:div w:id="1184248829">
      <w:bodyDiv w:val="1"/>
      <w:marLeft w:val="0"/>
      <w:marRight w:val="0"/>
      <w:marTop w:val="0"/>
      <w:marBottom w:val="0"/>
      <w:divBdr>
        <w:top w:val="none" w:sz="0" w:space="0" w:color="auto"/>
        <w:left w:val="none" w:sz="0" w:space="0" w:color="auto"/>
        <w:bottom w:val="none" w:sz="0" w:space="0" w:color="auto"/>
        <w:right w:val="none" w:sz="0" w:space="0" w:color="auto"/>
      </w:divBdr>
    </w:div>
    <w:div w:id="1184779584">
      <w:bodyDiv w:val="1"/>
      <w:marLeft w:val="0"/>
      <w:marRight w:val="0"/>
      <w:marTop w:val="0"/>
      <w:marBottom w:val="0"/>
      <w:divBdr>
        <w:top w:val="none" w:sz="0" w:space="0" w:color="auto"/>
        <w:left w:val="none" w:sz="0" w:space="0" w:color="auto"/>
        <w:bottom w:val="none" w:sz="0" w:space="0" w:color="auto"/>
        <w:right w:val="none" w:sz="0" w:space="0" w:color="auto"/>
      </w:divBdr>
    </w:div>
    <w:div w:id="1234047436">
      <w:bodyDiv w:val="1"/>
      <w:marLeft w:val="0"/>
      <w:marRight w:val="0"/>
      <w:marTop w:val="0"/>
      <w:marBottom w:val="0"/>
      <w:divBdr>
        <w:top w:val="none" w:sz="0" w:space="0" w:color="auto"/>
        <w:left w:val="none" w:sz="0" w:space="0" w:color="auto"/>
        <w:bottom w:val="none" w:sz="0" w:space="0" w:color="auto"/>
        <w:right w:val="none" w:sz="0" w:space="0" w:color="auto"/>
      </w:divBdr>
    </w:div>
    <w:div w:id="1280378111">
      <w:bodyDiv w:val="1"/>
      <w:marLeft w:val="0"/>
      <w:marRight w:val="0"/>
      <w:marTop w:val="0"/>
      <w:marBottom w:val="0"/>
      <w:divBdr>
        <w:top w:val="none" w:sz="0" w:space="0" w:color="auto"/>
        <w:left w:val="none" w:sz="0" w:space="0" w:color="auto"/>
        <w:bottom w:val="none" w:sz="0" w:space="0" w:color="auto"/>
        <w:right w:val="none" w:sz="0" w:space="0" w:color="auto"/>
      </w:divBdr>
    </w:div>
    <w:div w:id="1299217434">
      <w:bodyDiv w:val="1"/>
      <w:marLeft w:val="0"/>
      <w:marRight w:val="0"/>
      <w:marTop w:val="0"/>
      <w:marBottom w:val="0"/>
      <w:divBdr>
        <w:top w:val="none" w:sz="0" w:space="0" w:color="auto"/>
        <w:left w:val="none" w:sz="0" w:space="0" w:color="auto"/>
        <w:bottom w:val="none" w:sz="0" w:space="0" w:color="auto"/>
        <w:right w:val="none" w:sz="0" w:space="0" w:color="auto"/>
      </w:divBdr>
    </w:div>
    <w:div w:id="1310207571">
      <w:bodyDiv w:val="1"/>
      <w:marLeft w:val="0"/>
      <w:marRight w:val="0"/>
      <w:marTop w:val="0"/>
      <w:marBottom w:val="0"/>
      <w:divBdr>
        <w:top w:val="none" w:sz="0" w:space="0" w:color="auto"/>
        <w:left w:val="none" w:sz="0" w:space="0" w:color="auto"/>
        <w:bottom w:val="none" w:sz="0" w:space="0" w:color="auto"/>
        <w:right w:val="none" w:sz="0" w:space="0" w:color="auto"/>
      </w:divBdr>
    </w:div>
    <w:div w:id="1421876780">
      <w:bodyDiv w:val="1"/>
      <w:marLeft w:val="0"/>
      <w:marRight w:val="0"/>
      <w:marTop w:val="0"/>
      <w:marBottom w:val="0"/>
      <w:divBdr>
        <w:top w:val="none" w:sz="0" w:space="0" w:color="auto"/>
        <w:left w:val="none" w:sz="0" w:space="0" w:color="auto"/>
        <w:bottom w:val="none" w:sz="0" w:space="0" w:color="auto"/>
        <w:right w:val="none" w:sz="0" w:space="0" w:color="auto"/>
      </w:divBdr>
    </w:div>
    <w:div w:id="1573851787">
      <w:bodyDiv w:val="1"/>
      <w:marLeft w:val="0"/>
      <w:marRight w:val="0"/>
      <w:marTop w:val="0"/>
      <w:marBottom w:val="0"/>
      <w:divBdr>
        <w:top w:val="none" w:sz="0" w:space="0" w:color="auto"/>
        <w:left w:val="none" w:sz="0" w:space="0" w:color="auto"/>
        <w:bottom w:val="none" w:sz="0" w:space="0" w:color="auto"/>
        <w:right w:val="none" w:sz="0" w:space="0" w:color="auto"/>
      </w:divBdr>
    </w:div>
    <w:div w:id="1616056167">
      <w:bodyDiv w:val="1"/>
      <w:marLeft w:val="0"/>
      <w:marRight w:val="0"/>
      <w:marTop w:val="0"/>
      <w:marBottom w:val="0"/>
      <w:divBdr>
        <w:top w:val="none" w:sz="0" w:space="0" w:color="auto"/>
        <w:left w:val="none" w:sz="0" w:space="0" w:color="auto"/>
        <w:bottom w:val="none" w:sz="0" w:space="0" w:color="auto"/>
        <w:right w:val="none" w:sz="0" w:space="0" w:color="auto"/>
      </w:divBdr>
    </w:div>
    <w:div w:id="1708019660">
      <w:bodyDiv w:val="1"/>
      <w:marLeft w:val="0"/>
      <w:marRight w:val="0"/>
      <w:marTop w:val="0"/>
      <w:marBottom w:val="0"/>
      <w:divBdr>
        <w:top w:val="none" w:sz="0" w:space="0" w:color="auto"/>
        <w:left w:val="none" w:sz="0" w:space="0" w:color="auto"/>
        <w:bottom w:val="none" w:sz="0" w:space="0" w:color="auto"/>
        <w:right w:val="none" w:sz="0" w:space="0" w:color="auto"/>
      </w:divBdr>
    </w:div>
    <w:div w:id="1736708529">
      <w:bodyDiv w:val="1"/>
      <w:marLeft w:val="0"/>
      <w:marRight w:val="0"/>
      <w:marTop w:val="0"/>
      <w:marBottom w:val="0"/>
      <w:divBdr>
        <w:top w:val="none" w:sz="0" w:space="0" w:color="auto"/>
        <w:left w:val="none" w:sz="0" w:space="0" w:color="auto"/>
        <w:bottom w:val="none" w:sz="0" w:space="0" w:color="auto"/>
        <w:right w:val="none" w:sz="0" w:space="0" w:color="auto"/>
      </w:divBdr>
    </w:div>
    <w:div w:id="1809130760">
      <w:bodyDiv w:val="1"/>
      <w:marLeft w:val="0"/>
      <w:marRight w:val="0"/>
      <w:marTop w:val="0"/>
      <w:marBottom w:val="0"/>
      <w:divBdr>
        <w:top w:val="none" w:sz="0" w:space="0" w:color="auto"/>
        <w:left w:val="none" w:sz="0" w:space="0" w:color="auto"/>
        <w:bottom w:val="none" w:sz="0" w:space="0" w:color="auto"/>
        <w:right w:val="none" w:sz="0" w:space="0" w:color="auto"/>
      </w:divBdr>
    </w:div>
    <w:div w:id="200004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 D O C U M E N T S ! 4 7 9 5 1 7 2 1 . 1 0 1 < / d o c u m e n t i d >  
     < s e n d e r i d > O R U R M I < / s e n d e r i d >  
     < s e n d e r e m a i l > M I C H A E L . O ' R O U R K E @ A G S . G O V . A U < / s e n d e r e m a i l >  
     < l a s t m o d i f i e d > 2 0 2 4 - 0 7 - 0 5 T 1 3 : 2 4 : 0 0 . 0 0 0 0 0 0 0 + 1 0 : 0 0 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165B-67A2-4FFF-A970-A9D8ED7A108B}">
  <ds:schemaRefs>
    <ds:schemaRef ds:uri="http://www.imanage.com/work/xmlschema"/>
  </ds:schemaRefs>
</ds:datastoreItem>
</file>

<file path=customXml/itemProps2.xml><?xml version="1.0" encoding="utf-8"?>
<ds:datastoreItem xmlns:ds="http://schemas.openxmlformats.org/officeDocument/2006/customXml" ds:itemID="{5AED98D2-41DC-4198-B9D2-65EADB30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5932</Words>
  <Characters>33104</Characters>
  <Application>Microsoft Office Word</Application>
  <DocSecurity>0</DocSecurity>
  <Lines>275</Lines>
  <Paragraphs>77</Paragraphs>
  <ScaleCrop>false</ScaleCrop>
  <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2024-07-05T03:23:00Z</dcterms:created>
  <dcterms:modified xsi:type="dcterms:W3CDTF">2024-08-07T22:46:00Z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2024-07-18T05:30:26Z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b3720f1c-e8bf-48cd-a322-8e60882af340</vt:lpwstr>
  </property>
  <property fmtid="{D5CDD505-2E9C-101B-9397-08002B2CF9AE}" pid="8" name="MSIP_Label_79d889eb-932f-4752-8739-64d25806ef64_ContentBits">
    <vt:lpwstr>0</vt:lpwstr>
  </property>
</Properties>
</file>