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2307" w14:textId="77777777" w:rsidR="001E51F5" w:rsidRPr="00E9726E" w:rsidRDefault="001E51F5" w:rsidP="000B31F9">
      <w:pPr>
        <w:spacing w:after="0" w:line="240" w:lineRule="auto"/>
        <w:jc w:val="center"/>
        <w:rPr>
          <w:rFonts w:eastAsia="Times New Roman"/>
          <w:b/>
          <w:sz w:val="22"/>
          <w:szCs w:val="22"/>
          <w:u w:val="single"/>
          <w:lang w:eastAsia="en-AU"/>
        </w:rPr>
      </w:pPr>
      <w:r w:rsidRPr="00E9726E">
        <w:rPr>
          <w:rFonts w:eastAsia="Times New Roman"/>
          <w:b/>
          <w:sz w:val="22"/>
          <w:szCs w:val="22"/>
          <w:u w:val="single"/>
          <w:lang w:eastAsia="en-AU"/>
        </w:rPr>
        <w:t>EXPLANATORY STATEMENT</w:t>
      </w:r>
    </w:p>
    <w:p w14:paraId="7549D6D7" w14:textId="77777777" w:rsidR="00837EB9" w:rsidRPr="00E9726E" w:rsidRDefault="00837EB9" w:rsidP="000B31F9">
      <w:pPr>
        <w:spacing w:after="0" w:line="240" w:lineRule="auto"/>
        <w:jc w:val="center"/>
        <w:rPr>
          <w:rFonts w:eastAsia="Times New Roman"/>
          <w:iCs/>
          <w:sz w:val="22"/>
          <w:szCs w:val="22"/>
          <w:lang w:eastAsia="en-AU"/>
        </w:rPr>
      </w:pPr>
    </w:p>
    <w:p w14:paraId="65F796CD" w14:textId="60DC0F75" w:rsidR="001E51F5" w:rsidRPr="00E9726E" w:rsidRDefault="001E51F5" w:rsidP="000B31F9">
      <w:pPr>
        <w:spacing w:after="0" w:line="240" w:lineRule="auto"/>
        <w:jc w:val="center"/>
        <w:rPr>
          <w:rFonts w:eastAsia="Times New Roman"/>
          <w:sz w:val="22"/>
          <w:szCs w:val="22"/>
          <w:u w:val="single"/>
          <w:lang w:eastAsia="en-AU"/>
        </w:rPr>
      </w:pPr>
      <w:r w:rsidRPr="00E9726E">
        <w:rPr>
          <w:rFonts w:eastAsia="Times New Roman"/>
          <w:i/>
          <w:sz w:val="22"/>
          <w:szCs w:val="22"/>
          <w:lang w:eastAsia="en-AU"/>
        </w:rPr>
        <w:t>Therapeutic Goods Act 1989</w:t>
      </w:r>
    </w:p>
    <w:p w14:paraId="7C443CC3" w14:textId="77777777" w:rsidR="00837EB9" w:rsidRPr="00E9726E" w:rsidRDefault="00837EB9" w:rsidP="000B31F9">
      <w:pPr>
        <w:spacing w:after="0" w:line="240" w:lineRule="auto"/>
        <w:jc w:val="center"/>
        <w:rPr>
          <w:rFonts w:eastAsia="Times New Roman"/>
          <w:iCs/>
          <w:sz w:val="22"/>
          <w:szCs w:val="22"/>
          <w:lang w:eastAsia="en-AU"/>
        </w:rPr>
      </w:pPr>
    </w:p>
    <w:p w14:paraId="36148F37" w14:textId="77754859" w:rsidR="001E51F5" w:rsidRPr="00E9726E" w:rsidRDefault="001E51F5" w:rsidP="000B31F9">
      <w:pPr>
        <w:spacing w:after="0" w:line="240" w:lineRule="auto"/>
        <w:jc w:val="center"/>
        <w:rPr>
          <w:rFonts w:eastAsia="Times New Roman"/>
          <w:i/>
          <w:sz w:val="22"/>
          <w:szCs w:val="22"/>
          <w:lang w:eastAsia="en-AU"/>
        </w:rPr>
      </w:pPr>
      <w:r w:rsidRPr="00E9726E">
        <w:rPr>
          <w:rFonts w:eastAsia="Times New Roman"/>
          <w:i/>
          <w:sz w:val="22"/>
          <w:szCs w:val="22"/>
          <w:lang w:eastAsia="en-AU"/>
        </w:rPr>
        <w:t>Therapeutic Goods (</w:t>
      </w:r>
      <w:r w:rsidR="005E3D9E" w:rsidRPr="00E9726E">
        <w:rPr>
          <w:rFonts w:eastAsia="Times New Roman"/>
          <w:i/>
          <w:sz w:val="22"/>
          <w:szCs w:val="22"/>
          <w:lang w:eastAsia="en-AU"/>
        </w:rPr>
        <w:t>Excluded Goods</w:t>
      </w:r>
      <w:r w:rsidRPr="00E9726E">
        <w:rPr>
          <w:rFonts w:eastAsia="Times New Roman"/>
          <w:i/>
          <w:sz w:val="22"/>
          <w:szCs w:val="22"/>
          <w:lang w:eastAsia="en-AU"/>
        </w:rPr>
        <w:t xml:space="preserve">) Amendment </w:t>
      </w:r>
      <w:r w:rsidR="00EE08CB" w:rsidRPr="00E9726E">
        <w:rPr>
          <w:rFonts w:eastAsia="Times New Roman"/>
          <w:i/>
          <w:sz w:val="22"/>
          <w:szCs w:val="22"/>
          <w:lang w:eastAsia="en-AU"/>
        </w:rPr>
        <w:t>Determination</w:t>
      </w:r>
      <w:r w:rsidRPr="00E9726E">
        <w:rPr>
          <w:rFonts w:eastAsia="Times New Roman"/>
          <w:i/>
          <w:sz w:val="22"/>
          <w:szCs w:val="22"/>
          <w:lang w:eastAsia="en-AU"/>
        </w:rPr>
        <w:t xml:space="preserve"> </w:t>
      </w:r>
      <w:r w:rsidR="00DD3F83">
        <w:rPr>
          <w:rFonts w:eastAsia="Times New Roman"/>
          <w:i/>
          <w:sz w:val="22"/>
          <w:szCs w:val="22"/>
          <w:lang w:eastAsia="en-AU"/>
        </w:rPr>
        <w:t xml:space="preserve">(No. 2) </w:t>
      </w:r>
      <w:r w:rsidRPr="00E9726E">
        <w:rPr>
          <w:rFonts w:eastAsia="Times New Roman"/>
          <w:i/>
          <w:sz w:val="22"/>
          <w:szCs w:val="22"/>
          <w:lang w:eastAsia="en-AU"/>
        </w:rPr>
        <w:t>202</w:t>
      </w:r>
      <w:r w:rsidR="00F0458B" w:rsidRPr="00E9726E">
        <w:rPr>
          <w:rFonts w:eastAsia="Times New Roman"/>
          <w:i/>
          <w:sz w:val="22"/>
          <w:szCs w:val="22"/>
          <w:lang w:eastAsia="en-AU"/>
        </w:rPr>
        <w:t>4</w:t>
      </w:r>
    </w:p>
    <w:p w14:paraId="71411FAD" w14:textId="77777777" w:rsidR="00837EB9" w:rsidRPr="00E9726E" w:rsidRDefault="00837EB9" w:rsidP="000B31F9">
      <w:pPr>
        <w:autoSpaceDE w:val="0"/>
        <w:autoSpaceDN w:val="0"/>
        <w:adjustRightInd w:val="0"/>
        <w:spacing w:after="0" w:line="240" w:lineRule="auto"/>
        <w:rPr>
          <w:rFonts w:eastAsia="Times New Roman"/>
          <w:sz w:val="22"/>
          <w:szCs w:val="22"/>
          <w:lang w:eastAsia="en-AU"/>
        </w:rPr>
      </w:pPr>
    </w:p>
    <w:p w14:paraId="1C0775F0" w14:textId="0A795C6A" w:rsidR="00837EB9" w:rsidRPr="00E9726E" w:rsidRDefault="00837EB9" w:rsidP="000B31F9">
      <w:p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The </w:t>
      </w:r>
      <w:bookmarkStart w:id="0" w:name="_Hlk168468061"/>
      <w:r w:rsidRPr="00E9726E">
        <w:rPr>
          <w:rFonts w:eastAsia="Times New Roman"/>
          <w:i/>
          <w:sz w:val="22"/>
          <w:szCs w:val="22"/>
          <w:lang w:eastAsia="en-AU"/>
        </w:rPr>
        <w:t>Therapeutic Goods Act 1989</w:t>
      </w:r>
      <w:r w:rsidRPr="00E9726E">
        <w:rPr>
          <w:rFonts w:eastAsia="Times New Roman"/>
          <w:sz w:val="22"/>
          <w:szCs w:val="22"/>
          <w:lang w:eastAsia="en-AU"/>
        </w:rPr>
        <w:t xml:space="preserve"> (the Act) </w:t>
      </w:r>
      <w:bookmarkEnd w:id="0"/>
      <w:r w:rsidRPr="00E9726E">
        <w:rPr>
          <w:rFonts w:eastAsia="Times New Roman"/>
          <w:sz w:val="22"/>
          <w:szCs w:val="22"/>
          <w:lang w:eastAsia="en-AU"/>
        </w:rPr>
        <w:t>provides for the establishment and maintenance of a national system of controls for the quality, safety, efficacy or performance, and timely availability of therapeutic goods that are used in, or exported from, Australia. The Act is administered by the Therapeutic Goods Administration (the TGA) within the Australian Government Department of Health and Aged Care.</w:t>
      </w:r>
    </w:p>
    <w:p w14:paraId="61034D6E" w14:textId="77777777" w:rsidR="00837EB9" w:rsidRPr="00E9726E" w:rsidRDefault="00837EB9" w:rsidP="000B31F9">
      <w:pPr>
        <w:autoSpaceDE w:val="0"/>
        <w:autoSpaceDN w:val="0"/>
        <w:adjustRightInd w:val="0"/>
        <w:spacing w:after="0" w:line="240" w:lineRule="auto"/>
        <w:rPr>
          <w:rFonts w:eastAsia="Times New Roman"/>
          <w:sz w:val="22"/>
          <w:szCs w:val="22"/>
          <w:lang w:eastAsia="en-AU"/>
        </w:rPr>
      </w:pPr>
    </w:p>
    <w:p w14:paraId="43822BD7" w14:textId="6D01BB99" w:rsidR="00456485" w:rsidRPr="00E9726E" w:rsidRDefault="00456485" w:rsidP="000B31F9">
      <w:pPr>
        <w:autoSpaceDE w:val="0"/>
        <w:autoSpaceDN w:val="0"/>
        <w:adjustRightInd w:val="0"/>
        <w:spacing w:after="0" w:line="240" w:lineRule="auto"/>
        <w:rPr>
          <w:rFonts w:eastAsia="Times New Roman"/>
          <w:sz w:val="22"/>
          <w:szCs w:val="22"/>
          <w:lang w:eastAsia="en-AU"/>
        </w:rPr>
      </w:pPr>
      <w:bookmarkStart w:id="1" w:name="_Hlk153349896"/>
      <w:r w:rsidRPr="00E9726E">
        <w:rPr>
          <w:rFonts w:eastAsia="Times New Roman"/>
          <w:sz w:val="22"/>
          <w:szCs w:val="22"/>
          <w:lang w:eastAsia="en-AU"/>
        </w:rPr>
        <w:t xml:space="preserve">Section 7AA of the Act relevantly provides that the Minister may, by legislative instrument, determine that specified goods are excluded goods for the purposes of the Act. The effect of a determination under section 7AA is to exclude </w:t>
      </w:r>
      <w:r w:rsidR="006D61CE" w:rsidRPr="00E9726E">
        <w:rPr>
          <w:rFonts w:eastAsia="Times New Roman"/>
          <w:sz w:val="22"/>
          <w:szCs w:val="22"/>
          <w:lang w:eastAsia="en-AU"/>
        </w:rPr>
        <w:t xml:space="preserve">the </w:t>
      </w:r>
      <w:r w:rsidRPr="00E9726E">
        <w:rPr>
          <w:rFonts w:eastAsia="Times New Roman"/>
          <w:sz w:val="22"/>
          <w:szCs w:val="22"/>
          <w:lang w:eastAsia="en-AU"/>
        </w:rPr>
        <w:t xml:space="preserve">specified goods from </w:t>
      </w:r>
      <w:r w:rsidR="0023634F" w:rsidRPr="00E9726E">
        <w:rPr>
          <w:rFonts w:eastAsia="Times New Roman"/>
          <w:sz w:val="22"/>
          <w:szCs w:val="22"/>
          <w:lang w:eastAsia="en-AU"/>
        </w:rPr>
        <w:t>the operation of</w:t>
      </w:r>
      <w:r w:rsidRPr="00E9726E">
        <w:rPr>
          <w:rFonts w:eastAsia="Times New Roman"/>
          <w:sz w:val="22"/>
          <w:szCs w:val="22"/>
          <w:lang w:eastAsia="en-AU"/>
        </w:rPr>
        <w:t xml:space="preserve"> </w:t>
      </w:r>
      <w:r w:rsidR="00EB6E25" w:rsidRPr="00E9726E">
        <w:rPr>
          <w:rFonts w:eastAsia="Times New Roman"/>
          <w:sz w:val="22"/>
          <w:szCs w:val="22"/>
          <w:lang w:eastAsia="en-AU"/>
        </w:rPr>
        <w:t xml:space="preserve">the </w:t>
      </w:r>
      <w:r w:rsidRPr="00E9726E">
        <w:rPr>
          <w:rFonts w:eastAsia="Times New Roman"/>
          <w:sz w:val="22"/>
          <w:szCs w:val="22"/>
          <w:lang w:eastAsia="en-AU"/>
        </w:rPr>
        <w:t>Act.</w:t>
      </w:r>
    </w:p>
    <w:p w14:paraId="606E62C9" w14:textId="77777777" w:rsidR="00837EB9" w:rsidRPr="00E9726E" w:rsidRDefault="00837EB9" w:rsidP="000B31F9">
      <w:pPr>
        <w:autoSpaceDE w:val="0"/>
        <w:autoSpaceDN w:val="0"/>
        <w:adjustRightInd w:val="0"/>
        <w:spacing w:after="0" w:line="240" w:lineRule="auto"/>
        <w:rPr>
          <w:rFonts w:eastAsia="Times New Roman"/>
          <w:sz w:val="22"/>
          <w:szCs w:val="22"/>
          <w:lang w:eastAsia="en-AU"/>
        </w:rPr>
      </w:pPr>
    </w:p>
    <w:p w14:paraId="762A06C7" w14:textId="08DF9AAE" w:rsidR="008D2C8A" w:rsidRDefault="008D2C8A" w:rsidP="000B31F9">
      <w:p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The </w:t>
      </w:r>
      <w:r w:rsidRPr="005D0B82">
        <w:rPr>
          <w:rFonts w:eastAsia="Times New Roman"/>
          <w:i/>
          <w:iCs/>
          <w:sz w:val="22"/>
          <w:szCs w:val="22"/>
          <w:lang w:eastAsia="en-AU"/>
        </w:rPr>
        <w:t>Therapeutic Goods (Excluded Goods) Determination 2018</w:t>
      </w:r>
      <w:r w:rsidRPr="00E9726E">
        <w:rPr>
          <w:rFonts w:eastAsia="Times New Roman"/>
          <w:sz w:val="22"/>
          <w:szCs w:val="22"/>
          <w:lang w:eastAsia="en-AU"/>
        </w:rPr>
        <w:t xml:space="preserve"> (the Principal </w:t>
      </w:r>
      <w:r w:rsidR="00CF4D5D" w:rsidRPr="00E9726E">
        <w:rPr>
          <w:rFonts w:eastAsia="Times New Roman"/>
          <w:sz w:val="22"/>
          <w:szCs w:val="22"/>
          <w:lang w:eastAsia="en-AU"/>
        </w:rPr>
        <w:t>Determination</w:t>
      </w:r>
      <w:r w:rsidRPr="00E9726E">
        <w:rPr>
          <w:rFonts w:eastAsia="Times New Roman"/>
          <w:sz w:val="22"/>
          <w:szCs w:val="22"/>
          <w:lang w:eastAsia="en-AU"/>
        </w:rPr>
        <w:t xml:space="preserve">) is made under section 7AA of the Act. The Principal </w:t>
      </w:r>
      <w:r w:rsidR="00CF4D5D" w:rsidRPr="00E9726E">
        <w:rPr>
          <w:rFonts w:eastAsia="Times New Roman"/>
          <w:sz w:val="22"/>
          <w:szCs w:val="22"/>
          <w:lang w:eastAsia="en-AU"/>
        </w:rPr>
        <w:t xml:space="preserve">Determination </w:t>
      </w:r>
      <w:r w:rsidRPr="00E9726E">
        <w:rPr>
          <w:rFonts w:eastAsia="Times New Roman"/>
          <w:sz w:val="22"/>
          <w:szCs w:val="22"/>
          <w:lang w:eastAsia="en-AU"/>
        </w:rPr>
        <w:t xml:space="preserve">determines specified goods, including specified goods when used, </w:t>
      </w:r>
      <w:proofErr w:type="gramStart"/>
      <w:r w:rsidRPr="00E9726E">
        <w:rPr>
          <w:rFonts w:eastAsia="Times New Roman"/>
          <w:sz w:val="22"/>
          <w:szCs w:val="22"/>
          <w:lang w:eastAsia="en-AU"/>
        </w:rPr>
        <w:t>advertised</w:t>
      </w:r>
      <w:proofErr w:type="gramEnd"/>
      <w:r w:rsidRPr="00E9726E">
        <w:rPr>
          <w:rFonts w:eastAsia="Times New Roman"/>
          <w:sz w:val="22"/>
          <w:szCs w:val="22"/>
          <w:lang w:eastAsia="en-AU"/>
        </w:rPr>
        <w:t xml:space="preserve"> or presented for supply in a specified manner, to be excluded goods for the purposes of the Act.</w:t>
      </w:r>
      <w:r w:rsidR="002F2C38">
        <w:rPr>
          <w:rFonts w:eastAsia="Times New Roman"/>
          <w:sz w:val="22"/>
          <w:szCs w:val="22"/>
          <w:lang w:eastAsia="en-AU"/>
        </w:rPr>
        <w:t xml:space="preserve"> The effect of the Principal Determination is that the goods that are determined to be excluded goods are not subject to the Act.</w:t>
      </w:r>
    </w:p>
    <w:p w14:paraId="5478DDB4" w14:textId="77777777" w:rsidR="00CA2D68" w:rsidRDefault="00CA2D68" w:rsidP="000B31F9">
      <w:pPr>
        <w:autoSpaceDE w:val="0"/>
        <w:autoSpaceDN w:val="0"/>
        <w:adjustRightInd w:val="0"/>
        <w:spacing w:after="0" w:line="240" w:lineRule="auto"/>
        <w:rPr>
          <w:rFonts w:eastAsia="Times New Roman"/>
          <w:sz w:val="22"/>
          <w:szCs w:val="22"/>
          <w:lang w:eastAsia="en-AU"/>
        </w:rPr>
      </w:pPr>
    </w:p>
    <w:p w14:paraId="6852500A" w14:textId="6149C813" w:rsidR="0053316F" w:rsidRDefault="00EE59D1" w:rsidP="003634A2">
      <w:pPr>
        <w:autoSpaceDE w:val="0"/>
        <w:autoSpaceDN w:val="0"/>
        <w:adjustRightInd w:val="0"/>
        <w:spacing w:after="0" w:line="240" w:lineRule="auto"/>
        <w:rPr>
          <w:rFonts w:eastAsia="Times New Roman"/>
          <w:sz w:val="22"/>
          <w:szCs w:val="22"/>
          <w:lang w:eastAsia="en-AU"/>
        </w:rPr>
      </w:pPr>
      <w:proofErr w:type="gramStart"/>
      <w:r>
        <w:rPr>
          <w:rFonts w:eastAsia="Times New Roman"/>
          <w:sz w:val="22"/>
          <w:szCs w:val="22"/>
          <w:lang w:eastAsia="en-AU"/>
        </w:rPr>
        <w:t>A number of</w:t>
      </w:r>
      <w:proofErr w:type="gramEnd"/>
      <w:r>
        <w:rPr>
          <w:rFonts w:eastAsia="Times New Roman"/>
          <w:sz w:val="22"/>
          <w:szCs w:val="22"/>
          <w:lang w:eastAsia="en-AU"/>
        </w:rPr>
        <w:t xml:space="preserve"> amendments to the Principal Determination commenced on 1 July 2024</w:t>
      </w:r>
      <w:r w:rsidR="00DF3950">
        <w:rPr>
          <w:rFonts w:eastAsia="Times New Roman"/>
          <w:sz w:val="22"/>
          <w:szCs w:val="22"/>
          <w:lang w:eastAsia="en-AU"/>
        </w:rPr>
        <w:t>, principally as a result of the following instruments:</w:t>
      </w:r>
    </w:p>
    <w:p w14:paraId="10C4F6C8" w14:textId="574AD19E" w:rsidR="003634A2" w:rsidRPr="00844E0E" w:rsidRDefault="003634A2" w:rsidP="003634A2">
      <w:pPr>
        <w:pStyle w:val="ListParagraph"/>
        <w:numPr>
          <w:ilvl w:val="0"/>
          <w:numId w:val="25"/>
        </w:numPr>
        <w:autoSpaceDE w:val="0"/>
        <w:autoSpaceDN w:val="0"/>
        <w:adjustRightInd w:val="0"/>
        <w:spacing w:after="0" w:line="240" w:lineRule="auto"/>
        <w:rPr>
          <w:rFonts w:eastAsia="Times New Roman"/>
          <w:sz w:val="22"/>
          <w:szCs w:val="22"/>
          <w:lang w:eastAsia="en-AU"/>
        </w:rPr>
      </w:pPr>
      <w:r w:rsidRPr="00844E0E">
        <w:rPr>
          <w:rFonts w:eastAsia="Times New Roman"/>
          <w:sz w:val="22"/>
          <w:szCs w:val="22"/>
          <w:lang w:eastAsia="en-AU"/>
        </w:rPr>
        <w:t xml:space="preserve">the </w:t>
      </w:r>
      <w:r w:rsidRPr="00844E0E">
        <w:rPr>
          <w:rFonts w:eastAsia="Times New Roman"/>
          <w:i/>
          <w:iCs/>
          <w:sz w:val="22"/>
          <w:szCs w:val="22"/>
          <w:lang w:eastAsia="en-AU"/>
        </w:rPr>
        <w:t>Therapeutic Goods (Excluded Goods) Amendment (Sunscreen) Determination 2024</w:t>
      </w:r>
      <w:r w:rsidRPr="00844E0E">
        <w:rPr>
          <w:rFonts w:eastAsia="Times New Roman"/>
          <w:sz w:val="22"/>
          <w:szCs w:val="22"/>
          <w:lang w:eastAsia="en-AU"/>
        </w:rPr>
        <w:t xml:space="preserve"> (the Sunscreen Determination)</w:t>
      </w:r>
      <w:r>
        <w:rPr>
          <w:rFonts w:eastAsia="Times New Roman"/>
          <w:sz w:val="22"/>
          <w:szCs w:val="22"/>
          <w:lang w:eastAsia="en-AU"/>
        </w:rPr>
        <w:t>;</w:t>
      </w:r>
      <w:r w:rsidRPr="00844E0E">
        <w:rPr>
          <w:rFonts w:eastAsia="Times New Roman"/>
          <w:sz w:val="22"/>
          <w:szCs w:val="22"/>
          <w:lang w:eastAsia="en-AU"/>
        </w:rPr>
        <w:t xml:space="preserve"> and</w:t>
      </w:r>
    </w:p>
    <w:p w14:paraId="6F3C240E" w14:textId="1ABD5F53" w:rsidR="003634A2" w:rsidRDefault="003634A2" w:rsidP="003634A2">
      <w:pPr>
        <w:pStyle w:val="ListParagraph"/>
        <w:numPr>
          <w:ilvl w:val="0"/>
          <w:numId w:val="25"/>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w:t>
      </w:r>
      <w:r>
        <w:rPr>
          <w:rFonts w:eastAsia="Times New Roman"/>
          <w:i/>
          <w:iCs/>
          <w:sz w:val="22"/>
          <w:szCs w:val="22"/>
          <w:lang w:eastAsia="en-AU"/>
        </w:rPr>
        <w:t xml:space="preserve">Therapeutic Goods (Excluded Goods) Amendment (Vaping) Determination 2024 </w:t>
      </w:r>
      <w:r>
        <w:rPr>
          <w:rFonts w:eastAsia="Times New Roman"/>
          <w:sz w:val="22"/>
          <w:szCs w:val="22"/>
          <w:lang w:eastAsia="en-AU"/>
        </w:rPr>
        <w:t>(the Vaping Determination).</w:t>
      </w:r>
    </w:p>
    <w:p w14:paraId="55C2F7EF" w14:textId="77777777" w:rsidR="003634A2" w:rsidRDefault="003634A2" w:rsidP="000B31F9">
      <w:pPr>
        <w:autoSpaceDE w:val="0"/>
        <w:autoSpaceDN w:val="0"/>
        <w:adjustRightInd w:val="0"/>
        <w:spacing w:after="0" w:line="240" w:lineRule="auto"/>
        <w:rPr>
          <w:rFonts w:eastAsia="Times New Roman"/>
          <w:sz w:val="22"/>
          <w:szCs w:val="22"/>
          <w:lang w:eastAsia="en-AU"/>
        </w:rPr>
      </w:pPr>
    </w:p>
    <w:p w14:paraId="20AEB822" w14:textId="6AB614F7" w:rsidR="00DF3950" w:rsidRDefault="00DF3950" w:rsidP="000B31F9">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effect of the Sunscreen Determination was to update </w:t>
      </w:r>
      <w:r w:rsidR="001034BD">
        <w:rPr>
          <w:rFonts w:eastAsia="Times New Roman"/>
          <w:sz w:val="22"/>
          <w:szCs w:val="22"/>
          <w:lang w:eastAsia="en-AU"/>
        </w:rPr>
        <w:t>certain regulatory</w:t>
      </w:r>
      <w:r>
        <w:rPr>
          <w:rFonts w:eastAsia="Times New Roman"/>
          <w:sz w:val="22"/>
          <w:szCs w:val="22"/>
          <w:lang w:eastAsia="en-AU"/>
        </w:rPr>
        <w:t xml:space="preserve"> requirements that secondary sunscreen products must comply with to be excluded goods. </w:t>
      </w:r>
      <w:r w:rsidR="0010612D">
        <w:rPr>
          <w:rFonts w:eastAsia="Times New Roman"/>
          <w:sz w:val="22"/>
          <w:szCs w:val="22"/>
          <w:lang w:eastAsia="en-AU"/>
        </w:rPr>
        <w:t xml:space="preserve">Relevantly, the Sunscreen Determination amended section 7 of the Principal Determination to </w:t>
      </w:r>
      <w:r w:rsidR="00462AE8">
        <w:rPr>
          <w:rFonts w:eastAsia="Times New Roman"/>
          <w:sz w:val="22"/>
          <w:szCs w:val="22"/>
          <w:lang w:eastAsia="en-AU"/>
        </w:rPr>
        <w:t>provide for a transitional arrangement for secondary</w:t>
      </w:r>
      <w:r w:rsidR="00200CB3">
        <w:rPr>
          <w:rFonts w:eastAsia="Times New Roman"/>
          <w:sz w:val="22"/>
          <w:szCs w:val="22"/>
          <w:lang w:eastAsia="en-AU"/>
        </w:rPr>
        <w:t xml:space="preserve"> sunscreen products that were excluded goods immediately before 1 July 2024. However, this transitional arrangement was inadvertently repealed by the Vaping Determination.</w:t>
      </w:r>
    </w:p>
    <w:p w14:paraId="082CDB41" w14:textId="77777777" w:rsidR="00DF3950" w:rsidRDefault="00DF3950" w:rsidP="000B31F9">
      <w:pPr>
        <w:autoSpaceDE w:val="0"/>
        <w:autoSpaceDN w:val="0"/>
        <w:adjustRightInd w:val="0"/>
        <w:spacing w:after="0" w:line="240" w:lineRule="auto"/>
        <w:rPr>
          <w:rFonts w:eastAsia="Times New Roman"/>
          <w:sz w:val="22"/>
          <w:szCs w:val="22"/>
          <w:lang w:eastAsia="en-AU"/>
        </w:rPr>
      </w:pPr>
    </w:p>
    <w:p w14:paraId="50ED3FCE" w14:textId="62F50D7C" w:rsidR="00E86C4B" w:rsidRDefault="00D47110" w:rsidP="000B31F9">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w:t>
      </w:r>
      <w:r w:rsidR="00E86C4B">
        <w:rPr>
          <w:rFonts w:eastAsia="Times New Roman"/>
          <w:sz w:val="22"/>
          <w:szCs w:val="22"/>
          <w:lang w:eastAsia="en-AU"/>
        </w:rPr>
        <w:t xml:space="preserve">he </w:t>
      </w:r>
      <w:r w:rsidR="00E86C4B">
        <w:rPr>
          <w:rFonts w:eastAsia="Times New Roman"/>
          <w:i/>
          <w:iCs/>
          <w:sz w:val="22"/>
          <w:szCs w:val="22"/>
          <w:lang w:eastAsia="en-AU"/>
        </w:rPr>
        <w:t xml:space="preserve">Therapeutic Goods (Excluded Goods) Amendment Determination </w:t>
      </w:r>
      <w:r w:rsidR="006D458F">
        <w:rPr>
          <w:rFonts w:eastAsia="Times New Roman"/>
          <w:i/>
          <w:iCs/>
          <w:sz w:val="22"/>
          <w:szCs w:val="22"/>
          <w:lang w:eastAsia="en-AU"/>
        </w:rPr>
        <w:t>(No. 2) </w:t>
      </w:r>
      <w:r w:rsidR="00E86C4B">
        <w:rPr>
          <w:rFonts w:eastAsia="Times New Roman"/>
          <w:i/>
          <w:iCs/>
          <w:sz w:val="22"/>
          <w:szCs w:val="22"/>
          <w:lang w:eastAsia="en-AU"/>
        </w:rPr>
        <w:t>2024</w:t>
      </w:r>
      <w:r w:rsidR="00E86C4B">
        <w:rPr>
          <w:rFonts w:eastAsia="Times New Roman"/>
          <w:sz w:val="22"/>
          <w:szCs w:val="22"/>
          <w:lang w:eastAsia="en-AU"/>
        </w:rPr>
        <w:t xml:space="preserve"> (the Amendment Determination) amends the Principal Determination to correct this </w:t>
      </w:r>
      <w:r>
        <w:rPr>
          <w:rFonts w:eastAsia="Times New Roman"/>
          <w:sz w:val="22"/>
          <w:szCs w:val="22"/>
          <w:lang w:eastAsia="en-AU"/>
        </w:rPr>
        <w:t>unintended repeal of the transitional arrangements relating to secondary sunscreens</w:t>
      </w:r>
      <w:r w:rsidR="00F673A7">
        <w:rPr>
          <w:rFonts w:eastAsia="Times New Roman"/>
          <w:sz w:val="22"/>
          <w:szCs w:val="22"/>
          <w:lang w:eastAsia="en-AU"/>
        </w:rPr>
        <w:t xml:space="preserve">. </w:t>
      </w:r>
      <w:r w:rsidR="00D579AD">
        <w:rPr>
          <w:rFonts w:eastAsia="Times New Roman"/>
          <w:sz w:val="22"/>
          <w:szCs w:val="22"/>
          <w:lang w:eastAsia="en-AU"/>
        </w:rPr>
        <w:t xml:space="preserve">The Amendment Determination </w:t>
      </w:r>
      <w:r w:rsidR="00CE4DB8">
        <w:rPr>
          <w:rFonts w:eastAsia="Times New Roman"/>
          <w:sz w:val="22"/>
          <w:szCs w:val="22"/>
          <w:lang w:eastAsia="en-AU"/>
        </w:rPr>
        <w:t xml:space="preserve">does so by </w:t>
      </w:r>
      <w:r w:rsidR="00D579AD">
        <w:rPr>
          <w:rFonts w:eastAsia="Times New Roman"/>
          <w:sz w:val="22"/>
          <w:szCs w:val="22"/>
          <w:lang w:eastAsia="en-AU"/>
        </w:rPr>
        <w:t xml:space="preserve">introducing </w:t>
      </w:r>
      <w:r w:rsidR="00CE4DB8">
        <w:rPr>
          <w:rFonts w:eastAsia="Times New Roman"/>
          <w:sz w:val="22"/>
          <w:szCs w:val="22"/>
          <w:lang w:eastAsia="en-AU"/>
        </w:rPr>
        <w:t>new section 7</w:t>
      </w:r>
      <w:r w:rsidR="00370CBA">
        <w:rPr>
          <w:rFonts w:eastAsia="Times New Roman"/>
          <w:sz w:val="22"/>
          <w:szCs w:val="22"/>
          <w:lang w:eastAsia="en-AU"/>
        </w:rPr>
        <w:t xml:space="preserve"> </w:t>
      </w:r>
      <w:r w:rsidR="00D579AD">
        <w:rPr>
          <w:rFonts w:eastAsia="Times New Roman"/>
          <w:sz w:val="22"/>
          <w:szCs w:val="22"/>
          <w:lang w:eastAsia="en-AU"/>
        </w:rPr>
        <w:t xml:space="preserve">to </w:t>
      </w:r>
      <w:r w:rsidR="00370CBA">
        <w:rPr>
          <w:rFonts w:eastAsia="Times New Roman"/>
          <w:sz w:val="22"/>
          <w:szCs w:val="22"/>
          <w:lang w:eastAsia="en-AU"/>
        </w:rPr>
        <w:t>the Principal Determination</w:t>
      </w:r>
      <w:r w:rsidR="00F1325C">
        <w:rPr>
          <w:rFonts w:eastAsia="Times New Roman"/>
          <w:sz w:val="22"/>
          <w:szCs w:val="22"/>
          <w:lang w:eastAsia="en-AU"/>
        </w:rPr>
        <w:t xml:space="preserve">, which </w:t>
      </w:r>
      <w:r w:rsidR="00CD3B1A">
        <w:rPr>
          <w:rFonts w:eastAsia="Times New Roman"/>
          <w:sz w:val="22"/>
          <w:szCs w:val="22"/>
          <w:lang w:eastAsia="en-AU"/>
        </w:rPr>
        <w:t xml:space="preserve">implements the 5-year transitional arrangement for secondary sunscreen products </w:t>
      </w:r>
      <w:r w:rsidR="00370CBA">
        <w:rPr>
          <w:rFonts w:eastAsia="Times New Roman"/>
          <w:sz w:val="22"/>
          <w:szCs w:val="22"/>
          <w:lang w:eastAsia="en-AU"/>
        </w:rPr>
        <w:t xml:space="preserve">that was intended </w:t>
      </w:r>
      <w:r w:rsidR="008665B5">
        <w:rPr>
          <w:rFonts w:eastAsia="Times New Roman"/>
          <w:sz w:val="22"/>
          <w:szCs w:val="22"/>
          <w:lang w:eastAsia="en-AU"/>
        </w:rPr>
        <w:t>under the Sunscreen Determination. This amendment applies</w:t>
      </w:r>
      <w:r w:rsidR="00D67BB2">
        <w:rPr>
          <w:rFonts w:eastAsia="Times New Roman"/>
          <w:sz w:val="22"/>
          <w:szCs w:val="22"/>
          <w:lang w:eastAsia="en-AU"/>
        </w:rPr>
        <w:t xml:space="preserve"> retrospectively from 1 July 2024</w:t>
      </w:r>
      <w:r w:rsidR="00D579AD">
        <w:rPr>
          <w:rFonts w:eastAsia="Times New Roman"/>
          <w:sz w:val="22"/>
          <w:szCs w:val="22"/>
          <w:lang w:eastAsia="en-AU"/>
        </w:rPr>
        <w:t>, which is the date the transitional provisions were intended to commence under the Sunscreen Determination</w:t>
      </w:r>
      <w:r w:rsidR="00D67BB2">
        <w:rPr>
          <w:rFonts w:eastAsia="Times New Roman"/>
          <w:sz w:val="22"/>
          <w:szCs w:val="22"/>
          <w:lang w:eastAsia="en-AU"/>
        </w:rPr>
        <w:t>.</w:t>
      </w:r>
    </w:p>
    <w:p w14:paraId="62FA308B" w14:textId="77777777" w:rsidR="00CB0666" w:rsidRDefault="00CB0666" w:rsidP="000B31F9">
      <w:pPr>
        <w:autoSpaceDE w:val="0"/>
        <w:autoSpaceDN w:val="0"/>
        <w:adjustRightInd w:val="0"/>
        <w:spacing w:after="0" w:line="240" w:lineRule="auto"/>
        <w:rPr>
          <w:rFonts w:eastAsia="Times New Roman"/>
          <w:sz w:val="22"/>
          <w:szCs w:val="22"/>
          <w:lang w:eastAsia="en-AU"/>
        </w:rPr>
      </w:pPr>
    </w:p>
    <w:p w14:paraId="1464BF06" w14:textId="77777777" w:rsidR="00C07687" w:rsidRPr="00E9726E" w:rsidRDefault="00C07687" w:rsidP="00BF604E">
      <w:pPr>
        <w:keepNext/>
        <w:autoSpaceDE w:val="0"/>
        <w:autoSpaceDN w:val="0"/>
        <w:adjustRightInd w:val="0"/>
        <w:spacing w:after="0" w:line="240" w:lineRule="auto"/>
        <w:rPr>
          <w:rFonts w:eastAsia="Times New Roman"/>
          <w:b/>
          <w:sz w:val="22"/>
          <w:szCs w:val="22"/>
          <w:lang w:eastAsia="en-AU"/>
        </w:rPr>
      </w:pPr>
      <w:r w:rsidRPr="00E9726E">
        <w:rPr>
          <w:rFonts w:eastAsia="Times New Roman"/>
          <w:b/>
          <w:sz w:val="22"/>
          <w:szCs w:val="22"/>
          <w:lang w:eastAsia="en-AU"/>
        </w:rPr>
        <w:t>Background</w:t>
      </w:r>
    </w:p>
    <w:p w14:paraId="3B97E316" w14:textId="77777777" w:rsidR="00E33BC1" w:rsidRPr="005D0B82" w:rsidRDefault="00E33BC1" w:rsidP="005D0B82">
      <w:pPr>
        <w:autoSpaceDE w:val="0"/>
        <w:autoSpaceDN w:val="0"/>
        <w:adjustRightInd w:val="0"/>
        <w:spacing w:after="0" w:line="240" w:lineRule="auto"/>
        <w:rPr>
          <w:rFonts w:eastAsia="Times New Roman"/>
          <w:sz w:val="22"/>
          <w:szCs w:val="22"/>
          <w:lang w:eastAsia="en-AU"/>
        </w:rPr>
      </w:pPr>
    </w:p>
    <w:p w14:paraId="559C8135" w14:textId="2118D44E" w:rsidR="00C34A9A" w:rsidRDefault="00D25B20" w:rsidP="005D0B82">
      <w:pPr>
        <w:autoSpaceDE w:val="0"/>
        <w:autoSpaceDN w:val="0"/>
        <w:adjustRightInd w:val="0"/>
        <w:spacing w:after="0" w:line="240" w:lineRule="auto"/>
        <w:rPr>
          <w:rFonts w:eastAsia="Times New Roman"/>
          <w:sz w:val="22"/>
          <w:szCs w:val="22"/>
          <w:lang w:eastAsia="en-AU"/>
        </w:rPr>
      </w:pPr>
      <w:bookmarkStart w:id="2" w:name="_Hlk168468320"/>
      <w:r>
        <w:rPr>
          <w:rFonts w:eastAsia="Times New Roman"/>
          <w:sz w:val="22"/>
          <w:szCs w:val="22"/>
          <w:lang w:eastAsia="en-AU"/>
        </w:rPr>
        <w:t>The Principal Determination, which is made under section 7AA of the Act, determines specified goods, including specified goods when used, advertised, or presented for supply in a specified way, to be excluded goods for the purposes of the Act.</w:t>
      </w:r>
    </w:p>
    <w:p w14:paraId="0A544D18" w14:textId="77777777" w:rsidR="00C34A9A" w:rsidRDefault="00C34A9A" w:rsidP="005D0B82">
      <w:pPr>
        <w:autoSpaceDE w:val="0"/>
        <w:autoSpaceDN w:val="0"/>
        <w:adjustRightInd w:val="0"/>
        <w:spacing w:after="0" w:line="240" w:lineRule="auto"/>
        <w:rPr>
          <w:rFonts w:eastAsia="Times New Roman"/>
          <w:sz w:val="22"/>
          <w:szCs w:val="22"/>
          <w:lang w:eastAsia="en-AU"/>
        </w:rPr>
      </w:pPr>
    </w:p>
    <w:p w14:paraId="1BBF974E" w14:textId="1E8A206A" w:rsidR="00840ADB" w:rsidRDefault="009C3400" w:rsidP="005D0B82">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S</w:t>
      </w:r>
      <w:r w:rsidR="00A94BD8">
        <w:rPr>
          <w:rFonts w:eastAsia="Times New Roman"/>
          <w:sz w:val="22"/>
          <w:szCs w:val="22"/>
          <w:lang w:eastAsia="en-AU"/>
        </w:rPr>
        <w:t xml:space="preserve">ome secondary sunscreen products </w:t>
      </w:r>
      <w:r w:rsidR="00C34A9A">
        <w:rPr>
          <w:rFonts w:eastAsia="Times New Roman"/>
          <w:sz w:val="22"/>
          <w:szCs w:val="22"/>
          <w:lang w:eastAsia="en-AU"/>
        </w:rPr>
        <w:t>are excluded goods for the purposes of the Act</w:t>
      </w:r>
      <w:r w:rsidR="00637683">
        <w:rPr>
          <w:rFonts w:eastAsia="Times New Roman"/>
          <w:sz w:val="22"/>
          <w:szCs w:val="22"/>
          <w:lang w:eastAsia="en-AU"/>
        </w:rPr>
        <w:t xml:space="preserve"> if they comply </w:t>
      </w:r>
      <w:r>
        <w:rPr>
          <w:rFonts w:eastAsia="Times New Roman"/>
          <w:sz w:val="22"/>
          <w:szCs w:val="22"/>
          <w:lang w:eastAsia="en-AU"/>
        </w:rPr>
        <w:t>with certain conditions</w:t>
      </w:r>
      <w:r w:rsidR="00D579AD">
        <w:rPr>
          <w:rFonts w:eastAsia="Times New Roman"/>
          <w:sz w:val="22"/>
          <w:szCs w:val="22"/>
          <w:lang w:eastAsia="en-AU"/>
        </w:rPr>
        <w:t xml:space="preserve"> specified</w:t>
      </w:r>
      <w:r>
        <w:rPr>
          <w:rFonts w:eastAsia="Times New Roman"/>
          <w:sz w:val="22"/>
          <w:szCs w:val="22"/>
          <w:lang w:eastAsia="en-AU"/>
        </w:rPr>
        <w:t xml:space="preserve"> in the Principal Determination</w:t>
      </w:r>
      <w:r w:rsidR="005858C6">
        <w:rPr>
          <w:rFonts w:eastAsia="Times New Roman"/>
          <w:sz w:val="22"/>
          <w:szCs w:val="22"/>
          <w:lang w:eastAsia="en-AU"/>
        </w:rPr>
        <w:t xml:space="preserve"> (table items 14 and 15 in Schedule 1, and table items 5 and 10 in Schedule 2, to the Principal Determination refer)</w:t>
      </w:r>
      <w:r w:rsidR="00980572">
        <w:rPr>
          <w:rFonts w:eastAsia="Times New Roman"/>
          <w:sz w:val="22"/>
          <w:szCs w:val="22"/>
          <w:lang w:eastAsia="en-AU"/>
        </w:rPr>
        <w:t xml:space="preserve">. Secondary sunscreens are products that are represented as having a primary function other than sun protection (e.g., </w:t>
      </w:r>
      <w:r w:rsidR="00980572">
        <w:rPr>
          <w:rFonts w:eastAsia="Times New Roman"/>
          <w:sz w:val="22"/>
          <w:szCs w:val="22"/>
          <w:lang w:eastAsia="en-AU"/>
        </w:rPr>
        <w:lastRenderedPageBreak/>
        <w:t>moisturisers, foundations</w:t>
      </w:r>
      <w:r w:rsidR="001227C7">
        <w:rPr>
          <w:rFonts w:eastAsia="Times New Roman"/>
          <w:sz w:val="22"/>
          <w:szCs w:val="22"/>
          <w:lang w:eastAsia="en-AU"/>
        </w:rPr>
        <w:t>, and lip balms</w:t>
      </w:r>
      <w:r w:rsidR="00980572">
        <w:rPr>
          <w:rFonts w:eastAsia="Times New Roman"/>
          <w:sz w:val="22"/>
          <w:szCs w:val="22"/>
          <w:lang w:eastAsia="en-AU"/>
        </w:rPr>
        <w:t>)</w:t>
      </w:r>
      <w:r w:rsidR="001227C7">
        <w:rPr>
          <w:rFonts w:eastAsia="Times New Roman"/>
          <w:sz w:val="22"/>
          <w:szCs w:val="22"/>
          <w:lang w:eastAsia="en-AU"/>
        </w:rPr>
        <w:t xml:space="preserve"> that also provi</w:t>
      </w:r>
      <w:r w:rsidR="00F95606">
        <w:rPr>
          <w:rFonts w:eastAsia="Times New Roman"/>
          <w:sz w:val="22"/>
          <w:szCs w:val="22"/>
          <w:lang w:eastAsia="en-AU"/>
        </w:rPr>
        <w:t>d</w:t>
      </w:r>
      <w:r w:rsidR="001227C7">
        <w:rPr>
          <w:rFonts w:eastAsia="Times New Roman"/>
          <w:sz w:val="22"/>
          <w:szCs w:val="22"/>
          <w:lang w:eastAsia="en-AU"/>
        </w:rPr>
        <w:t>e some protection of the skin from ultraviolet (UV) radiation.</w:t>
      </w:r>
    </w:p>
    <w:p w14:paraId="78B64B4E" w14:textId="77777777" w:rsidR="00840ADB" w:rsidRDefault="00840ADB" w:rsidP="005D0B82">
      <w:pPr>
        <w:autoSpaceDE w:val="0"/>
        <w:autoSpaceDN w:val="0"/>
        <w:adjustRightInd w:val="0"/>
        <w:spacing w:after="0" w:line="240" w:lineRule="auto"/>
        <w:rPr>
          <w:rFonts w:eastAsia="Times New Roman"/>
          <w:sz w:val="22"/>
          <w:szCs w:val="22"/>
          <w:lang w:eastAsia="en-AU"/>
        </w:rPr>
      </w:pPr>
    </w:p>
    <w:p w14:paraId="15BEF919" w14:textId="77777777" w:rsidR="001E2DB4" w:rsidRDefault="0033695A" w:rsidP="001E2DB4">
      <w:pPr>
        <w:widowControl w:val="0"/>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On 1 July 2024, the Sunscreen Determination amended the Principal Determination to, in effect, update the testing and (certain) labelling requirements that secondary sunscreen products must comply with to be excluded goods. </w:t>
      </w:r>
    </w:p>
    <w:p w14:paraId="01B1432F" w14:textId="77777777" w:rsidR="001E2DB4" w:rsidRDefault="001E2DB4" w:rsidP="001E2DB4">
      <w:pPr>
        <w:widowControl w:val="0"/>
        <w:autoSpaceDE w:val="0"/>
        <w:autoSpaceDN w:val="0"/>
        <w:adjustRightInd w:val="0"/>
        <w:spacing w:after="0" w:line="240" w:lineRule="auto"/>
        <w:rPr>
          <w:rFonts w:eastAsia="Times New Roman"/>
          <w:sz w:val="22"/>
          <w:szCs w:val="22"/>
          <w:lang w:eastAsia="en-AU"/>
        </w:rPr>
      </w:pPr>
    </w:p>
    <w:p w14:paraId="06D88793" w14:textId="239A4CD4" w:rsidR="004E44BB" w:rsidRDefault="002E177A" w:rsidP="001E2DB4">
      <w:pPr>
        <w:widowControl w:val="0"/>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Relevantly, the Sunscreen Standard</w:t>
      </w:r>
      <w:r w:rsidR="00F379AC">
        <w:rPr>
          <w:rFonts w:eastAsia="Times New Roman"/>
          <w:sz w:val="22"/>
          <w:szCs w:val="22"/>
          <w:lang w:eastAsia="en-AU"/>
        </w:rPr>
        <w:t xml:space="preserve"> amended section 7 of the Principal Determination to</w:t>
      </w:r>
      <w:r w:rsidR="005A0435">
        <w:rPr>
          <w:rFonts w:eastAsia="Times New Roman"/>
          <w:sz w:val="22"/>
          <w:szCs w:val="22"/>
          <w:lang w:eastAsia="en-AU"/>
        </w:rPr>
        <w:t xml:space="preserve"> </w:t>
      </w:r>
      <w:r>
        <w:rPr>
          <w:rFonts w:eastAsia="Times New Roman"/>
          <w:sz w:val="22"/>
          <w:szCs w:val="22"/>
          <w:lang w:eastAsia="en-AU"/>
        </w:rPr>
        <w:t xml:space="preserve">provide for a 5-year transitional arrangement for secondary sunscreen products that were excluded goods immediately before </w:t>
      </w:r>
      <w:r w:rsidR="00FF0585">
        <w:rPr>
          <w:rFonts w:eastAsia="Times New Roman"/>
          <w:sz w:val="22"/>
          <w:szCs w:val="22"/>
          <w:lang w:eastAsia="en-AU"/>
        </w:rPr>
        <w:t>1 July 2024</w:t>
      </w:r>
      <w:r w:rsidR="00064607">
        <w:rPr>
          <w:rFonts w:eastAsia="Times New Roman"/>
          <w:sz w:val="22"/>
          <w:szCs w:val="22"/>
          <w:lang w:eastAsia="en-AU"/>
        </w:rPr>
        <w:t xml:space="preserve"> (the sunscreen transitional arrangement)</w:t>
      </w:r>
      <w:r w:rsidR="00FF0585">
        <w:rPr>
          <w:rFonts w:eastAsia="Times New Roman"/>
          <w:sz w:val="22"/>
          <w:szCs w:val="22"/>
          <w:lang w:eastAsia="en-AU"/>
        </w:rPr>
        <w:t>.</w:t>
      </w:r>
      <w:r w:rsidR="009300DD">
        <w:rPr>
          <w:rFonts w:eastAsia="Times New Roman"/>
          <w:sz w:val="22"/>
          <w:szCs w:val="22"/>
          <w:lang w:eastAsia="en-AU"/>
        </w:rPr>
        <w:t xml:space="preserve"> </w:t>
      </w:r>
      <w:r w:rsidR="00123B49">
        <w:rPr>
          <w:rFonts w:eastAsia="Times New Roman"/>
          <w:sz w:val="22"/>
          <w:szCs w:val="22"/>
          <w:lang w:eastAsia="en-AU"/>
        </w:rPr>
        <w:t xml:space="preserve">The effect of this arrangement is that </w:t>
      </w:r>
      <w:r w:rsidR="0017024D">
        <w:rPr>
          <w:rFonts w:eastAsia="Times New Roman"/>
          <w:sz w:val="22"/>
          <w:szCs w:val="22"/>
          <w:lang w:eastAsia="en-AU"/>
        </w:rPr>
        <w:t>secondary sunscreen products would continue to be excluded goods</w:t>
      </w:r>
      <w:r w:rsidR="009B165A">
        <w:rPr>
          <w:rFonts w:eastAsia="Times New Roman"/>
          <w:sz w:val="22"/>
          <w:szCs w:val="22"/>
          <w:lang w:eastAsia="en-AU"/>
        </w:rPr>
        <w:t xml:space="preserve"> until 1 </w:t>
      </w:r>
      <w:r w:rsidR="009C3400">
        <w:rPr>
          <w:rFonts w:eastAsia="Times New Roman"/>
          <w:sz w:val="22"/>
          <w:szCs w:val="22"/>
          <w:lang w:eastAsia="en-AU"/>
        </w:rPr>
        <w:t>July 2029</w:t>
      </w:r>
      <w:r w:rsidR="00257D6F">
        <w:rPr>
          <w:rFonts w:eastAsia="Times New Roman"/>
          <w:sz w:val="22"/>
          <w:szCs w:val="22"/>
          <w:lang w:eastAsia="en-AU"/>
        </w:rPr>
        <w:t>, provided they</w:t>
      </w:r>
      <w:r w:rsidR="00B40F00">
        <w:rPr>
          <w:rFonts w:eastAsia="Times New Roman"/>
          <w:sz w:val="22"/>
          <w:szCs w:val="22"/>
          <w:lang w:eastAsia="en-AU"/>
        </w:rPr>
        <w:t xml:space="preserve"> comply with the testing and labelling requirements in either the 2012 Standard or the 2021 Standard.</w:t>
      </w:r>
    </w:p>
    <w:p w14:paraId="0718B4F2" w14:textId="77777777" w:rsidR="00C6187C" w:rsidRDefault="00C6187C" w:rsidP="005D0B82">
      <w:pPr>
        <w:autoSpaceDE w:val="0"/>
        <w:autoSpaceDN w:val="0"/>
        <w:adjustRightInd w:val="0"/>
        <w:spacing w:after="0" w:line="240" w:lineRule="auto"/>
        <w:rPr>
          <w:rFonts w:eastAsia="Times New Roman"/>
          <w:sz w:val="22"/>
          <w:szCs w:val="22"/>
          <w:lang w:eastAsia="en-AU"/>
        </w:rPr>
      </w:pPr>
    </w:p>
    <w:p w14:paraId="25980363" w14:textId="168404EE" w:rsidR="009C3400" w:rsidRDefault="007878E2" w:rsidP="005D0B82">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Prior to this amendment</w:t>
      </w:r>
      <w:r w:rsidR="00123B49">
        <w:rPr>
          <w:rFonts w:eastAsia="Times New Roman"/>
          <w:sz w:val="22"/>
          <w:szCs w:val="22"/>
          <w:lang w:eastAsia="en-AU"/>
        </w:rPr>
        <w:t xml:space="preserve"> in the Sunscreen Determination</w:t>
      </w:r>
      <w:r>
        <w:rPr>
          <w:rFonts w:eastAsia="Times New Roman"/>
          <w:sz w:val="22"/>
          <w:szCs w:val="22"/>
          <w:lang w:eastAsia="en-AU"/>
        </w:rPr>
        <w:t xml:space="preserve">, </w:t>
      </w:r>
      <w:r w:rsidR="0085695C">
        <w:rPr>
          <w:rFonts w:eastAsia="Times New Roman"/>
          <w:sz w:val="22"/>
          <w:szCs w:val="22"/>
          <w:lang w:eastAsia="en-AU"/>
        </w:rPr>
        <w:t xml:space="preserve">section 7 of the Principal Determination </w:t>
      </w:r>
      <w:r w:rsidR="00123B49">
        <w:rPr>
          <w:rFonts w:eastAsia="Times New Roman"/>
          <w:sz w:val="22"/>
          <w:szCs w:val="22"/>
          <w:lang w:eastAsia="en-AU"/>
        </w:rPr>
        <w:t>provided</w:t>
      </w:r>
      <w:r w:rsidR="0085695C">
        <w:rPr>
          <w:rFonts w:eastAsia="Times New Roman"/>
          <w:sz w:val="22"/>
          <w:szCs w:val="22"/>
          <w:lang w:eastAsia="en-AU"/>
        </w:rPr>
        <w:t xml:space="preserve"> a transitional arrangement </w:t>
      </w:r>
      <w:r w:rsidR="006020A6">
        <w:rPr>
          <w:rFonts w:eastAsia="Times New Roman"/>
          <w:sz w:val="22"/>
          <w:szCs w:val="22"/>
          <w:lang w:eastAsia="en-AU"/>
        </w:rPr>
        <w:t>for certain vaping devices</w:t>
      </w:r>
      <w:r w:rsidR="00C0783F">
        <w:rPr>
          <w:rFonts w:eastAsia="Times New Roman"/>
          <w:sz w:val="22"/>
          <w:szCs w:val="22"/>
          <w:lang w:eastAsia="en-AU"/>
        </w:rPr>
        <w:t xml:space="preserve"> (the vaping</w:t>
      </w:r>
      <w:r w:rsidR="00123B49">
        <w:rPr>
          <w:rFonts w:eastAsia="Times New Roman"/>
          <w:sz w:val="22"/>
          <w:szCs w:val="22"/>
          <w:lang w:eastAsia="en-AU"/>
        </w:rPr>
        <w:t xml:space="preserve"> devices</w:t>
      </w:r>
      <w:r w:rsidR="00C0783F">
        <w:rPr>
          <w:rFonts w:eastAsia="Times New Roman"/>
          <w:sz w:val="22"/>
          <w:szCs w:val="22"/>
          <w:lang w:eastAsia="en-AU"/>
        </w:rPr>
        <w:t xml:space="preserve"> transitional arrangement)</w:t>
      </w:r>
      <w:r w:rsidR="00123B49">
        <w:rPr>
          <w:rFonts w:eastAsia="Times New Roman"/>
          <w:sz w:val="22"/>
          <w:szCs w:val="22"/>
          <w:lang w:eastAsia="en-AU"/>
        </w:rPr>
        <w:t xml:space="preserve">. </w:t>
      </w:r>
      <w:r w:rsidR="00C0783F">
        <w:rPr>
          <w:rFonts w:eastAsia="Times New Roman"/>
          <w:sz w:val="22"/>
          <w:szCs w:val="22"/>
          <w:lang w:eastAsia="en-AU"/>
        </w:rPr>
        <w:t xml:space="preserve">The vaping </w:t>
      </w:r>
      <w:r w:rsidR="00123B49">
        <w:rPr>
          <w:rFonts w:eastAsia="Times New Roman"/>
          <w:sz w:val="22"/>
          <w:szCs w:val="22"/>
          <w:lang w:eastAsia="en-AU"/>
        </w:rPr>
        <w:t xml:space="preserve">devices </w:t>
      </w:r>
      <w:r w:rsidR="00C0783F">
        <w:rPr>
          <w:rFonts w:eastAsia="Times New Roman"/>
          <w:sz w:val="22"/>
          <w:szCs w:val="22"/>
          <w:lang w:eastAsia="en-AU"/>
        </w:rPr>
        <w:t xml:space="preserve">transitional arrangement </w:t>
      </w:r>
      <w:r w:rsidR="00216204">
        <w:rPr>
          <w:rFonts w:eastAsia="Times New Roman"/>
          <w:sz w:val="22"/>
          <w:szCs w:val="22"/>
          <w:lang w:eastAsia="en-AU"/>
        </w:rPr>
        <w:t>was repealed on 1 July 2024 by the Vaping Determination.</w:t>
      </w:r>
      <w:r w:rsidR="00971C58">
        <w:rPr>
          <w:rFonts w:eastAsia="Times New Roman"/>
          <w:sz w:val="22"/>
          <w:szCs w:val="22"/>
          <w:lang w:eastAsia="en-AU"/>
        </w:rPr>
        <w:t xml:space="preserve"> </w:t>
      </w:r>
      <w:r w:rsidR="00216204">
        <w:rPr>
          <w:rFonts w:eastAsia="Times New Roman"/>
          <w:sz w:val="22"/>
          <w:szCs w:val="22"/>
          <w:lang w:eastAsia="en-AU"/>
        </w:rPr>
        <w:t>Howev</w:t>
      </w:r>
      <w:r w:rsidR="00FE1201">
        <w:rPr>
          <w:rFonts w:eastAsia="Times New Roman"/>
          <w:sz w:val="22"/>
          <w:szCs w:val="22"/>
          <w:lang w:eastAsia="en-AU"/>
        </w:rPr>
        <w:t xml:space="preserve">er, the Vaping Determination </w:t>
      </w:r>
      <w:r w:rsidR="00123B49">
        <w:rPr>
          <w:rFonts w:eastAsia="Times New Roman"/>
          <w:sz w:val="22"/>
          <w:szCs w:val="22"/>
          <w:lang w:eastAsia="en-AU"/>
        </w:rPr>
        <w:t xml:space="preserve">erroneously </w:t>
      </w:r>
      <w:r w:rsidR="00FE1201">
        <w:rPr>
          <w:rFonts w:eastAsia="Times New Roman"/>
          <w:sz w:val="22"/>
          <w:szCs w:val="22"/>
          <w:lang w:eastAsia="en-AU"/>
        </w:rPr>
        <w:t>repealed section 7 of the Principal Determination in its entirety</w:t>
      </w:r>
      <w:r w:rsidR="00432066">
        <w:rPr>
          <w:rFonts w:eastAsia="Times New Roman"/>
          <w:sz w:val="22"/>
          <w:szCs w:val="22"/>
          <w:lang w:eastAsia="en-AU"/>
        </w:rPr>
        <w:t xml:space="preserve"> and, in doing so, inadvertently also repealed the sunscreen transitional arrangement</w:t>
      </w:r>
      <w:r w:rsidR="005D0B82">
        <w:rPr>
          <w:rFonts w:eastAsia="Times New Roman"/>
          <w:sz w:val="22"/>
          <w:szCs w:val="22"/>
          <w:lang w:eastAsia="en-AU"/>
        </w:rPr>
        <w:t>.</w:t>
      </w:r>
    </w:p>
    <w:p w14:paraId="00597C63" w14:textId="77777777" w:rsidR="00F95606" w:rsidRDefault="00F95606" w:rsidP="00B95BEE">
      <w:pPr>
        <w:widowControl w:val="0"/>
        <w:autoSpaceDE w:val="0"/>
        <w:autoSpaceDN w:val="0"/>
        <w:adjustRightInd w:val="0"/>
        <w:spacing w:after="0" w:line="240" w:lineRule="auto"/>
        <w:rPr>
          <w:rFonts w:eastAsia="Times New Roman"/>
          <w:sz w:val="22"/>
          <w:szCs w:val="22"/>
          <w:lang w:eastAsia="en-AU"/>
        </w:rPr>
      </w:pPr>
    </w:p>
    <w:p w14:paraId="7423E4FD" w14:textId="77777777" w:rsidR="002918D5" w:rsidRPr="00E9726E" w:rsidRDefault="002918D5" w:rsidP="002918D5">
      <w:pPr>
        <w:keepNext/>
        <w:autoSpaceDE w:val="0"/>
        <w:autoSpaceDN w:val="0"/>
        <w:adjustRightInd w:val="0"/>
        <w:spacing w:after="0" w:line="240" w:lineRule="auto"/>
        <w:rPr>
          <w:rFonts w:eastAsia="Times New Roman"/>
          <w:b/>
          <w:sz w:val="22"/>
          <w:szCs w:val="22"/>
          <w:lang w:eastAsia="en-AU"/>
        </w:rPr>
      </w:pPr>
      <w:r w:rsidRPr="00E9726E">
        <w:rPr>
          <w:rFonts w:eastAsia="Times New Roman"/>
          <w:b/>
          <w:sz w:val="22"/>
          <w:szCs w:val="22"/>
          <w:lang w:eastAsia="en-AU"/>
        </w:rPr>
        <w:t>Purpose</w:t>
      </w:r>
    </w:p>
    <w:p w14:paraId="63B3459E" w14:textId="77777777" w:rsidR="002918D5" w:rsidRDefault="002918D5" w:rsidP="00B95BEE">
      <w:pPr>
        <w:widowControl w:val="0"/>
        <w:autoSpaceDE w:val="0"/>
        <w:autoSpaceDN w:val="0"/>
        <w:adjustRightInd w:val="0"/>
        <w:spacing w:after="0" w:line="240" w:lineRule="auto"/>
        <w:rPr>
          <w:rFonts w:eastAsia="Times New Roman"/>
          <w:sz w:val="22"/>
          <w:szCs w:val="22"/>
          <w:lang w:eastAsia="en-AU"/>
        </w:rPr>
      </w:pPr>
    </w:p>
    <w:p w14:paraId="0116DA7E" w14:textId="54AA56E5" w:rsidR="008A36FF" w:rsidRDefault="00B86359" w:rsidP="005D0B82">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 Amendment Determination amends the Principal Determination to</w:t>
      </w:r>
      <w:r w:rsidR="0024289F">
        <w:rPr>
          <w:rFonts w:eastAsia="Times New Roman"/>
          <w:sz w:val="22"/>
          <w:szCs w:val="22"/>
          <w:lang w:eastAsia="en-AU"/>
        </w:rPr>
        <w:t xml:space="preserve"> </w:t>
      </w:r>
      <w:r w:rsidR="00123B49">
        <w:rPr>
          <w:rFonts w:eastAsia="Times New Roman"/>
          <w:sz w:val="22"/>
          <w:szCs w:val="22"/>
          <w:lang w:eastAsia="en-AU"/>
        </w:rPr>
        <w:t xml:space="preserve">introduce </w:t>
      </w:r>
      <w:r w:rsidR="00A60CE2">
        <w:rPr>
          <w:rFonts w:eastAsia="Times New Roman"/>
          <w:sz w:val="22"/>
          <w:szCs w:val="22"/>
          <w:lang w:eastAsia="en-AU"/>
        </w:rPr>
        <w:t xml:space="preserve">new section 7, which </w:t>
      </w:r>
      <w:r w:rsidR="0024289F">
        <w:rPr>
          <w:rFonts w:eastAsia="Times New Roman"/>
          <w:sz w:val="22"/>
          <w:szCs w:val="22"/>
          <w:lang w:eastAsia="en-AU"/>
        </w:rPr>
        <w:t>make</w:t>
      </w:r>
      <w:r w:rsidR="00A60CE2">
        <w:rPr>
          <w:rFonts w:eastAsia="Times New Roman"/>
          <w:sz w:val="22"/>
          <w:szCs w:val="22"/>
          <w:lang w:eastAsia="en-AU"/>
        </w:rPr>
        <w:t>s</w:t>
      </w:r>
      <w:r w:rsidR="0024289F">
        <w:rPr>
          <w:rFonts w:eastAsia="Times New Roman"/>
          <w:sz w:val="22"/>
          <w:szCs w:val="22"/>
          <w:lang w:eastAsia="en-AU"/>
        </w:rPr>
        <w:t xml:space="preserve"> provision for the sunscreen transitional arrangement that was</w:t>
      </w:r>
      <w:r w:rsidR="009E050E">
        <w:rPr>
          <w:rFonts w:eastAsia="Times New Roman"/>
          <w:sz w:val="22"/>
          <w:szCs w:val="22"/>
          <w:lang w:eastAsia="en-AU"/>
        </w:rPr>
        <w:t xml:space="preserve"> inadvertently</w:t>
      </w:r>
      <w:r w:rsidR="0024289F">
        <w:rPr>
          <w:rFonts w:eastAsia="Times New Roman"/>
          <w:sz w:val="22"/>
          <w:szCs w:val="22"/>
          <w:lang w:eastAsia="en-AU"/>
        </w:rPr>
        <w:t xml:space="preserve"> repealed by the Vaping Determination.</w:t>
      </w:r>
      <w:r w:rsidR="00123B49">
        <w:rPr>
          <w:rFonts w:eastAsia="Times New Roman"/>
          <w:sz w:val="22"/>
          <w:szCs w:val="22"/>
          <w:lang w:eastAsia="en-AU"/>
        </w:rPr>
        <w:t xml:space="preserve"> The effect of new section 7 is </w:t>
      </w:r>
      <w:proofErr w:type="gramStart"/>
      <w:r w:rsidR="00123B49">
        <w:rPr>
          <w:rFonts w:eastAsia="Times New Roman"/>
          <w:sz w:val="22"/>
          <w:szCs w:val="22"/>
          <w:lang w:eastAsia="en-AU"/>
        </w:rPr>
        <w:t>exactly the same</w:t>
      </w:r>
      <w:proofErr w:type="gramEnd"/>
      <w:r w:rsidR="00123B49">
        <w:rPr>
          <w:rFonts w:eastAsia="Times New Roman"/>
          <w:sz w:val="22"/>
          <w:szCs w:val="22"/>
          <w:lang w:eastAsia="en-AU"/>
        </w:rPr>
        <w:t xml:space="preserve"> as the transitional arrangement set out in the Sunscreen Determination.</w:t>
      </w:r>
    </w:p>
    <w:p w14:paraId="05AD72A2" w14:textId="77777777" w:rsidR="008A36FF" w:rsidRDefault="008A36FF" w:rsidP="005D0B82">
      <w:pPr>
        <w:autoSpaceDE w:val="0"/>
        <w:autoSpaceDN w:val="0"/>
        <w:adjustRightInd w:val="0"/>
        <w:spacing w:after="0" w:line="240" w:lineRule="auto"/>
        <w:rPr>
          <w:rFonts w:eastAsia="Times New Roman"/>
          <w:sz w:val="22"/>
          <w:szCs w:val="22"/>
          <w:lang w:eastAsia="en-AU"/>
        </w:rPr>
      </w:pPr>
    </w:p>
    <w:p w14:paraId="2226FD89" w14:textId="2A98F1E3" w:rsidR="00F57240" w:rsidRDefault="00AC7F57" w:rsidP="005D0B82">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That is, n</w:t>
      </w:r>
      <w:r w:rsidR="00B43BD5">
        <w:rPr>
          <w:rFonts w:eastAsia="Times New Roman"/>
          <w:sz w:val="22"/>
          <w:szCs w:val="22"/>
          <w:lang w:eastAsia="en-AU"/>
        </w:rPr>
        <w:t>ew</w:t>
      </w:r>
      <w:r w:rsidR="00A60CE2">
        <w:rPr>
          <w:rFonts w:eastAsia="Times New Roman"/>
          <w:sz w:val="22"/>
          <w:szCs w:val="22"/>
          <w:lang w:eastAsia="en-AU"/>
        </w:rPr>
        <w:t xml:space="preserve"> section 7 </w:t>
      </w:r>
      <w:r w:rsidR="008A36FF">
        <w:rPr>
          <w:rFonts w:eastAsia="Times New Roman"/>
          <w:sz w:val="22"/>
          <w:szCs w:val="22"/>
          <w:lang w:eastAsia="en-AU"/>
        </w:rPr>
        <w:t xml:space="preserve">of the Principal Determination provides that </w:t>
      </w:r>
      <w:r w:rsidR="009E050E">
        <w:rPr>
          <w:rFonts w:eastAsia="Times New Roman"/>
          <w:sz w:val="22"/>
          <w:szCs w:val="22"/>
          <w:lang w:eastAsia="en-AU"/>
        </w:rPr>
        <w:t xml:space="preserve">items 14 and </w:t>
      </w:r>
      <w:r w:rsidR="002965A4">
        <w:rPr>
          <w:rFonts w:eastAsia="Times New Roman"/>
          <w:sz w:val="22"/>
          <w:szCs w:val="22"/>
          <w:lang w:eastAsia="en-AU"/>
        </w:rPr>
        <w:t>15 of the table in Schedule 1</w:t>
      </w:r>
      <w:r w:rsidR="008D153E">
        <w:rPr>
          <w:rFonts w:eastAsia="Times New Roman"/>
          <w:sz w:val="22"/>
          <w:szCs w:val="22"/>
          <w:lang w:eastAsia="en-AU"/>
        </w:rPr>
        <w:t xml:space="preserve"> </w:t>
      </w:r>
      <w:r w:rsidR="00B90D97">
        <w:rPr>
          <w:rFonts w:eastAsia="Times New Roman"/>
          <w:sz w:val="22"/>
          <w:szCs w:val="22"/>
          <w:lang w:eastAsia="en-AU"/>
        </w:rPr>
        <w:t xml:space="preserve">and items 5 and 10 of the table in Schedule 2, as in force immediately before </w:t>
      </w:r>
      <w:r w:rsidR="00B43BD5">
        <w:rPr>
          <w:rFonts w:eastAsia="Times New Roman"/>
          <w:sz w:val="22"/>
          <w:szCs w:val="22"/>
          <w:lang w:eastAsia="en-AU"/>
        </w:rPr>
        <w:t>the commencement of the Sunscreen Determination</w:t>
      </w:r>
      <w:r w:rsidR="00F57240">
        <w:rPr>
          <w:rFonts w:eastAsia="Times New Roman"/>
          <w:sz w:val="22"/>
          <w:szCs w:val="22"/>
          <w:lang w:eastAsia="en-AU"/>
        </w:rPr>
        <w:t xml:space="preserve">, continue to </w:t>
      </w:r>
      <w:r>
        <w:rPr>
          <w:rFonts w:eastAsia="Times New Roman"/>
          <w:sz w:val="22"/>
          <w:szCs w:val="22"/>
          <w:lang w:eastAsia="en-AU"/>
        </w:rPr>
        <w:t xml:space="preserve">apply to </w:t>
      </w:r>
      <w:r w:rsidR="00F57240">
        <w:rPr>
          <w:rFonts w:eastAsia="Times New Roman"/>
          <w:sz w:val="22"/>
          <w:szCs w:val="22"/>
          <w:lang w:eastAsia="en-AU"/>
        </w:rPr>
        <w:t>goods covered by those items if:</w:t>
      </w:r>
    </w:p>
    <w:p w14:paraId="59D66C4F" w14:textId="7299A146" w:rsidR="00631451" w:rsidRDefault="00F57240" w:rsidP="00F57240">
      <w:pPr>
        <w:pStyle w:val="ListParagraph"/>
        <w:widowControl w:val="0"/>
        <w:numPr>
          <w:ilvl w:val="0"/>
          <w:numId w:val="26"/>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 goods were excluded goods under those items on 30 June 2024; and</w:t>
      </w:r>
    </w:p>
    <w:p w14:paraId="7405B29D" w14:textId="49C5BB1A" w:rsidR="00F57240" w:rsidRDefault="00BB378D" w:rsidP="00F57240">
      <w:pPr>
        <w:pStyle w:val="ListParagraph"/>
        <w:widowControl w:val="0"/>
        <w:numPr>
          <w:ilvl w:val="0"/>
          <w:numId w:val="26"/>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paragraph (b) in column 2 of each of those items, as in force immediately</w:t>
      </w:r>
      <w:r w:rsidR="00F96EDA">
        <w:rPr>
          <w:rFonts w:eastAsia="Times New Roman"/>
          <w:sz w:val="22"/>
          <w:szCs w:val="22"/>
          <w:lang w:eastAsia="en-AU"/>
        </w:rPr>
        <w:t xml:space="preserve"> before the commencement of the Sunscreen </w:t>
      </w:r>
      <w:r w:rsidR="00AC7F57">
        <w:rPr>
          <w:rFonts w:eastAsia="Times New Roman"/>
          <w:sz w:val="22"/>
          <w:szCs w:val="22"/>
          <w:lang w:eastAsia="en-AU"/>
        </w:rPr>
        <w:t>Determination</w:t>
      </w:r>
      <w:r w:rsidR="00F96EDA">
        <w:rPr>
          <w:rFonts w:eastAsia="Times New Roman"/>
          <w:sz w:val="22"/>
          <w:szCs w:val="22"/>
          <w:lang w:eastAsia="en-AU"/>
        </w:rPr>
        <w:t>, applies to the goods; and</w:t>
      </w:r>
    </w:p>
    <w:p w14:paraId="576FD617" w14:textId="10E137F5" w:rsidR="00F96EDA" w:rsidRDefault="00F96EDA" w:rsidP="00F57240">
      <w:pPr>
        <w:pStyle w:val="ListParagraph"/>
        <w:widowControl w:val="0"/>
        <w:numPr>
          <w:ilvl w:val="0"/>
          <w:numId w:val="26"/>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goods are imported, </w:t>
      </w:r>
      <w:proofErr w:type="gramStart"/>
      <w:r>
        <w:rPr>
          <w:rFonts w:eastAsia="Times New Roman"/>
          <w:sz w:val="22"/>
          <w:szCs w:val="22"/>
          <w:lang w:eastAsia="en-AU"/>
        </w:rPr>
        <w:t>manufactured</w:t>
      </w:r>
      <w:proofErr w:type="gramEnd"/>
      <w:r>
        <w:rPr>
          <w:rFonts w:eastAsia="Times New Roman"/>
          <w:sz w:val="22"/>
          <w:szCs w:val="22"/>
          <w:lang w:eastAsia="en-AU"/>
        </w:rPr>
        <w:t xml:space="preserve"> or supplied before 1 July 2029.</w:t>
      </w:r>
    </w:p>
    <w:p w14:paraId="60B9B74E" w14:textId="77777777" w:rsidR="00F96EDA" w:rsidRDefault="00F96EDA" w:rsidP="00F96EDA">
      <w:pPr>
        <w:widowControl w:val="0"/>
        <w:autoSpaceDE w:val="0"/>
        <w:autoSpaceDN w:val="0"/>
        <w:adjustRightInd w:val="0"/>
        <w:spacing w:after="0" w:line="240" w:lineRule="auto"/>
        <w:rPr>
          <w:rFonts w:eastAsia="Times New Roman"/>
          <w:sz w:val="22"/>
          <w:szCs w:val="22"/>
          <w:lang w:eastAsia="en-AU"/>
        </w:rPr>
      </w:pPr>
    </w:p>
    <w:p w14:paraId="4DA2550D" w14:textId="16752DCA" w:rsidR="00524B88" w:rsidRDefault="006D2A0A" w:rsidP="005D0B82">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In effect, new section 7 provides for a 5-year transitional arrangement for </w:t>
      </w:r>
      <w:r w:rsidR="00BB7DFA">
        <w:rPr>
          <w:rFonts w:eastAsia="Times New Roman"/>
          <w:sz w:val="22"/>
          <w:szCs w:val="22"/>
          <w:lang w:eastAsia="en-AU"/>
        </w:rPr>
        <w:t xml:space="preserve">secondary sunscreen products that were excluded goods under the Principal Determination immediately before </w:t>
      </w:r>
      <w:r w:rsidR="00E37CE7">
        <w:rPr>
          <w:rFonts w:eastAsia="Times New Roman"/>
          <w:sz w:val="22"/>
          <w:szCs w:val="22"/>
          <w:lang w:eastAsia="en-AU"/>
        </w:rPr>
        <w:t>1 July 2024. During this period, such products can continue to be excluded goods</w:t>
      </w:r>
      <w:r w:rsidR="002F30B7">
        <w:rPr>
          <w:rFonts w:eastAsia="Times New Roman"/>
          <w:sz w:val="22"/>
          <w:szCs w:val="22"/>
          <w:lang w:eastAsia="en-AU"/>
        </w:rPr>
        <w:t xml:space="preserve"> if they comply with the specified requirements of either the 2012 Standard or the 2021 Standard.</w:t>
      </w:r>
    </w:p>
    <w:p w14:paraId="5796BBF7" w14:textId="77777777" w:rsidR="00DB14DC" w:rsidRDefault="00DB14DC" w:rsidP="005D0B82">
      <w:pPr>
        <w:autoSpaceDE w:val="0"/>
        <w:autoSpaceDN w:val="0"/>
        <w:adjustRightInd w:val="0"/>
        <w:spacing w:after="0" w:line="240" w:lineRule="auto"/>
        <w:rPr>
          <w:rFonts w:eastAsia="Times New Roman"/>
          <w:sz w:val="22"/>
          <w:szCs w:val="22"/>
          <w:lang w:eastAsia="en-AU"/>
        </w:rPr>
      </w:pPr>
    </w:p>
    <w:p w14:paraId="7533B1AF" w14:textId="700F0CFA" w:rsidR="00DB14DC" w:rsidRDefault="00DB14DC" w:rsidP="005D0B82">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After 1 J</w:t>
      </w:r>
      <w:r w:rsidR="00151943">
        <w:rPr>
          <w:rFonts w:eastAsia="Times New Roman"/>
          <w:sz w:val="22"/>
          <w:szCs w:val="22"/>
          <w:lang w:eastAsia="en-AU"/>
        </w:rPr>
        <w:t>uly 2024</w:t>
      </w:r>
      <w:r w:rsidR="00C56268">
        <w:rPr>
          <w:rFonts w:eastAsia="Times New Roman"/>
          <w:sz w:val="22"/>
          <w:szCs w:val="22"/>
          <w:lang w:eastAsia="en-AU"/>
        </w:rPr>
        <w:t xml:space="preserve">, new secondary sunscreen products will need to comply with the </w:t>
      </w:r>
      <w:r w:rsidR="00C87864">
        <w:rPr>
          <w:rFonts w:eastAsia="Times New Roman"/>
          <w:sz w:val="22"/>
          <w:szCs w:val="22"/>
          <w:lang w:eastAsia="en-AU"/>
        </w:rPr>
        <w:t xml:space="preserve">2021 </w:t>
      </w:r>
      <w:r w:rsidR="00EF1C3A">
        <w:rPr>
          <w:rFonts w:eastAsia="Times New Roman"/>
          <w:sz w:val="22"/>
          <w:szCs w:val="22"/>
          <w:lang w:eastAsia="en-AU"/>
        </w:rPr>
        <w:t>Standard. All secondary sunscreen products that are imported, manufactured, or supplied from 1 July 2029 must comply with the 2021 Standard.</w:t>
      </w:r>
    </w:p>
    <w:p w14:paraId="5BEEA8BD" w14:textId="77777777" w:rsidR="00524B88" w:rsidRDefault="00524B88" w:rsidP="005D0B82">
      <w:pPr>
        <w:autoSpaceDE w:val="0"/>
        <w:autoSpaceDN w:val="0"/>
        <w:adjustRightInd w:val="0"/>
        <w:spacing w:after="0" w:line="240" w:lineRule="auto"/>
        <w:rPr>
          <w:rFonts w:eastAsia="Times New Roman"/>
          <w:sz w:val="22"/>
          <w:szCs w:val="22"/>
          <w:lang w:eastAsia="en-AU"/>
        </w:rPr>
      </w:pPr>
    </w:p>
    <w:p w14:paraId="2C202FA3" w14:textId="286A62F2" w:rsidR="004050B5" w:rsidRPr="00F96EDA" w:rsidRDefault="003149F0" w:rsidP="005D0B82">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Importantly, </w:t>
      </w:r>
      <w:r w:rsidR="004050B5">
        <w:rPr>
          <w:rFonts w:eastAsia="Times New Roman"/>
          <w:sz w:val="22"/>
          <w:szCs w:val="22"/>
          <w:lang w:eastAsia="en-AU"/>
        </w:rPr>
        <w:t xml:space="preserve">the sunscreen transitional arrangement does not apply to secondary sunscreen products that comply with the </w:t>
      </w:r>
      <w:r w:rsidR="004050B5">
        <w:rPr>
          <w:rFonts w:eastAsia="Times New Roman"/>
          <w:i/>
          <w:iCs/>
          <w:sz w:val="22"/>
          <w:szCs w:val="22"/>
          <w:lang w:eastAsia="en-AU"/>
        </w:rPr>
        <w:t xml:space="preserve">AS/NZS 2604:1998 Sunscreen products – Evaluation and classification </w:t>
      </w:r>
      <w:r w:rsidR="004050B5">
        <w:rPr>
          <w:rFonts w:eastAsia="Times New Roman"/>
          <w:sz w:val="22"/>
          <w:szCs w:val="22"/>
          <w:lang w:eastAsia="en-AU"/>
        </w:rPr>
        <w:t xml:space="preserve">(the 2018 Standard). </w:t>
      </w:r>
      <w:r w:rsidR="00151943">
        <w:rPr>
          <w:rFonts w:eastAsia="Times New Roman"/>
          <w:sz w:val="22"/>
          <w:szCs w:val="22"/>
          <w:lang w:eastAsia="en-AU"/>
        </w:rPr>
        <w:t xml:space="preserve">Consequently, </w:t>
      </w:r>
      <w:r w:rsidR="001611A5">
        <w:rPr>
          <w:rFonts w:eastAsia="Times New Roman"/>
          <w:sz w:val="22"/>
          <w:szCs w:val="22"/>
          <w:lang w:eastAsia="en-AU"/>
        </w:rPr>
        <w:t>secondary sunscreen products that comply with the 2018 Standard are no longer excluded goods for the purposes of the Act.</w:t>
      </w:r>
    </w:p>
    <w:p w14:paraId="73EEDE05" w14:textId="69D04B37" w:rsidR="00AE4CA8" w:rsidRDefault="00AE4CA8" w:rsidP="00F96EDA">
      <w:pPr>
        <w:widowControl w:val="0"/>
        <w:autoSpaceDE w:val="0"/>
        <w:autoSpaceDN w:val="0"/>
        <w:adjustRightInd w:val="0"/>
        <w:spacing w:after="0" w:line="240" w:lineRule="auto"/>
        <w:rPr>
          <w:rFonts w:eastAsia="Times New Roman"/>
          <w:sz w:val="22"/>
          <w:szCs w:val="22"/>
          <w:lang w:eastAsia="en-AU"/>
        </w:rPr>
      </w:pPr>
    </w:p>
    <w:bookmarkEnd w:id="2"/>
    <w:p w14:paraId="0F1BC78C" w14:textId="1449F25A" w:rsidR="00981002" w:rsidRPr="00E9726E" w:rsidRDefault="00CD214D" w:rsidP="00BF604E">
      <w:pPr>
        <w:keepNext/>
        <w:autoSpaceDE w:val="0"/>
        <w:autoSpaceDN w:val="0"/>
        <w:adjustRightInd w:val="0"/>
        <w:spacing w:after="0" w:line="240" w:lineRule="auto"/>
        <w:rPr>
          <w:rFonts w:eastAsia="Times New Roman"/>
          <w:b/>
          <w:sz w:val="22"/>
          <w:szCs w:val="22"/>
          <w:lang w:eastAsia="en-AU"/>
        </w:rPr>
      </w:pPr>
      <w:r w:rsidRPr="00E9726E">
        <w:rPr>
          <w:rFonts w:eastAsia="Times New Roman"/>
          <w:b/>
          <w:sz w:val="22"/>
          <w:szCs w:val="22"/>
          <w:lang w:eastAsia="en-AU"/>
        </w:rPr>
        <w:t>Statutory pre-conditions</w:t>
      </w:r>
    </w:p>
    <w:p w14:paraId="48FC38CC" w14:textId="73E320D6" w:rsidR="00981002" w:rsidRPr="005D0B82" w:rsidRDefault="00981002" w:rsidP="005D0B82">
      <w:pPr>
        <w:autoSpaceDE w:val="0"/>
        <w:autoSpaceDN w:val="0"/>
        <w:adjustRightInd w:val="0"/>
        <w:spacing w:after="0" w:line="240" w:lineRule="auto"/>
        <w:rPr>
          <w:rFonts w:eastAsia="Times New Roman"/>
          <w:sz w:val="22"/>
          <w:szCs w:val="22"/>
          <w:lang w:eastAsia="en-AU"/>
        </w:rPr>
      </w:pPr>
    </w:p>
    <w:p w14:paraId="6B6FB025" w14:textId="32FA7DD1" w:rsidR="00CD214D" w:rsidRPr="005D0B82" w:rsidRDefault="00CD214D" w:rsidP="000B31F9">
      <w:pPr>
        <w:autoSpaceDE w:val="0"/>
        <w:autoSpaceDN w:val="0"/>
        <w:adjustRightInd w:val="0"/>
        <w:spacing w:after="0" w:line="240" w:lineRule="auto"/>
        <w:rPr>
          <w:rFonts w:eastAsia="Times New Roman"/>
          <w:sz w:val="22"/>
          <w:szCs w:val="22"/>
          <w:lang w:eastAsia="en-AU"/>
        </w:rPr>
      </w:pPr>
      <w:r w:rsidRPr="005D0B82">
        <w:rPr>
          <w:rFonts w:eastAsia="Times New Roman"/>
          <w:sz w:val="22"/>
          <w:szCs w:val="22"/>
          <w:lang w:eastAsia="en-AU"/>
        </w:rPr>
        <w:t>Subsection 7</w:t>
      </w:r>
      <w:proofErr w:type="gramStart"/>
      <w:r w:rsidRPr="005D0B82">
        <w:rPr>
          <w:rFonts w:eastAsia="Times New Roman"/>
          <w:sz w:val="22"/>
          <w:szCs w:val="22"/>
          <w:lang w:eastAsia="en-AU"/>
        </w:rPr>
        <w:t>AA(</w:t>
      </w:r>
      <w:proofErr w:type="gramEnd"/>
      <w:r w:rsidRPr="005D0B82">
        <w:rPr>
          <w:rFonts w:eastAsia="Times New Roman"/>
          <w:sz w:val="22"/>
          <w:szCs w:val="22"/>
          <w:lang w:eastAsia="en-AU"/>
        </w:rPr>
        <w:t xml:space="preserve">3) </w:t>
      </w:r>
      <w:r w:rsidR="00AC7F57">
        <w:rPr>
          <w:rFonts w:eastAsia="Times New Roman"/>
          <w:sz w:val="22"/>
          <w:szCs w:val="22"/>
          <w:lang w:eastAsia="en-AU"/>
        </w:rPr>
        <w:t xml:space="preserve">of the Act </w:t>
      </w:r>
      <w:r w:rsidRPr="005D0B82">
        <w:rPr>
          <w:rFonts w:eastAsia="Times New Roman"/>
          <w:sz w:val="22"/>
          <w:szCs w:val="22"/>
          <w:lang w:eastAsia="en-AU"/>
        </w:rPr>
        <w:t>provides that</w:t>
      </w:r>
      <w:r w:rsidR="007A066F" w:rsidRPr="005D0B82">
        <w:rPr>
          <w:rFonts w:eastAsia="Times New Roman"/>
          <w:sz w:val="22"/>
          <w:szCs w:val="22"/>
          <w:lang w:eastAsia="en-AU"/>
        </w:rPr>
        <w:t>,</w:t>
      </w:r>
      <w:r w:rsidRPr="005D0B82">
        <w:rPr>
          <w:rFonts w:eastAsia="Times New Roman"/>
          <w:sz w:val="22"/>
          <w:szCs w:val="22"/>
          <w:lang w:eastAsia="en-AU"/>
        </w:rPr>
        <w:t xml:space="preserve"> before making a determination under </w:t>
      </w:r>
      <w:r w:rsidR="006B5292" w:rsidRPr="005D0B82">
        <w:rPr>
          <w:rFonts w:eastAsia="Times New Roman"/>
          <w:sz w:val="22"/>
          <w:szCs w:val="22"/>
          <w:lang w:eastAsia="en-AU"/>
        </w:rPr>
        <w:t>section 7AA</w:t>
      </w:r>
      <w:r w:rsidRPr="005D0B82">
        <w:rPr>
          <w:rFonts w:eastAsia="Times New Roman"/>
          <w:sz w:val="22"/>
          <w:szCs w:val="22"/>
          <w:lang w:eastAsia="en-AU"/>
        </w:rPr>
        <w:t>, the Minister must have regard to the following matters:</w:t>
      </w:r>
    </w:p>
    <w:p w14:paraId="6BDC1FD3" w14:textId="6CA28156" w:rsidR="00CD214D" w:rsidRPr="00E9726E" w:rsidRDefault="00CD214D" w:rsidP="000B31F9">
      <w:pPr>
        <w:pStyle w:val="ListParagraph"/>
        <w:numPr>
          <w:ilvl w:val="0"/>
          <w:numId w:val="6"/>
        </w:numPr>
        <w:autoSpaceDE w:val="0"/>
        <w:autoSpaceDN w:val="0"/>
        <w:adjustRightInd w:val="0"/>
        <w:spacing w:after="0" w:line="240" w:lineRule="auto"/>
        <w:rPr>
          <w:rFonts w:eastAsia="Times New Roman"/>
          <w:bCs/>
          <w:sz w:val="22"/>
          <w:szCs w:val="22"/>
          <w:lang w:eastAsia="en-AU"/>
        </w:rPr>
      </w:pPr>
      <w:r w:rsidRPr="00E9726E">
        <w:rPr>
          <w:rFonts w:eastAsia="Times New Roman"/>
          <w:bCs/>
          <w:sz w:val="22"/>
          <w:szCs w:val="22"/>
          <w:lang w:eastAsia="en-AU"/>
        </w:rPr>
        <w:lastRenderedPageBreak/>
        <w:t xml:space="preserve">whether it is likely that the specified goods, if not regulated under </w:t>
      </w:r>
      <w:r w:rsidR="006B5292">
        <w:rPr>
          <w:rFonts w:eastAsia="Times New Roman"/>
          <w:bCs/>
          <w:sz w:val="22"/>
          <w:szCs w:val="22"/>
          <w:lang w:eastAsia="en-AU"/>
        </w:rPr>
        <w:t>the</w:t>
      </w:r>
      <w:r w:rsidR="006B5292" w:rsidRPr="00E9726E">
        <w:rPr>
          <w:rFonts w:eastAsia="Times New Roman"/>
          <w:bCs/>
          <w:sz w:val="22"/>
          <w:szCs w:val="22"/>
          <w:lang w:eastAsia="en-AU"/>
        </w:rPr>
        <w:t xml:space="preserve"> </w:t>
      </w:r>
      <w:r w:rsidRPr="00E9726E">
        <w:rPr>
          <w:rFonts w:eastAsia="Times New Roman"/>
          <w:bCs/>
          <w:sz w:val="22"/>
          <w:szCs w:val="22"/>
          <w:lang w:eastAsia="en-AU"/>
        </w:rPr>
        <w:t xml:space="preserve">Act, might harm the health of members of the </w:t>
      </w:r>
      <w:proofErr w:type="gramStart"/>
      <w:r w:rsidRPr="00E9726E">
        <w:rPr>
          <w:rFonts w:eastAsia="Times New Roman"/>
          <w:bCs/>
          <w:sz w:val="22"/>
          <w:szCs w:val="22"/>
          <w:lang w:eastAsia="en-AU"/>
        </w:rPr>
        <w:t>public;</w:t>
      </w:r>
      <w:proofErr w:type="gramEnd"/>
    </w:p>
    <w:p w14:paraId="3FFB840F" w14:textId="3148A09A" w:rsidR="00CD214D" w:rsidRPr="00E9726E" w:rsidRDefault="00CD214D" w:rsidP="000B31F9">
      <w:pPr>
        <w:pStyle w:val="ListParagraph"/>
        <w:numPr>
          <w:ilvl w:val="0"/>
          <w:numId w:val="6"/>
        </w:numPr>
        <w:autoSpaceDE w:val="0"/>
        <w:autoSpaceDN w:val="0"/>
        <w:adjustRightInd w:val="0"/>
        <w:spacing w:after="0" w:line="240" w:lineRule="auto"/>
        <w:rPr>
          <w:rFonts w:eastAsia="Times New Roman"/>
          <w:bCs/>
          <w:sz w:val="22"/>
          <w:szCs w:val="22"/>
          <w:lang w:eastAsia="en-AU"/>
        </w:rPr>
      </w:pPr>
      <w:r w:rsidRPr="00E9726E">
        <w:rPr>
          <w:rFonts w:eastAsia="Times New Roman"/>
          <w:bCs/>
          <w:sz w:val="22"/>
          <w:szCs w:val="22"/>
          <w:lang w:eastAsia="en-AU"/>
        </w:rPr>
        <w:t xml:space="preserve">whether it is appropriate in all the circumstances to apply the national system of controls relating to the quality, safety, efficacy and performance of therapeutic goods established by </w:t>
      </w:r>
      <w:r w:rsidR="006B5292">
        <w:rPr>
          <w:rFonts w:eastAsia="Times New Roman"/>
          <w:bCs/>
          <w:sz w:val="22"/>
          <w:szCs w:val="22"/>
          <w:lang w:eastAsia="en-AU"/>
        </w:rPr>
        <w:t>the</w:t>
      </w:r>
      <w:r w:rsidR="006B5292" w:rsidRPr="00E9726E">
        <w:rPr>
          <w:rFonts w:eastAsia="Times New Roman"/>
          <w:bCs/>
          <w:sz w:val="22"/>
          <w:szCs w:val="22"/>
          <w:lang w:eastAsia="en-AU"/>
        </w:rPr>
        <w:t xml:space="preserve"> </w:t>
      </w:r>
      <w:r w:rsidRPr="00E9726E">
        <w:rPr>
          <w:rFonts w:eastAsia="Times New Roman"/>
          <w:bCs/>
          <w:sz w:val="22"/>
          <w:szCs w:val="22"/>
          <w:lang w:eastAsia="en-AU"/>
        </w:rPr>
        <w:t xml:space="preserve">Act to regulate the specified </w:t>
      </w:r>
      <w:proofErr w:type="gramStart"/>
      <w:r w:rsidRPr="00E9726E">
        <w:rPr>
          <w:rFonts w:eastAsia="Times New Roman"/>
          <w:bCs/>
          <w:sz w:val="22"/>
          <w:szCs w:val="22"/>
          <w:lang w:eastAsia="en-AU"/>
        </w:rPr>
        <w:t>goods;</w:t>
      </w:r>
      <w:proofErr w:type="gramEnd"/>
    </w:p>
    <w:p w14:paraId="2B64EB81" w14:textId="5D994382" w:rsidR="00CD214D" w:rsidRPr="00E9726E" w:rsidRDefault="00CD214D" w:rsidP="000B31F9">
      <w:pPr>
        <w:pStyle w:val="ListParagraph"/>
        <w:numPr>
          <w:ilvl w:val="0"/>
          <w:numId w:val="6"/>
        </w:numPr>
        <w:autoSpaceDE w:val="0"/>
        <w:autoSpaceDN w:val="0"/>
        <w:adjustRightInd w:val="0"/>
        <w:spacing w:after="0" w:line="240" w:lineRule="auto"/>
        <w:rPr>
          <w:rFonts w:eastAsia="Times New Roman"/>
          <w:bCs/>
          <w:sz w:val="22"/>
          <w:szCs w:val="22"/>
          <w:lang w:eastAsia="en-AU"/>
        </w:rPr>
      </w:pPr>
      <w:r w:rsidRPr="00E9726E">
        <w:rPr>
          <w:rFonts w:eastAsia="Times New Roman"/>
          <w:bCs/>
          <w:sz w:val="22"/>
          <w:szCs w:val="22"/>
          <w:lang w:eastAsia="en-AU"/>
        </w:rPr>
        <w:t>whether the kinds of risks from the specified goods to which members of the public might be exposed could be more appropriately dealt with under another regulatory scheme.</w:t>
      </w:r>
    </w:p>
    <w:p w14:paraId="5FD5844A" w14:textId="65002103" w:rsidR="00CD214D" w:rsidRPr="005D0B82" w:rsidRDefault="00CD214D" w:rsidP="000B31F9">
      <w:pPr>
        <w:autoSpaceDE w:val="0"/>
        <w:autoSpaceDN w:val="0"/>
        <w:adjustRightInd w:val="0"/>
        <w:spacing w:after="0" w:line="240" w:lineRule="auto"/>
        <w:rPr>
          <w:rFonts w:eastAsia="Times New Roman"/>
          <w:sz w:val="22"/>
          <w:szCs w:val="22"/>
          <w:lang w:eastAsia="en-AU"/>
        </w:rPr>
      </w:pPr>
    </w:p>
    <w:p w14:paraId="44E538DE" w14:textId="5D5A2C60" w:rsidR="00981002" w:rsidRPr="005D0B82" w:rsidRDefault="0005743D" w:rsidP="000B31F9">
      <w:pPr>
        <w:autoSpaceDE w:val="0"/>
        <w:autoSpaceDN w:val="0"/>
        <w:adjustRightInd w:val="0"/>
        <w:spacing w:after="0" w:line="240" w:lineRule="auto"/>
        <w:rPr>
          <w:rFonts w:eastAsia="Times New Roman"/>
          <w:sz w:val="22"/>
          <w:szCs w:val="22"/>
          <w:lang w:eastAsia="en-AU"/>
        </w:rPr>
      </w:pPr>
      <w:r w:rsidRPr="005D0B82">
        <w:rPr>
          <w:rFonts w:eastAsia="Times New Roman"/>
          <w:sz w:val="22"/>
          <w:szCs w:val="22"/>
          <w:lang w:eastAsia="en-AU"/>
        </w:rPr>
        <w:t xml:space="preserve">These matters have </w:t>
      </w:r>
      <w:r w:rsidR="00AA18F9" w:rsidRPr="005D0B82">
        <w:rPr>
          <w:rFonts w:eastAsia="Times New Roman"/>
          <w:sz w:val="22"/>
          <w:szCs w:val="22"/>
          <w:lang w:eastAsia="en-AU"/>
        </w:rPr>
        <w:t xml:space="preserve">been considered </w:t>
      </w:r>
      <w:r w:rsidR="007B53F8" w:rsidRPr="005D0B82">
        <w:rPr>
          <w:rFonts w:eastAsia="Times New Roman"/>
          <w:sz w:val="22"/>
          <w:szCs w:val="22"/>
          <w:lang w:eastAsia="en-AU"/>
        </w:rPr>
        <w:t xml:space="preserve">by the </w:t>
      </w:r>
      <w:r w:rsidR="006B5292" w:rsidRPr="005D0B82">
        <w:rPr>
          <w:rFonts w:eastAsia="Times New Roman"/>
          <w:sz w:val="22"/>
          <w:szCs w:val="22"/>
          <w:lang w:eastAsia="en-AU"/>
        </w:rPr>
        <w:t xml:space="preserve">rule-maker </w:t>
      </w:r>
      <w:r w:rsidR="00AA18F9" w:rsidRPr="005D0B82">
        <w:rPr>
          <w:rFonts w:eastAsia="Times New Roman"/>
          <w:sz w:val="22"/>
          <w:szCs w:val="22"/>
          <w:lang w:eastAsia="en-AU"/>
        </w:rPr>
        <w:t xml:space="preserve">in </w:t>
      </w:r>
      <w:r w:rsidR="00C909E6" w:rsidRPr="005D0B82">
        <w:rPr>
          <w:rFonts w:eastAsia="Times New Roman"/>
          <w:sz w:val="22"/>
          <w:szCs w:val="22"/>
          <w:lang w:eastAsia="en-AU"/>
        </w:rPr>
        <w:t xml:space="preserve">making the Amendment </w:t>
      </w:r>
      <w:r w:rsidR="00CF4D5D" w:rsidRPr="005D0B82">
        <w:rPr>
          <w:rFonts w:eastAsia="Times New Roman"/>
          <w:sz w:val="22"/>
          <w:szCs w:val="22"/>
          <w:lang w:eastAsia="en-AU"/>
        </w:rPr>
        <w:t>Determination</w:t>
      </w:r>
      <w:r w:rsidR="00C909E6" w:rsidRPr="005D0B82">
        <w:rPr>
          <w:rFonts w:eastAsia="Times New Roman"/>
          <w:sz w:val="22"/>
          <w:szCs w:val="22"/>
          <w:lang w:eastAsia="en-AU"/>
        </w:rPr>
        <w:t>.</w:t>
      </w:r>
      <w:r w:rsidR="00B95BEE" w:rsidRPr="005D0B82">
        <w:rPr>
          <w:rFonts w:eastAsia="Times New Roman"/>
          <w:sz w:val="22"/>
          <w:szCs w:val="22"/>
          <w:lang w:eastAsia="en-AU"/>
        </w:rPr>
        <w:t xml:space="preserve"> However, the purpose of </w:t>
      </w:r>
      <w:r w:rsidR="002F2C38" w:rsidRPr="005D0B82">
        <w:rPr>
          <w:rFonts w:eastAsia="Times New Roman"/>
          <w:sz w:val="22"/>
          <w:szCs w:val="22"/>
          <w:lang w:eastAsia="en-AU"/>
        </w:rPr>
        <w:t>the Amendment Determination</w:t>
      </w:r>
      <w:r w:rsidR="00B95BEE" w:rsidRPr="005D0B82">
        <w:rPr>
          <w:rFonts w:eastAsia="Times New Roman"/>
          <w:sz w:val="22"/>
          <w:szCs w:val="22"/>
          <w:lang w:eastAsia="en-AU"/>
        </w:rPr>
        <w:t xml:space="preserve"> is simply to correct </w:t>
      </w:r>
      <w:proofErr w:type="gramStart"/>
      <w:r w:rsidR="00B95BEE" w:rsidRPr="005D0B82">
        <w:rPr>
          <w:rFonts w:eastAsia="Times New Roman"/>
          <w:sz w:val="22"/>
          <w:szCs w:val="22"/>
          <w:lang w:eastAsia="en-AU"/>
        </w:rPr>
        <w:t xml:space="preserve">an </w:t>
      </w:r>
      <w:r w:rsidR="00527B2C" w:rsidRPr="005D0B82">
        <w:rPr>
          <w:rFonts w:eastAsia="Times New Roman"/>
          <w:sz w:val="22"/>
          <w:szCs w:val="22"/>
          <w:lang w:eastAsia="en-AU"/>
        </w:rPr>
        <w:t>inadvertent error</w:t>
      </w:r>
      <w:proofErr w:type="gramEnd"/>
      <w:r w:rsidR="00B95BEE" w:rsidRPr="005D0B82">
        <w:rPr>
          <w:rFonts w:eastAsia="Times New Roman"/>
          <w:sz w:val="22"/>
          <w:szCs w:val="22"/>
          <w:lang w:eastAsia="en-AU"/>
        </w:rPr>
        <w:t>.</w:t>
      </w:r>
      <w:bookmarkEnd w:id="1"/>
    </w:p>
    <w:p w14:paraId="60B8A841" w14:textId="77777777" w:rsidR="00D818D9" w:rsidRPr="00020BB0" w:rsidRDefault="00D818D9" w:rsidP="000B31F9">
      <w:pPr>
        <w:autoSpaceDE w:val="0"/>
        <w:autoSpaceDN w:val="0"/>
        <w:adjustRightInd w:val="0"/>
        <w:spacing w:after="0" w:line="240" w:lineRule="auto"/>
        <w:rPr>
          <w:rFonts w:eastAsia="Times New Roman"/>
          <w:bCs/>
          <w:sz w:val="22"/>
          <w:szCs w:val="22"/>
          <w:lang w:eastAsia="en-AU"/>
        </w:rPr>
      </w:pPr>
    </w:p>
    <w:p w14:paraId="7A1B0BE3" w14:textId="78B93556" w:rsidR="00E14D05" w:rsidRPr="00020BB0" w:rsidRDefault="00DC5A0D" w:rsidP="00BF604E">
      <w:pPr>
        <w:keepNext/>
        <w:autoSpaceDE w:val="0"/>
        <w:autoSpaceDN w:val="0"/>
        <w:adjustRightInd w:val="0"/>
        <w:spacing w:after="0" w:line="240" w:lineRule="auto"/>
        <w:rPr>
          <w:rFonts w:eastAsia="Times New Roman"/>
          <w:b/>
          <w:sz w:val="22"/>
          <w:szCs w:val="22"/>
          <w:lang w:eastAsia="en-AU"/>
        </w:rPr>
      </w:pPr>
      <w:r w:rsidRPr="00020BB0">
        <w:rPr>
          <w:rFonts w:eastAsia="Times New Roman"/>
          <w:b/>
          <w:sz w:val="22"/>
          <w:szCs w:val="22"/>
          <w:lang w:eastAsia="en-AU"/>
        </w:rPr>
        <w:t>Consultation</w:t>
      </w:r>
    </w:p>
    <w:p w14:paraId="44CBEB7E" w14:textId="77777777" w:rsidR="00837EB9" w:rsidRPr="005D0B82" w:rsidRDefault="00837EB9" w:rsidP="005D0B82">
      <w:pPr>
        <w:autoSpaceDE w:val="0"/>
        <w:autoSpaceDN w:val="0"/>
        <w:adjustRightInd w:val="0"/>
        <w:spacing w:after="0" w:line="240" w:lineRule="auto"/>
        <w:rPr>
          <w:rFonts w:eastAsia="Times New Roman"/>
          <w:sz w:val="22"/>
          <w:szCs w:val="22"/>
          <w:lang w:eastAsia="en-AU"/>
        </w:rPr>
      </w:pPr>
      <w:bookmarkStart w:id="3" w:name="_Hlk135994503"/>
    </w:p>
    <w:p w14:paraId="012591FD" w14:textId="1462991C" w:rsidR="009F4578" w:rsidRPr="005D0B82" w:rsidRDefault="00B95BEE" w:rsidP="000B31F9">
      <w:pPr>
        <w:autoSpaceDE w:val="0"/>
        <w:autoSpaceDN w:val="0"/>
        <w:adjustRightInd w:val="0"/>
        <w:spacing w:after="0" w:line="240" w:lineRule="auto"/>
        <w:rPr>
          <w:rFonts w:eastAsia="Times New Roman"/>
          <w:sz w:val="22"/>
          <w:szCs w:val="22"/>
          <w:lang w:eastAsia="en-AU"/>
        </w:rPr>
      </w:pPr>
      <w:bookmarkStart w:id="4" w:name="_Hlk135995230"/>
      <w:bookmarkEnd w:id="3"/>
      <w:r w:rsidRPr="005D0B82">
        <w:rPr>
          <w:rFonts w:eastAsia="Times New Roman"/>
          <w:sz w:val="22"/>
          <w:szCs w:val="22"/>
          <w:lang w:eastAsia="en-AU"/>
        </w:rPr>
        <w:t xml:space="preserve">Consultation was not undertaken because the purpose of the Amendment Determination is simply to correct </w:t>
      </w:r>
      <w:proofErr w:type="gramStart"/>
      <w:r w:rsidR="004A5FC0" w:rsidRPr="005D0B82">
        <w:rPr>
          <w:rFonts w:eastAsia="Times New Roman"/>
          <w:sz w:val="22"/>
          <w:szCs w:val="22"/>
          <w:lang w:eastAsia="en-AU"/>
        </w:rPr>
        <w:t xml:space="preserve">an </w:t>
      </w:r>
      <w:r w:rsidR="00527B2C" w:rsidRPr="005D0B82">
        <w:rPr>
          <w:rFonts w:eastAsia="Times New Roman"/>
          <w:sz w:val="22"/>
          <w:szCs w:val="22"/>
          <w:lang w:eastAsia="en-AU"/>
        </w:rPr>
        <w:t>inadvertent error</w:t>
      </w:r>
      <w:proofErr w:type="gramEnd"/>
      <w:r w:rsidRPr="005D0B82">
        <w:rPr>
          <w:rFonts w:eastAsia="Times New Roman"/>
          <w:sz w:val="22"/>
          <w:szCs w:val="22"/>
          <w:lang w:eastAsia="en-AU"/>
        </w:rPr>
        <w:t xml:space="preserve">. Consultation was separately undertaken in relation to the </w:t>
      </w:r>
      <w:r w:rsidRPr="005D0B82">
        <w:rPr>
          <w:rFonts w:eastAsia="Times New Roman"/>
          <w:i/>
          <w:iCs/>
          <w:sz w:val="22"/>
          <w:szCs w:val="22"/>
          <w:lang w:eastAsia="en-AU"/>
        </w:rPr>
        <w:t>Therapeutic Goods (Excluded Goods) Amendment (Sunscreen) Determination 2024</w:t>
      </w:r>
      <w:r>
        <w:rPr>
          <w:rFonts w:eastAsia="Times New Roman"/>
          <w:sz w:val="22"/>
          <w:szCs w:val="22"/>
          <w:lang w:eastAsia="en-AU"/>
        </w:rPr>
        <w:t>.</w:t>
      </w:r>
    </w:p>
    <w:p w14:paraId="1E113C0D" w14:textId="6F7F4B85" w:rsidR="005C4A76" w:rsidRPr="00E9726E" w:rsidRDefault="005C4A76" w:rsidP="005D0B82">
      <w:pPr>
        <w:autoSpaceDE w:val="0"/>
        <w:autoSpaceDN w:val="0"/>
        <w:adjustRightInd w:val="0"/>
        <w:spacing w:after="0" w:line="240" w:lineRule="auto"/>
        <w:rPr>
          <w:rFonts w:eastAsia="Times New Roman"/>
          <w:b/>
          <w:sz w:val="22"/>
          <w:szCs w:val="22"/>
          <w:lang w:eastAsia="en-AU"/>
        </w:rPr>
      </w:pPr>
    </w:p>
    <w:p w14:paraId="11D6D35B" w14:textId="612F918A" w:rsidR="00DC5A0D" w:rsidRPr="00E9726E" w:rsidRDefault="00DC5A0D" w:rsidP="00BF604E">
      <w:pPr>
        <w:keepNext/>
        <w:autoSpaceDE w:val="0"/>
        <w:autoSpaceDN w:val="0"/>
        <w:adjustRightInd w:val="0"/>
        <w:spacing w:after="0" w:line="240" w:lineRule="auto"/>
        <w:rPr>
          <w:rFonts w:eastAsia="Times New Roman"/>
          <w:b/>
          <w:sz w:val="22"/>
          <w:szCs w:val="22"/>
          <w:lang w:eastAsia="en-AU"/>
        </w:rPr>
      </w:pPr>
      <w:r w:rsidRPr="00E9726E">
        <w:rPr>
          <w:rFonts w:eastAsia="Times New Roman"/>
          <w:b/>
          <w:sz w:val="22"/>
          <w:szCs w:val="22"/>
          <w:lang w:eastAsia="en-AU"/>
        </w:rPr>
        <w:t>Other details</w:t>
      </w:r>
      <w:bookmarkEnd w:id="4"/>
    </w:p>
    <w:p w14:paraId="6986F734" w14:textId="77777777" w:rsidR="00837EB9" w:rsidRPr="00E9726E" w:rsidRDefault="00837EB9" w:rsidP="005D0B82">
      <w:pPr>
        <w:autoSpaceDE w:val="0"/>
        <w:autoSpaceDN w:val="0"/>
        <w:adjustRightInd w:val="0"/>
        <w:spacing w:after="0" w:line="240" w:lineRule="auto"/>
        <w:rPr>
          <w:rFonts w:eastAsia="Times New Roman"/>
          <w:sz w:val="22"/>
          <w:szCs w:val="22"/>
          <w:lang w:eastAsia="en-AU"/>
        </w:rPr>
      </w:pPr>
    </w:p>
    <w:p w14:paraId="79770489" w14:textId="6A6A6145" w:rsidR="0093285E" w:rsidRPr="00E9726E" w:rsidRDefault="006A361A" w:rsidP="000B31F9">
      <w:p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Details of the Amendment Determination are set out in </w:t>
      </w:r>
      <w:r w:rsidRPr="005D0B82">
        <w:rPr>
          <w:rFonts w:eastAsia="Times New Roman"/>
          <w:b/>
          <w:bCs/>
          <w:sz w:val="22"/>
          <w:szCs w:val="22"/>
          <w:lang w:eastAsia="en-AU"/>
        </w:rPr>
        <w:t>Attachment A</w:t>
      </w:r>
      <w:r w:rsidRPr="00E9726E">
        <w:rPr>
          <w:rFonts w:eastAsia="Times New Roman"/>
          <w:sz w:val="22"/>
          <w:szCs w:val="22"/>
          <w:lang w:eastAsia="en-AU"/>
        </w:rPr>
        <w:t>.</w:t>
      </w:r>
    </w:p>
    <w:p w14:paraId="4B41EFDF" w14:textId="77777777" w:rsidR="00837EB9" w:rsidRDefault="00837EB9" w:rsidP="005D0B82">
      <w:pPr>
        <w:autoSpaceDE w:val="0"/>
        <w:autoSpaceDN w:val="0"/>
        <w:adjustRightInd w:val="0"/>
        <w:spacing w:after="0" w:line="240" w:lineRule="auto"/>
        <w:rPr>
          <w:rFonts w:eastAsia="Times New Roman"/>
          <w:sz w:val="22"/>
          <w:szCs w:val="22"/>
          <w:lang w:eastAsia="en-AU"/>
        </w:rPr>
      </w:pPr>
    </w:p>
    <w:p w14:paraId="3A7BA960" w14:textId="32551DE8" w:rsidR="00C45580" w:rsidRPr="00020BB0" w:rsidRDefault="00C45580" w:rsidP="005D0B82">
      <w:pPr>
        <w:autoSpaceDE w:val="0"/>
        <w:autoSpaceDN w:val="0"/>
        <w:adjustRightInd w:val="0"/>
        <w:spacing w:after="0" w:line="240" w:lineRule="auto"/>
        <w:rPr>
          <w:rFonts w:eastAsia="Times New Roman"/>
          <w:sz w:val="22"/>
          <w:szCs w:val="22"/>
          <w:lang w:eastAsia="en-AU"/>
        </w:rPr>
      </w:pPr>
      <w:r w:rsidRPr="00020BB0">
        <w:rPr>
          <w:rFonts w:eastAsia="Times New Roman"/>
          <w:sz w:val="22"/>
          <w:szCs w:val="22"/>
          <w:lang w:eastAsia="en-AU"/>
        </w:rPr>
        <w:t xml:space="preserve">An impact analysis was </w:t>
      </w:r>
      <w:r w:rsidR="00B95BEE">
        <w:rPr>
          <w:rFonts w:eastAsia="Times New Roman"/>
          <w:sz w:val="22"/>
          <w:szCs w:val="22"/>
          <w:lang w:eastAsia="en-AU"/>
        </w:rPr>
        <w:t xml:space="preserve">not </w:t>
      </w:r>
      <w:r w:rsidRPr="00020BB0">
        <w:rPr>
          <w:rFonts w:eastAsia="Times New Roman"/>
          <w:sz w:val="22"/>
          <w:szCs w:val="22"/>
          <w:lang w:eastAsia="en-AU"/>
        </w:rPr>
        <w:t xml:space="preserve">prepared </w:t>
      </w:r>
      <w:r w:rsidR="00B95BEE">
        <w:rPr>
          <w:rFonts w:eastAsia="Times New Roman"/>
          <w:sz w:val="22"/>
          <w:szCs w:val="22"/>
          <w:lang w:eastAsia="en-AU"/>
        </w:rPr>
        <w:t>in relation to the Amendment Determination as the amendment is minor and machinery in nature.</w:t>
      </w:r>
    </w:p>
    <w:p w14:paraId="5A856D5E" w14:textId="77777777" w:rsidR="00C45580" w:rsidRPr="00E9726E" w:rsidRDefault="00C45580" w:rsidP="005D0B82">
      <w:pPr>
        <w:autoSpaceDE w:val="0"/>
        <w:autoSpaceDN w:val="0"/>
        <w:adjustRightInd w:val="0"/>
        <w:spacing w:after="0" w:line="240" w:lineRule="auto"/>
        <w:rPr>
          <w:rFonts w:eastAsia="Times New Roman"/>
          <w:sz w:val="22"/>
          <w:szCs w:val="22"/>
          <w:lang w:eastAsia="en-AU"/>
        </w:rPr>
      </w:pPr>
    </w:p>
    <w:p w14:paraId="2A5E6F42" w14:textId="0E228FA0" w:rsidR="006A361A" w:rsidRPr="00E9726E" w:rsidRDefault="006A361A" w:rsidP="005D0B82">
      <w:p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The Amendment Determination is compatible with human rights and freedoms recognised or declared under section 3 of the </w:t>
      </w:r>
      <w:r w:rsidRPr="005D0B82">
        <w:rPr>
          <w:rFonts w:eastAsia="Times New Roman"/>
          <w:i/>
          <w:iCs/>
          <w:sz w:val="22"/>
          <w:szCs w:val="22"/>
          <w:lang w:eastAsia="en-AU"/>
        </w:rPr>
        <w:t>Human Rights (Parliamentary Scrutiny) Act 2011</w:t>
      </w:r>
      <w:r w:rsidRPr="00E9726E">
        <w:rPr>
          <w:rFonts w:eastAsia="Times New Roman"/>
          <w:sz w:val="22"/>
          <w:szCs w:val="22"/>
          <w:lang w:eastAsia="en-AU"/>
        </w:rPr>
        <w:t xml:space="preserve">. A full statement of compatibility is set out in </w:t>
      </w:r>
      <w:r w:rsidRPr="005D0B82">
        <w:rPr>
          <w:rFonts w:eastAsia="Times New Roman"/>
          <w:b/>
          <w:bCs/>
          <w:sz w:val="22"/>
          <w:szCs w:val="22"/>
          <w:lang w:eastAsia="en-AU"/>
        </w:rPr>
        <w:t>Attachment B</w:t>
      </w:r>
      <w:r w:rsidRPr="005D0B82">
        <w:rPr>
          <w:rFonts w:eastAsia="Times New Roman"/>
          <w:sz w:val="22"/>
          <w:szCs w:val="22"/>
          <w:lang w:eastAsia="en-AU"/>
        </w:rPr>
        <w:t>.</w:t>
      </w:r>
    </w:p>
    <w:p w14:paraId="50DDEAA3" w14:textId="77777777" w:rsidR="00837EB9" w:rsidRPr="00E9726E" w:rsidRDefault="00837EB9" w:rsidP="005D0B82">
      <w:pPr>
        <w:autoSpaceDE w:val="0"/>
        <w:autoSpaceDN w:val="0"/>
        <w:adjustRightInd w:val="0"/>
        <w:spacing w:after="0" w:line="240" w:lineRule="auto"/>
        <w:rPr>
          <w:rFonts w:eastAsia="Times New Roman"/>
          <w:sz w:val="22"/>
          <w:szCs w:val="22"/>
          <w:lang w:eastAsia="en-AU"/>
        </w:rPr>
      </w:pPr>
    </w:p>
    <w:p w14:paraId="47469F44" w14:textId="78D15E9A" w:rsidR="00160753" w:rsidRDefault="006A361A" w:rsidP="005D0B82">
      <w:p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The Amendment Determination is a disallowable legislative instrument</w:t>
      </w:r>
      <w:r w:rsidRPr="005D0B82">
        <w:rPr>
          <w:rFonts w:eastAsia="Times New Roman"/>
          <w:sz w:val="22"/>
          <w:szCs w:val="22"/>
          <w:lang w:eastAsia="en-AU"/>
        </w:rPr>
        <w:t xml:space="preserve"> </w:t>
      </w:r>
      <w:r w:rsidRPr="00E9726E">
        <w:rPr>
          <w:rFonts w:eastAsia="Times New Roman"/>
          <w:sz w:val="22"/>
          <w:szCs w:val="22"/>
          <w:lang w:eastAsia="en-AU"/>
        </w:rPr>
        <w:t xml:space="preserve">for the purposes of the </w:t>
      </w:r>
      <w:r w:rsidRPr="005D0B82">
        <w:rPr>
          <w:rFonts w:eastAsia="Times New Roman"/>
          <w:i/>
          <w:iCs/>
          <w:sz w:val="22"/>
          <w:szCs w:val="22"/>
          <w:lang w:eastAsia="en-AU"/>
        </w:rPr>
        <w:t>Legislation Act 2003</w:t>
      </w:r>
      <w:r w:rsidR="00AB155E">
        <w:rPr>
          <w:rFonts w:eastAsia="Times New Roman"/>
          <w:sz w:val="22"/>
          <w:szCs w:val="22"/>
          <w:lang w:eastAsia="en-AU"/>
        </w:rPr>
        <w:t>. The Amendment Determination commences immediately after the Vaping Determination and therefore</w:t>
      </w:r>
      <w:r w:rsidR="006A33C8">
        <w:rPr>
          <w:rFonts w:eastAsia="Times New Roman"/>
          <w:sz w:val="22"/>
          <w:szCs w:val="22"/>
          <w:lang w:eastAsia="en-AU"/>
        </w:rPr>
        <w:t xml:space="preserve"> </w:t>
      </w:r>
      <w:r w:rsidR="004B71A4">
        <w:rPr>
          <w:rFonts w:eastAsia="Times New Roman"/>
          <w:sz w:val="22"/>
          <w:szCs w:val="22"/>
          <w:lang w:eastAsia="en-AU"/>
        </w:rPr>
        <w:t>has a retrospective commencement date</w:t>
      </w:r>
      <w:r w:rsidR="002D0A2B" w:rsidRPr="00020BB0">
        <w:rPr>
          <w:rFonts w:eastAsia="Times New Roman"/>
          <w:sz w:val="22"/>
          <w:szCs w:val="22"/>
          <w:lang w:eastAsia="en-AU"/>
        </w:rPr>
        <w:t xml:space="preserve"> </w:t>
      </w:r>
      <w:r w:rsidR="006C4C90">
        <w:rPr>
          <w:rFonts w:eastAsia="Times New Roman"/>
          <w:sz w:val="22"/>
          <w:szCs w:val="22"/>
          <w:lang w:eastAsia="en-AU"/>
        </w:rPr>
        <w:t>of</w:t>
      </w:r>
      <w:r w:rsidR="00A54375" w:rsidRPr="00020BB0">
        <w:rPr>
          <w:rFonts w:eastAsia="Times New Roman"/>
          <w:sz w:val="22"/>
          <w:szCs w:val="22"/>
          <w:lang w:eastAsia="en-AU"/>
        </w:rPr>
        <w:t xml:space="preserve"> 1 July 202</w:t>
      </w:r>
      <w:r w:rsidR="00747C04" w:rsidRPr="00020BB0">
        <w:rPr>
          <w:rFonts w:eastAsia="Times New Roman"/>
          <w:sz w:val="22"/>
          <w:szCs w:val="22"/>
          <w:lang w:eastAsia="en-AU"/>
        </w:rPr>
        <w:t>4</w:t>
      </w:r>
      <w:r w:rsidR="002D0A2B" w:rsidRPr="00020BB0">
        <w:rPr>
          <w:rFonts w:eastAsia="Times New Roman"/>
          <w:sz w:val="22"/>
          <w:szCs w:val="22"/>
          <w:lang w:eastAsia="en-AU"/>
        </w:rPr>
        <w:t>.</w:t>
      </w:r>
    </w:p>
    <w:p w14:paraId="170353FE" w14:textId="77777777" w:rsidR="00160753" w:rsidRDefault="00160753" w:rsidP="005D0B82">
      <w:pPr>
        <w:autoSpaceDE w:val="0"/>
        <w:autoSpaceDN w:val="0"/>
        <w:adjustRightInd w:val="0"/>
        <w:spacing w:after="0" w:line="240" w:lineRule="auto"/>
        <w:rPr>
          <w:rFonts w:eastAsia="Times New Roman"/>
          <w:sz w:val="22"/>
          <w:szCs w:val="22"/>
          <w:lang w:eastAsia="en-AU"/>
        </w:rPr>
      </w:pPr>
    </w:p>
    <w:p w14:paraId="16D07771" w14:textId="2347F64C" w:rsidR="005D0B82" w:rsidRDefault="009841DA" w:rsidP="005D0B82">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This retrospective commencement date is </w:t>
      </w:r>
      <w:r w:rsidR="006013B6">
        <w:rPr>
          <w:rFonts w:eastAsia="Times New Roman"/>
          <w:sz w:val="22"/>
          <w:szCs w:val="22"/>
          <w:lang w:eastAsia="en-AU"/>
        </w:rPr>
        <w:t>necessary</w:t>
      </w:r>
      <w:r>
        <w:rPr>
          <w:rFonts w:eastAsia="Times New Roman"/>
          <w:sz w:val="22"/>
          <w:szCs w:val="22"/>
          <w:lang w:eastAsia="en-AU"/>
        </w:rPr>
        <w:t xml:space="preserve"> to </w:t>
      </w:r>
      <w:r w:rsidR="00CD448A">
        <w:rPr>
          <w:rFonts w:eastAsia="Times New Roman"/>
          <w:sz w:val="22"/>
          <w:szCs w:val="22"/>
          <w:lang w:eastAsia="en-AU"/>
        </w:rPr>
        <w:t xml:space="preserve">give effect to the </w:t>
      </w:r>
      <w:r w:rsidR="00557D4D">
        <w:rPr>
          <w:rFonts w:eastAsia="Times New Roman"/>
          <w:sz w:val="22"/>
          <w:szCs w:val="22"/>
          <w:lang w:eastAsia="en-AU"/>
        </w:rPr>
        <w:t xml:space="preserve">sunscreen transitional </w:t>
      </w:r>
      <w:r w:rsidR="0099653A">
        <w:rPr>
          <w:rFonts w:eastAsia="Times New Roman"/>
          <w:sz w:val="22"/>
          <w:szCs w:val="22"/>
          <w:lang w:eastAsia="en-AU"/>
        </w:rPr>
        <w:t>arrangement</w:t>
      </w:r>
      <w:r w:rsidR="00AC7F57">
        <w:rPr>
          <w:rFonts w:eastAsia="Times New Roman"/>
          <w:sz w:val="22"/>
          <w:szCs w:val="22"/>
          <w:lang w:eastAsia="en-AU"/>
        </w:rPr>
        <w:t xml:space="preserve"> that w</w:t>
      </w:r>
      <w:r w:rsidR="001E2DB4">
        <w:rPr>
          <w:rFonts w:eastAsia="Times New Roman"/>
          <w:sz w:val="22"/>
          <w:szCs w:val="22"/>
          <w:lang w:eastAsia="en-AU"/>
        </w:rPr>
        <w:t>as</w:t>
      </w:r>
      <w:r w:rsidR="00AC7F57">
        <w:rPr>
          <w:rFonts w:eastAsia="Times New Roman"/>
          <w:sz w:val="22"/>
          <w:szCs w:val="22"/>
          <w:lang w:eastAsia="en-AU"/>
        </w:rPr>
        <w:t xml:space="preserve"> intended under the Sunscreen Determination,</w:t>
      </w:r>
      <w:r w:rsidR="00557D4D">
        <w:rPr>
          <w:rFonts w:eastAsia="Times New Roman"/>
          <w:sz w:val="22"/>
          <w:szCs w:val="22"/>
          <w:lang w:eastAsia="en-AU"/>
        </w:rPr>
        <w:t xml:space="preserve"> and to ensure that </w:t>
      </w:r>
      <w:r w:rsidR="00AC7F57">
        <w:rPr>
          <w:rFonts w:eastAsia="Times New Roman"/>
          <w:sz w:val="22"/>
          <w:szCs w:val="22"/>
          <w:lang w:eastAsia="en-AU"/>
        </w:rPr>
        <w:t xml:space="preserve">the </w:t>
      </w:r>
      <w:r w:rsidR="00557D4D">
        <w:rPr>
          <w:rFonts w:eastAsia="Times New Roman"/>
          <w:sz w:val="22"/>
          <w:szCs w:val="22"/>
          <w:lang w:eastAsia="en-AU"/>
        </w:rPr>
        <w:t xml:space="preserve">inadvertent repeal </w:t>
      </w:r>
      <w:r w:rsidR="00AC7F57">
        <w:rPr>
          <w:rFonts w:eastAsia="Times New Roman"/>
          <w:sz w:val="22"/>
          <w:szCs w:val="22"/>
          <w:lang w:eastAsia="en-AU"/>
        </w:rPr>
        <w:t xml:space="preserve">of the transitional arrangement </w:t>
      </w:r>
      <w:r w:rsidR="00557D4D">
        <w:rPr>
          <w:rFonts w:eastAsia="Times New Roman"/>
          <w:sz w:val="22"/>
          <w:szCs w:val="22"/>
          <w:lang w:eastAsia="en-AU"/>
        </w:rPr>
        <w:t xml:space="preserve">on 1 July 2024 </w:t>
      </w:r>
      <w:r w:rsidR="00AC7F57">
        <w:rPr>
          <w:rFonts w:eastAsia="Times New Roman"/>
          <w:sz w:val="22"/>
          <w:szCs w:val="22"/>
          <w:lang w:eastAsia="en-AU"/>
        </w:rPr>
        <w:t xml:space="preserve">by the Vaping Determination </w:t>
      </w:r>
      <w:r w:rsidR="00557D4D">
        <w:rPr>
          <w:rFonts w:eastAsia="Times New Roman"/>
          <w:sz w:val="22"/>
          <w:szCs w:val="22"/>
          <w:lang w:eastAsia="en-AU"/>
        </w:rPr>
        <w:t xml:space="preserve">does not result in any unintended or adverse consequences for </w:t>
      </w:r>
      <w:r w:rsidR="00784C11">
        <w:rPr>
          <w:rFonts w:eastAsia="Times New Roman"/>
          <w:sz w:val="22"/>
          <w:szCs w:val="22"/>
          <w:lang w:eastAsia="en-AU"/>
        </w:rPr>
        <w:t>industry participants</w:t>
      </w:r>
      <w:r w:rsidR="00557D4D">
        <w:rPr>
          <w:rFonts w:eastAsia="Times New Roman"/>
          <w:sz w:val="22"/>
          <w:szCs w:val="22"/>
          <w:lang w:eastAsia="en-AU"/>
        </w:rPr>
        <w:t xml:space="preserve">. </w:t>
      </w:r>
      <w:r w:rsidR="00AC7F57">
        <w:rPr>
          <w:rFonts w:eastAsia="Times New Roman"/>
          <w:sz w:val="22"/>
          <w:szCs w:val="22"/>
          <w:lang w:eastAsia="en-AU"/>
        </w:rPr>
        <w:t xml:space="preserve">This retrospective commencement is intended to have the effect that </w:t>
      </w:r>
      <w:r w:rsidR="0099653A">
        <w:rPr>
          <w:rFonts w:eastAsia="Times New Roman"/>
          <w:sz w:val="22"/>
          <w:szCs w:val="22"/>
          <w:lang w:eastAsia="en-AU"/>
        </w:rPr>
        <w:t xml:space="preserve">the sunscreen transitional arrangement </w:t>
      </w:r>
      <w:r w:rsidR="00AC7F57">
        <w:rPr>
          <w:rFonts w:eastAsia="Times New Roman"/>
          <w:sz w:val="22"/>
          <w:szCs w:val="22"/>
          <w:lang w:eastAsia="en-AU"/>
        </w:rPr>
        <w:t>applies as if it had not been inadvertently</w:t>
      </w:r>
      <w:r w:rsidR="00A500B6">
        <w:rPr>
          <w:rFonts w:eastAsia="Times New Roman"/>
          <w:sz w:val="22"/>
          <w:szCs w:val="22"/>
          <w:lang w:eastAsia="en-AU"/>
        </w:rPr>
        <w:t xml:space="preserve"> repealed</w:t>
      </w:r>
      <w:r w:rsidR="00DB75CF">
        <w:rPr>
          <w:rFonts w:eastAsia="Times New Roman"/>
          <w:sz w:val="22"/>
          <w:szCs w:val="22"/>
          <w:lang w:eastAsia="en-AU"/>
        </w:rPr>
        <w:t xml:space="preserve"> on 1 July 2024</w:t>
      </w:r>
      <w:r w:rsidR="009F7BC3">
        <w:rPr>
          <w:rFonts w:eastAsia="Times New Roman"/>
          <w:sz w:val="22"/>
          <w:szCs w:val="22"/>
          <w:lang w:eastAsia="en-AU"/>
        </w:rPr>
        <w:t>.</w:t>
      </w:r>
    </w:p>
    <w:p w14:paraId="1AFD487F" w14:textId="68802320" w:rsidR="001E51F5" w:rsidRPr="00E9726E" w:rsidRDefault="001E51F5" w:rsidP="000B31F9">
      <w:pPr>
        <w:spacing w:after="0" w:line="240" w:lineRule="auto"/>
        <w:rPr>
          <w:rFonts w:eastAsia="Times New Roman"/>
          <w:sz w:val="22"/>
          <w:szCs w:val="22"/>
          <w:lang w:eastAsia="en-AU"/>
        </w:rPr>
      </w:pPr>
      <w:r w:rsidRPr="00E9726E">
        <w:rPr>
          <w:rFonts w:eastAsia="Times New Roman"/>
          <w:b/>
          <w:bCs/>
          <w:sz w:val="22"/>
          <w:szCs w:val="22"/>
          <w:lang w:eastAsia="en-AU"/>
        </w:rPr>
        <w:br w:type="page"/>
      </w:r>
    </w:p>
    <w:p w14:paraId="01D2E0B2" w14:textId="77777777" w:rsidR="001E51F5" w:rsidRPr="00E9726E" w:rsidRDefault="001E51F5" w:rsidP="000B31F9">
      <w:pPr>
        <w:spacing w:after="0" w:line="240" w:lineRule="auto"/>
        <w:jc w:val="right"/>
        <w:rPr>
          <w:rFonts w:eastAsia="Times New Roman"/>
          <w:b/>
          <w:bCs/>
          <w:sz w:val="22"/>
          <w:szCs w:val="22"/>
          <w:lang w:eastAsia="en-AU"/>
        </w:rPr>
      </w:pPr>
      <w:r w:rsidRPr="00E9726E">
        <w:rPr>
          <w:rFonts w:eastAsia="Times New Roman"/>
          <w:b/>
          <w:bCs/>
          <w:sz w:val="22"/>
          <w:szCs w:val="22"/>
          <w:lang w:eastAsia="en-AU"/>
        </w:rPr>
        <w:lastRenderedPageBreak/>
        <w:t>Attachment A</w:t>
      </w:r>
    </w:p>
    <w:p w14:paraId="6B11CAAE" w14:textId="77777777" w:rsidR="00837EB9" w:rsidRPr="00E9726E" w:rsidRDefault="00837EB9" w:rsidP="000B31F9">
      <w:pPr>
        <w:spacing w:after="0" w:line="240" w:lineRule="auto"/>
        <w:rPr>
          <w:rFonts w:eastAsia="Times New Roman"/>
          <w:sz w:val="22"/>
          <w:szCs w:val="22"/>
          <w:lang w:eastAsia="en-AU"/>
        </w:rPr>
      </w:pPr>
    </w:p>
    <w:p w14:paraId="0CDD0A6A" w14:textId="2AB81EC9" w:rsidR="001E51F5" w:rsidRPr="00E9726E" w:rsidRDefault="001E51F5" w:rsidP="000B31F9">
      <w:pPr>
        <w:spacing w:after="0" w:line="240" w:lineRule="auto"/>
        <w:rPr>
          <w:rFonts w:eastAsia="Times New Roman"/>
          <w:b/>
          <w:bCs/>
          <w:i/>
          <w:sz w:val="22"/>
          <w:szCs w:val="22"/>
          <w:lang w:eastAsia="en-AU"/>
        </w:rPr>
      </w:pPr>
      <w:r w:rsidRPr="00E9726E">
        <w:rPr>
          <w:rFonts w:eastAsia="Times New Roman"/>
          <w:b/>
          <w:bCs/>
          <w:sz w:val="22"/>
          <w:szCs w:val="22"/>
          <w:lang w:eastAsia="en-AU"/>
        </w:rPr>
        <w:t xml:space="preserve">Details of the </w:t>
      </w:r>
      <w:r w:rsidR="00D2737D" w:rsidRPr="00E9726E">
        <w:rPr>
          <w:rFonts w:eastAsia="Times New Roman"/>
          <w:b/>
          <w:bCs/>
          <w:i/>
          <w:sz w:val="22"/>
          <w:szCs w:val="22"/>
          <w:lang w:eastAsia="en-AU"/>
        </w:rPr>
        <w:t>Therapeutic Goods (Excluded Goods) Amendment</w:t>
      </w:r>
      <w:r w:rsidR="00DB75CF">
        <w:rPr>
          <w:rFonts w:eastAsia="Times New Roman"/>
          <w:b/>
          <w:bCs/>
          <w:i/>
          <w:sz w:val="22"/>
          <w:szCs w:val="22"/>
          <w:lang w:eastAsia="en-AU"/>
        </w:rPr>
        <w:t xml:space="preserve"> </w:t>
      </w:r>
      <w:r w:rsidR="00D2737D" w:rsidRPr="00E9726E">
        <w:rPr>
          <w:rFonts w:eastAsia="Times New Roman"/>
          <w:b/>
          <w:bCs/>
          <w:i/>
          <w:sz w:val="22"/>
          <w:szCs w:val="22"/>
          <w:lang w:eastAsia="en-AU"/>
        </w:rPr>
        <w:t>Determination</w:t>
      </w:r>
      <w:r w:rsidR="00AC7F57">
        <w:rPr>
          <w:rFonts w:eastAsia="Times New Roman"/>
          <w:b/>
          <w:bCs/>
          <w:i/>
          <w:sz w:val="22"/>
          <w:szCs w:val="22"/>
          <w:lang w:eastAsia="en-AU"/>
        </w:rPr>
        <w:t xml:space="preserve"> (No. 2)</w:t>
      </w:r>
      <w:r w:rsidR="00246EDA" w:rsidRPr="00E9726E">
        <w:rPr>
          <w:rFonts w:eastAsia="Times New Roman"/>
          <w:b/>
          <w:bCs/>
          <w:i/>
          <w:sz w:val="22"/>
          <w:szCs w:val="22"/>
          <w:lang w:eastAsia="en-AU"/>
        </w:rPr>
        <w:t> </w:t>
      </w:r>
      <w:r w:rsidR="00D2737D" w:rsidRPr="00E9726E">
        <w:rPr>
          <w:rFonts w:eastAsia="Times New Roman"/>
          <w:b/>
          <w:bCs/>
          <w:i/>
          <w:sz w:val="22"/>
          <w:szCs w:val="22"/>
          <w:lang w:eastAsia="en-AU"/>
        </w:rPr>
        <w:t>202</w:t>
      </w:r>
      <w:r w:rsidR="00F0458B" w:rsidRPr="00E9726E">
        <w:rPr>
          <w:rFonts w:eastAsia="Times New Roman"/>
          <w:b/>
          <w:bCs/>
          <w:i/>
          <w:sz w:val="22"/>
          <w:szCs w:val="22"/>
          <w:lang w:eastAsia="en-AU"/>
        </w:rPr>
        <w:t>4</w:t>
      </w:r>
    </w:p>
    <w:p w14:paraId="2AA53E70" w14:textId="77777777" w:rsidR="00837EB9" w:rsidRPr="00E9726E" w:rsidRDefault="00837EB9" w:rsidP="000B31F9">
      <w:pPr>
        <w:spacing w:after="0" w:line="240" w:lineRule="auto"/>
        <w:rPr>
          <w:rFonts w:eastAsia="Times New Roman"/>
          <w:sz w:val="22"/>
          <w:szCs w:val="22"/>
          <w:lang w:eastAsia="en-AU"/>
        </w:rPr>
      </w:pPr>
    </w:p>
    <w:p w14:paraId="7225F5C7" w14:textId="24995D83" w:rsidR="001E51F5" w:rsidRPr="00E9726E" w:rsidRDefault="001E51F5" w:rsidP="00BF604E">
      <w:pPr>
        <w:keepNext/>
        <w:spacing w:after="0" w:line="240" w:lineRule="auto"/>
        <w:rPr>
          <w:rFonts w:eastAsia="Times New Roman"/>
          <w:b/>
          <w:bCs/>
          <w:sz w:val="22"/>
          <w:szCs w:val="22"/>
          <w:lang w:eastAsia="en-AU"/>
        </w:rPr>
      </w:pPr>
      <w:r w:rsidRPr="00E9726E">
        <w:rPr>
          <w:rFonts w:eastAsia="Times New Roman"/>
          <w:b/>
          <w:bCs/>
          <w:sz w:val="22"/>
          <w:szCs w:val="22"/>
          <w:lang w:eastAsia="en-AU"/>
        </w:rPr>
        <w:t>Section 1 – Name</w:t>
      </w:r>
    </w:p>
    <w:p w14:paraId="132D65FE" w14:textId="77777777" w:rsidR="00837EB9" w:rsidRPr="00E9726E" w:rsidRDefault="00837EB9" w:rsidP="005D0B82">
      <w:pPr>
        <w:autoSpaceDE w:val="0"/>
        <w:autoSpaceDN w:val="0"/>
        <w:adjustRightInd w:val="0"/>
        <w:spacing w:after="0" w:line="240" w:lineRule="auto"/>
        <w:rPr>
          <w:rFonts w:eastAsia="Times New Roman"/>
          <w:sz w:val="22"/>
          <w:szCs w:val="22"/>
          <w:lang w:eastAsia="en-AU"/>
        </w:rPr>
      </w:pPr>
    </w:p>
    <w:p w14:paraId="4346BAF4" w14:textId="1367430E" w:rsidR="001E51F5" w:rsidRPr="00E9726E" w:rsidRDefault="001E51F5" w:rsidP="005D0B82">
      <w:p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This section provides that the name of the instrument is the </w:t>
      </w:r>
      <w:r w:rsidR="00D2737D" w:rsidRPr="005D0B82">
        <w:rPr>
          <w:rFonts w:eastAsia="Times New Roman"/>
          <w:i/>
          <w:iCs/>
          <w:sz w:val="22"/>
          <w:szCs w:val="22"/>
          <w:lang w:eastAsia="en-AU"/>
        </w:rPr>
        <w:t>Therapeutic Goods (Excluded Goods) Amendment</w:t>
      </w:r>
      <w:r w:rsidR="00DB75CF" w:rsidRPr="005D0B82">
        <w:rPr>
          <w:rFonts w:eastAsia="Times New Roman"/>
          <w:i/>
          <w:iCs/>
          <w:sz w:val="22"/>
          <w:szCs w:val="22"/>
          <w:lang w:eastAsia="en-AU"/>
        </w:rPr>
        <w:t xml:space="preserve"> </w:t>
      </w:r>
      <w:r w:rsidR="00D2737D" w:rsidRPr="005D0B82">
        <w:rPr>
          <w:rFonts w:eastAsia="Times New Roman"/>
          <w:i/>
          <w:iCs/>
          <w:sz w:val="22"/>
          <w:szCs w:val="22"/>
          <w:lang w:eastAsia="en-AU"/>
        </w:rPr>
        <w:t xml:space="preserve">Determination </w:t>
      </w:r>
      <w:r w:rsidR="00AC7F57">
        <w:rPr>
          <w:rFonts w:eastAsia="Times New Roman"/>
          <w:i/>
          <w:iCs/>
          <w:sz w:val="22"/>
          <w:szCs w:val="22"/>
          <w:lang w:eastAsia="en-AU"/>
        </w:rPr>
        <w:t xml:space="preserve">(No. 2) </w:t>
      </w:r>
      <w:r w:rsidR="00D2737D" w:rsidRPr="005D0B82">
        <w:rPr>
          <w:rFonts w:eastAsia="Times New Roman"/>
          <w:i/>
          <w:iCs/>
          <w:sz w:val="22"/>
          <w:szCs w:val="22"/>
          <w:lang w:eastAsia="en-AU"/>
        </w:rPr>
        <w:t>202</w:t>
      </w:r>
      <w:r w:rsidR="00F0458B" w:rsidRPr="005D0B82">
        <w:rPr>
          <w:rFonts w:eastAsia="Times New Roman"/>
          <w:i/>
          <w:iCs/>
          <w:sz w:val="22"/>
          <w:szCs w:val="22"/>
          <w:lang w:eastAsia="en-AU"/>
        </w:rPr>
        <w:t>4</w:t>
      </w:r>
      <w:r w:rsidRPr="005D0B82">
        <w:rPr>
          <w:rFonts w:eastAsia="Times New Roman"/>
          <w:sz w:val="22"/>
          <w:szCs w:val="22"/>
          <w:lang w:eastAsia="en-AU"/>
        </w:rPr>
        <w:t xml:space="preserve"> </w:t>
      </w:r>
      <w:r w:rsidR="00BB2758" w:rsidRPr="00E9726E">
        <w:rPr>
          <w:rFonts w:eastAsia="Times New Roman"/>
          <w:sz w:val="22"/>
          <w:szCs w:val="22"/>
          <w:lang w:eastAsia="en-AU"/>
        </w:rPr>
        <w:t xml:space="preserve">(the Amendment </w:t>
      </w:r>
      <w:r w:rsidR="00BA2EE9" w:rsidRPr="00E9726E">
        <w:rPr>
          <w:rFonts w:eastAsia="Times New Roman"/>
          <w:sz w:val="22"/>
          <w:szCs w:val="22"/>
          <w:lang w:eastAsia="en-AU"/>
        </w:rPr>
        <w:t>Determination</w:t>
      </w:r>
      <w:r w:rsidRPr="00E9726E">
        <w:rPr>
          <w:rFonts w:eastAsia="Times New Roman"/>
          <w:sz w:val="22"/>
          <w:szCs w:val="22"/>
          <w:lang w:eastAsia="en-AU"/>
        </w:rPr>
        <w:t>).</w:t>
      </w:r>
    </w:p>
    <w:p w14:paraId="724620FB" w14:textId="77777777" w:rsidR="00837EB9" w:rsidRPr="00E9726E" w:rsidRDefault="00837EB9" w:rsidP="000B31F9">
      <w:pPr>
        <w:spacing w:after="0" w:line="240" w:lineRule="auto"/>
        <w:rPr>
          <w:rFonts w:eastAsia="Times New Roman"/>
          <w:sz w:val="22"/>
          <w:szCs w:val="22"/>
          <w:lang w:eastAsia="en-AU"/>
        </w:rPr>
      </w:pPr>
    </w:p>
    <w:p w14:paraId="2155701C" w14:textId="076C2E54" w:rsidR="001E51F5" w:rsidRPr="00E9726E" w:rsidRDefault="001E51F5" w:rsidP="00BF604E">
      <w:pPr>
        <w:keepNext/>
        <w:spacing w:after="0" w:line="240" w:lineRule="auto"/>
        <w:rPr>
          <w:rFonts w:eastAsia="Times New Roman"/>
          <w:b/>
          <w:bCs/>
          <w:sz w:val="22"/>
          <w:szCs w:val="22"/>
          <w:lang w:eastAsia="en-AU"/>
        </w:rPr>
      </w:pPr>
      <w:r w:rsidRPr="00E9726E">
        <w:rPr>
          <w:rFonts w:eastAsia="Times New Roman"/>
          <w:b/>
          <w:bCs/>
          <w:sz w:val="22"/>
          <w:szCs w:val="22"/>
          <w:lang w:eastAsia="en-AU"/>
        </w:rPr>
        <w:t>Section 2 – Commencement</w:t>
      </w:r>
    </w:p>
    <w:p w14:paraId="0D7AA190" w14:textId="77777777" w:rsidR="00837EB9" w:rsidRPr="005D0B82" w:rsidRDefault="00837EB9" w:rsidP="005D0B82">
      <w:pPr>
        <w:autoSpaceDE w:val="0"/>
        <w:autoSpaceDN w:val="0"/>
        <w:adjustRightInd w:val="0"/>
        <w:spacing w:after="0" w:line="240" w:lineRule="auto"/>
        <w:rPr>
          <w:rFonts w:eastAsia="Times New Roman"/>
          <w:sz w:val="22"/>
          <w:szCs w:val="22"/>
          <w:lang w:eastAsia="en-AU"/>
        </w:rPr>
      </w:pPr>
    </w:p>
    <w:p w14:paraId="42A42C1F" w14:textId="739F335B" w:rsidR="001E51F5" w:rsidRPr="005D0B82" w:rsidRDefault="001E51F5" w:rsidP="005D0B82">
      <w:pPr>
        <w:autoSpaceDE w:val="0"/>
        <w:autoSpaceDN w:val="0"/>
        <w:adjustRightInd w:val="0"/>
        <w:spacing w:after="0" w:line="240" w:lineRule="auto"/>
        <w:rPr>
          <w:rFonts w:eastAsia="Times New Roman"/>
          <w:sz w:val="22"/>
          <w:szCs w:val="22"/>
          <w:lang w:eastAsia="en-AU"/>
        </w:rPr>
      </w:pPr>
      <w:r w:rsidRPr="005D0B82">
        <w:rPr>
          <w:rFonts w:eastAsia="Times New Roman"/>
          <w:sz w:val="22"/>
          <w:szCs w:val="22"/>
          <w:lang w:eastAsia="en-AU"/>
        </w:rPr>
        <w:t xml:space="preserve">This section provides that the Amendment </w:t>
      </w:r>
      <w:r w:rsidR="00BA2EE9" w:rsidRPr="005D0B82">
        <w:rPr>
          <w:rFonts w:eastAsia="Times New Roman"/>
          <w:sz w:val="22"/>
          <w:szCs w:val="22"/>
          <w:lang w:eastAsia="en-AU"/>
        </w:rPr>
        <w:t xml:space="preserve">Determination </w:t>
      </w:r>
      <w:r w:rsidRPr="005D0B82">
        <w:rPr>
          <w:rFonts w:eastAsia="Times New Roman"/>
          <w:sz w:val="22"/>
          <w:szCs w:val="22"/>
          <w:lang w:eastAsia="en-AU"/>
        </w:rPr>
        <w:t>commences</w:t>
      </w:r>
      <w:r w:rsidR="00AB155E">
        <w:rPr>
          <w:rFonts w:eastAsia="Times New Roman"/>
          <w:sz w:val="22"/>
          <w:szCs w:val="22"/>
          <w:lang w:eastAsia="en-AU"/>
        </w:rPr>
        <w:t xml:space="preserve"> immediately after the commencement of the </w:t>
      </w:r>
      <w:r w:rsidR="00AB155E">
        <w:rPr>
          <w:rFonts w:eastAsia="Times New Roman"/>
          <w:i/>
          <w:iCs/>
          <w:sz w:val="22"/>
          <w:szCs w:val="22"/>
          <w:lang w:eastAsia="en-AU"/>
        </w:rPr>
        <w:t>Therapeutic Goods (Excluded Goods) Amendment (Vaping) Determination 2024</w:t>
      </w:r>
      <w:r w:rsidR="00DB75CF" w:rsidRPr="005D0B82">
        <w:rPr>
          <w:rFonts w:eastAsia="Times New Roman"/>
          <w:sz w:val="22"/>
          <w:szCs w:val="22"/>
          <w:lang w:eastAsia="en-AU"/>
        </w:rPr>
        <w:t xml:space="preserve">, </w:t>
      </w:r>
      <w:r w:rsidR="00AB155E">
        <w:rPr>
          <w:rFonts w:eastAsia="Times New Roman"/>
          <w:sz w:val="22"/>
          <w:szCs w:val="22"/>
          <w:lang w:eastAsia="en-AU"/>
        </w:rPr>
        <w:t xml:space="preserve">and therefore commence </w:t>
      </w:r>
      <w:r w:rsidR="00DB75CF" w:rsidRPr="005D0B82">
        <w:rPr>
          <w:rFonts w:eastAsia="Times New Roman"/>
          <w:sz w:val="22"/>
          <w:szCs w:val="22"/>
          <w:lang w:eastAsia="en-AU"/>
        </w:rPr>
        <w:t xml:space="preserve">retrospectively on </w:t>
      </w:r>
      <w:r w:rsidR="00C421C0" w:rsidRPr="00020BB0">
        <w:rPr>
          <w:rFonts w:eastAsia="Times New Roman"/>
          <w:sz w:val="22"/>
          <w:szCs w:val="22"/>
          <w:lang w:eastAsia="en-AU"/>
        </w:rPr>
        <w:t>1</w:t>
      </w:r>
      <w:r w:rsidR="00AC7F57">
        <w:rPr>
          <w:rFonts w:eastAsia="Times New Roman"/>
          <w:sz w:val="22"/>
          <w:szCs w:val="22"/>
          <w:lang w:eastAsia="en-AU"/>
        </w:rPr>
        <w:t> </w:t>
      </w:r>
      <w:r w:rsidR="00C421C0" w:rsidRPr="00020BB0">
        <w:rPr>
          <w:rFonts w:eastAsia="Times New Roman"/>
          <w:sz w:val="22"/>
          <w:szCs w:val="22"/>
          <w:lang w:eastAsia="en-AU"/>
        </w:rPr>
        <w:t>July</w:t>
      </w:r>
      <w:r w:rsidR="00AC7F57">
        <w:rPr>
          <w:rFonts w:eastAsia="Times New Roman"/>
          <w:sz w:val="22"/>
          <w:szCs w:val="22"/>
          <w:lang w:eastAsia="en-AU"/>
        </w:rPr>
        <w:t> </w:t>
      </w:r>
      <w:r w:rsidR="00C421C0" w:rsidRPr="00020BB0">
        <w:rPr>
          <w:rFonts w:eastAsia="Times New Roman"/>
          <w:sz w:val="22"/>
          <w:szCs w:val="22"/>
          <w:lang w:eastAsia="en-AU"/>
        </w:rPr>
        <w:t>2024</w:t>
      </w:r>
      <w:r w:rsidR="002D0A2B" w:rsidRPr="00020BB0">
        <w:rPr>
          <w:rFonts w:eastAsia="Times New Roman"/>
          <w:sz w:val="22"/>
          <w:szCs w:val="22"/>
          <w:lang w:eastAsia="en-AU"/>
        </w:rPr>
        <w:t>.</w:t>
      </w:r>
    </w:p>
    <w:p w14:paraId="4AE6A433" w14:textId="77777777" w:rsidR="00837EB9" w:rsidRPr="00E9726E" w:rsidRDefault="00837EB9" w:rsidP="005D0B82">
      <w:pPr>
        <w:autoSpaceDE w:val="0"/>
        <w:autoSpaceDN w:val="0"/>
        <w:adjustRightInd w:val="0"/>
        <w:spacing w:after="0" w:line="240" w:lineRule="auto"/>
        <w:rPr>
          <w:rFonts w:eastAsia="Times New Roman"/>
          <w:sz w:val="22"/>
          <w:szCs w:val="22"/>
          <w:lang w:eastAsia="en-AU"/>
        </w:rPr>
      </w:pPr>
    </w:p>
    <w:p w14:paraId="665A7296" w14:textId="3494C8C3" w:rsidR="001E51F5" w:rsidRPr="00E9726E" w:rsidRDefault="001E51F5" w:rsidP="00BF604E">
      <w:pPr>
        <w:keepNext/>
        <w:spacing w:after="0" w:line="240" w:lineRule="auto"/>
        <w:rPr>
          <w:rFonts w:eastAsia="Times New Roman"/>
          <w:b/>
          <w:bCs/>
          <w:sz w:val="22"/>
          <w:szCs w:val="22"/>
          <w:lang w:eastAsia="en-AU"/>
        </w:rPr>
      </w:pPr>
      <w:r w:rsidRPr="00E9726E">
        <w:rPr>
          <w:rFonts w:eastAsia="Times New Roman"/>
          <w:b/>
          <w:bCs/>
          <w:sz w:val="22"/>
          <w:szCs w:val="22"/>
          <w:lang w:eastAsia="en-AU"/>
        </w:rPr>
        <w:t>Section 3 – Authority</w:t>
      </w:r>
    </w:p>
    <w:p w14:paraId="701D7E4A" w14:textId="77777777" w:rsidR="00837EB9" w:rsidRPr="005D0B82" w:rsidRDefault="00837EB9" w:rsidP="005D0B82">
      <w:pPr>
        <w:autoSpaceDE w:val="0"/>
        <w:autoSpaceDN w:val="0"/>
        <w:adjustRightInd w:val="0"/>
        <w:spacing w:after="0" w:line="240" w:lineRule="auto"/>
        <w:rPr>
          <w:rFonts w:eastAsia="Times New Roman"/>
          <w:sz w:val="22"/>
          <w:szCs w:val="22"/>
          <w:lang w:eastAsia="en-AU"/>
        </w:rPr>
      </w:pPr>
    </w:p>
    <w:p w14:paraId="6AFE41B9" w14:textId="17D0F5A9" w:rsidR="001E51F5" w:rsidRPr="005D0B82" w:rsidRDefault="001E51F5" w:rsidP="005D0B82">
      <w:pPr>
        <w:autoSpaceDE w:val="0"/>
        <w:autoSpaceDN w:val="0"/>
        <w:adjustRightInd w:val="0"/>
        <w:spacing w:after="0" w:line="240" w:lineRule="auto"/>
        <w:rPr>
          <w:rFonts w:eastAsia="Times New Roman"/>
          <w:sz w:val="22"/>
          <w:szCs w:val="22"/>
          <w:lang w:eastAsia="en-AU"/>
        </w:rPr>
      </w:pPr>
      <w:r w:rsidRPr="005D0B82">
        <w:rPr>
          <w:rFonts w:eastAsia="Times New Roman"/>
          <w:sz w:val="22"/>
          <w:szCs w:val="22"/>
          <w:lang w:eastAsia="en-AU"/>
        </w:rPr>
        <w:t xml:space="preserve">This section provides that the legislative authority for making the Amendment </w:t>
      </w:r>
      <w:r w:rsidR="00BA2EE9" w:rsidRPr="005D0B82">
        <w:rPr>
          <w:rFonts w:eastAsia="Times New Roman"/>
          <w:sz w:val="22"/>
          <w:szCs w:val="22"/>
          <w:lang w:eastAsia="en-AU"/>
        </w:rPr>
        <w:t xml:space="preserve">Determination </w:t>
      </w:r>
      <w:r w:rsidRPr="005D0B82">
        <w:rPr>
          <w:rFonts w:eastAsia="Times New Roman"/>
          <w:sz w:val="22"/>
          <w:szCs w:val="22"/>
          <w:lang w:eastAsia="en-AU"/>
        </w:rPr>
        <w:t>is section 7</w:t>
      </w:r>
      <w:r w:rsidR="00BB2758" w:rsidRPr="005D0B82">
        <w:rPr>
          <w:rFonts w:eastAsia="Times New Roman"/>
          <w:sz w:val="22"/>
          <w:szCs w:val="22"/>
          <w:lang w:eastAsia="en-AU"/>
        </w:rPr>
        <w:t>AA</w:t>
      </w:r>
      <w:r w:rsidRPr="005D0B82">
        <w:rPr>
          <w:rFonts w:eastAsia="Times New Roman"/>
          <w:sz w:val="22"/>
          <w:szCs w:val="22"/>
          <w:lang w:eastAsia="en-AU"/>
        </w:rPr>
        <w:t xml:space="preserve"> of the </w:t>
      </w:r>
      <w:r w:rsidRPr="005D0B82">
        <w:rPr>
          <w:rFonts w:eastAsia="Times New Roman"/>
          <w:i/>
          <w:iCs/>
          <w:sz w:val="22"/>
          <w:szCs w:val="22"/>
          <w:lang w:eastAsia="en-AU"/>
        </w:rPr>
        <w:t>Therapeutic Goods Act 1989</w:t>
      </w:r>
      <w:r w:rsidRPr="005D0B82">
        <w:rPr>
          <w:rFonts w:eastAsia="Times New Roman"/>
          <w:sz w:val="22"/>
          <w:szCs w:val="22"/>
          <w:lang w:eastAsia="en-AU"/>
        </w:rPr>
        <w:t xml:space="preserve"> (the Act).</w:t>
      </w:r>
    </w:p>
    <w:p w14:paraId="5412560E" w14:textId="77777777" w:rsidR="00837EB9" w:rsidRPr="005D0B82" w:rsidRDefault="00837EB9" w:rsidP="005D0B82">
      <w:pPr>
        <w:autoSpaceDE w:val="0"/>
        <w:autoSpaceDN w:val="0"/>
        <w:adjustRightInd w:val="0"/>
        <w:spacing w:after="0" w:line="240" w:lineRule="auto"/>
        <w:rPr>
          <w:rFonts w:eastAsia="Times New Roman"/>
          <w:sz w:val="22"/>
          <w:szCs w:val="22"/>
          <w:lang w:eastAsia="en-AU"/>
        </w:rPr>
      </w:pPr>
    </w:p>
    <w:p w14:paraId="39AB7B19" w14:textId="7460E8B1" w:rsidR="001E51F5" w:rsidRPr="005D0B82" w:rsidRDefault="001E51F5" w:rsidP="005D0B82">
      <w:pPr>
        <w:autoSpaceDE w:val="0"/>
        <w:autoSpaceDN w:val="0"/>
        <w:adjustRightInd w:val="0"/>
        <w:spacing w:after="0" w:line="240" w:lineRule="auto"/>
        <w:rPr>
          <w:rFonts w:eastAsia="Times New Roman"/>
          <w:sz w:val="22"/>
          <w:szCs w:val="22"/>
          <w:lang w:eastAsia="en-AU"/>
        </w:rPr>
      </w:pPr>
      <w:r w:rsidRPr="005D0B82">
        <w:rPr>
          <w:rFonts w:eastAsia="Times New Roman"/>
          <w:sz w:val="22"/>
          <w:szCs w:val="22"/>
          <w:lang w:eastAsia="en-AU"/>
        </w:rPr>
        <w:t xml:space="preserve">Subsection 33(3) of the </w:t>
      </w:r>
      <w:r w:rsidRPr="005D0B82">
        <w:rPr>
          <w:rFonts w:eastAsia="Times New Roman"/>
          <w:i/>
          <w:iCs/>
          <w:sz w:val="22"/>
          <w:szCs w:val="22"/>
          <w:lang w:eastAsia="en-AU"/>
        </w:rPr>
        <w:t>Acts Interpretation Act 1901</w:t>
      </w:r>
      <w:r w:rsidRPr="005D0B82">
        <w:rPr>
          <w:rFonts w:eastAsia="Times New Roman"/>
          <w:sz w:val="22"/>
          <w:szCs w:val="22"/>
          <w:lang w:eastAsia="en-AU"/>
        </w:rPr>
        <w:t xml:space="preserve"> 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w:t>
      </w:r>
      <w:r w:rsidR="00BA2EE9" w:rsidRPr="005D0B82">
        <w:rPr>
          <w:rFonts w:eastAsia="Times New Roman"/>
          <w:sz w:val="22"/>
          <w:szCs w:val="22"/>
          <w:lang w:eastAsia="en-AU"/>
        </w:rPr>
        <w:t xml:space="preserve">The </w:t>
      </w:r>
      <w:r w:rsidR="008D1E44" w:rsidRPr="005D0B82">
        <w:rPr>
          <w:rFonts w:eastAsia="Times New Roman"/>
          <w:sz w:val="22"/>
          <w:szCs w:val="22"/>
          <w:lang w:eastAsia="en-AU"/>
        </w:rPr>
        <w:t xml:space="preserve">Amendment </w:t>
      </w:r>
      <w:r w:rsidR="00BA2EE9" w:rsidRPr="005D0B82">
        <w:rPr>
          <w:rFonts w:eastAsia="Times New Roman"/>
          <w:sz w:val="22"/>
          <w:szCs w:val="22"/>
          <w:lang w:eastAsia="en-AU"/>
        </w:rPr>
        <w:t xml:space="preserve">Determination </w:t>
      </w:r>
      <w:r w:rsidRPr="005D0B82">
        <w:rPr>
          <w:rFonts w:eastAsia="Times New Roman"/>
          <w:sz w:val="22"/>
          <w:szCs w:val="22"/>
          <w:lang w:eastAsia="en-AU"/>
        </w:rPr>
        <w:t>is made in accordance with that provision.</w:t>
      </w:r>
    </w:p>
    <w:p w14:paraId="5C1D74E6" w14:textId="77777777" w:rsidR="00837EB9" w:rsidRPr="00E9726E" w:rsidRDefault="00837EB9" w:rsidP="005D0B82">
      <w:pPr>
        <w:autoSpaceDE w:val="0"/>
        <w:autoSpaceDN w:val="0"/>
        <w:adjustRightInd w:val="0"/>
        <w:spacing w:after="0" w:line="240" w:lineRule="auto"/>
        <w:rPr>
          <w:rFonts w:eastAsia="Times New Roman"/>
          <w:sz w:val="22"/>
          <w:szCs w:val="22"/>
          <w:lang w:eastAsia="en-AU"/>
        </w:rPr>
      </w:pPr>
    </w:p>
    <w:p w14:paraId="0CC41FB6" w14:textId="5E7C2828" w:rsidR="001E51F5" w:rsidRPr="00E9726E" w:rsidRDefault="001E51F5" w:rsidP="000F0D2A">
      <w:pPr>
        <w:keepNext/>
        <w:spacing w:after="0" w:line="240" w:lineRule="auto"/>
        <w:rPr>
          <w:rFonts w:eastAsia="Times New Roman"/>
          <w:b/>
          <w:bCs/>
          <w:sz w:val="22"/>
          <w:szCs w:val="22"/>
          <w:lang w:eastAsia="en-AU"/>
        </w:rPr>
      </w:pPr>
      <w:r w:rsidRPr="00E9726E">
        <w:rPr>
          <w:rFonts w:eastAsia="Times New Roman"/>
          <w:b/>
          <w:bCs/>
          <w:sz w:val="22"/>
          <w:szCs w:val="22"/>
          <w:lang w:eastAsia="en-AU"/>
        </w:rPr>
        <w:t>Section 4 – Schedules</w:t>
      </w:r>
    </w:p>
    <w:p w14:paraId="2249B082" w14:textId="77777777" w:rsidR="00837EB9" w:rsidRPr="005D0B82" w:rsidRDefault="00837EB9" w:rsidP="005D0B82">
      <w:pPr>
        <w:autoSpaceDE w:val="0"/>
        <w:autoSpaceDN w:val="0"/>
        <w:adjustRightInd w:val="0"/>
        <w:spacing w:after="0" w:line="240" w:lineRule="auto"/>
        <w:rPr>
          <w:rFonts w:eastAsia="Times New Roman"/>
          <w:sz w:val="22"/>
          <w:szCs w:val="22"/>
          <w:lang w:eastAsia="en-AU"/>
        </w:rPr>
      </w:pPr>
    </w:p>
    <w:p w14:paraId="5BC041E3" w14:textId="09401140" w:rsidR="001E51F5" w:rsidRPr="005D0B82" w:rsidRDefault="001E51F5" w:rsidP="005D0B82">
      <w:pPr>
        <w:autoSpaceDE w:val="0"/>
        <w:autoSpaceDN w:val="0"/>
        <w:adjustRightInd w:val="0"/>
        <w:spacing w:after="0" w:line="240" w:lineRule="auto"/>
        <w:rPr>
          <w:rFonts w:eastAsia="Times New Roman"/>
          <w:sz w:val="22"/>
          <w:szCs w:val="22"/>
          <w:lang w:eastAsia="en-AU"/>
        </w:rPr>
      </w:pPr>
      <w:r w:rsidRPr="005D0B82">
        <w:rPr>
          <w:rFonts w:eastAsia="Times New Roman"/>
          <w:sz w:val="22"/>
          <w:szCs w:val="22"/>
          <w:lang w:eastAsia="en-AU"/>
        </w:rPr>
        <w:t>This section provides that each instrument that is specified in a</w:t>
      </w:r>
      <w:r w:rsidR="00BB2758" w:rsidRPr="005D0B82">
        <w:rPr>
          <w:rFonts w:eastAsia="Times New Roman"/>
          <w:sz w:val="22"/>
          <w:szCs w:val="22"/>
          <w:lang w:eastAsia="en-AU"/>
        </w:rPr>
        <w:t xml:space="preserve"> Schedule to the Amendment </w:t>
      </w:r>
      <w:r w:rsidR="00BA2EE9" w:rsidRPr="005D0B82">
        <w:rPr>
          <w:rFonts w:eastAsia="Times New Roman"/>
          <w:sz w:val="22"/>
          <w:szCs w:val="22"/>
          <w:lang w:eastAsia="en-AU"/>
        </w:rPr>
        <w:t xml:space="preserve">Determination </w:t>
      </w:r>
      <w:r w:rsidRPr="005D0B82">
        <w:rPr>
          <w:rFonts w:eastAsia="Times New Roman"/>
          <w:sz w:val="22"/>
          <w:szCs w:val="22"/>
          <w:lang w:eastAsia="en-AU"/>
        </w:rPr>
        <w:t>is amended as set out in the applicable items in the Schedule concerned, and that any other item in a</w:t>
      </w:r>
      <w:r w:rsidR="00BB2758" w:rsidRPr="005D0B82">
        <w:rPr>
          <w:rFonts w:eastAsia="Times New Roman"/>
          <w:sz w:val="22"/>
          <w:szCs w:val="22"/>
          <w:lang w:eastAsia="en-AU"/>
        </w:rPr>
        <w:t xml:space="preserve"> Schedule to the Amendment </w:t>
      </w:r>
      <w:r w:rsidR="00BA2EE9" w:rsidRPr="005D0B82">
        <w:rPr>
          <w:rFonts w:eastAsia="Times New Roman"/>
          <w:sz w:val="22"/>
          <w:szCs w:val="22"/>
          <w:lang w:eastAsia="en-AU"/>
        </w:rPr>
        <w:t xml:space="preserve">Determination </w:t>
      </w:r>
      <w:r w:rsidRPr="005D0B82">
        <w:rPr>
          <w:rFonts w:eastAsia="Times New Roman"/>
          <w:sz w:val="22"/>
          <w:szCs w:val="22"/>
          <w:lang w:eastAsia="en-AU"/>
        </w:rPr>
        <w:t>has effect according to its terms.</w:t>
      </w:r>
    </w:p>
    <w:p w14:paraId="619F983B" w14:textId="77777777" w:rsidR="00837EB9" w:rsidRPr="00E9726E" w:rsidRDefault="00837EB9" w:rsidP="005D0B82">
      <w:pPr>
        <w:autoSpaceDE w:val="0"/>
        <w:autoSpaceDN w:val="0"/>
        <w:adjustRightInd w:val="0"/>
        <w:spacing w:after="0" w:line="240" w:lineRule="auto"/>
        <w:rPr>
          <w:rFonts w:eastAsia="Times New Roman"/>
          <w:sz w:val="22"/>
          <w:szCs w:val="22"/>
          <w:lang w:eastAsia="en-AU"/>
        </w:rPr>
      </w:pPr>
    </w:p>
    <w:p w14:paraId="7EC9FF24" w14:textId="77777777" w:rsidR="00EF6D34" w:rsidRPr="00E9726E" w:rsidRDefault="00EF6D34" w:rsidP="000F0D2A">
      <w:pPr>
        <w:keepNext/>
        <w:spacing w:after="0" w:line="240" w:lineRule="auto"/>
        <w:rPr>
          <w:rFonts w:eastAsia="Times New Roman"/>
          <w:b/>
          <w:bCs/>
          <w:sz w:val="22"/>
          <w:szCs w:val="22"/>
          <w:lang w:eastAsia="en-AU"/>
        </w:rPr>
      </w:pPr>
      <w:r w:rsidRPr="00E9726E">
        <w:rPr>
          <w:rFonts w:eastAsia="Times New Roman"/>
          <w:b/>
          <w:bCs/>
          <w:sz w:val="22"/>
          <w:szCs w:val="22"/>
          <w:lang w:eastAsia="en-AU"/>
        </w:rPr>
        <w:t>Schedule 1 – Amendments</w:t>
      </w:r>
    </w:p>
    <w:p w14:paraId="264DF434" w14:textId="77777777" w:rsidR="00EF6D34" w:rsidRPr="005D0B82" w:rsidRDefault="00EF6D34" w:rsidP="005D0B82">
      <w:pPr>
        <w:autoSpaceDE w:val="0"/>
        <w:autoSpaceDN w:val="0"/>
        <w:adjustRightInd w:val="0"/>
        <w:spacing w:after="0" w:line="240" w:lineRule="auto"/>
        <w:rPr>
          <w:rFonts w:eastAsia="Times New Roman"/>
          <w:sz w:val="22"/>
          <w:szCs w:val="22"/>
          <w:lang w:eastAsia="en-AU"/>
        </w:rPr>
      </w:pPr>
    </w:p>
    <w:p w14:paraId="179E2691" w14:textId="66C96E1D" w:rsidR="00EF6D34" w:rsidRPr="005D0B82" w:rsidRDefault="00EF6D34" w:rsidP="005D0B82">
      <w:pPr>
        <w:autoSpaceDE w:val="0"/>
        <w:autoSpaceDN w:val="0"/>
        <w:adjustRightInd w:val="0"/>
        <w:spacing w:after="0" w:line="240" w:lineRule="auto"/>
        <w:rPr>
          <w:rFonts w:eastAsia="Times New Roman"/>
          <w:sz w:val="22"/>
          <w:szCs w:val="22"/>
          <w:lang w:eastAsia="en-AU"/>
        </w:rPr>
      </w:pPr>
      <w:r w:rsidRPr="005D0B82">
        <w:rPr>
          <w:rFonts w:eastAsia="Times New Roman"/>
          <w:sz w:val="22"/>
          <w:szCs w:val="22"/>
          <w:lang w:eastAsia="en-AU"/>
        </w:rPr>
        <w:t xml:space="preserve">This Schedule amends the </w:t>
      </w:r>
      <w:r w:rsidRPr="005D0B82">
        <w:rPr>
          <w:rFonts w:eastAsia="Times New Roman"/>
          <w:i/>
          <w:iCs/>
          <w:sz w:val="22"/>
          <w:szCs w:val="22"/>
          <w:lang w:eastAsia="en-AU"/>
        </w:rPr>
        <w:t>Therapeutic Goods (Excluded Goods) Determination 2018</w:t>
      </w:r>
      <w:r w:rsidRPr="005D0B82">
        <w:rPr>
          <w:rFonts w:eastAsia="Times New Roman"/>
          <w:sz w:val="22"/>
          <w:szCs w:val="22"/>
          <w:lang w:eastAsia="en-AU"/>
        </w:rPr>
        <w:t xml:space="preserve"> (the Principal Determination).</w:t>
      </w:r>
    </w:p>
    <w:p w14:paraId="6C4170C9" w14:textId="77777777" w:rsidR="00EF6D34" w:rsidRPr="005D0B82" w:rsidRDefault="00EF6D34" w:rsidP="005D0B82">
      <w:pPr>
        <w:autoSpaceDE w:val="0"/>
        <w:autoSpaceDN w:val="0"/>
        <w:adjustRightInd w:val="0"/>
        <w:spacing w:after="0" w:line="240" w:lineRule="auto"/>
        <w:rPr>
          <w:rFonts w:eastAsia="Times New Roman"/>
          <w:sz w:val="22"/>
          <w:szCs w:val="22"/>
          <w:lang w:eastAsia="en-AU"/>
        </w:rPr>
      </w:pPr>
    </w:p>
    <w:p w14:paraId="01B6EC6B" w14:textId="693C50A6" w:rsidR="00E17537" w:rsidRPr="00E9726E" w:rsidRDefault="00E17537" w:rsidP="00E17537">
      <w:pPr>
        <w:keepNext/>
        <w:spacing w:after="0" w:line="240" w:lineRule="auto"/>
        <w:rPr>
          <w:rFonts w:eastAsia="Times New Roman"/>
          <w:bCs/>
          <w:sz w:val="22"/>
          <w:szCs w:val="22"/>
          <w:lang w:eastAsia="en-AU"/>
        </w:rPr>
      </w:pPr>
      <w:r w:rsidRPr="00E9726E">
        <w:rPr>
          <w:rFonts w:eastAsia="Times New Roman"/>
          <w:b/>
          <w:sz w:val="22"/>
          <w:szCs w:val="22"/>
          <w:lang w:eastAsia="en-AU"/>
        </w:rPr>
        <w:t>Item 1</w:t>
      </w:r>
      <w:r w:rsidR="00E907B5">
        <w:rPr>
          <w:rFonts w:eastAsia="Times New Roman"/>
          <w:b/>
          <w:sz w:val="22"/>
          <w:szCs w:val="22"/>
          <w:lang w:eastAsia="en-AU"/>
        </w:rPr>
        <w:t xml:space="preserve"> </w:t>
      </w:r>
      <w:r w:rsidRPr="00E9726E">
        <w:rPr>
          <w:rFonts w:eastAsia="Times New Roman"/>
          <w:b/>
          <w:sz w:val="22"/>
          <w:szCs w:val="22"/>
          <w:lang w:eastAsia="en-AU"/>
        </w:rPr>
        <w:t xml:space="preserve">– </w:t>
      </w:r>
      <w:r w:rsidR="00E907B5">
        <w:rPr>
          <w:rFonts w:eastAsia="Times New Roman"/>
          <w:b/>
          <w:sz w:val="22"/>
          <w:szCs w:val="22"/>
          <w:lang w:eastAsia="en-AU"/>
        </w:rPr>
        <w:t>Section 7</w:t>
      </w:r>
    </w:p>
    <w:p w14:paraId="6CC47175" w14:textId="77777777" w:rsidR="00E907B5" w:rsidRDefault="00E907B5" w:rsidP="00E17537">
      <w:pPr>
        <w:spacing w:after="0" w:line="240" w:lineRule="auto"/>
        <w:rPr>
          <w:rFonts w:eastAsia="Times New Roman"/>
          <w:bCs/>
          <w:sz w:val="22"/>
          <w:szCs w:val="22"/>
          <w:lang w:eastAsia="en-AU"/>
        </w:rPr>
      </w:pPr>
      <w:bookmarkStart w:id="5" w:name="_Hlk160610592"/>
    </w:p>
    <w:p w14:paraId="4D23753B" w14:textId="531D1348" w:rsidR="009E1A23" w:rsidRPr="00AB155E" w:rsidRDefault="00E907B5" w:rsidP="001E2DB4">
      <w:pPr>
        <w:autoSpaceDE w:val="0"/>
        <w:autoSpaceDN w:val="0"/>
        <w:adjustRightInd w:val="0"/>
        <w:spacing w:after="0" w:line="240" w:lineRule="auto"/>
        <w:rPr>
          <w:rFonts w:eastAsia="Times New Roman"/>
          <w:sz w:val="22"/>
          <w:szCs w:val="22"/>
          <w:lang w:eastAsia="en-AU"/>
        </w:rPr>
      </w:pPr>
      <w:r>
        <w:rPr>
          <w:rFonts w:eastAsia="Times New Roman"/>
          <w:bCs/>
          <w:sz w:val="22"/>
          <w:szCs w:val="22"/>
          <w:lang w:eastAsia="en-AU"/>
        </w:rPr>
        <w:t xml:space="preserve">This item </w:t>
      </w:r>
      <w:r w:rsidR="00AB155E">
        <w:rPr>
          <w:rFonts w:eastAsia="Times New Roman"/>
          <w:bCs/>
          <w:sz w:val="22"/>
          <w:szCs w:val="22"/>
          <w:lang w:eastAsia="en-AU"/>
        </w:rPr>
        <w:t xml:space="preserve">introduces </w:t>
      </w:r>
      <w:r w:rsidR="00557E14">
        <w:rPr>
          <w:rFonts w:eastAsia="Times New Roman"/>
          <w:bCs/>
          <w:sz w:val="22"/>
          <w:szCs w:val="22"/>
          <w:lang w:eastAsia="en-AU"/>
        </w:rPr>
        <w:t xml:space="preserve">new section 7 </w:t>
      </w:r>
      <w:r w:rsidR="00AB155E">
        <w:rPr>
          <w:rFonts w:eastAsia="Times New Roman"/>
          <w:bCs/>
          <w:sz w:val="22"/>
          <w:szCs w:val="22"/>
          <w:lang w:eastAsia="en-AU"/>
        </w:rPr>
        <w:t xml:space="preserve">to </w:t>
      </w:r>
      <w:r w:rsidR="00557E14">
        <w:rPr>
          <w:rFonts w:eastAsia="Times New Roman"/>
          <w:bCs/>
          <w:sz w:val="22"/>
          <w:szCs w:val="22"/>
          <w:lang w:eastAsia="en-AU"/>
        </w:rPr>
        <w:t>the Principal Determination</w:t>
      </w:r>
      <w:r w:rsidR="009E1A23">
        <w:rPr>
          <w:rFonts w:eastAsia="Times New Roman"/>
          <w:bCs/>
          <w:sz w:val="22"/>
          <w:szCs w:val="22"/>
          <w:lang w:eastAsia="en-AU"/>
        </w:rPr>
        <w:t xml:space="preserve"> to provide a 5-year transitional arrangement </w:t>
      </w:r>
      <w:r w:rsidR="003B1138">
        <w:rPr>
          <w:rFonts w:eastAsia="Times New Roman"/>
          <w:bCs/>
          <w:sz w:val="22"/>
          <w:szCs w:val="22"/>
          <w:lang w:eastAsia="en-AU"/>
        </w:rPr>
        <w:t xml:space="preserve">with respect to amendments made by the </w:t>
      </w:r>
      <w:r w:rsidR="003B1138">
        <w:rPr>
          <w:rFonts w:eastAsia="Times New Roman"/>
          <w:bCs/>
          <w:i/>
          <w:iCs/>
          <w:sz w:val="22"/>
          <w:szCs w:val="22"/>
          <w:lang w:eastAsia="en-AU"/>
        </w:rPr>
        <w:t>Therapeutic Goods (Excluded Goods) Amendment (Sunscreen) Determination 2024</w:t>
      </w:r>
      <w:r w:rsidR="00A71B29">
        <w:rPr>
          <w:rFonts w:eastAsia="Times New Roman"/>
          <w:bCs/>
          <w:sz w:val="22"/>
          <w:szCs w:val="22"/>
          <w:lang w:eastAsia="en-AU"/>
        </w:rPr>
        <w:t xml:space="preserve"> (the Sunscreen Determination)</w:t>
      </w:r>
      <w:r w:rsidR="003B1138">
        <w:rPr>
          <w:rFonts w:eastAsia="Times New Roman"/>
          <w:bCs/>
          <w:sz w:val="22"/>
          <w:szCs w:val="22"/>
          <w:lang w:eastAsia="en-AU"/>
        </w:rPr>
        <w:t>.</w:t>
      </w:r>
      <w:r w:rsidR="00AB155E">
        <w:rPr>
          <w:rFonts w:eastAsia="Times New Roman"/>
          <w:sz w:val="22"/>
          <w:szCs w:val="22"/>
          <w:lang w:eastAsia="en-AU"/>
        </w:rPr>
        <w:t xml:space="preserve"> The effect of new section 7 is </w:t>
      </w:r>
      <w:proofErr w:type="gramStart"/>
      <w:r w:rsidR="00AB155E">
        <w:rPr>
          <w:rFonts w:eastAsia="Times New Roman"/>
          <w:sz w:val="22"/>
          <w:szCs w:val="22"/>
          <w:lang w:eastAsia="en-AU"/>
        </w:rPr>
        <w:t>exactly the same</w:t>
      </w:r>
      <w:proofErr w:type="gramEnd"/>
      <w:r w:rsidR="00AB155E">
        <w:rPr>
          <w:rFonts w:eastAsia="Times New Roman"/>
          <w:sz w:val="22"/>
          <w:szCs w:val="22"/>
          <w:lang w:eastAsia="en-AU"/>
        </w:rPr>
        <w:t xml:space="preserve"> as the transitional arrangement that was introduced by the Sunscreen Determination but </w:t>
      </w:r>
      <w:r w:rsidR="00AB155E">
        <w:rPr>
          <w:rFonts w:eastAsia="Times New Roman"/>
          <w:bCs/>
          <w:sz w:val="22"/>
          <w:szCs w:val="22"/>
          <w:lang w:eastAsia="en-AU"/>
        </w:rPr>
        <w:t xml:space="preserve">inadvertently repealed on 1 July 2024 by the </w:t>
      </w:r>
      <w:r w:rsidR="00AB155E">
        <w:rPr>
          <w:rFonts w:eastAsia="Times New Roman"/>
          <w:bCs/>
          <w:i/>
          <w:iCs/>
          <w:sz w:val="22"/>
          <w:szCs w:val="22"/>
          <w:lang w:eastAsia="en-AU"/>
        </w:rPr>
        <w:t>Therapeutic Goods (Excluded Goods) Amendment (Vaping) Determination 2024</w:t>
      </w:r>
      <w:r w:rsidR="00AB155E">
        <w:rPr>
          <w:rFonts w:eastAsia="Times New Roman"/>
          <w:sz w:val="22"/>
          <w:szCs w:val="22"/>
          <w:lang w:eastAsia="en-AU"/>
        </w:rPr>
        <w:t>.</w:t>
      </w:r>
    </w:p>
    <w:p w14:paraId="47D0251E" w14:textId="77777777" w:rsidR="001F1601" w:rsidRDefault="001F1601" w:rsidP="00E17537">
      <w:pPr>
        <w:spacing w:after="0" w:line="240" w:lineRule="auto"/>
        <w:rPr>
          <w:rFonts w:eastAsia="Times New Roman"/>
          <w:bCs/>
          <w:sz w:val="22"/>
          <w:szCs w:val="22"/>
          <w:lang w:eastAsia="en-AU"/>
        </w:rPr>
      </w:pPr>
    </w:p>
    <w:p w14:paraId="4556424F" w14:textId="0DBAC9D3" w:rsidR="003B1138" w:rsidRDefault="00960E64" w:rsidP="00E17537">
      <w:pPr>
        <w:spacing w:after="0" w:line="240" w:lineRule="auto"/>
        <w:rPr>
          <w:rFonts w:eastAsia="Times New Roman"/>
          <w:bCs/>
          <w:sz w:val="22"/>
          <w:szCs w:val="22"/>
          <w:lang w:eastAsia="en-AU"/>
        </w:rPr>
      </w:pPr>
      <w:r>
        <w:rPr>
          <w:rFonts w:eastAsia="Times New Roman"/>
          <w:bCs/>
          <w:sz w:val="22"/>
          <w:szCs w:val="22"/>
          <w:lang w:eastAsia="en-AU"/>
        </w:rPr>
        <w:t xml:space="preserve">New section 7 of the Principal Determination provides </w:t>
      </w:r>
      <w:r w:rsidR="001C0ECA">
        <w:rPr>
          <w:rFonts w:eastAsia="Times New Roman"/>
          <w:bCs/>
          <w:sz w:val="22"/>
          <w:szCs w:val="22"/>
          <w:lang w:eastAsia="en-AU"/>
        </w:rPr>
        <w:t>that items 14 and 15 of the table in Schedule 1 and items 5 and 10 of the table in Schedule 2</w:t>
      </w:r>
      <w:r w:rsidR="00A71B29">
        <w:rPr>
          <w:rFonts w:eastAsia="Times New Roman"/>
          <w:bCs/>
          <w:sz w:val="22"/>
          <w:szCs w:val="22"/>
          <w:lang w:eastAsia="en-AU"/>
        </w:rPr>
        <w:t>, as in force immediately before the commencement of the Sunscreen Determination</w:t>
      </w:r>
      <w:r w:rsidR="00111D65">
        <w:rPr>
          <w:rFonts w:eastAsia="Times New Roman"/>
          <w:bCs/>
          <w:sz w:val="22"/>
          <w:szCs w:val="22"/>
          <w:lang w:eastAsia="en-AU"/>
        </w:rPr>
        <w:t>, continue to apply to goods covered by those items only where:</w:t>
      </w:r>
    </w:p>
    <w:p w14:paraId="35E561D2" w14:textId="62C3F63E" w:rsidR="00111D65" w:rsidRDefault="00111D65" w:rsidP="00111D65">
      <w:pPr>
        <w:pStyle w:val="ListParagraph"/>
        <w:numPr>
          <w:ilvl w:val="0"/>
          <w:numId w:val="27"/>
        </w:numPr>
        <w:spacing w:after="0" w:line="240" w:lineRule="auto"/>
        <w:rPr>
          <w:rFonts w:eastAsia="Times New Roman"/>
          <w:bCs/>
          <w:sz w:val="22"/>
          <w:szCs w:val="22"/>
          <w:lang w:eastAsia="en-AU"/>
        </w:rPr>
      </w:pPr>
      <w:r>
        <w:rPr>
          <w:rFonts w:eastAsia="Times New Roman"/>
          <w:bCs/>
          <w:sz w:val="22"/>
          <w:szCs w:val="22"/>
          <w:lang w:eastAsia="en-AU"/>
        </w:rPr>
        <w:t>the goods were excluded goods under those items on 30 June 2024; and</w:t>
      </w:r>
    </w:p>
    <w:p w14:paraId="7F53CBCE" w14:textId="54BF7D87" w:rsidR="00111D65" w:rsidRDefault="0017717A" w:rsidP="00111D65">
      <w:pPr>
        <w:pStyle w:val="ListParagraph"/>
        <w:numPr>
          <w:ilvl w:val="0"/>
          <w:numId w:val="27"/>
        </w:numPr>
        <w:spacing w:after="0" w:line="240" w:lineRule="auto"/>
        <w:rPr>
          <w:rFonts w:eastAsia="Times New Roman"/>
          <w:bCs/>
          <w:sz w:val="22"/>
          <w:szCs w:val="22"/>
          <w:lang w:eastAsia="en-AU"/>
        </w:rPr>
      </w:pPr>
      <w:r>
        <w:rPr>
          <w:rFonts w:eastAsia="Times New Roman"/>
          <w:bCs/>
          <w:sz w:val="22"/>
          <w:szCs w:val="22"/>
          <w:lang w:eastAsia="en-AU"/>
        </w:rPr>
        <w:t>paragraph (b) in column 2 of each of those items, as in force immediately before the commencement of the Sunscreen Determination, applies to the goods; and</w:t>
      </w:r>
    </w:p>
    <w:p w14:paraId="799B265C" w14:textId="083EDFF5" w:rsidR="005D0B82" w:rsidRPr="001E2DB4" w:rsidRDefault="0017717A" w:rsidP="001E2DB4">
      <w:pPr>
        <w:pStyle w:val="ListParagraph"/>
        <w:numPr>
          <w:ilvl w:val="0"/>
          <w:numId w:val="27"/>
        </w:numPr>
        <w:spacing w:after="0" w:line="240" w:lineRule="auto"/>
        <w:rPr>
          <w:rFonts w:eastAsia="Times New Roman"/>
          <w:bCs/>
          <w:sz w:val="22"/>
          <w:szCs w:val="22"/>
          <w:lang w:eastAsia="en-AU"/>
        </w:rPr>
      </w:pPr>
      <w:r>
        <w:rPr>
          <w:rFonts w:eastAsia="Times New Roman"/>
          <w:bCs/>
          <w:sz w:val="22"/>
          <w:szCs w:val="22"/>
          <w:lang w:eastAsia="en-AU"/>
        </w:rPr>
        <w:t xml:space="preserve">the goods are imported, </w:t>
      </w:r>
      <w:proofErr w:type="gramStart"/>
      <w:r>
        <w:rPr>
          <w:rFonts w:eastAsia="Times New Roman"/>
          <w:bCs/>
          <w:sz w:val="22"/>
          <w:szCs w:val="22"/>
          <w:lang w:eastAsia="en-AU"/>
        </w:rPr>
        <w:t>manufactured</w:t>
      </w:r>
      <w:proofErr w:type="gramEnd"/>
      <w:r>
        <w:rPr>
          <w:rFonts w:eastAsia="Times New Roman"/>
          <w:bCs/>
          <w:sz w:val="22"/>
          <w:szCs w:val="22"/>
          <w:lang w:eastAsia="en-AU"/>
        </w:rPr>
        <w:t xml:space="preserve"> or supplied before 1 July 2029.</w:t>
      </w:r>
      <w:r w:rsidR="005D0B82" w:rsidRPr="001E2DB4">
        <w:rPr>
          <w:rFonts w:eastAsia="Times New Roman"/>
          <w:bCs/>
          <w:sz w:val="22"/>
          <w:szCs w:val="22"/>
          <w:lang w:eastAsia="en-AU"/>
        </w:rPr>
        <w:br w:type="page"/>
      </w:r>
    </w:p>
    <w:p w14:paraId="091355FB" w14:textId="77777777" w:rsidR="005D0B82" w:rsidRDefault="005D0B82" w:rsidP="00E17537">
      <w:pPr>
        <w:spacing w:after="0" w:line="240" w:lineRule="auto"/>
        <w:rPr>
          <w:rFonts w:eastAsia="Times New Roman"/>
          <w:bCs/>
          <w:sz w:val="22"/>
          <w:szCs w:val="22"/>
          <w:lang w:eastAsia="en-AU"/>
        </w:rPr>
      </w:pPr>
    </w:p>
    <w:bookmarkEnd w:id="5"/>
    <w:p w14:paraId="568BA265" w14:textId="77777777" w:rsidR="00E744B0" w:rsidRPr="00E9726E" w:rsidRDefault="00E744B0" w:rsidP="000B31F9">
      <w:pPr>
        <w:spacing w:after="0" w:line="240" w:lineRule="auto"/>
        <w:jc w:val="right"/>
        <w:rPr>
          <w:b/>
          <w:sz w:val="22"/>
          <w:szCs w:val="22"/>
        </w:rPr>
      </w:pPr>
      <w:r w:rsidRPr="00E9726E">
        <w:rPr>
          <w:b/>
          <w:sz w:val="22"/>
          <w:szCs w:val="22"/>
        </w:rPr>
        <w:t>Attachment B</w:t>
      </w:r>
    </w:p>
    <w:p w14:paraId="45E1E345" w14:textId="77777777" w:rsidR="00E744B0" w:rsidRPr="00E9726E" w:rsidRDefault="00E744B0" w:rsidP="000B31F9">
      <w:pPr>
        <w:spacing w:after="0" w:line="240" w:lineRule="auto"/>
        <w:jc w:val="center"/>
        <w:rPr>
          <w:bCs/>
          <w:sz w:val="22"/>
          <w:szCs w:val="22"/>
        </w:rPr>
      </w:pPr>
    </w:p>
    <w:p w14:paraId="05D89B19" w14:textId="77777777" w:rsidR="00E744B0" w:rsidRPr="00E9726E" w:rsidRDefault="00E744B0" w:rsidP="000B31F9">
      <w:pPr>
        <w:spacing w:after="0" w:line="240" w:lineRule="auto"/>
        <w:jc w:val="center"/>
        <w:rPr>
          <w:b/>
          <w:sz w:val="22"/>
          <w:szCs w:val="22"/>
        </w:rPr>
      </w:pPr>
      <w:r w:rsidRPr="00E9726E">
        <w:rPr>
          <w:b/>
          <w:sz w:val="22"/>
          <w:szCs w:val="22"/>
        </w:rPr>
        <w:t>Statement of Compatibility with Human Rights</w:t>
      </w:r>
    </w:p>
    <w:p w14:paraId="61C2B711" w14:textId="77777777" w:rsidR="00E744B0" w:rsidRPr="00E9726E" w:rsidRDefault="00E744B0" w:rsidP="000B31F9">
      <w:pPr>
        <w:spacing w:after="0" w:line="240" w:lineRule="auto"/>
        <w:rPr>
          <w:sz w:val="22"/>
          <w:szCs w:val="22"/>
        </w:rPr>
      </w:pPr>
    </w:p>
    <w:p w14:paraId="05F5EEBB" w14:textId="77777777" w:rsidR="00E744B0" w:rsidRPr="00E9726E" w:rsidRDefault="00E744B0" w:rsidP="000B31F9">
      <w:pPr>
        <w:spacing w:after="0" w:line="240" w:lineRule="auto"/>
        <w:jc w:val="center"/>
        <w:rPr>
          <w:sz w:val="22"/>
          <w:szCs w:val="22"/>
        </w:rPr>
      </w:pPr>
      <w:r w:rsidRPr="00E9726E">
        <w:rPr>
          <w:sz w:val="22"/>
          <w:szCs w:val="22"/>
        </w:rPr>
        <w:t xml:space="preserve">Prepared in accordance with Part 3 of the </w:t>
      </w:r>
      <w:r w:rsidRPr="00E9726E">
        <w:rPr>
          <w:i/>
          <w:sz w:val="22"/>
          <w:szCs w:val="22"/>
        </w:rPr>
        <w:t>Human Rights (Parliamentary Scrutiny) Act 2011</w:t>
      </w:r>
    </w:p>
    <w:p w14:paraId="46D43075" w14:textId="77777777" w:rsidR="00E744B0" w:rsidRPr="00E9726E" w:rsidRDefault="00E744B0" w:rsidP="000B31F9">
      <w:pPr>
        <w:spacing w:after="0" w:line="240" w:lineRule="auto"/>
        <w:jc w:val="center"/>
        <w:rPr>
          <w:bCs/>
          <w:sz w:val="22"/>
          <w:szCs w:val="22"/>
        </w:rPr>
      </w:pPr>
    </w:p>
    <w:p w14:paraId="3DAB8214" w14:textId="5FA89F7C" w:rsidR="001E51F5" w:rsidRPr="00E9726E" w:rsidRDefault="00DA449C" w:rsidP="000B31F9">
      <w:pPr>
        <w:spacing w:after="0" w:line="240" w:lineRule="auto"/>
        <w:jc w:val="center"/>
        <w:rPr>
          <w:rFonts w:eastAsia="Times New Roman"/>
          <w:b/>
          <w:sz w:val="22"/>
          <w:szCs w:val="22"/>
          <w:lang w:eastAsia="en-AU"/>
        </w:rPr>
      </w:pPr>
      <w:r w:rsidRPr="00E9726E">
        <w:rPr>
          <w:rFonts w:eastAsia="Times New Roman"/>
          <w:b/>
          <w:i/>
          <w:sz w:val="22"/>
          <w:szCs w:val="22"/>
          <w:lang w:eastAsia="en-AU"/>
        </w:rPr>
        <w:t>Therapeutic Goods (Excluded Goods) Amendment</w:t>
      </w:r>
      <w:r w:rsidR="00701119">
        <w:rPr>
          <w:rFonts w:eastAsia="Times New Roman"/>
          <w:b/>
          <w:i/>
          <w:sz w:val="22"/>
          <w:szCs w:val="22"/>
          <w:lang w:eastAsia="en-AU"/>
        </w:rPr>
        <w:t xml:space="preserve"> </w:t>
      </w:r>
      <w:r w:rsidRPr="00E9726E">
        <w:rPr>
          <w:rFonts w:eastAsia="Times New Roman"/>
          <w:b/>
          <w:i/>
          <w:sz w:val="22"/>
          <w:szCs w:val="22"/>
          <w:lang w:eastAsia="en-AU"/>
        </w:rPr>
        <w:t xml:space="preserve">Determination </w:t>
      </w:r>
      <w:r w:rsidR="006A33C8">
        <w:rPr>
          <w:rFonts w:eastAsia="Times New Roman"/>
          <w:b/>
          <w:i/>
          <w:sz w:val="22"/>
          <w:szCs w:val="22"/>
          <w:lang w:eastAsia="en-AU"/>
        </w:rPr>
        <w:t xml:space="preserve">(No. 2) </w:t>
      </w:r>
      <w:r w:rsidRPr="00E9726E">
        <w:rPr>
          <w:rFonts w:eastAsia="Times New Roman"/>
          <w:b/>
          <w:i/>
          <w:sz w:val="22"/>
          <w:szCs w:val="22"/>
          <w:lang w:eastAsia="en-AU"/>
        </w:rPr>
        <w:t>202</w:t>
      </w:r>
      <w:r w:rsidR="00FB2164" w:rsidRPr="00E9726E">
        <w:rPr>
          <w:rFonts w:eastAsia="Times New Roman"/>
          <w:b/>
          <w:i/>
          <w:sz w:val="22"/>
          <w:szCs w:val="22"/>
          <w:lang w:eastAsia="en-AU"/>
        </w:rPr>
        <w:t>4</w:t>
      </w:r>
    </w:p>
    <w:p w14:paraId="20F0978C" w14:textId="77777777" w:rsidR="00E744B0" w:rsidRPr="00E9726E" w:rsidRDefault="00E744B0" w:rsidP="000B31F9">
      <w:pPr>
        <w:spacing w:after="0" w:line="240" w:lineRule="auto"/>
        <w:rPr>
          <w:rFonts w:eastAsia="Times New Roman"/>
          <w:sz w:val="22"/>
          <w:szCs w:val="22"/>
          <w:lang w:eastAsia="en-AU"/>
        </w:rPr>
      </w:pPr>
    </w:p>
    <w:p w14:paraId="52B743F6" w14:textId="5305CF5A" w:rsidR="001E51F5" w:rsidRPr="00E9726E" w:rsidRDefault="001E51F5" w:rsidP="000B31F9">
      <w:pPr>
        <w:spacing w:after="0" w:line="240" w:lineRule="auto"/>
        <w:rPr>
          <w:rFonts w:eastAsia="Times New Roman"/>
          <w:sz w:val="22"/>
          <w:szCs w:val="22"/>
          <w:lang w:eastAsia="en-AU"/>
        </w:rPr>
      </w:pPr>
      <w:r w:rsidRPr="00E9726E">
        <w:rPr>
          <w:rFonts w:eastAsia="Times New Roman"/>
          <w:sz w:val="22"/>
          <w:szCs w:val="22"/>
          <w:lang w:eastAsia="en-AU"/>
        </w:rPr>
        <w:t xml:space="preserve">This disallowable legislative instrument is compatible with the human rights and freedoms recognised or declared in the international instruments listed in section 3 of the </w:t>
      </w:r>
      <w:r w:rsidRPr="00E9726E">
        <w:rPr>
          <w:rFonts w:eastAsia="Times New Roman"/>
          <w:i/>
          <w:sz w:val="22"/>
          <w:szCs w:val="22"/>
          <w:lang w:eastAsia="en-AU"/>
        </w:rPr>
        <w:t>Human Rights (Parliamentary Scrutiny) Act 2011</w:t>
      </w:r>
      <w:r w:rsidRPr="00E9726E">
        <w:rPr>
          <w:rFonts w:eastAsia="Times New Roman"/>
          <w:sz w:val="22"/>
          <w:szCs w:val="22"/>
          <w:lang w:eastAsia="en-AU"/>
        </w:rPr>
        <w:t>.</w:t>
      </w:r>
    </w:p>
    <w:p w14:paraId="1FE107FF" w14:textId="77777777" w:rsidR="00E744B0" w:rsidRPr="00E9726E" w:rsidRDefault="00E744B0" w:rsidP="000B31F9">
      <w:pPr>
        <w:spacing w:after="0" w:line="240" w:lineRule="auto"/>
        <w:rPr>
          <w:rFonts w:eastAsia="Times New Roman"/>
          <w:bCs/>
          <w:sz w:val="22"/>
          <w:szCs w:val="22"/>
          <w:lang w:eastAsia="en-AU"/>
        </w:rPr>
      </w:pPr>
    </w:p>
    <w:p w14:paraId="5BB723C9" w14:textId="48F2A642" w:rsidR="001E51F5" w:rsidRPr="00E9726E" w:rsidRDefault="001E51F5" w:rsidP="000F0D2A">
      <w:pPr>
        <w:keepNext/>
        <w:spacing w:after="0" w:line="240" w:lineRule="auto"/>
        <w:rPr>
          <w:rFonts w:eastAsia="Times New Roman"/>
          <w:b/>
          <w:sz w:val="22"/>
          <w:szCs w:val="22"/>
          <w:lang w:eastAsia="en-AU"/>
        </w:rPr>
      </w:pPr>
      <w:r w:rsidRPr="00E9726E">
        <w:rPr>
          <w:rFonts w:eastAsia="Times New Roman"/>
          <w:b/>
          <w:sz w:val="22"/>
          <w:szCs w:val="22"/>
          <w:lang w:eastAsia="en-AU"/>
        </w:rPr>
        <w:t>Overview of legislative instrument</w:t>
      </w:r>
    </w:p>
    <w:p w14:paraId="0864B3D3" w14:textId="77777777" w:rsidR="002F2C38" w:rsidRDefault="002F2C38" w:rsidP="002F2C38">
      <w:pPr>
        <w:autoSpaceDE w:val="0"/>
        <w:autoSpaceDN w:val="0"/>
        <w:adjustRightInd w:val="0"/>
        <w:spacing w:after="0" w:line="240" w:lineRule="auto"/>
        <w:rPr>
          <w:rFonts w:eastAsia="Times New Roman"/>
          <w:sz w:val="22"/>
          <w:szCs w:val="22"/>
          <w:lang w:eastAsia="en-AU"/>
        </w:rPr>
      </w:pPr>
    </w:p>
    <w:p w14:paraId="45FBEB67" w14:textId="77777777" w:rsidR="00416482" w:rsidRPr="00E9726E" w:rsidRDefault="00416482" w:rsidP="00416482">
      <w:p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Section 7AA of </w:t>
      </w:r>
      <w:r>
        <w:rPr>
          <w:rFonts w:eastAsia="Times New Roman"/>
          <w:sz w:val="22"/>
          <w:szCs w:val="22"/>
          <w:lang w:eastAsia="en-AU"/>
        </w:rPr>
        <w:t xml:space="preserve">the </w:t>
      </w:r>
      <w:r>
        <w:rPr>
          <w:rFonts w:eastAsia="Times New Roman"/>
          <w:i/>
          <w:iCs/>
          <w:sz w:val="22"/>
          <w:szCs w:val="22"/>
          <w:lang w:eastAsia="en-AU"/>
        </w:rPr>
        <w:t xml:space="preserve">Therapeutic Goods Act </w:t>
      </w:r>
      <w:r w:rsidRPr="00416482">
        <w:rPr>
          <w:rFonts w:eastAsia="Times New Roman"/>
          <w:i/>
          <w:iCs/>
          <w:sz w:val="22"/>
          <w:szCs w:val="22"/>
          <w:lang w:eastAsia="en-AU"/>
        </w:rPr>
        <w:t>1989</w:t>
      </w:r>
      <w:r>
        <w:rPr>
          <w:rFonts w:eastAsia="Times New Roman"/>
          <w:sz w:val="22"/>
          <w:szCs w:val="22"/>
          <w:lang w:eastAsia="en-AU"/>
        </w:rPr>
        <w:t xml:space="preserve"> (</w:t>
      </w:r>
      <w:r w:rsidRPr="00416482">
        <w:rPr>
          <w:rFonts w:eastAsia="Times New Roman"/>
          <w:sz w:val="22"/>
          <w:szCs w:val="22"/>
          <w:lang w:eastAsia="en-AU"/>
        </w:rPr>
        <w:t>the</w:t>
      </w:r>
      <w:r w:rsidRPr="00E9726E">
        <w:rPr>
          <w:rFonts w:eastAsia="Times New Roman"/>
          <w:sz w:val="22"/>
          <w:szCs w:val="22"/>
          <w:lang w:eastAsia="en-AU"/>
        </w:rPr>
        <w:t xml:space="preserve"> Act</w:t>
      </w:r>
      <w:r>
        <w:rPr>
          <w:rFonts w:eastAsia="Times New Roman"/>
          <w:sz w:val="22"/>
          <w:szCs w:val="22"/>
          <w:lang w:eastAsia="en-AU"/>
        </w:rPr>
        <w:t>)</w:t>
      </w:r>
      <w:r w:rsidRPr="00E9726E">
        <w:rPr>
          <w:rFonts w:eastAsia="Times New Roman"/>
          <w:sz w:val="22"/>
          <w:szCs w:val="22"/>
          <w:lang w:eastAsia="en-AU"/>
        </w:rPr>
        <w:t xml:space="preserve"> provides that the Minister may, by legislative instrument, determine that specified goods are excluded goods for the purposes of the Act. The effect of a determination under section 7AA is to exclude the specified goods from the operation of the Act.</w:t>
      </w:r>
    </w:p>
    <w:p w14:paraId="6C8298E5" w14:textId="77777777" w:rsidR="00416482" w:rsidRPr="00E9726E" w:rsidRDefault="00416482" w:rsidP="00416482">
      <w:pPr>
        <w:autoSpaceDE w:val="0"/>
        <w:autoSpaceDN w:val="0"/>
        <w:adjustRightInd w:val="0"/>
        <w:spacing w:after="0" w:line="240" w:lineRule="auto"/>
        <w:rPr>
          <w:rFonts w:eastAsia="Times New Roman"/>
          <w:sz w:val="22"/>
          <w:szCs w:val="22"/>
          <w:lang w:eastAsia="en-AU"/>
        </w:rPr>
      </w:pPr>
    </w:p>
    <w:p w14:paraId="69307828" w14:textId="77777777" w:rsidR="00416482" w:rsidRDefault="00416482" w:rsidP="00416482">
      <w:pPr>
        <w:autoSpaceDE w:val="0"/>
        <w:autoSpaceDN w:val="0"/>
        <w:adjustRightInd w:val="0"/>
        <w:spacing w:after="0" w:line="240" w:lineRule="auto"/>
        <w:rPr>
          <w:rFonts w:eastAsia="Times New Roman"/>
          <w:sz w:val="22"/>
          <w:szCs w:val="22"/>
          <w:lang w:eastAsia="en-AU"/>
        </w:rPr>
      </w:pPr>
      <w:r w:rsidRPr="00E9726E">
        <w:rPr>
          <w:rFonts w:eastAsia="Times New Roman"/>
          <w:sz w:val="22"/>
          <w:szCs w:val="22"/>
          <w:lang w:eastAsia="en-AU"/>
        </w:rPr>
        <w:t xml:space="preserve">The </w:t>
      </w:r>
      <w:r w:rsidRPr="005D0B82">
        <w:rPr>
          <w:rFonts w:eastAsia="Times New Roman"/>
          <w:i/>
          <w:iCs/>
          <w:sz w:val="22"/>
          <w:szCs w:val="22"/>
          <w:lang w:eastAsia="en-AU"/>
        </w:rPr>
        <w:t>Therapeutic Goods (Excluded Goods) Determination 2018</w:t>
      </w:r>
      <w:r w:rsidRPr="00E9726E">
        <w:rPr>
          <w:rFonts w:eastAsia="Times New Roman"/>
          <w:sz w:val="22"/>
          <w:szCs w:val="22"/>
          <w:lang w:eastAsia="en-AU"/>
        </w:rPr>
        <w:t xml:space="preserve"> (the Principal Determination) is made under section 7AA of the Act. The Principal Determination determines specified goods, including specified goods when used, </w:t>
      </w:r>
      <w:proofErr w:type="gramStart"/>
      <w:r w:rsidRPr="00E9726E">
        <w:rPr>
          <w:rFonts w:eastAsia="Times New Roman"/>
          <w:sz w:val="22"/>
          <w:szCs w:val="22"/>
          <w:lang w:eastAsia="en-AU"/>
        </w:rPr>
        <w:t>advertised</w:t>
      </w:r>
      <w:proofErr w:type="gramEnd"/>
      <w:r w:rsidRPr="00E9726E">
        <w:rPr>
          <w:rFonts w:eastAsia="Times New Roman"/>
          <w:sz w:val="22"/>
          <w:szCs w:val="22"/>
          <w:lang w:eastAsia="en-AU"/>
        </w:rPr>
        <w:t xml:space="preserve"> or presented for supply in a specified manner, to be excluded goods for the purposes of the Act.</w:t>
      </w:r>
      <w:r>
        <w:rPr>
          <w:rFonts w:eastAsia="Times New Roman"/>
          <w:sz w:val="22"/>
          <w:szCs w:val="22"/>
          <w:lang w:eastAsia="en-AU"/>
        </w:rPr>
        <w:t xml:space="preserve"> The effect of the Principal Determination is that the goods that are determined to be excluded goods are not subject to the Act.</w:t>
      </w:r>
    </w:p>
    <w:p w14:paraId="037E9730" w14:textId="77777777" w:rsidR="00416482" w:rsidRDefault="00416482" w:rsidP="00416482">
      <w:pPr>
        <w:autoSpaceDE w:val="0"/>
        <w:autoSpaceDN w:val="0"/>
        <w:adjustRightInd w:val="0"/>
        <w:spacing w:after="0" w:line="240" w:lineRule="auto"/>
        <w:rPr>
          <w:rFonts w:eastAsia="Times New Roman"/>
          <w:sz w:val="22"/>
          <w:szCs w:val="22"/>
          <w:lang w:eastAsia="en-AU"/>
        </w:rPr>
      </w:pPr>
    </w:p>
    <w:p w14:paraId="2A7ABB32" w14:textId="77777777" w:rsidR="00416482" w:rsidRDefault="00416482" w:rsidP="00416482">
      <w:pPr>
        <w:autoSpaceDE w:val="0"/>
        <w:autoSpaceDN w:val="0"/>
        <w:adjustRightInd w:val="0"/>
        <w:spacing w:after="0" w:line="240" w:lineRule="auto"/>
        <w:rPr>
          <w:rFonts w:eastAsia="Times New Roman"/>
          <w:sz w:val="22"/>
          <w:szCs w:val="22"/>
          <w:lang w:eastAsia="en-AU"/>
        </w:rPr>
      </w:pPr>
      <w:proofErr w:type="gramStart"/>
      <w:r>
        <w:rPr>
          <w:rFonts w:eastAsia="Times New Roman"/>
          <w:sz w:val="22"/>
          <w:szCs w:val="22"/>
          <w:lang w:eastAsia="en-AU"/>
        </w:rPr>
        <w:t>A number of</w:t>
      </w:r>
      <w:proofErr w:type="gramEnd"/>
      <w:r>
        <w:rPr>
          <w:rFonts w:eastAsia="Times New Roman"/>
          <w:sz w:val="22"/>
          <w:szCs w:val="22"/>
          <w:lang w:eastAsia="en-AU"/>
        </w:rPr>
        <w:t xml:space="preserve"> amendments to the Principal Determination commenced on 1 July 2024, principally as a result of the following instruments:</w:t>
      </w:r>
    </w:p>
    <w:p w14:paraId="416C2DD4" w14:textId="77777777" w:rsidR="00416482" w:rsidRPr="00844E0E" w:rsidRDefault="00416482" w:rsidP="00416482">
      <w:pPr>
        <w:pStyle w:val="ListParagraph"/>
        <w:numPr>
          <w:ilvl w:val="0"/>
          <w:numId w:val="25"/>
        </w:numPr>
        <w:autoSpaceDE w:val="0"/>
        <w:autoSpaceDN w:val="0"/>
        <w:adjustRightInd w:val="0"/>
        <w:spacing w:after="0" w:line="240" w:lineRule="auto"/>
        <w:rPr>
          <w:rFonts w:eastAsia="Times New Roman"/>
          <w:sz w:val="22"/>
          <w:szCs w:val="22"/>
          <w:lang w:eastAsia="en-AU"/>
        </w:rPr>
      </w:pPr>
      <w:r w:rsidRPr="00844E0E">
        <w:rPr>
          <w:rFonts w:eastAsia="Times New Roman"/>
          <w:sz w:val="22"/>
          <w:szCs w:val="22"/>
          <w:lang w:eastAsia="en-AU"/>
        </w:rPr>
        <w:t xml:space="preserve">the </w:t>
      </w:r>
      <w:r w:rsidRPr="00844E0E">
        <w:rPr>
          <w:rFonts w:eastAsia="Times New Roman"/>
          <w:i/>
          <w:iCs/>
          <w:sz w:val="22"/>
          <w:szCs w:val="22"/>
          <w:lang w:eastAsia="en-AU"/>
        </w:rPr>
        <w:t>Therapeutic Goods (Excluded Goods) Amendment (Sunscreen) Determination 2024</w:t>
      </w:r>
      <w:r w:rsidRPr="00844E0E">
        <w:rPr>
          <w:rFonts w:eastAsia="Times New Roman"/>
          <w:sz w:val="22"/>
          <w:szCs w:val="22"/>
          <w:lang w:eastAsia="en-AU"/>
        </w:rPr>
        <w:t xml:space="preserve"> (the Sunscreen Determination)</w:t>
      </w:r>
      <w:r>
        <w:rPr>
          <w:rFonts w:eastAsia="Times New Roman"/>
          <w:sz w:val="22"/>
          <w:szCs w:val="22"/>
          <w:lang w:eastAsia="en-AU"/>
        </w:rPr>
        <w:t>;</w:t>
      </w:r>
      <w:r w:rsidRPr="00844E0E">
        <w:rPr>
          <w:rFonts w:eastAsia="Times New Roman"/>
          <w:sz w:val="22"/>
          <w:szCs w:val="22"/>
          <w:lang w:eastAsia="en-AU"/>
        </w:rPr>
        <w:t xml:space="preserve"> and</w:t>
      </w:r>
    </w:p>
    <w:p w14:paraId="6E26EE7C" w14:textId="77777777" w:rsidR="00416482" w:rsidRDefault="00416482" w:rsidP="00416482">
      <w:pPr>
        <w:pStyle w:val="ListParagraph"/>
        <w:numPr>
          <w:ilvl w:val="0"/>
          <w:numId w:val="25"/>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w:t>
      </w:r>
      <w:r>
        <w:rPr>
          <w:rFonts w:eastAsia="Times New Roman"/>
          <w:i/>
          <w:iCs/>
          <w:sz w:val="22"/>
          <w:szCs w:val="22"/>
          <w:lang w:eastAsia="en-AU"/>
        </w:rPr>
        <w:t xml:space="preserve">Therapeutic Goods (Excluded Goods) Amendment (Vaping) Determination 2024 </w:t>
      </w:r>
      <w:r>
        <w:rPr>
          <w:rFonts w:eastAsia="Times New Roman"/>
          <w:sz w:val="22"/>
          <w:szCs w:val="22"/>
          <w:lang w:eastAsia="en-AU"/>
        </w:rPr>
        <w:t>(the Vaping Determination).</w:t>
      </w:r>
    </w:p>
    <w:p w14:paraId="66980E65" w14:textId="77777777" w:rsidR="00416482" w:rsidRDefault="00416482" w:rsidP="00416482">
      <w:pPr>
        <w:autoSpaceDE w:val="0"/>
        <w:autoSpaceDN w:val="0"/>
        <w:adjustRightInd w:val="0"/>
        <w:spacing w:after="0" w:line="240" w:lineRule="auto"/>
        <w:rPr>
          <w:rFonts w:eastAsia="Times New Roman"/>
          <w:sz w:val="22"/>
          <w:szCs w:val="22"/>
          <w:lang w:eastAsia="en-AU"/>
        </w:rPr>
      </w:pPr>
    </w:p>
    <w:p w14:paraId="726D2290" w14:textId="77777777" w:rsidR="00416482" w:rsidRDefault="00416482" w:rsidP="00416482">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 effect of the Sunscreen Determination was to update certain regulatory requirements that secondary sunscreen products must comply with to be excluded goods. Relevantly, the Sunscreen Determination amended section 7 of the Principal Determination to provide for a transitional arrangement for secondary sunscreen products that were excluded goods immediately before 1 July 2024. However, this transitional arrangement was inadvertently repealed by the Vaping Determination.</w:t>
      </w:r>
    </w:p>
    <w:p w14:paraId="5FD3E167" w14:textId="77777777" w:rsidR="00416482" w:rsidRDefault="00416482" w:rsidP="00416482">
      <w:pPr>
        <w:autoSpaceDE w:val="0"/>
        <w:autoSpaceDN w:val="0"/>
        <w:adjustRightInd w:val="0"/>
        <w:spacing w:after="0" w:line="240" w:lineRule="auto"/>
        <w:rPr>
          <w:rFonts w:eastAsia="Times New Roman"/>
          <w:sz w:val="22"/>
          <w:szCs w:val="22"/>
          <w:lang w:eastAsia="en-AU"/>
        </w:rPr>
      </w:pPr>
    </w:p>
    <w:p w14:paraId="5E7B0641" w14:textId="77777777" w:rsidR="00416482" w:rsidRDefault="00416482" w:rsidP="00416482">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w:t>
      </w:r>
      <w:r>
        <w:rPr>
          <w:rFonts w:eastAsia="Times New Roman"/>
          <w:i/>
          <w:iCs/>
          <w:sz w:val="22"/>
          <w:szCs w:val="22"/>
          <w:lang w:eastAsia="en-AU"/>
        </w:rPr>
        <w:t>Therapeutic Goods (Excluded Goods) Amendment Determination (No. 2) 2024</w:t>
      </w:r>
      <w:r>
        <w:rPr>
          <w:rFonts w:eastAsia="Times New Roman"/>
          <w:sz w:val="22"/>
          <w:szCs w:val="22"/>
          <w:lang w:eastAsia="en-AU"/>
        </w:rPr>
        <w:t xml:space="preserve"> (the Amendment Determination) amends the Principal Determination to correct this unintended repeal of the transitional arrangements relating to secondary sunscreens. The Amendment Determination does so by introducing new section 7 to the Principal Determination, which implements the 5-year transitional arrangement for secondary sunscreen products that was intended under the Sunscreen Determination. This amendment applies retrospectively from 1 July 2024, which is the date the transitional provisions were intended to commence under the Sunscreen Determination.</w:t>
      </w:r>
    </w:p>
    <w:p w14:paraId="606F2ED7" w14:textId="77777777" w:rsidR="00416482" w:rsidRPr="00E9726E" w:rsidRDefault="00416482" w:rsidP="002F2C38">
      <w:pPr>
        <w:autoSpaceDE w:val="0"/>
        <w:autoSpaceDN w:val="0"/>
        <w:adjustRightInd w:val="0"/>
        <w:spacing w:after="0" w:line="240" w:lineRule="auto"/>
        <w:rPr>
          <w:rFonts w:eastAsia="Times New Roman"/>
          <w:sz w:val="22"/>
          <w:szCs w:val="22"/>
          <w:lang w:eastAsia="en-AU"/>
        </w:rPr>
      </w:pPr>
    </w:p>
    <w:p w14:paraId="1A5355FC" w14:textId="77777777" w:rsidR="002F2C38" w:rsidRPr="002F2C38" w:rsidRDefault="002F2C38" w:rsidP="002F2C38">
      <w:pPr>
        <w:keepNext/>
        <w:autoSpaceDE w:val="0"/>
        <w:autoSpaceDN w:val="0"/>
        <w:adjustRightInd w:val="0"/>
        <w:spacing w:after="0" w:line="240" w:lineRule="auto"/>
        <w:rPr>
          <w:rFonts w:eastAsia="Times New Roman"/>
          <w:b/>
          <w:i/>
          <w:iCs/>
          <w:sz w:val="22"/>
          <w:szCs w:val="22"/>
          <w:lang w:eastAsia="en-AU"/>
        </w:rPr>
      </w:pPr>
      <w:r w:rsidRPr="002F2C38">
        <w:rPr>
          <w:rFonts w:eastAsia="Times New Roman"/>
          <w:b/>
          <w:i/>
          <w:iCs/>
          <w:sz w:val="22"/>
          <w:szCs w:val="22"/>
          <w:lang w:eastAsia="en-AU"/>
        </w:rPr>
        <w:t>Background</w:t>
      </w:r>
    </w:p>
    <w:p w14:paraId="0A165E18" w14:textId="77777777" w:rsidR="002F2C38" w:rsidRPr="00E9726E" w:rsidRDefault="002F2C38" w:rsidP="002F2C38">
      <w:pPr>
        <w:keepNext/>
        <w:autoSpaceDE w:val="0"/>
        <w:autoSpaceDN w:val="0"/>
        <w:adjustRightInd w:val="0"/>
        <w:spacing w:after="0" w:line="240" w:lineRule="auto"/>
        <w:rPr>
          <w:rFonts w:eastAsia="Times New Roman"/>
          <w:b/>
          <w:sz w:val="22"/>
          <w:szCs w:val="22"/>
          <w:lang w:eastAsia="en-AU"/>
        </w:rPr>
      </w:pPr>
    </w:p>
    <w:p w14:paraId="47F915CC" w14:textId="77777777" w:rsidR="00416482" w:rsidRDefault="00416482" w:rsidP="00416482">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 Principal Determination, which is made under section 7AA of the Act, determines specified goods, including specified goods when used, advertised, or presented for supply in a specified way, to be excluded goods for the purposes of the Act.</w:t>
      </w:r>
    </w:p>
    <w:p w14:paraId="39C62095" w14:textId="77777777" w:rsidR="00416482" w:rsidRDefault="00416482" w:rsidP="00416482">
      <w:pPr>
        <w:autoSpaceDE w:val="0"/>
        <w:autoSpaceDN w:val="0"/>
        <w:adjustRightInd w:val="0"/>
        <w:spacing w:after="0" w:line="240" w:lineRule="auto"/>
        <w:rPr>
          <w:rFonts w:eastAsia="Times New Roman"/>
          <w:sz w:val="22"/>
          <w:szCs w:val="22"/>
          <w:lang w:eastAsia="en-AU"/>
        </w:rPr>
      </w:pPr>
    </w:p>
    <w:p w14:paraId="00DCB612" w14:textId="77777777" w:rsidR="00416482" w:rsidRDefault="00416482" w:rsidP="00416482">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lastRenderedPageBreak/>
        <w:t>Some secondary sunscreen products are excluded goods for the purposes of the Act if they comply with certain conditions specified in the Principal Determination (table items 14 and 15 in Schedule 1, and table items 5 and 10 in Schedule 2, to the Principal Determination refer). Secondary sunscreens are products that are represented as having a primary function other than sun protection (e.g., moisturisers, foundations, and lip balms) that also provide some protection of the skin from ultraviolet (UV) radiation.</w:t>
      </w:r>
    </w:p>
    <w:p w14:paraId="2E417E06" w14:textId="77777777" w:rsidR="00416482" w:rsidRDefault="00416482" w:rsidP="00416482">
      <w:pPr>
        <w:autoSpaceDE w:val="0"/>
        <w:autoSpaceDN w:val="0"/>
        <w:adjustRightInd w:val="0"/>
        <w:spacing w:after="0" w:line="240" w:lineRule="auto"/>
        <w:rPr>
          <w:rFonts w:eastAsia="Times New Roman"/>
          <w:sz w:val="22"/>
          <w:szCs w:val="22"/>
          <w:lang w:eastAsia="en-AU"/>
        </w:rPr>
      </w:pPr>
    </w:p>
    <w:p w14:paraId="218C6979" w14:textId="77777777" w:rsidR="00416482" w:rsidRDefault="00416482" w:rsidP="00416482">
      <w:pPr>
        <w:widowControl w:val="0"/>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On 1 July 2024, the Sunscreen Determination amended the Principal Determination to, in effect, update the testing and (certain) labelling requirements that secondary sunscreen products must comply with to be excluded goods. </w:t>
      </w:r>
    </w:p>
    <w:p w14:paraId="22B71C44" w14:textId="77777777" w:rsidR="00416482" w:rsidRDefault="00416482" w:rsidP="00416482">
      <w:pPr>
        <w:widowControl w:val="0"/>
        <w:autoSpaceDE w:val="0"/>
        <w:autoSpaceDN w:val="0"/>
        <w:adjustRightInd w:val="0"/>
        <w:spacing w:after="0" w:line="240" w:lineRule="auto"/>
        <w:rPr>
          <w:rFonts w:eastAsia="Times New Roman"/>
          <w:sz w:val="22"/>
          <w:szCs w:val="22"/>
          <w:lang w:eastAsia="en-AU"/>
        </w:rPr>
      </w:pPr>
    </w:p>
    <w:p w14:paraId="65C41B9A" w14:textId="77777777" w:rsidR="00416482" w:rsidRDefault="00416482" w:rsidP="00416482">
      <w:pPr>
        <w:widowControl w:val="0"/>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Relevantly, the Sunscreen Standard amended section 7 of the Principal Determination to provide for a 5-year transitional arrangement for secondary sunscreen products that were excluded goods immediately before 1 July 2024 (the sunscreen transitional arrangement). The effect of this arrangement is that secondary sunscreen products would continue to be excluded goods until 1 July 2029, provided they comply with the testing and labelling requirements in either the 2012 Standard or the 2021 Standard.</w:t>
      </w:r>
    </w:p>
    <w:p w14:paraId="2F63E2A9" w14:textId="77777777" w:rsidR="00416482" w:rsidRDefault="00416482" w:rsidP="00416482">
      <w:pPr>
        <w:autoSpaceDE w:val="0"/>
        <w:autoSpaceDN w:val="0"/>
        <w:adjustRightInd w:val="0"/>
        <w:spacing w:after="0" w:line="240" w:lineRule="auto"/>
        <w:rPr>
          <w:rFonts w:eastAsia="Times New Roman"/>
          <w:sz w:val="22"/>
          <w:szCs w:val="22"/>
          <w:lang w:eastAsia="en-AU"/>
        </w:rPr>
      </w:pPr>
    </w:p>
    <w:p w14:paraId="25FB4B5B" w14:textId="77777777" w:rsidR="00416482" w:rsidRDefault="00416482" w:rsidP="00416482">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Prior to this amendment in the Sunscreen Determination, section 7 of the Principal Determination provided a transitional arrangement for certain vaping devices (the vaping devices transitional arrangement). The vaping devices transitional arrangement was repealed on 1 July 2024 by the Vaping Determination. However, the Vaping Determination erroneously repealed section 7 of the Principal Determination in its entirety and, in doing so, inadvertently also repealed the sunscreen transitional arrangement.</w:t>
      </w:r>
    </w:p>
    <w:p w14:paraId="6BD741AE" w14:textId="77777777" w:rsidR="00416482" w:rsidRPr="00E9726E" w:rsidRDefault="00416482" w:rsidP="002F2C38">
      <w:pPr>
        <w:autoSpaceDE w:val="0"/>
        <w:autoSpaceDN w:val="0"/>
        <w:adjustRightInd w:val="0"/>
        <w:spacing w:after="0" w:line="240" w:lineRule="auto"/>
        <w:rPr>
          <w:rFonts w:eastAsia="Times New Roman"/>
          <w:bCs/>
          <w:sz w:val="22"/>
          <w:szCs w:val="22"/>
          <w:lang w:eastAsia="en-AU"/>
        </w:rPr>
      </w:pPr>
    </w:p>
    <w:p w14:paraId="756214B8" w14:textId="77777777" w:rsidR="002F2C38" w:rsidRPr="002F2C38" w:rsidRDefault="002F2C38" w:rsidP="002F2C38">
      <w:pPr>
        <w:keepNext/>
        <w:autoSpaceDE w:val="0"/>
        <w:autoSpaceDN w:val="0"/>
        <w:adjustRightInd w:val="0"/>
        <w:spacing w:after="0" w:line="240" w:lineRule="auto"/>
        <w:rPr>
          <w:rFonts w:eastAsia="Times New Roman"/>
          <w:b/>
          <w:i/>
          <w:iCs/>
          <w:sz w:val="22"/>
          <w:szCs w:val="22"/>
          <w:lang w:eastAsia="en-AU"/>
        </w:rPr>
      </w:pPr>
      <w:r w:rsidRPr="002F2C38">
        <w:rPr>
          <w:rFonts w:eastAsia="Times New Roman"/>
          <w:b/>
          <w:i/>
          <w:iCs/>
          <w:sz w:val="22"/>
          <w:szCs w:val="22"/>
          <w:lang w:eastAsia="en-AU"/>
        </w:rPr>
        <w:t>Purpose</w:t>
      </w:r>
    </w:p>
    <w:p w14:paraId="4EC1C091" w14:textId="77777777" w:rsidR="002F2C38" w:rsidRDefault="002F2C38" w:rsidP="002F2C38">
      <w:pPr>
        <w:keepNext/>
        <w:autoSpaceDE w:val="0"/>
        <w:autoSpaceDN w:val="0"/>
        <w:adjustRightInd w:val="0"/>
        <w:spacing w:after="0" w:line="240" w:lineRule="auto"/>
        <w:rPr>
          <w:rFonts w:eastAsia="Times New Roman"/>
          <w:sz w:val="22"/>
          <w:szCs w:val="22"/>
          <w:lang w:eastAsia="en-AU"/>
        </w:rPr>
      </w:pPr>
    </w:p>
    <w:p w14:paraId="4E5209F1" w14:textId="77777777" w:rsidR="00416482" w:rsidRDefault="00416482" w:rsidP="00416482">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Amendment Determination amends the Principal Determination to introduce new section 7, which makes provision for the sunscreen transitional arrangement that was inadvertently repealed by the Vaping Determination. The effect of new section 7 is </w:t>
      </w:r>
      <w:proofErr w:type="gramStart"/>
      <w:r>
        <w:rPr>
          <w:rFonts w:eastAsia="Times New Roman"/>
          <w:sz w:val="22"/>
          <w:szCs w:val="22"/>
          <w:lang w:eastAsia="en-AU"/>
        </w:rPr>
        <w:t>exactly the same</w:t>
      </w:r>
      <w:proofErr w:type="gramEnd"/>
      <w:r>
        <w:rPr>
          <w:rFonts w:eastAsia="Times New Roman"/>
          <w:sz w:val="22"/>
          <w:szCs w:val="22"/>
          <w:lang w:eastAsia="en-AU"/>
        </w:rPr>
        <w:t xml:space="preserve"> as the transitional arrangement set out in the Sunscreen Determination.</w:t>
      </w:r>
    </w:p>
    <w:p w14:paraId="3C544861" w14:textId="77777777" w:rsidR="00416482" w:rsidRDefault="00416482" w:rsidP="00416482">
      <w:pPr>
        <w:autoSpaceDE w:val="0"/>
        <w:autoSpaceDN w:val="0"/>
        <w:adjustRightInd w:val="0"/>
        <w:spacing w:after="0" w:line="240" w:lineRule="auto"/>
        <w:rPr>
          <w:rFonts w:eastAsia="Times New Roman"/>
          <w:sz w:val="22"/>
          <w:szCs w:val="22"/>
          <w:lang w:eastAsia="en-AU"/>
        </w:rPr>
      </w:pPr>
    </w:p>
    <w:p w14:paraId="08698550" w14:textId="77777777" w:rsidR="00416482" w:rsidRDefault="00416482" w:rsidP="00416482">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That is, new section 7 of the Principal Determination provides that items 14 and 15 of the table in Schedule 1 and items 5 and 10 of the table in Schedule 2, as in force immediately before the commencement of the Sunscreen Determination, continue to apply to goods covered by those items if:</w:t>
      </w:r>
    </w:p>
    <w:p w14:paraId="532BF9E5" w14:textId="77777777" w:rsidR="00416482" w:rsidRDefault="00416482" w:rsidP="00416482">
      <w:pPr>
        <w:pStyle w:val="ListParagraph"/>
        <w:widowControl w:val="0"/>
        <w:numPr>
          <w:ilvl w:val="0"/>
          <w:numId w:val="26"/>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the goods were excluded goods under those items on 30 June 2024; and</w:t>
      </w:r>
    </w:p>
    <w:p w14:paraId="591EA9FF" w14:textId="77777777" w:rsidR="00416482" w:rsidRDefault="00416482" w:rsidP="00416482">
      <w:pPr>
        <w:pStyle w:val="ListParagraph"/>
        <w:widowControl w:val="0"/>
        <w:numPr>
          <w:ilvl w:val="0"/>
          <w:numId w:val="26"/>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paragraph (b) in column 2 of each of those items, as in force immediately before the commencement of the Sunscreen Determination, applies to the goods; and</w:t>
      </w:r>
    </w:p>
    <w:p w14:paraId="086C7362" w14:textId="77777777" w:rsidR="00416482" w:rsidRDefault="00416482" w:rsidP="00416482">
      <w:pPr>
        <w:pStyle w:val="ListParagraph"/>
        <w:widowControl w:val="0"/>
        <w:numPr>
          <w:ilvl w:val="0"/>
          <w:numId w:val="26"/>
        </w:num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the goods are imported, </w:t>
      </w:r>
      <w:proofErr w:type="gramStart"/>
      <w:r>
        <w:rPr>
          <w:rFonts w:eastAsia="Times New Roman"/>
          <w:sz w:val="22"/>
          <w:szCs w:val="22"/>
          <w:lang w:eastAsia="en-AU"/>
        </w:rPr>
        <w:t>manufactured</w:t>
      </w:r>
      <w:proofErr w:type="gramEnd"/>
      <w:r>
        <w:rPr>
          <w:rFonts w:eastAsia="Times New Roman"/>
          <w:sz w:val="22"/>
          <w:szCs w:val="22"/>
          <w:lang w:eastAsia="en-AU"/>
        </w:rPr>
        <w:t xml:space="preserve"> or supplied before 1 July 2029.</w:t>
      </w:r>
    </w:p>
    <w:p w14:paraId="43931E9D" w14:textId="77777777" w:rsidR="00416482" w:rsidRDefault="00416482" w:rsidP="00416482">
      <w:pPr>
        <w:widowControl w:val="0"/>
        <w:autoSpaceDE w:val="0"/>
        <w:autoSpaceDN w:val="0"/>
        <w:adjustRightInd w:val="0"/>
        <w:spacing w:after="0" w:line="240" w:lineRule="auto"/>
        <w:rPr>
          <w:rFonts w:eastAsia="Times New Roman"/>
          <w:sz w:val="22"/>
          <w:szCs w:val="22"/>
          <w:lang w:eastAsia="en-AU"/>
        </w:rPr>
      </w:pPr>
    </w:p>
    <w:p w14:paraId="7E0A46B9" w14:textId="77777777" w:rsidR="00416482" w:rsidRDefault="00416482" w:rsidP="00416482">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In effect, new section 7 provides for a 5-year transitional arrangement for secondary sunscreen products that were excluded goods under the Principal Determination immediately before 1 July 2024. During this period, such products can continue to be excluded goods if they comply with the specified requirements of either the 2012 Standard or the 2021 Standard.</w:t>
      </w:r>
    </w:p>
    <w:p w14:paraId="6B48114E" w14:textId="77777777" w:rsidR="00416482" w:rsidRDefault="00416482" w:rsidP="00416482">
      <w:pPr>
        <w:autoSpaceDE w:val="0"/>
        <w:autoSpaceDN w:val="0"/>
        <w:adjustRightInd w:val="0"/>
        <w:spacing w:after="0" w:line="240" w:lineRule="auto"/>
        <w:rPr>
          <w:rFonts w:eastAsia="Times New Roman"/>
          <w:sz w:val="22"/>
          <w:szCs w:val="22"/>
          <w:lang w:eastAsia="en-AU"/>
        </w:rPr>
      </w:pPr>
    </w:p>
    <w:p w14:paraId="46CCBEF8" w14:textId="77777777" w:rsidR="00416482" w:rsidRDefault="00416482" w:rsidP="00416482">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After 1 July 2024, new secondary sunscreen products will need to comply with the 2021 Standard. All secondary sunscreen products that are imported, manufactured, or supplied from 1 July 2029 must comply with the 2021 Standard.</w:t>
      </w:r>
    </w:p>
    <w:p w14:paraId="37C6FDA5" w14:textId="77777777" w:rsidR="00416482" w:rsidRDefault="00416482" w:rsidP="00416482">
      <w:pPr>
        <w:autoSpaceDE w:val="0"/>
        <w:autoSpaceDN w:val="0"/>
        <w:adjustRightInd w:val="0"/>
        <w:spacing w:after="0" w:line="240" w:lineRule="auto"/>
        <w:rPr>
          <w:rFonts w:eastAsia="Times New Roman"/>
          <w:sz w:val="22"/>
          <w:szCs w:val="22"/>
          <w:lang w:eastAsia="en-AU"/>
        </w:rPr>
      </w:pPr>
    </w:p>
    <w:p w14:paraId="67FD7CB4" w14:textId="77777777" w:rsidR="00416482" w:rsidRPr="00F96EDA" w:rsidRDefault="00416482" w:rsidP="00416482">
      <w:pPr>
        <w:autoSpaceDE w:val="0"/>
        <w:autoSpaceDN w:val="0"/>
        <w:adjustRightInd w:val="0"/>
        <w:spacing w:after="0" w:line="240" w:lineRule="auto"/>
        <w:rPr>
          <w:rFonts w:eastAsia="Times New Roman"/>
          <w:sz w:val="22"/>
          <w:szCs w:val="22"/>
          <w:lang w:eastAsia="en-AU"/>
        </w:rPr>
      </w:pPr>
      <w:r>
        <w:rPr>
          <w:rFonts w:eastAsia="Times New Roman"/>
          <w:sz w:val="22"/>
          <w:szCs w:val="22"/>
          <w:lang w:eastAsia="en-AU"/>
        </w:rPr>
        <w:t xml:space="preserve">Importantly, the sunscreen transitional arrangement does not apply to secondary sunscreen products that comply with the </w:t>
      </w:r>
      <w:r>
        <w:rPr>
          <w:rFonts w:eastAsia="Times New Roman"/>
          <w:i/>
          <w:iCs/>
          <w:sz w:val="22"/>
          <w:szCs w:val="22"/>
          <w:lang w:eastAsia="en-AU"/>
        </w:rPr>
        <w:t xml:space="preserve">AS/NZS 2604:1998 Sunscreen products – Evaluation and classification </w:t>
      </w:r>
      <w:r>
        <w:rPr>
          <w:rFonts w:eastAsia="Times New Roman"/>
          <w:sz w:val="22"/>
          <w:szCs w:val="22"/>
          <w:lang w:eastAsia="en-AU"/>
        </w:rPr>
        <w:t>(the 2018 Standard). Consequently, secondary sunscreen products that comply with the 2018 Standard are no longer excluded goods for the purposes of the Act.</w:t>
      </w:r>
    </w:p>
    <w:p w14:paraId="094CBFD4" w14:textId="77777777" w:rsidR="00CF4D5D" w:rsidRPr="00E9726E" w:rsidRDefault="00CF4D5D" w:rsidP="000B31F9">
      <w:pPr>
        <w:spacing w:after="0" w:line="240" w:lineRule="auto"/>
        <w:rPr>
          <w:rFonts w:eastAsia="Times New Roman"/>
          <w:bCs/>
          <w:sz w:val="22"/>
          <w:szCs w:val="22"/>
          <w:lang w:eastAsia="en-AU"/>
        </w:rPr>
      </w:pPr>
    </w:p>
    <w:p w14:paraId="788FD88D" w14:textId="77777777" w:rsidR="00E744B0" w:rsidRPr="00E9726E" w:rsidRDefault="00E744B0" w:rsidP="0072456A">
      <w:pPr>
        <w:keepNext/>
        <w:spacing w:after="0" w:line="240" w:lineRule="auto"/>
        <w:rPr>
          <w:rFonts w:eastAsia="Times New Roman"/>
          <w:b/>
          <w:sz w:val="22"/>
          <w:szCs w:val="22"/>
          <w:lang w:eastAsia="en-AU"/>
        </w:rPr>
      </w:pPr>
      <w:r w:rsidRPr="00E9726E">
        <w:rPr>
          <w:rFonts w:eastAsia="Times New Roman"/>
          <w:b/>
          <w:sz w:val="22"/>
          <w:szCs w:val="22"/>
          <w:lang w:eastAsia="en-AU"/>
        </w:rPr>
        <w:lastRenderedPageBreak/>
        <w:t>Human rights implications</w:t>
      </w:r>
    </w:p>
    <w:p w14:paraId="4173A14B" w14:textId="77777777" w:rsidR="00E744B0" w:rsidRPr="00E9726E" w:rsidRDefault="00E744B0" w:rsidP="0072456A">
      <w:pPr>
        <w:keepNext/>
        <w:spacing w:after="0" w:line="240" w:lineRule="auto"/>
        <w:rPr>
          <w:rFonts w:eastAsia="Times New Roman"/>
          <w:sz w:val="22"/>
          <w:szCs w:val="22"/>
          <w:lang w:eastAsia="en-AU"/>
        </w:rPr>
      </w:pPr>
    </w:p>
    <w:p w14:paraId="56F18AAF" w14:textId="6AF6175B" w:rsidR="00E744B0" w:rsidRDefault="004A5FC0" w:rsidP="004A5FC0">
      <w:pPr>
        <w:spacing w:after="0" w:line="240" w:lineRule="auto"/>
        <w:rPr>
          <w:rFonts w:eastAsia="Times New Roman"/>
          <w:sz w:val="22"/>
          <w:szCs w:val="22"/>
          <w:lang w:eastAsia="en-AU"/>
        </w:rPr>
      </w:pPr>
      <w:r>
        <w:rPr>
          <w:rFonts w:eastAsia="Times New Roman"/>
          <w:sz w:val="22"/>
          <w:szCs w:val="22"/>
          <w:lang w:eastAsia="en-AU"/>
        </w:rPr>
        <w:t xml:space="preserve">As the Amendment Determination simply </w:t>
      </w:r>
      <w:r w:rsidR="006A33C8">
        <w:rPr>
          <w:rFonts w:eastAsia="Times New Roman"/>
          <w:sz w:val="22"/>
          <w:szCs w:val="22"/>
          <w:lang w:eastAsia="en-AU"/>
        </w:rPr>
        <w:t xml:space="preserve">re-introduces a provision </w:t>
      </w:r>
      <w:r w:rsidR="00FF7758">
        <w:rPr>
          <w:rFonts w:eastAsia="Times New Roman"/>
          <w:sz w:val="22"/>
          <w:szCs w:val="22"/>
          <w:lang w:eastAsia="en-AU"/>
        </w:rPr>
        <w:t>in the Principal Determination</w:t>
      </w:r>
      <w:r w:rsidR="00C65C58">
        <w:rPr>
          <w:rFonts w:eastAsia="Times New Roman"/>
          <w:sz w:val="22"/>
          <w:szCs w:val="22"/>
          <w:lang w:eastAsia="en-AU"/>
        </w:rPr>
        <w:t xml:space="preserve"> that was </w:t>
      </w:r>
      <w:r w:rsidR="006A33C8">
        <w:rPr>
          <w:rFonts w:eastAsia="Times New Roman"/>
          <w:sz w:val="22"/>
          <w:szCs w:val="22"/>
          <w:lang w:eastAsia="en-AU"/>
        </w:rPr>
        <w:t xml:space="preserve">inadvertently repealed </w:t>
      </w:r>
      <w:r w:rsidR="00C65C58">
        <w:rPr>
          <w:rFonts w:eastAsia="Times New Roman"/>
          <w:sz w:val="22"/>
          <w:szCs w:val="22"/>
          <w:lang w:eastAsia="en-AU"/>
        </w:rPr>
        <w:t>by a separate legislative instrument</w:t>
      </w:r>
      <w:r>
        <w:rPr>
          <w:rFonts w:eastAsia="Times New Roman"/>
          <w:sz w:val="22"/>
          <w:szCs w:val="22"/>
          <w:lang w:eastAsia="en-AU"/>
        </w:rPr>
        <w:t>, the</w:t>
      </w:r>
      <w:r w:rsidR="00E744B0" w:rsidRPr="00E9726E">
        <w:rPr>
          <w:rFonts w:eastAsia="Times New Roman"/>
          <w:sz w:val="22"/>
          <w:szCs w:val="22"/>
          <w:lang w:eastAsia="en-AU"/>
        </w:rPr>
        <w:t xml:space="preserve"> </w:t>
      </w:r>
      <w:r w:rsidR="002D0A2B" w:rsidRPr="00E9726E">
        <w:rPr>
          <w:rFonts w:eastAsia="Times New Roman"/>
          <w:sz w:val="22"/>
          <w:szCs w:val="22"/>
          <w:lang w:eastAsia="en-AU"/>
        </w:rPr>
        <w:t xml:space="preserve">Amendment </w:t>
      </w:r>
      <w:r w:rsidR="00BA2EE9" w:rsidRPr="00E9726E">
        <w:rPr>
          <w:rFonts w:eastAsia="Times New Roman"/>
          <w:sz w:val="22"/>
          <w:szCs w:val="22"/>
          <w:lang w:eastAsia="en-AU"/>
        </w:rPr>
        <w:t>Determination</w:t>
      </w:r>
      <w:r w:rsidR="00E744B0" w:rsidRPr="00E9726E">
        <w:rPr>
          <w:rFonts w:eastAsia="Times New Roman"/>
          <w:sz w:val="22"/>
          <w:szCs w:val="22"/>
          <w:lang w:eastAsia="en-AU"/>
        </w:rPr>
        <w:t xml:space="preserve"> </w:t>
      </w:r>
      <w:r w:rsidR="00B95BEE">
        <w:rPr>
          <w:rFonts w:eastAsia="Times New Roman"/>
          <w:sz w:val="22"/>
          <w:szCs w:val="22"/>
          <w:lang w:eastAsia="en-AU"/>
        </w:rPr>
        <w:t xml:space="preserve">does not engage any </w:t>
      </w:r>
      <w:r>
        <w:rPr>
          <w:rFonts w:eastAsia="Times New Roman"/>
          <w:sz w:val="22"/>
          <w:szCs w:val="22"/>
          <w:lang w:eastAsia="en-AU"/>
        </w:rPr>
        <w:t xml:space="preserve">applicable rights or freedoms. </w:t>
      </w:r>
    </w:p>
    <w:p w14:paraId="797AD1E9" w14:textId="77777777" w:rsidR="004A5FC0" w:rsidRPr="00E9726E" w:rsidRDefault="004A5FC0" w:rsidP="004A5FC0">
      <w:pPr>
        <w:spacing w:after="0" w:line="240" w:lineRule="auto"/>
        <w:rPr>
          <w:rFonts w:eastAsia="Times New Roman"/>
          <w:bCs/>
          <w:sz w:val="22"/>
          <w:szCs w:val="22"/>
          <w:lang w:eastAsia="en-AU"/>
        </w:rPr>
      </w:pPr>
    </w:p>
    <w:p w14:paraId="65A01B90" w14:textId="07154B2C" w:rsidR="001E51F5" w:rsidRPr="00E9726E" w:rsidRDefault="001E51F5" w:rsidP="000B31F9">
      <w:pPr>
        <w:keepNext/>
        <w:spacing w:after="0" w:line="240" w:lineRule="auto"/>
        <w:rPr>
          <w:rFonts w:eastAsia="Times New Roman"/>
          <w:b/>
          <w:sz w:val="22"/>
          <w:szCs w:val="22"/>
          <w:lang w:eastAsia="en-AU"/>
        </w:rPr>
      </w:pPr>
      <w:r w:rsidRPr="00E9726E">
        <w:rPr>
          <w:rFonts w:eastAsia="Times New Roman"/>
          <w:b/>
          <w:sz w:val="22"/>
          <w:szCs w:val="22"/>
          <w:lang w:eastAsia="en-AU"/>
        </w:rPr>
        <w:t>Conclusion</w:t>
      </w:r>
    </w:p>
    <w:p w14:paraId="53909F32" w14:textId="77777777" w:rsidR="00E744B0" w:rsidRPr="00E9726E" w:rsidRDefault="00E744B0" w:rsidP="000B31F9">
      <w:pPr>
        <w:keepNext/>
        <w:spacing w:after="0" w:line="240" w:lineRule="auto"/>
        <w:rPr>
          <w:rFonts w:eastAsia="Times New Roman"/>
          <w:sz w:val="22"/>
          <w:szCs w:val="22"/>
          <w:lang w:eastAsia="en-AU"/>
        </w:rPr>
      </w:pPr>
    </w:p>
    <w:p w14:paraId="488DF4C4" w14:textId="65E24E66" w:rsidR="00EC29B8" w:rsidRPr="00E9726E" w:rsidRDefault="001E51F5" w:rsidP="000B31F9">
      <w:pPr>
        <w:keepNext/>
        <w:spacing w:after="0" w:line="240" w:lineRule="auto"/>
        <w:rPr>
          <w:rFonts w:eastAsia="Times New Roman"/>
          <w:b/>
          <w:bCs/>
          <w:sz w:val="22"/>
          <w:szCs w:val="22"/>
          <w:lang w:eastAsia="en-AU"/>
        </w:rPr>
      </w:pPr>
      <w:r w:rsidRPr="00E9726E">
        <w:rPr>
          <w:rFonts w:eastAsia="Times New Roman"/>
          <w:sz w:val="22"/>
          <w:szCs w:val="22"/>
          <w:lang w:eastAsia="en-AU"/>
        </w:rPr>
        <w:t>Th</w:t>
      </w:r>
      <w:r w:rsidR="00280B08" w:rsidRPr="00E9726E">
        <w:rPr>
          <w:rFonts w:eastAsia="Times New Roman"/>
          <w:sz w:val="22"/>
          <w:szCs w:val="22"/>
          <w:lang w:eastAsia="en-AU"/>
        </w:rPr>
        <w:t>e</w:t>
      </w:r>
      <w:r w:rsidRPr="00E9726E">
        <w:rPr>
          <w:rFonts w:eastAsia="Times New Roman"/>
          <w:sz w:val="22"/>
          <w:szCs w:val="22"/>
          <w:lang w:eastAsia="en-AU"/>
        </w:rPr>
        <w:t xml:space="preserve"> </w:t>
      </w:r>
      <w:r w:rsidR="00E744B0" w:rsidRPr="00E9726E">
        <w:rPr>
          <w:rFonts w:eastAsia="Times New Roman"/>
          <w:sz w:val="22"/>
          <w:szCs w:val="22"/>
          <w:lang w:eastAsia="en-AU"/>
        </w:rPr>
        <w:t xml:space="preserve">Amendment </w:t>
      </w:r>
      <w:r w:rsidR="00BA2EE9" w:rsidRPr="00E9726E">
        <w:rPr>
          <w:rFonts w:eastAsia="Times New Roman"/>
          <w:sz w:val="22"/>
          <w:szCs w:val="22"/>
          <w:lang w:eastAsia="en-AU"/>
        </w:rPr>
        <w:t xml:space="preserve">Determination </w:t>
      </w:r>
      <w:r w:rsidRPr="00E9726E">
        <w:rPr>
          <w:rFonts w:eastAsia="Times New Roman"/>
          <w:sz w:val="22"/>
          <w:szCs w:val="22"/>
          <w:lang w:eastAsia="en-AU"/>
        </w:rPr>
        <w:t xml:space="preserve">is compatible with human rights because it </w:t>
      </w:r>
      <w:r w:rsidR="004A5FC0">
        <w:rPr>
          <w:rFonts w:eastAsia="Times New Roman"/>
          <w:sz w:val="22"/>
          <w:szCs w:val="22"/>
          <w:lang w:eastAsia="en-AU"/>
        </w:rPr>
        <w:t>does not raise any human rights issues.</w:t>
      </w:r>
    </w:p>
    <w:sectPr w:rsidR="00EC29B8" w:rsidRPr="00E9726E" w:rsidSect="00464FC6">
      <w:headerReference w:type="even" r:id="rId8"/>
      <w:headerReference w:type="default" r:id="rId9"/>
      <w:footerReference w:type="default" r:id="rId10"/>
      <w:footerReference w:type="first" r:id="rId11"/>
      <w:pgSz w:w="11907" w:h="16840"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66A2F" w14:textId="77777777" w:rsidR="00452147" w:rsidRDefault="00452147">
      <w:pPr>
        <w:spacing w:after="0" w:line="240" w:lineRule="auto"/>
      </w:pPr>
      <w:r>
        <w:separator/>
      </w:r>
    </w:p>
  </w:endnote>
  <w:endnote w:type="continuationSeparator" w:id="0">
    <w:p w14:paraId="293ABEDA" w14:textId="77777777" w:rsidR="00452147" w:rsidRDefault="00452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789DE8DC" w14:textId="3B4819D6" w:rsidR="00120D81" w:rsidRPr="00BF658A" w:rsidRDefault="00120D81">
        <w:pPr>
          <w:pStyle w:val="Footer"/>
          <w:jc w:val="right"/>
          <w:rPr>
            <w:sz w:val="22"/>
            <w:szCs w:val="22"/>
          </w:rPr>
        </w:pPr>
        <w:r w:rsidRPr="00BF658A">
          <w:rPr>
            <w:sz w:val="22"/>
            <w:szCs w:val="22"/>
          </w:rPr>
          <w:fldChar w:fldCharType="begin"/>
        </w:r>
        <w:r w:rsidRPr="00BF658A">
          <w:rPr>
            <w:sz w:val="22"/>
            <w:szCs w:val="22"/>
          </w:rPr>
          <w:instrText xml:space="preserve"> PAGE   \* MERGEFORMAT </w:instrText>
        </w:r>
        <w:r w:rsidRPr="00BF658A">
          <w:rPr>
            <w:sz w:val="22"/>
            <w:szCs w:val="22"/>
          </w:rPr>
          <w:fldChar w:fldCharType="separate"/>
        </w:r>
        <w:r w:rsidR="00DE1408">
          <w:rPr>
            <w:noProof/>
            <w:sz w:val="22"/>
            <w:szCs w:val="22"/>
          </w:rPr>
          <w:t>6</w:t>
        </w:r>
        <w:r w:rsidRPr="00BF658A">
          <w:rPr>
            <w:noProof/>
            <w:sz w:val="22"/>
            <w:szCs w:val="22"/>
          </w:rPr>
          <w:fldChar w:fldCharType="end"/>
        </w:r>
      </w:p>
    </w:sdtContent>
  </w:sdt>
  <w:p w14:paraId="5CFB26B9" w14:textId="77777777" w:rsidR="00120D81" w:rsidRPr="00877529" w:rsidRDefault="00120D81" w:rsidP="00464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4D10" w14:textId="77777777" w:rsidR="00120D81" w:rsidRDefault="00120D81" w:rsidP="00464F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66175" w14:textId="77777777" w:rsidR="00452147" w:rsidRDefault="00452147">
      <w:pPr>
        <w:spacing w:after="0" w:line="240" w:lineRule="auto"/>
      </w:pPr>
      <w:r>
        <w:separator/>
      </w:r>
    </w:p>
  </w:footnote>
  <w:footnote w:type="continuationSeparator" w:id="0">
    <w:p w14:paraId="4FBECF0B" w14:textId="77777777" w:rsidR="00452147" w:rsidRDefault="00452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408B" w14:textId="77777777" w:rsidR="00120D81" w:rsidRDefault="00120D81" w:rsidP="0046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0DCC9E" w14:textId="77777777" w:rsidR="00120D81" w:rsidRDefault="00120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099A" w14:textId="77777777" w:rsidR="00120D81" w:rsidRDefault="00120D81" w:rsidP="00464FC6">
    <w:pPr>
      <w:pStyle w:val="Header"/>
      <w:tabs>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095"/>
    <w:multiLevelType w:val="hybridMultilevel"/>
    <w:tmpl w:val="56521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B6008F"/>
    <w:multiLevelType w:val="hybridMultilevel"/>
    <w:tmpl w:val="1CBA6BF0"/>
    <w:lvl w:ilvl="0" w:tplc="C31EC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D056E8"/>
    <w:multiLevelType w:val="hybridMultilevel"/>
    <w:tmpl w:val="ABA8D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1E100C"/>
    <w:multiLevelType w:val="hybridMultilevel"/>
    <w:tmpl w:val="1CBA6B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36764B"/>
    <w:multiLevelType w:val="hybridMultilevel"/>
    <w:tmpl w:val="F3548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BD7DA7"/>
    <w:multiLevelType w:val="hybridMultilevel"/>
    <w:tmpl w:val="10C24886"/>
    <w:lvl w:ilvl="0" w:tplc="996C35D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807493"/>
    <w:multiLevelType w:val="hybridMultilevel"/>
    <w:tmpl w:val="E6BC5E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603704"/>
    <w:multiLevelType w:val="hybridMultilevel"/>
    <w:tmpl w:val="B6CEAA32"/>
    <w:lvl w:ilvl="0" w:tplc="BA7A6A5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885064"/>
    <w:multiLevelType w:val="hybridMultilevel"/>
    <w:tmpl w:val="BEB4B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F21A37"/>
    <w:multiLevelType w:val="hybridMultilevel"/>
    <w:tmpl w:val="6FCA31C4"/>
    <w:lvl w:ilvl="0" w:tplc="05E6A55E">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7A4AA1"/>
    <w:multiLevelType w:val="hybridMultilevel"/>
    <w:tmpl w:val="6DB40AD6"/>
    <w:lvl w:ilvl="0" w:tplc="F95CF9BC">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1E359CD"/>
    <w:multiLevelType w:val="hybridMultilevel"/>
    <w:tmpl w:val="B16CF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363BC3"/>
    <w:multiLevelType w:val="hybridMultilevel"/>
    <w:tmpl w:val="AFFCD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D90700"/>
    <w:multiLevelType w:val="hybridMultilevel"/>
    <w:tmpl w:val="72466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EF789C"/>
    <w:multiLevelType w:val="hybridMultilevel"/>
    <w:tmpl w:val="9AECCB32"/>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5" w15:restartNumberingAfterBreak="0">
    <w:nsid w:val="51FF6383"/>
    <w:multiLevelType w:val="hybridMultilevel"/>
    <w:tmpl w:val="AB1E3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0054EC"/>
    <w:multiLevelType w:val="hybridMultilevel"/>
    <w:tmpl w:val="2C924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EF0DF2"/>
    <w:multiLevelType w:val="hybridMultilevel"/>
    <w:tmpl w:val="40A8B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357F72"/>
    <w:multiLevelType w:val="hybridMultilevel"/>
    <w:tmpl w:val="3384A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B74D0F"/>
    <w:multiLevelType w:val="hybridMultilevel"/>
    <w:tmpl w:val="01D8F6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5F2302B"/>
    <w:multiLevelType w:val="hybridMultilevel"/>
    <w:tmpl w:val="D764D36E"/>
    <w:lvl w:ilvl="0" w:tplc="609EE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10208C"/>
    <w:multiLevelType w:val="hybridMultilevel"/>
    <w:tmpl w:val="AB36EC12"/>
    <w:lvl w:ilvl="0" w:tplc="F0F462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72420C8"/>
    <w:multiLevelType w:val="hybridMultilevel"/>
    <w:tmpl w:val="C39CD6BA"/>
    <w:lvl w:ilvl="0" w:tplc="35F42E8C">
      <w:start w:val="1"/>
      <w:numFmt w:val="bullet"/>
      <w:lvlText w:val=""/>
      <w:lvlJc w:val="left"/>
      <w:pPr>
        <w:ind w:left="720" w:hanging="360"/>
      </w:pPr>
      <w:rPr>
        <w:rFonts w:ascii="Symbol" w:hAnsi="Symbol"/>
      </w:rPr>
    </w:lvl>
    <w:lvl w:ilvl="1" w:tplc="314EE6F6">
      <w:start w:val="1"/>
      <w:numFmt w:val="bullet"/>
      <w:lvlText w:val=""/>
      <w:lvlJc w:val="left"/>
      <w:pPr>
        <w:ind w:left="720" w:hanging="360"/>
      </w:pPr>
      <w:rPr>
        <w:rFonts w:ascii="Symbol" w:hAnsi="Symbol"/>
      </w:rPr>
    </w:lvl>
    <w:lvl w:ilvl="2" w:tplc="01EC3DDA">
      <w:start w:val="1"/>
      <w:numFmt w:val="bullet"/>
      <w:lvlText w:val=""/>
      <w:lvlJc w:val="left"/>
      <w:pPr>
        <w:ind w:left="720" w:hanging="360"/>
      </w:pPr>
      <w:rPr>
        <w:rFonts w:ascii="Symbol" w:hAnsi="Symbol"/>
      </w:rPr>
    </w:lvl>
    <w:lvl w:ilvl="3" w:tplc="4CDC2A32">
      <w:start w:val="1"/>
      <w:numFmt w:val="bullet"/>
      <w:lvlText w:val=""/>
      <w:lvlJc w:val="left"/>
      <w:pPr>
        <w:ind w:left="720" w:hanging="360"/>
      </w:pPr>
      <w:rPr>
        <w:rFonts w:ascii="Symbol" w:hAnsi="Symbol"/>
      </w:rPr>
    </w:lvl>
    <w:lvl w:ilvl="4" w:tplc="274E3D26">
      <w:start w:val="1"/>
      <w:numFmt w:val="bullet"/>
      <w:lvlText w:val=""/>
      <w:lvlJc w:val="left"/>
      <w:pPr>
        <w:ind w:left="720" w:hanging="360"/>
      </w:pPr>
      <w:rPr>
        <w:rFonts w:ascii="Symbol" w:hAnsi="Symbol"/>
      </w:rPr>
    </w:lvl>
    <w:lvl w:ilvl="5" w:tplc="5D30919E">
      <w:start w:val="1"/>
      <w:numFmt w:val="bullet"/>
      <w:lvlText w:val=""/>
      <w:lvlJc w:val="left"/>
      <w:pPr>
        <w:ind w:left="720" w:hanging="360"/>
      </w:pPr>
      <w:rPr>
        <w:rFonts w:ascii="Symbol" w:hAnsi="Symbol"/>
      </w:rPr>
    </w:lvl>
    <w:lvl w:ilvl="6" w:tplc="03703252">
      <w:start w:val="1"/>
      <w:numFmt w:val="bullet"/>
      <w:lvlText w:val=""/>
      <w:lvlJc w:val="left"/>
      <w:pPr>
        <w:ind w:left="720" w:hanging="360"/>
      </w:pPr>
      <w:rPr>
        <w:rFonts w:ascii="Symbol" w:hAnsi="Symbol"/>
      </w:rPr>
    </w:lvl>
    <w:lvl w:ilvl="7" w:tplc="FB9A0444">
      <w:start w:val="1"/>
      <w:numFmt w:val="bullet"/>
      <w:lvlText w:val=""/>
      <w:lvlJc w:val="left"/>
      <w:pPr>
        <w:ind w:left="720" w:hanging="360"/>
      </w:pPr>
      <w:rPr>
        <w:rFonts w:ascii="Symbol" w:hAnsi="Symbol"/>
      </w:rPr>
    </w:lvl>
    <w:lvl w:ilvl="8" w:tplc="1EC4A928">
      <w:start w:val="1"/>
      <w:numFmt w:val="bullet"/>
      <w:lvlText w:val=""/>
      <w:lvlJc w:val="left"/>
      <w:pPr>
        <w:ind w:left="720" w:hanging="360"/>
      </w:pPr>
      <w:rPr>
        <w:rFonts w:ascii="Symbol" w:hAnsi="Symbol"/>
      </w:rPr>
    </w:lvl>
  </w:abstractNum>
  <w:abstractNum w:abstractNumId="23" w15:restartNumberingAfterBreak="0">
    <w:nsid w:val="6CD15C1E"/>
    <w:multiLevelType w:val="hybridMultilevel"/>
    <w:tmpl w:val="12F6E666"/>
    <w:lvl w:ilvl="0" w:tplc="BA7A6A50">
      <w:start w:val="1"/>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2420AB"/>
    <w:multiLevelType w:val="hybridMultilevel"/>
    <w:tmpl w:val="1CBA6B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8A22C77"/>
    <w:multiLevelType w:val="hybridMultilevel"/>
    <w:tmpl w:val="1888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910A88"/>
    <w:multiLevelType w:val="hybridMultilevel"/>
    <w:tmpl w:val="A77832AC"/>
    <w:lvl w:ilvl="0" w:tplc="A3B045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31287243">
    <w:abstractNumId w:val="23"/>
  </w:num>
  <w:num w:numId="2" w16cid:durableId="1384329846">
    <w:abstractNumId w:val="7"/>
  </w:num>
  <w:num w:numId="3" w16cid:durableId="1370913671">
    <w:abstractNumId w:val="21"/>
  </w:num>
  <w:num w:numId="4" w16cid:durableId="1182477246">
    <w:abstractNumId w:val="20"/>
  </w:num>
  <w:num w:numId="5" w16cid:durableId="1298997752">
    <w:abstractNumId w:val="25"/>
  </w:num>
  <w:num w:numId="6" w16cid:durableId="788936879">
    <w:abstractNumId w:val="26"/>
  </w:num>
  <w:num w:numId="7" w16cid:durableId="1595820935">
    <w:abstractNumId w:val="9"/>
  </w:num>
  <w:num w:numId="8" w16cid:durableId="1832598272">
    <w:abstractNumId w:val="6"/>
  </w:num>
  <w:num w:numId="9" w16cid:durableId="867790743">
    <w:abstractNumId w:val="22"/>
  </w:num>
  <w:num w:numId="10" w16cid:durableId="1463571993">
    <w:abstractNumId w:val="11"/>
  </w:num>
  <w:num w:numId="11" w16cid:durableId="1847939877">
    <w:abstractNumId w:val="0"/>
  </w:num>
  <w:num w:numId="12" w16cid:durableId="2138065251">
    <w:abstractNumId w:val="4"/>
  </w:num>
  <w:num w:numId="13" w16cid:durableId="1705515838">
    <w:abstractNumId w:val="15"/>
  </w:num>
  <w:num w:numId="14" w16cid:durableId="1979988770">
    <w:abstractNumId w:val="13"/>
  </w:num>
  <w:num w:numId="15" w16cid:durableId="1893157128">
    <w:abstractNumId w:val="2"/>
  </w:num>
  <w:num w:numId="16" w16cid:durableId="1845899309">
    <w:abstractNumId w:val="10"/>
  </w:num>
  <w:num w:numId="17" w16cid:durableId="626929508">
    <w:abstractNumId w:val="19"/>
  </w:num>
  <w:num w:numId="18" w16cid:durableId="231543370">
    <w:abstractNumId w:val="12"/>
  </w:num>
  <w:num w:numId="19" w16cid:durableId="553933768">
    <w:abstractNumId w:val="5"/>
  </w:num>
  <w:num w:numId="20" w16cid:durableId="300773799">
    <w:abstractNumId w:val="16"/>
  </w:num>
  <w:num w:numId="21" w16cid:durableId="1524901943">
    <w:abstractNumId w:val="1"/>
  </w:num>
  <w:num w:numId="22" w16cid:durableId="1904756862">
    <w:abstractNumId w:val="24"/>
  </w:num>
  <w:num w:numId="23" w16cid:durableId="1402481344">
    <w:abstractNumId w:val="3"/>
  </w:num>
  <w:num w:numId="24" w16cid:durableId="1714765476">
    <w:abstractNumId w:val="17"/>
  </w:num>
  <w:num w:numId="25" w16cid:durableId="230621555">
    <w:abstractNumId w:val="18"/>
  </w:num>
  <w:num w:numId="26" w16cid:durableId="257254788">
    <w:abstractNumId w:val="14"/>
  </w:num>
  <w:num w:numId="27" w16cid:durableId="7983806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F5"/>
    <w:rsid w:val="00001411"/>
    <w:rsid w:val="0000423B"/>
    <w:rsid w:val="000063F9"/>
    <w:rsid w:val="00011664"/>
    <w:rsid w:val="00012AD0"/>
    <w:rsid w:val="000133DC"/>
    <w:rsid w:val="0001519A"/>
    <w:rsid w:val="00020093"/>
    <w:rsid w:val="00020BB0"/>
    <w:rsid w:val="00020DD6"/>
    <w:rsid w:val="00020EB1"/>
    <w:rsid w:val="00023EB5"/>
    <w:rsid w:val="0002431C"/>
    <w:rsid w:val="000257D0"/>
    <w:rsid w:val="00027463"/>
    <w:rsid w:val="00032E35"/>
    <w:rsid w:val="0003431C"/>
    <w:rsid w:val="000408E7"/>
    <w:rsid w:val="00050390"/>
    <w:rsid w:val="00050B02"/>
    <w:rsid w:val="000532A8"/>
    <w:rsid w:val="00053857"/>
    <w:rsid w:val="0005538A"/>
    <w:rsid w:val="000557EA"/>
    <w:rsid w:val="00056D63"/>
    <w:rsid w:val="0005743D"/>
    <w:rsid w:val="00060FD3"/>
    <w:rsid w:val="000622CE"/>
    <w:rsid w:val="00064607"/>
    <w:rsid w:val="000722DC"/>
    <w:rsid w:val="00072400"/>
    <w:rsid w:val="000804CF"/>
    <w:rsid w:val="00080EC3"/>
    <w:rsid w:val="00083375"/>
    <w:rsid w:val="00085A4F"/>
    <w:rsid w:val="0009127A"/>
    <w:rsid w:val="000931F3"/>
    <w:rsid w:val="00093426"/>
    <w:rsid w:val="00095604"/>
    <w:rsid w:val="000A2B56"/>
    <w:rsid w:val="000A6336"/>
    <w:rsid w:val="000A6D16"/>
    <w:rsid w:val="000A72CE"/>
    <w:rsid w:val="000B31F9"/>
    <w:rsid w:val="000C7237"/>
    <w:rsid w:val="000C7A6F"/>
    <w:rsid w:val="000D1E2D"/>
    <w:rsid w:val="000D53DB"/>
    <w:rsid w:val="000D769A"/>
    <w:rsid w:val="000E2F6C"/>
    <w:rsid w:val="000F04B8"/>
    <w:rsid w:val="000F0D2A"/>
    <w:rsid w:val="000F17F7"/>
    <w:rsid w:val="000F38AA"/>
    <w:rsid w:val="000F3FB2"/>
    <w:rsid w:val="000F4182"/>
    <w:rsid w:val="000F7B6D"/>
    <w:rsid w:val="000F7D58"/>
    <w:rsid w:val="00100178"/>
    <w:rsid w:val="00102733"/>
    <w:rsid w:val="001034BD"/>
    <w:rsid w:val="0010612D"/>
    <w:rsid w:val="0011136A"/>
    <w:rsid w:val="00111D65"/>
    <w:rsid w:val="00112086"/>
    <w:rsid w:val="0011256D"/>
    <w:rsid w:val="00114AC9"/>
    <w:rsid w:val="0011565A"/>
    <w:rsid w:val="001165B7"/>
    <w:rsid w:val="00120D81"/>
    <w:rsid w:val="001227C7"/>
    <w:rsid w:val="00123B49"/>
    <w:rsid w:val="001314F9"/>
    <w:rsid w:val="0013189C"/>
    <w:rsid w:val="00133D92"/>
    <w:rsid w:val="0014229A"/>
    <w:rsid w:val="00144306"/>
    <w:rsid w:val="00151943"/>
    <w:rsid w:val="001530BF"/>
    <w:rsid w:val="0015368D"/>
    <w:rsid w:val="00154E6E"/>
    <w:rsid w:val="00160753"/>
    <w:rsid w:val="001611A5"/>
    <w:rsid w:val="00162431"/>
    <w:rsid w:val="00163525"/>
    <w:rsid w:val="0016520E"/>
    <w:rsid w:val="00165728"/>
    <w:rsid w:val="00165932"/>
    <w:rsid w:val="00165C2C"/>
    <w:rsid w:val="0016789E"/>
    <w:rsid w:val="0017024D"/>
    <w:rsid w:val="00175F98"/>
    <w:rsid w:val="0017717A"/>
    <w:rsid w:val="00177D4A"/>
    <w:rsid w:val="00186F7E"/>
    <w:rsid w:val="0019320B"/>
    <w:rsid w:val="00195F8A"/>
    <w:rsid w:val="0019728B"/>
    <w:rsid w:val="001A4FC4"/>
    <w:rsid w:val="001A7EA5"/>
    <w:rsid w:val="001B000D"/>
    <w:rsid w:val="001B07C6"/>
    <w:rsid w:val="001B718F"/>
    <w:rsid w:val="001C00EE"/>
    <w:rsid w:val="001C0ECA"/>
    <w:rsid w:val="001C1B54"/>
    <w:rsid w:val="001C24DC"/>
    <w:rsid w:val="001C2C1C"/>
    <w:rsid w:val="001C3354"/>
    <w:rsid w:val="001C3BA8"/>
    <w:rsid w:val="001C5975"/>
    <w:rsid w:val="001C6D5F"/>
    <w:rsid w:val="001D54EB"/>
    <w:rsid w:val="001D6655"/>
    <w:rsid w:val="001D7D3D"/>
    <w:rsid w:val="001E130F"/>
    <w:rsid w:val="001E2DB4"/>
    <w:rsid w:val="001E4877"/>
    <w:rsid w:val="001E51F5"/>
    <w:rsid w:val="001E6A2B"/>
    <w:rsid w:val="001F1601"/>
    <w:rsid w:val="00200CB3"/>
    <w:rsid w:val="002032B3"/>
    <w:rsid w:val="0020413F"/>
    <w:rsid w:val="0020619D"/>
    <w:rsid w:val="002064DA"/>
    <w:rsid w:val="002071D2"/>
    <w:rsid w:val="002105F7"/>
    <w:rsid w:val="00213587"/>
    <w:rsid w:val="00214889"/>
    <w:rsid w:val="00216204"/>
    <w:rsid w:val="0021726B"/>
    <w:rsid w:val="002254D0"/>
    <w:rsid w:val="00225970"/>
    <w:rsid w:val="00230649"/>
    <w:rsid w:val="00232242"/>
    <w:rsid w:val="002327B7"/>
    <w:rsid w:val="0023634F"/>
    <w:rsid w:val="00237733"/>
    <w:rsid w:val="00240B55"/>
    <w:rsid w:val="002414EC"/>
    <w:rsid w:val="00241CAB"/>
    <w:rsid w:val="0024289F"/>
    <w:rsid w:val="00242B74"/>
    <w:rsid w:val="00243199"/>
    <w:rsid w:val="00243641"/>
    <w:rsid w:val="002442FB"/>
    <w:rsid w:val="00246EDA"/>
    <w:rsid w:val="0024775A"/>
    <w:rsid w:val="0025561F"/>
    <w:rsid w:val="00255913"/>
    <w:rsid w:val="00256585"/>
    <w:rsid w:val="00256D94"/>
    <w:rsid w:val="00257D6F"/>
    <w:rsid w:val="002646DB"/>
    <w:rsid w:val="002715D3"/>
    <w:rsid w:val="00271A1E"/>
    <w:rsid w:val="00272FBA"/>
    <w:rsid w:val="00274E3F"/>
    <w:rsid w:val="00276A32"/>
    <w:rsid w:val="0027717F"/>
    <w:rsid w:val="00280050"/>
    <w:rsid w:val="00280B08"/>
    <w:rsid w:val="00280B63"/>
    <w:rsid w:val="002813CB"/>
    <w:rsid w:val="00282CDC"/>
    <w:rsid w:val="00284B64"/>
    <w:rsid w:val="002918D5"/>
    <w:rsid w:val="002965A4"/>
    <w:rsid w:val="002A255E"/>
    <w:rsid w:val="002A5D1A"/>
    <w:rsid w:val="002B1D91"/>
    <w:rsid w:val="002B3442"/>
    <w:rsid w:val="002B650B"/>
    <w:rsid w:val="002B66B7"/>
    <w:rsid w:val="002C1ED5"/>
    <w:rsid w:val="002C39C9"/>
    <w:rsid w:val="002D0A2B"/>
    <w:rsid w:val="002D0B48"/>
    <w:rsid w:val="002D4E3F"/>
    <w:rsid w:val="002D71E2"/>
    <w:rsid w:val="002D777A"/>
    <w:rsid w:val="002E0414"/>
    <w:rsid w:val="002E08F4"/>
    <w:rsid w:val="002E177A"/>
    <w:rsid w:val="002E1F0C"/>
    <w:rsid w:val="002E31BF"/>
    <w:rsid w:val="002E4EAF"/>
    <w:rsid w:val="002E537A"/>
    <w:rsid w:val="002E71B1"/>
    <w:rsid w:val="002F2C38"/>
    <w:rsid w:val="002F30B7"/>
    <w:rsid w:val="002F4604"/>
    <w:rsid w:val="002F54AF"/>
    <w:rsid w:val="002F7FF9"/>
    <w:rsid w:val="00305DE4"/>
    <w:rsid w:val="00310965"/>
    <w:rsid w:val="0031361F"/>
    <w:rsid w:val="003149F0"/>
    <w:rsid w:val="0031610E"/>
    <w:rsid w:val="00317487"/>
    <w:rsid w:val="00317D63"/>
    <w:rsid w:val="00321921"/>
    <w:rsid w:val="0032210D"/>
    <w:rsid w:val="00324960"/>
    <w:rsid w:val="00326D58"/>
    <w:rsid w:val="0033172F"/>
    <w:rsid w:val="00333F79"/>
    <w:rsid w:val="0033695A"/>
    <w:rsid w:val="00337E58"/>
    <w:rsid w:val="00340454"/>
    <w:rsid w:val="0034255B"/>
    <w:rsid w:val="00342B6B"/>
    <w:rsid w:val="003431A9"/>
    <w:rsid w:val="0035045F"/>
    <w:rsid w:val="003523A8"/>
    <w:rsid w:val="00352AD7"/>
    <w:rsid w:val="00353AD0"/>
    <w:rsid w:val="0035413B"/>
    <w:rsid w:val="003541F5"/>
    <w:rsid w:val="00355D1E"/>
    <w:rsid w:val="0036022E"/>
    <w:rsid w:val="003634A2"/>
    <w:rsid w:val="003635E6"/>
    <w:rsid w:val="0036457F"/>
    <w:rsid w:val="00364C69"/>
    <w:rsid w:val="00370766"/>
    <w:rsid w:val="00370CBA"/>
    <w:rsid w:val="00371DC3"/>
    <w:rsid w:val="003723E9"/>
    <w:rsid w:val="00373FA5"/>
    <w:rsid w:val="00374344"/>
    <w:rsid w:val="00375F1F"/>
    <w:rsid w:val="00385C20"/>
    <w:rsid w:val="00390636"/>
    <w:rsid w:val="003914A7"/>
    <w:rsid w:val="0039238C"/>
    <w:rsid w:val="0039728D"/>
    <w:rsid w:val="003973AB"/>
    <w:rsid w:val="00397BD5"/>
    <w:rsid w:val="003B1138"/>
    <w:rsid w:val="003B117C"/>
    <w:rsid w:val="003B2450"/>
    <w:rsid w:val="003B386A"/>
    <w:rsid w:val="003B5E8C"/>
    <w:rsid w:val="003B753E"/>
    <w:rsid w:val="003C0D65"/>
    <w:rsid w:val="003C0F7E"/>
    <w:rsid w:val="003C1833"/>
    <w:rsid w:val="003C237F"/>
    <w:rsid w:val="003C36B4"/>
    <w:rsid w:val="003C5AC6"/>
    <w:rsid w:val="003C6443"/>
    <w:rsid w:val="003C64B4"/>
    <w:rsid w:val="003C7E03"/>
    <w:rsid w:val="003D07BD"/>
    <w:rsid w:val="003D4C89"/>
    <w:rsid w:val="003D58C6"/>
    <w:rsid w:val="003D7CF8"/>
    <w:rsid w:val="003E2818"/>
    <w:rsid w:val="003E5DDE"/>
    <w:rsid w:val="003F16D2"/>
    <w:rsid w:val="003F7246"/>
    <w:rsid w:val="003F73A3"/>
    <w:rsid w:val="004050B5"/>
    <w:rsid w:val="004102D9"/>
    <w:rsid w:val="00414C13"/>
    <w:rsid w:val="00416482"/>
    <w:rsid w:val="0041693D"/>
    <w:rsid w:val="00417368"/>
    <w:rsid w:val="00417565"/>
    <w:rsid w:val="00420ACC"/>
    <w:rsid w:val="00425B11"/>
    <w:rsid w:val="004316E1"/>
    <w:rsid w:val="00432066"/>
    <w:rsid w:val="00433AB8"/>
    <w:rsid w:val="0043454D"/>
    <w:rsid w:val="0043569F"/>
    <w:rsid w:val="004376CB"/>
    <w:rsid w:val="0044225A"/>
    <w:rsid w:val="004477DD"/>
    <w:rsid w:val="00452147"/>
    <w:rsid w:val="004521BA"/>
    <w:rsid w:val="00452C85"/>
    <w:rsid w:val="00454166"/>
    <w:rsid w:val="00455C58"/>
    <w:rsid w:val="00456485"/>
    <w:rsid w:val="00462AE8"/>
    <w:rsid w:val="00464FC6"/>
    <w:rsid w:val="00465712"/>
    <w:rsid w:val="00466D79"/>
    <w:rsid w:val="004677DD"/>
    <w:rsid w:val="00477AFB"/>
    <w:rsid w:val="00481AA9"/>
    <w:rsid w:val="00482417"/>
    <w:rsid w:val="00484117"/>
    <w:rsid w:val="00485580"/>
    <w:rsid w:val="00487728"/>
    <w:rsid w:val="00493270"/>
    <w:rsid w:val="00494DA3"/>
    <w:rsid w:val="00497811"/>
    <w:rsid w:val="00497BCB"/>
    <w:rsid w:val="004A16BD"/>
    <w:rsid w:val="004A27AC"/>
    <w:rsid w:val="004A5FC0"/>
    <w:rsid w:val="004A67CB"/>
    <w:rsid w:val="004A732B"/>
    <w:rsid w:val="004B3A6C"/>
    <w:rsid w:val="004B71A4"/>
    <w:rsid w:val="004C0EE3"/>
    <w:rsid w:val="004C445B"/>
    <w:rsid w:val="004D3359"/>
    <w:rsid w:val="004D3A2B"/>
    <w:rsid w:val="004D6E81"/>
    <w:rsid w:val="004D7384"/>
    <w:rsid w:val="004E44BB"/>
    <w:rsid w:val="004E4D30"/>
    <w:rsid w:val="004E5A4A"/>
    <w:rsid w:val="004F069F"/>
    <w:rsid w:val="00505E4C"/>
    <w:rsid w:val="00506BC8"/>
    <w:rsid w:val="0051143F"/>
    <w:rsid w:val="00512B80"/>
    <w:rsid w:val="00514D55"/>
    <w:rsid w:val="005209CC"/>
    <w:rsid w:val="00520EF8"/>
    <w:rsid w:val="00523B93"/>
    <w:rsid w:val="00524B88"/>
    <w:rsid w:val="005253DD"/>
    <w:rsid w:val="00527948"/>
    <w:rsid w:val="00527B2C"/>
    <w:rsid w:val="00531F1C"/>
    <w:rsid w:val="00532E5D"/>
    <w:rsid w:val="00532FD3"/>
    <w:rsid w:val="0053316F"/>
    <w:rsid w:val="00533A07"/>
    <w:rsid w:val="00540BA1"/>
    <w:rsid w:val="0054490E"/>
    <w:rsid w:val="00545D74"/>
    <w:rsid w:val="00550BB2"/>
    <w:rsid w:val="00554541"/>
    <w:rsid w:val="005562BC"/>
    <w:rsid w:val="00557D4D"/>
    <w:rsid w:val="00557E14"/>
    <w:rsid w:val="0056377B"/>
    <w:rsid w:val="00563890"/>
    <w:rsid w:val="00563F78"/>
    <w:rsid w:val="00565F4B"/>
    <w:rsid w:val="00567579"/>
    <w:rsid w:val="0057264C"/>
    <w:rsid w:val="005739BC"/>
    <w:rsid w:val="005750E1"/>
    <w:rsid w:val="005755BA"/>
    <w:rsid w:val="005769BE"/>
    <w:rsid w:val="00583143"/>
    <w:rsid w:val="00583A90"/>
    <w:rsid w:val="005858C6"/>
    <w:rsid w:val="00585D8F"/>
    <w:rsid w:val="00590E0C"/>
    <w:rsid w:val="00591901"/>
    <w:rsid w:val="00594701"/>
    <w:rsid w:val="005A0435"/>
    <w:rsid w:val="005A18C1"/>
    <w:rsid w:val="005A1D07"/>
    <w:rsid w:val="005A24B8"/>
    <w:rsid w:val="005A5220"/>
    <w:rsid w:val="005B31CE"/>
    <w:rsid w:val="005B5FF4"/>
    <w:rsid w:val="005C01B8"/>
    <w:rsid w:val="005C3331"/>
    <w:rsid w:val="005C4474"/>
    <w:rsid w:val="005C494A"/>
    <w:rsid w:val="005C4A76"/>
    <w:rsid w:val="005C6E1B"/>
    <w:rsid w:val="005C773C"/>
    <w:rsid w:val="005D0B82"/>
    <w:rsid w:val="005D2768"/>
    <w:rsid w:val="005D38A6"/>
    <w:rsid w:val="005D43FE"/>
    <w:rsid w:val="005D7EB7"/>
    <w:rsid w:val="005E30B5"/>
    <w:rsid w:val="005E34D7"/>
    <w:rsid w:val="005E3873"/>
    <w:rsid w:val="005E3D9E"/>
    <w:rsid w:val="005E44EB"/>
    <w:rsid w:val="005F0A7A"/>
    <w:rsid w:val="005F5E3E"/>
    <w:rsid w:val="005F6CEF"/>
    <w:rsid w:val="005F7587"/>
    <w:rsid w:val="006013B6"/>
    <w:rsid w:val="006020A6"/>
    <w:rsid w:val="006051C2"/>
    <w:rsid w:val="0060715C"/>
    <w:rsid w:val="00611DA2"/>
    <w:rsid w:val="00614BCB"/>
    <w:rsid w:val="00614F28"/>
    <w:rsid w:val="00616790"/>
    <w:rsid w:val="00617A83"/>
    <w:rsid w:val="006221D4"/>
    <w:rsid w:val="006307A0"/>
    <w:rsid w:val="00631451"/>
    <w:rsid w:val="0063330C"/>
    <w:rsid w:val="00635E5E"/>
    <w:rsid w:val="00636976"/>
    <w:rsid w:val="00637683"/>
    <w:rsid w:val="00641901"/>
    <w:rsid w:val="00641F0A"/>
    <w:rsid w:val="00643474"/>
    <w:rsid w:val="00645085"/>
    <w:rsid w:val="00650429"/>
    <w:rsid w:val="00650DE1"/>
    <w:rsid w:val="006563CB"/>
    <w:rsid w:val="00667781"/>
    <w:rsid w:val="006705EF"/>
    <w:rsid w:val="00673A02"/>
    <w:rsid w:val="006752A4"/>
    <w:rsid w:val="00677B20"/>
    <w:rsid w:val="006831A7"/>
    <w:rsid w:val="00684F36"/>
    <w:rsid w:val="0068536E"/>
    <w:rsid w:val="00685658"/>
    <w:rsid w:val="00692465"/>
    <w:rsid w:val="00692E66"/>
    <w:rsid w:val="006956A6"/>
    <w:rsid w:val="006A1A22"/>
    <w:rsid w:val="006A1A6B"/>
    <w:rsid w:val="006A33C8"/>
    <w:rsid w:val="006A361A"/>
    <w:rsid w:val="006A5F5B"/>
    <w:rsid w:val="006B5292"/>
    <w:rsid w:val="006C33DD"/>
    <w:rsid w:val="006C4C90"/>
    <w:rsid w:val="006D15F4"/>
    <w:rsid w:val="006D2A0A"/>
    <w:rsid w:val="006D458F"/>
    <w:rsid w:val="006D4792"/>
    <w:rsid w:val="006D61CE"/>
    <w:rsid w:val="006D706E"/>
    <w:rsid w:val="006E4EE3"/>
    <w:rsid w:val="006E59CC"/>
    <w:rsid w:val="006F1B06"/>
    <w:rsid w:val="006F2D91"/>
    <w:rsid w:val="006F3C0C"/>
    <w:rsid w:val="006F4398"/>
    <w:rsid w:val="006F7973"/>
    <w:rsid w:val="00701119"/>
    <w:rsid w:val="00703A47"/>
    <w:rsid w:val="00705773"/>
    <w:rsid w:val="007103A0"/>
    <w:rsid w:val="007159F7"/>
    <w:rsid w:val="0071771A"/>
    <w:rsid w:val="00723DE6"/>
    <w:rsid w:val="0072456A"/>
    <w:rsid w:val="00730621"/>
    <w:rsid w:val="0073451E"/>
    <w:rsid w:val="00737232"/>
    <w:rsid w:val="00741D76"/>
    <w:rsid w:val="007436F9"/>
    <w:rsid w:val="00744A85"/>
    <w:rsid w:val="00747C04"/>
    <w:rsid w:val="007528CB"/>
    <w:rsid w:val="00757BCB"/>
    <w:rsid w:val="007610BE"/>
    <w:rsid w:val="00764FBC"/>
    <w:rsid w:val="00765538"/>
    <w:rsid w:val="0077123B"/>
    <w:rsid w:val="00771DB4"/>
    <w:rsid w:val="00784C11"/>
    <w:rsid w:val="007860A7"/>
    <w:rsid w:val="0078746E"/>
    <w:rsid w:val="007878E2"/>
    <w:rsid w:val="00793ECC"/>
    <w:rsid w:val="00794AF0"/>
    <w:rsid w:val="0079541E"/>
    <w:rsid w:val="007954AB"/>
    <w:rsid w:val="0079655B"/>
    <w:rsid w:val="007A066F"/>
    <w:rsid w:val="007A257F"/>
    <w:rsid w:val="007B0D8A"/>
    <w:rsid w:val="007B1C63"/>
    <w:rsid w:val="007B281F"/>
    <w:rsid w:val="007B389A"/>
    <w:rsid w:val="007B449A"/>
    <w:rsid w:val="007B53F8"/>
    <w:rsid w:val="007B7963"/>
    <w:rsid w:val="007C1A97"/>
    <w:rsid w:val="007C65B6"/>
    <w:rsid w:val="007D3AC7"/>
    <w:rsid w:val="007D5558"/>
    <w:rsid w:val="007E4678"/>
    <w:rsid w:val="007F2011"/>
    <w:rsid w:val="007F539D"/>
    <w:rsid w:val="00800674"/>
    <w:rsid w:val="00801A3E"/>
    <w:rsid w:val="008023B7"/>
    <w:rsid w:val="008056CA"/>
    <w:rsid w:val="0081149F"/>
    <w:rsid w:val="00811CB3"/>
    <w:rsid w:val="008121EF"/>
    <w:rsid w:val="0081343F"/>
    <w:rsid w:val="008140C5"/>
    <w:rsid w:val="008240A6"/>
    <w:rsid w:val="00825235"/>
    <w:rsid w:val="00825B11"/>
    <w:rsid w:val="008303B4"/>
    <w:rsid w:val="0083080B"/>
    <w:rsid w:val="00830D36"/>
    <w:rsid w:val="00833D78"/>
    <w:rsid w:val="00833F0A"/>
    <w:rsid w:val="00834A60"/>
    <w:rsid w:val="00836203"/>
    <w:rsid w:val="008366D7"/>
    <w:rsid w:val="00837EB9"/>
    <w:rsid w:val="00840ADB"/>
    <w:rsid w:val="00840C23"/>
    <w:rsid w:val="008442EA"/>
    <w:rsid w:val="00844D10"/>
    <w:rsid w:val="00844E0E"/>
    <w:rsid w:val="008540BD"/>
    <w:rsid w:val="0085695C"/>
    <w:rsid w:val="00863209"/>
    <w:rsid w:val="008665B5"/>
    <w:rsid w:val="00867200"/>
    <w:rsid w:val="00870D5E"/>
    <w:rsid w:val="00870D80"/>
    <w:rsid w:val="00871802"/>
    <w:rsid w:val="00873413"/>
    <w:rsid w:val="008737FE"/>
    <w:rsid w:val="00876C93"/>
    <w:rsid w:val="008771CC"/>
    <w:rsid w:val="0088607F"/>
    <w:rsid w:val="00886DC8"/>
    <w:rsid w:val="008875DD"/>
    <w:rsid w:val="008925C6"/>
    <w:rsid w:val="008A36FF"/>
    <w:rsid w:val="008A5627"/>
    <w:rsid w:val="008A648E"/>
    <w:rsid w:val="008B20AA"/>
    <w:rsid w:val="008C079F"/>
    <w:rsid w:val="008C4674"/>
    <w:rsid w:val="008C56C1"/>
    <w:rsid w:val="008D00AB"/>
    <w:rsid w:val="008D016D"/>
    <w:rsid w:val="008D12B1"/>
    <w:rsid w:val="008D153E"/>
    <w:rsid w:val="008D1E44"/>
    <w:rsid w:val="008D1E81"/>
    <w:rsid w:val="008D2C8A"/>
    <w:rsid w:val="008E5F19"/>
    <w:rsid w:val="008F0740"/>
    <w:rsid w:val="008F5C45"/>
    <w:rsid w:val="008F6024"/>
    <w:rsid w:val="008F6987"/>
    <w:rsid w:val="0090068C"/>
    <w:rsid w:val="0090181E"/>
    <w:rsid w:val="00911B46"/>
    <w:rsid w:val="00911F9A"/>
    <w:rsid w:val="009128BE"/>
    <w:rsid w:val="0091560A"/>
    <w:rsid w:val="00916407"/>
    <w:rsid w:val="00921CDB"/>
    <w:rsid w:val="00921E2B"/>
    <w:rsid w:val="00925310"/>
    <w:rsid w:val="0092558A"/>
    <w:rsid w:val="009264D8"/>
    <w:rsid w:val="0092660F"/>
    <w:rsid w:val="00927CB9"/>
    <w:rsid w:val="009300DD"/>
    <w:rsid w:val="00931441"/>
    <w:rsid w:val="00931B34"/>
    <w:rsid w:val="00931ED9"/>
    <w:rsid w:val="0093285E"/>
    <w:rsid w:val="009374C4"/>
    <w:rsid w:val="00937824"/>
    <w:rsid w:val="00937852"/>
    <w:rsid w:val="00941E85"/>
    <w:rsid w:val="0094306A"/>
    <w:rsid w:val="00944629"/>
    <w:rsid w:val="009459B8"/>
    <w:rsid w:val="009461F9"/>
    <w:rsid w:val="00947430"/>
    <w:rsid w:val="00951996"/>
    <w:rsid w:val="00953A3E"/>
    <w:rsid w:val="00955D48"/>
    <w:rsid w:val="00956EB4"/>
    <w:rsid w:val="00957B5C"/>
    <w:rsid w:val="0096011C"/>
    <w:rsid w:val="00960E64"/>
    <w:rsid w:val="00965771"/>
    <w:rsid w:val="00971C58"/>
    <w:rsid w:val="00974028"/>
    <w:rsid w:val="00974BA7"/>
    <w:rsid w:val="0098000A"/>
    <w:rsid w:val="00980360"/>
    <w:rsid w:val="00980572"/>
    <w:rsid w:val="00981002"/>
    <w:rsid w:val="00982745"/>
    <w:rsid w:val="009841DA"/>
    <w:rsid w:val="00987E49"/>
    <w:rsid w:val="009917EC"/>
    <w:rsid w:val="00994090"/>
    <w:rsid w:val="009947EF"/>
    <w:rsid w:val="00994A93"/>
    <w:rsid w:val="00995C3D"/>
    <w:rsid w:val="0099653A"/>
    <w:rsid w:val="00996764"/>
    <w:rsid w:val="00997041"/>
    <w:rsid w:val="00997A5A"/>
    <w:rsid w:val="009A2D5E"/>
    <w:rsid w:val="009A489D"/>
    <w:rsid w:val="009A4948"/>
    <w:rsid w:val="009A4C16"/>
    <w:rsid w:val="009B028F"/>
    <w:rsid w:val="009B077E"/>
    <w:rsid w:val="009B0FFD"/>
    <w:rsid w:val="009B165A"/>
    <w:rsid w:val="009B3821"/>
    <w:rsid w:val="009C3400"/>
    <w:rsid w:val="009C4316"/>
    <w:rsid w:val="009C5D5F"/>
    <w:rsid w:val="009C70C2"/>
    <w:rsid w:val="009C70F9"/>
    <w:rsid w:val="009C73E6"/>
    <w:rsid w:val="009D026D"/>
    <w:rsid w:val="009D336F"/>
    <w:rsid w:val="009D5EF8"/>
    <w:rsid w:val="009D67CF"/>
    <w:rsid w:val="009D7055"/>
    <w:rsid w:val="009E050E"/>
    <w:rsid w:val="009E0859"/>
    <w:rsid w:val="009E113A"/>
    <w:rsid w:val="009E1A23"/>
    <w:rsid w:val="009E420D"/>
    <w:rsid w:val="009F4578"/>
    <w:rsid w:val="009F5874"/>
    <w:rsid w:val="009F7BC3"/>
    <w:rsid w:val="00A0756E"/>
    <w:rsid w:val="00A077A5"/>
    <w:rsid w:val="00A10ED3"/>
    <w:rsid w:val="00A120E1"/>
    <w:rsid w:val="00A14DFC"/>
    <w:rsid w:val="00A15E4F"/>
    <w:rsid w:val="00A210B8"/>
    <w:rsid w:val="00A245ED"/>
    <w:rsid w:val="00A24DED"/>
    <w:rsid w:val="00A25093"/>
    <w:rsid w:val="00A41163"/>
    <w:rsid w:val="00A44402"/>
    <w:rsid w:val="00A4469B"/>
    <w:rsid w:val="00A47DEF"/>
    <w:rsid w:val="00A500B6"/>
    <w:rsid w:val="00A51C90"/>
    <w:rsid w:val="00A54375"/>
    <w:rsid w:val="00A57D63"/>
    <w:rsid w:val="00A60CE2"/>
    <w:rsid w:val="00A6475A"/>
    <w:rsid w:val="00A65627"/>
    <w:rsid w:val="00A71B29"/>
    <w:rsid w:val="00A71E00"/>
    <w:rsid w:val="00A75FD5"/>
    <w:rsid w:val="00A76E60"/>
    <w:rsid w:val="00A774CA"/>
    <w:rsid w:val="00A774E6"/>
    <w:rsid w:val="00A815B1"/>
    <w:rsid w:val="00A84A61"/>
    <w:rsid w:val="00A91654"/>
    <w:rsid w:val="00A93745"/>
    <w:rsid w:val="00A940D3"/>
    <w:rsid w:val="00A94BD8"/>
    <w:rsid w:val="00A95E0E"/>
    <w:rsid w:val="00A95FD5"/>
    <w:rsid w:val="00A96074"/>
    <w:rsid w:val="00A9742C"/>
    <w:rsid w:val="00AA0C9E"/>
    <w:rsid w:val="00AA18F9"/>
    <w:rsid w:val="00AA19A8"/>
    <w:rsid w:val="00AA44A1"/>
    <w:rsid w:val="00AA5EA9"/>
    <w:rsid w:val="00AA7D89"/>
    <w:rsid w:val="00AB0218"/>
    <w:rsid w:val="00AB06E6"/>
    <w:rsid w:val="00AB155E"/>
    <w:rsid w:val="00AB29FD"/>
    <w:rsid w:val="00AB32D3"/>
    <w:rsid w:val="00AB4322"/>
    <w:rsid w:val="00AB4485"/>
    <w:rsid w:val="00AC076F"/>
    <w:rsid w:val="00AC1D82"/>
    <w:rsid w:val="00AC3530"/>
    <w:rsid w:val="00AC3637"/>
    <w:rsid w:val="00AC5365"/>
    <w:rsid w:val="00AC6839"/>
    <w:rsid w:val="00AC7602"/>
    <w:rsid w:val="00AC7F57"/>
    <w:rsid w:val="00AD2DFD"/>
    <w:rsid w:val="00AD3807"/>
    <w:rsid w:val="00AD7255"/>
    <w:rsid w:val="00AE4CA8"/>
    <w:rsid w:val="00AE733C"/>
    <w:rsid w:val="00AE783F"/>
    <w:rsid w:val="00AF4905"/>
    <w:rsid w:val="00AF66D2"/>
    <w:rsid w:val="00B06A3A"/>
    <w:rsid w:val="00B1493E"/>
    <w:rsid w:val="00B23780"/>
    <w:rsid w:val="00B256BB"/>
    <w:rsid w:val="00B262E4"/>
    <w:rsid w:val="00B27626"/>
    <w:rsid w:val="00B27990"/>
    <w:rsid w:val="00B308C4"/>
    <w:rsid w:val="00B3118D"/>
    <w:rsid w:val="00B317CD"/>
    <w:rsid w:val="00B3418B"/>
    <w:rsid w:val="00B341AE"/>
    <w:rsid w:val="00B40F00"/>
    <w:rsid w:val="00B41065"/>
    <w:rsid w:val="00B43BD5"/>
    <w:rsid w:val="00B5474B"/>
    <w:rsid w:val="00B5698C"/>
    <w:rsid w:val="00B62C0F"/>
    <w:rsid w:val="00B6399A"/>
    <w:rsid w:val="00B71F60"/>
    <w:rsid w:val="00B7656E"/>
    <w:rsid w:val="00B7711B"/>
    <w:rsid w:val="00B77FB4"/>
    <w:rsid w:val="00B8620C"/>
    <w:rsid w:val="00B86359"/>
    <w:rsid w:val="00B90D97"/>
    <w:rsid w:val="00B9281E"/>
    <w:rsid w:val="00B931EF"/>
    <w:rsid w:val="00B93391"/>
    <w:rsid w:val="00B95BEE"/>
    <w:rsid w:val="00B962F4"/>
    <w:rsid w:val="00BA1774"/>
    <w:rsid w:val="00BA2EE9"/>
    <w:rsid w:val="00BB0FEF"/>
    <w:rsid w:val="00BB1171"/>
    <w:rsid w:val="00BB2758"/>
    <w:rsid w:val="00BB378D"/>
    <w:rsid w:val="00BB4C8D"/>
    <w:rsid w:val="00BB7DFA"/>
    <w:rsid w:val="00BC4736"/>
    <w:rsid w:val="00BC6B4B"/>
    <w:rsid w:val="00BD0EC1"/>
    <w:rsid w:val="00BD3108"/>
    <w:rsid w:val="00BD3BBE"/>
    <w:rsid w:val="00BD4710"/>
    <w:rsid w:val="00BD5520"/>
    <w:rsid w:val="00BD71B2"/>
    <w:rsid w:val="00BE1CEE"/>
    <w:rsid w:val="00BE5B06"/>
    <w:rsid w:val="00BF5FA2"/>
    <w:rsid w:val="00BF604E"/>
    <w:rsid w:val="00BF6162"/>
    <w:rsid w:val="00BF7606"/>
    <w:rsid w:val="00C004B2"/>
    <w:rsid w:val="00C0136F"/>
    <w:rsid w:val="00C014B3"/>
    <w:rsid w:val="00C03EAE"/>
    <w:rsid w:val="00C06495"/>
    <w:rsid w:val="00C070E7"/>
    <w:rsid w:val="00C07687"/>
    <w:rsid w:val="00C0783F"/>
    <w:rsid w:val="00C15D9E"/>
    <w:rsid w:val="00C20505"/>
    <w:rsid w:val="00C23326"/>
    <w:rsid w:val="00C246F9"/>
    <w:rsid w:val="00C24838"/>
    <w:rsid w:val="00C24CBA"/>
    <w:rsid w:val="00C30D81"/>
    <w:rsid w:val="00C34A9A"/>
    <w:rsid w:val="00C356D0"/>
    <w:rsid w:val="00C35BD9"/>
    <w:rsid w:val="00C40982"/>
    <w:rsid w:val="00C421C0"/>
    <w:rsid w:val="00C44474"/>
    <w:rsid w:val="00C44E53"/>
    <w:rsid w:val="00C45580"/>
    <w:rsid w:val="00C455A7"/>
    <w:rsid w:val="00C46454"/>
    <w:rsid w:val="00C46C49"/>
    <w:rsid w:val="00C47049"/>
    <w:rsid w:val="00C51478"/>
    <w:rsid w:val="00C53E08"/>
    <w:rsid w:val="00C545E0"/>
    <w:rsid w:val="00C55033"/>
    <w:rsid w:val="00C5584D"/>
    <w:rsid w:val="00C56268"/>
    <w:rsid w:val="00C57631"/>
    <w:rsid w:val="00C6119E"/>
    <w:rsid w:val="00C6187C"/>
    <w:rsid w:val="00C622DD"/>
    <w:rsid w:val="00C629A9"/>
    <w:rsid w:val="00C630D5"/>
    <w:rsid w:val="00C65C58"/>
    <w:rsid w:val="00C6651D"/>
    <w:rsid w:val="00C670F9"/>
    <w:rsid w:val="00C67216"/>
    <w:rsid w:val="00C72299"/>
    <w:rsid w:val="00C72E13"/>
    <w:rsid w:val="00C75C51"/>
    <w:rsid w:val="00C7772D"/>
    <w:rsid w:val="00C800AC"/>
    <w:rsid w:val="00C80EBF"/>
    <w:rsid w:val="00C85B19"/>
    <w:rsid w:val="00C87864"/>
    <w:rsid w:val="00C905B8"/>
    <w:rsid w:val="00C909E6"/>
    <w:rsid w:val="00C97C4F"/>
    <w:rsid w:val="00CA2D68"/>
    <w:rsid w:val="00CA3586"/>
    <w:rsid w:val="00CB0666"/>
    <w:rsid w:val="00CB09DA"/>
    <w:rsid w:val="00CB471D"/>
    <w:rsid w:val="00CB50B1"/>
    <w:rsid w:val="00CC2A82"/>
    <w:rsid w:val="00CC44D1"/>
    <w:rsid w:val="00CC56CB"/>
    <w:rsid w:val="00CC7C84"/>
    <w:rsid w:val="00CD1B43"/>
    <w:rsid w:val="00CD214D"/>
    <w:rsid w:val="00CD3B1A"/>
    <w:rsid w:val="00CD448A"/>
    <w:rsid w:val="00CD6B35"/>
    <w:rsid w:val="00CE03A6"/>
    <w:rsid w:val="00CE0625"/>
    <w:rsid w:val="00CE0814"/>
    <w:rsid w:val="00CE497B"/>
    <w:rsid w:val="00CE4DB8"/>
    <w:rsid w:val="00CE7C27"/>
    <w:rsid w:val="00CF0434"/>
    <w:rsid w:val="00CF0B2C"/>
    <w:rsid w:val="00CF11D4"/>
    <w:rsid w:val="00CF27A1"/>
    <w:rsid w:val="00CF4D5D"/>
    <w:rsid w:val="00CF50F4"/>
    <w:rsid w:val="00CF54EC"/>
    <w:rsid w:val="00CF6A06"/>
    <w:rsid w:val="00CF73AD"/>
    <w:rsid w:val="00D00A89"/>
    <w:rsid w:val="00D022BE"/>
    <w:rsid w:val="00D026A9"/>
    <w:rsid w:val="00D21835"/>
    <w:rsid w:val="00D24A91"/>
    <w:rsid w:val="00D25B20"/>
    <w:rsid w:val="00D2737D"/>
    <w:rsid w:val="00D305E4"/>
    <w:rsid w:val="00D409F3"/>
    <w:rsid w:val="00D40D96"/>
    <w:rsid w:val="00D41EEC"/>
    <w:rsid w:val="00D42450"/>
    <w:rsid w:val="00D438C2"/>
    <w:rsid w:val="00D43DC4"/>
    <w:rsid w:val="00D47110"/>
    <w:rsid w:val="00D52E0B"/>
    <w:rsid w:val="00D55750"/>
    <w:rsid w:val="00D55AFD"/>
    <w:rsid w:val="00D579AD"/>
    <w:rsid w:val="00D6075A"/>
    <w:rsid w:val="00D60D48"/>
    <w:rsid w:val="00D61C2D"/>
    <w:rsid w:val="00D675EA"/>
    <w:rsid w:val="00D67BB2"/>
    <w:rsid w:val="00D708C2"/>
    <w:rsid w:val="00D7253D"/>
    <w:rsid w:val="00D75879"/>
    <w:rsid w:val="00D7654F"/>
    <w:rsid w:val="00D77A15"/>
    <w:rsid w:val="00D818D9"/>
    <w:rsid w:val="00D82F5F"/>
    <w:rsid w:val="00D84AA5"/>
    <w:rsid w:val="00D862F6"/>
    <w:rsid w:val="00D90D25"/>
    <w:rsid w:val="00D91D79"/>
    <w:rsid w:val="00D923C9"/>
    <w:rsid w:val="00D923F4"/>
    <w:rsid w:val="00DA449C"/>
    <w:rsid w:val="00DA66FC"/>
    <w:rsid w:val="00DB14DC"/>
    <w:rsid w:val="00DB6C1D"/>
    <w:rsid w:val="00DB75CF"/>
    <w:rsid w:val="00DB7DB1"/>
    <w:rsid w:val="00DC0323"/>
    <w:rsid w:val="00DC061B"/>
    <w:rsid w:val="00DC0D27"/>
    <w:rsid w:val="00DC10A4"/>
    <w:rsid w:val="00DC4722"/>
    <w:rsid w:val="00DC577F"/>
    <w:rsid w:val="00DC5A0D"/>
    <w:rsid w:val="00DC62EB"/>
    <w:rsid w:val="00DC73C1"/>
    <w:rsid w:val="00DD3F83"/>
    <w:rsid w:val="00DD4F53"/>
    <w:rsid w:val="00DD5785"/>
    <w:rsid w:val="00DD65E0"/>
    <w:rsid w:val="00DD71DA"/>
    <w:rsid w:val="00DE1408"/>
    <w:rsid w:val="00DE485E"/>
    <w:rsid w:val="00DE52A8"/>
    <w:rsid w:val="00DF0618"/>
    <w:rsid w:val="00DF0925"/>
    <w:rsid w:val="00DF100A"/>
    <w:rsid w:val="00DF2696"/>
    <w:rsid w:val="00DF3950"/>
    <w:rsid w:val="00DF3B8A"/>
    <w:rsid w:val="00DF6148"/>
    <w:rsid w:val="00DF691F"/>
    <w:rsid w:val="00E015F6"/>
    <w:rsid w:val="00E03786"/>
    <w:rsid w:val="00E04487"/>
    <w:rsid w:val="00E04ABC"/>
    <w:rsid w:val="00E04DE6"/>
    <w:rsid w:val="00E0725D"/>
    <w:rsid w:val="00E141A1"/>
    <w:rsid w:val="00E14489"/>
    <w:rsid w:val="00E14D05"/>
    <w:rsid w:val="00E1516D"/>
    <w:rsid w:val="00E15F2D"/>
    <w:rsid w:val="00E17537"/>
    <w:rsid w:val="00E21CA7"/>
    <w:rsid w:val="00E263AD"/>
    <w:rsid w:val="00E30116"/>
    <w:rsid w:val="00E30434"/>
    <w:rsid w:val="00E30743"/>
    <w:rsid w:val="00E30B91"/>
    <w:rsid w:val="00E33BC1"/>
    <w:rsid w:val="00E3451E"/>
    <w:rsid w:val="00E34EBE"/>
    <w:rsid w:val="00E35DBE"/>
    <w:rsid w:val="00E37CE7"/>
    <w:rsid w:val="00E4017C"/>
    <w:rsid w:val="00E4049A"/>
    <w:rsid w:val="00E4377C"/>
    <w:rsid w:val="00E4575B"/>
    <w:rsid w:val="00E4655A"/>
    <w:rsid w:val="00E5032B"/>
    <w:rsid w:val="00E53115"/>
    <w:rsid w:val="00E53F2C"/>
    <w:rsid w:val="00E5662E"/>
    <w:rsid w:val="00E627DB"/>
    <w:rsid w:val="00E644F5"/>
    <w:rsid w:val="00E65503"/>
    <w:rsid w:val="00E669B7"/>
    <w:rsid w:val="00E67DF5"/>
    <w:rsid w:val="00E72DD8"/>
    <w:rsid w:val="00E744B0"/>
    <w:rsid w:val="00E7694F"/>
    <w:rsid w:val="00E77EED"/>
    <w:rsid w:val="00E8231A"/>
    <w:rsid w:val="00E832E4"/>
    <w:rsid w:val="00E86C4B"/>
    <w:rsid w:val="00E86DC2"/>
    <w:rsid w:val="00E907B5"/>
    <w:rsid w:val="00E9296B"/>
    <w:rsid w:val="00E94939"/>
    <w:rsid w:val="00E94CE5"/>
    <w:rsid w:val="00E965B3"/>
    <w:rsid w:val="00E9726E"/>
    <w:rsid w:val="00EA05D7"/>
    <w:rsid w:val="00EA3C95"/>
    <w:rsid w:val="00EA4270"/>
    <w:rsid w:val="00EA5FD6"/>
    <w:rsid w:val="00EB0B5C"/>
    <w:rsid w:val="00EB3677"/>
    <w:rsid w:val="00EB3FA6"/>
    <w:rsid w:val="00EB6E25"/>
    <w:rsid w:val="00EB7D89"/>
    <w:rsid w:val="00EC06BB"/>
    <w:rsid w:val="00EC0FCD"/>
    <w:rsid w:val="00EC162B"/>
    <w:rsid w:val="00EC1E6A"/>
    <w:rsid w:val="00EC2217"/>
    <w:rsid w:val="00EC29B8"/>
    <w:rsid w:val="00EC5B0A"/>
    <w:rsid w:val="00EC6E5A"/>
    <w:rsid w:val="00EC75FD"/>
    <w:rsid w:val="00EC764B"/>
    <w:rsid w:val="00EE08CB"/>
    <w:rsid w:val="00EE11D1"/>
    <w:rsid w:val="00EE2423"/>
    <w:rsid w:val="00EE2D60"/>
    <w:rsid w:val="00EE326F"/>
    <w:rsid w:val="00EE4D9F"/>
    <w:rsid w:val="00EE59D1"/>
    <w:rsid w:val="00EE5C56"/>
    <w:rsid w:val="00EF1C3A"/>
    <w:rsid w:val="00EF6D34"/>
    <w:rsid w:val="00EF6E5F"/>
    <w:rsid w:val="00F01C81"/>
    <w:rsid w:val="00F022FB"/>
    <w:rsid w:val="00F0458B"/>
    <w:rsid w:val="00F06C42"/>
    <w:rsid w:val="00F1189B"/>
    <w:rsid w:val="00F1325C"/>
    <w:rsid w:val="00F132FE"/>
    <w:rsid w:val="00F141E5"/>
    <w:rsid w:val="00F14D6C"/>
    <w:rsid w:val="00F166A0"/>
    <w:rsid w:val="00F16E19"/>
    <w:rsid w:val="00F20C16"/>
    <w:rsid w:val="00F237C3"/>
    <w:rsid w:val="00F249CF"/>
    <w:rsid w:val="00F24C86"/>
    <w:rsid w:val="00F2783E"/>
    <w:rsid w:val="00F3162B"/>
    <w:rsid w:val="00F34602"/>
    <w:rsid w:val="00F379AC"/>
    <w:rsid w:val="00F4669F"/>
    <w:rsid w:val="00F46F0B"/>
    <w:rsid w:val="00F52733"/>
    <w:rsid w:val="00F53529"/>
    <w:rsid w:val="00F55E58"/>
    <w:rsid w:val="00F562F8"/>
    <w:rsid w:val="00F5674C"/>
    <w:rsid w:val="00F57240"/>
    <w:rsid w:val="00F6037B"/>
    <w:rsid w:val="00F61EF1"/>
    <w:rsid w:val="00F673A7"/>
    <w:rsid w:val="00F70A23"/>
    <w:rsid w:val="00F763FD"/>
    <w:rsid w:val="00F76780"/>
    <w:rsid w:val="00F82B08"/>
    <w:rsid w:val="00F87CED"/>
    <w:rsid w:val="00F9168E"/>
    <w:rsid w:val="00F92EF0"/>
    <w:rsid w:val="00F94E13"/>
    <w:rsid w:val="00F94E64"/>
    <w:rsid w:val="00F95606"/>
    <w:rsid w:val="00F96EDA"/>
    <w:rsid w:val="00F97B56"/>
    <w:rsid w:val="00FA1B7C"/>
    <w:rsid w:val="00FA224F"/>
    <w:rsid w:val="00FA4E0E"/>
    <w:rsid w:val="00FA6117"/>
    <w:rsid w:val="00FA7848"/>
    <w:rsid w:val="00FA791D"/>
    <w:rsid w:val="00FA7E63"/>
    <w:rsid w:val="00FB005A"/>
    <w:rsid w:val="00FB2164"/>
    <w:rsid w:val="00FB3E66"/>
    <w:rsid w:val="00FB5326"/>
    <w:rsid w:val="00FB5550"/>
    <w:rsid w:val="00FB653D"/>
    <w:rsid w:val="00FC0835"/>
    <w:rsid w:val="00FC1234"/>
    <w:rsid w:val="00FC139A"/>
    <w:rsid w:val="00FC1A9B"/>
    <w:rsid w:val="00FC4035"/>
    <w:rsid w:val="00FC6A0B"/>
    <w:rsid w:val="00FC6D4C"/>
    <w:rsid w:val="00FD103B"/>
    <w:rsid w:val="00FD162D"/>
    <w:rsid w:val="00FD273B"/>
    <w:rsid w:val="00FD4776"/>
    <w:rsid w:val="00FE1201"/>
    <w:rsid w:val="00FE249B"/>
    <w:rsid w:val="00FE2D4D"/>
    <w:rsid w:val="00FE39E9"/>
    <w:rsid w:val="00FE5A45"/>
    <w:rsid w:val="00FE69C1"/>
    <w:rsid w:val="00FF0550"/>
    <w:rsid w:val="00FF0585"/>
    <w:rsid w:val="00FF05DD"/>
    <w:rsid w:val="00FF6E92"/>
    <w:rsid w:val="00FF7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9FB8"/>
  <w15:chartTrackingRefBased/>
  <w15:docId w15:val="{4FD83964-422B-435F-AFAF-F023554E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4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51F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51F5"/>
  </w:style>
  <w:style w:type="paragraph" w:styleId="Header">
    <w:name w:val="header"/>
    <w:basedOn w:val="Normal"/>
    <w:link w:val="HeaderChar"/>
    <w:uiPriority w:val="99"/>
    <w:semiHidden/>
    <w:unhideWhenUsed/>
    <w:rsid w:val="001E51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51F5"/>
  </w:style>
  <w:style w:type="character" w:styleId="PageNumber">
    <w:name w:val="page number"/>
    <w:basedOn w:val="DefaultParagraphFont"/>
    <w:rsid w:val="001E51F5"/>
  </w:style>
  <w:style w:type="character" w:styleId="CommentReference">
    <w:name w:val="annotation reference"/>
    <w:basedOn w:val="DefaultParagraphFont"/>
    <w:unhideWhenUsed/>
    <w:rsid w:val="004A67CB"/>
    <w:rPr>
      <w:sz w:val="16"/>
      <w:szCs w:val="16"/>
    </w:rPr>
  </w:style>
  <w:style w:type="paragraph" w:styleId="CommentText">
    <w:name w:val="annotation text"/>
    <w:basedOn w:val="Normal"/>
    <w:link w:val="CommentTextChar"/>
    <w:uiPriority w:val="99"/>
    <w:unhideWhenUsed/>
    <w:rsid w:val="004A67CB"/>
    <w:pPr>
      <w:spacing w:line="240" w:lineRule="auto"/>
    </w:pPr>
    <w:rPr>
      <w:sz w:val="20"/>
      <w:szCs w:val="20"/>
    </w:rPr>
  </w:style>
  <w:style w:type="character" w:customStyle="1" w:styleId="CommentTextChar">
    <w:name w:val="Comment Text Char"/>
    <w:basedOn w:val="DefaultParagraphFont"/>
    <w:link w:val="CommentText"/>
    <w:uiPriority w:val="99"/>
    <w:rsid w:val="004A67CB"/>
    <w:rPr>
      <w:sz w:val="20"/>
      <w:szCs w:val="20"/>
    </w:rPr>
  </w:style>
  <w:style w:type="paragraph" w:styleId="CommentSubject">
    <w:name w:val="annotation subject"/>
    <w:basedOn w:val="CommentText"/>
    <w:next w:val="CommentText"/>
    <w:link w:val="CommentSubjectChar"/>
    <w:uiPriority w:val="99"/>
    <w:semiHidden/>
    <w:unhideWhenUsed/>
    <w:rsid w:val="004A67CB"/>
    <w:rPr>
      <w:b/>
      <w:bCs/>
    </w:rPr>
  </w:style>
  <w:style w:type="character" w:customStyle="1" w:styleId="CommentSubjectChar">
    <w:name w:val="Comment Subject Char"/>
    <w:basedOn w:val="CommentTextChar"/>
    <w:link w:val="CommentSubject"/>
    <w:uiPriority w:val="99"/>
    <w:semiHidden/>
    <w:rsid w:val="004A67CB"/>
    <w:rPr>
      <w:b/>
      <w:bCs/>
      <w:sz w:val="20"/>
      <w:szCs w:val="20"/>
    </w:rPr>
  </w:style>
  <w:style w:type="paragraph" w:styleId="BalloonText">
    <w:name w:val="Balloon Text"/>
    <w:basedOn w:val="Normal"/>
    <w:link w:val="BalloonTextChar"/>
    <w:uiPriority w:val="99"/>
    <w:semiHidden/>
    <w:unhideWhenUsed/>
    <w:rsid w:val="004A6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CB"/>
    <w:rPr>
      <w:rFonts w:ascii="Segoe UI" w:hAnsi="Segoe UI" w:cs="Segoe UI"/>
      <w:sz w:val="18"/>
      <w:szCs w:val="18"/>
    </w:rPr>
  </w:style>
  <w:style w:type="paragraph" w:styleId="Revision">
    <w:name w:val="Revision"/>
    <w:hidden/>
    <w:uiPriority w:val="99"/>
    <w:semiHidden/>
    <w:rsid w:val="00374344"/>
    <w:pPr>
      <w:spacing w:after="0" w:line="240" w:lineRule="auto"/>
    </w:p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085A4F"/>
    <w:pPr>
      <w:ind w:left="720"/>
      <w:contextualSpacing/>
    </w:pPr>
  </w:style>
  <w:style w:type="character" w:styleId="Hyperlink">
    <w:name w:val="Hyperlink"/>
    <w:basedOn w:val="DefaultParagraphFont"/>
    <w:uiPriority w:val="99"/>
    <w:unhideWhenUsed/>
    <w:rsid w:val="00C07687"/>
    <w:rPr>
      <w:rFonts w:ascii="Arial" w:hAnsi="Arial"/>
      <w:color w:val="0000FF"/>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qFormat/>
    <w:locked/>
    <w:rsid w:val="00C07687"/>
  </w:style>
  <w:style w:type="character" w:customStyle="1" w:styleId="Hyperlink1">
    <w:name w:val="Hyperlink1"/>
    <w:basedOn w:val="DefaultParagraphFont"/>
    <w:rsid w:val="005C4A76"/>
  </w:style>
  <w:style w:type="character" w:styleId="UnresolvedMention">
    <w:name w:val="Unresolved Mention"/>
    <w:basedOn w:val="DefaultParagraphFont"/>
    <w:uiPriority w:val="99"/>
    <w:semiHidden/>
    <w:unhideWhenUsed/>
    <w:rsid w:val="005C4A76"/>
    <w:rPr>
      <w:color w:val="605E5C"/>
      <w:shd w:val="clear" w:color="auto" w:fill="E1DFDD"/>
    </w:rPr>
  </w:style>
  <w:style w:type="character" w:customStyle="1" w:styleId="Hyperlink2">
    <w:name w:val="Hyperlink2"/>
    <w:basedOn w:val="DefaultParagraphFont"/>
    <w:rsid w:val="00494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14566">
      <w:bodyDiv w:val="1"/>
      <w:marLeft w:val="0"/>
      <w:marRight w:val="0"/>
      <w:marTop w:val="0"/>
      <w:marBottom w:val="0"/>
      <w:divBdr>
        <w:top w:val="none" w:sz="0" w:space="0" w:color="auto"/>
        <w:left w:val="none" w:sz="0" w:space="0" w:color="auto"/>
        <w:bottom w:val="none" w:sz="0" w:space="0" w:color="auto"/>
        <w:right w:val="none" w:sz="0" w:space="0" w:color="auto"/>
      </w:divBdr>
    </w:div>
    <w:div w:id="697047105">
      <w:bodyDiv w:val="1"/>
      <w:marLeft w:val="0"/>
      <w:marRight w:val="0"/>
      <w:marTop w:val="0"/>
      <w:marBottom w:val="0"/>
      <w:divBdr>
        <w:top w:val="none" w:sz="0" w:space="0" w:color="auto"/>
        <w:left w:val="none" w:sz="0" w:space="0" w:color="auto"/>
        <w:bottom w:val="none" w:sz="0" w:space="0" w:color="auto"/>
        <w:right w:val="none" w:sz="0" w:space="0" w:color="auto"/>
      </w:divBdr>
      <w:divsChild>
        <w:div w:id="158080920">
          <w:marLeft w:val="0"/>
          <w:marRight w:val="0"/>
          <w:marTop w:val="0"/>
          <w:marBottom w:val="0"/>
          <w:divBdr>
            <w:top w:val="none" w:sz="0" w:space="0" w:color="auto"/>
            <w:left w:val="none" w:sz="0" w:space="0" w:color="auto"/>
            <w:bottom w:val="none" w:sz="0" w:space="0" w:color="auto"/>
            <w:right w:val="none" w:sz="0" w:space="0" w:color="auto"/>
          </w:divBdr>
          <w:divsChild>
            <w:div w:id="559368771">
              <w:marLeft w:val="0"/>
              <w:marRight w:val="0"/>
              <w:marTop w:val="0"/>
              <w:marBottom w:val="0"/>
              <w:divBdr>
                <w:top w:val="none" w:sz="0" w:space="0" w:color="auto"/>
                <w:left w:val="none" w:sz="0" w:space="0" w:color="auto"/>
                <w:bottom w:val="none" w:sz="0" w:space="0" w:color="auto"/>
                <w:right w:val="none" w:sz="0" w:space="0" w:color="auto"/>
              </w:divBdr>
              <w:divsChild>
                <w:div w:id="1470244524">
                  <w:marLeft w:val="0"/>
                  <w:marRight w:val="0"/>
                  <w:marTop w:val="0"/>
                  <w:marBottom w:val="0"/>
                  <w:divBdr>
                    <w:top w:val="none" w:sz="0" w:space="0" w:color="auto"/>
                    <w:left w:val="none" w:sz="0" w:space="0" w:color="auto"/>
                    <w:bottom w:val="none" w:sz="0" w:space="0" w:color="auto"/>
                    <w:right w:val="none" w:sz="0" w:space="0" w:color="auto"/>
                  </w:divBdr>
                  <w:divsChild>
                    <w:div w:id="1634090594">
                      <w:marLeft w:val="0"/>
                      <w:marRight w:val="0"/>
                      <w:marTop w:val="0"/>
                      <w:marBottom w:val="0"/>
                      <w:divBdr>
                        <w:top w:val="none" w:sz="0" w:space="0" w:color="auto"/>
                        <w:left w:val="none" w:sz="0" w:space="0" w:color="auto"/>
                        <w:bottom w:val="none" w:sz="0" w:space="0" w:color="auto"/>
                        <w:right w:val="none" w:sz="0" w:space="0" w:color="auto"/>
                      </w:divBdr>
                      <w:divsChild>
                        <w:div w:id="2095474621">
                          <w:marLeft w:val="0"/>
                          <w:marRight w:val="0"/>
                          <w:marTop w:val="0"/>
                          <w:marBottom w:val="0"/>
                          <w:divBdr>
                            <w:top w:val="none" w:sz="0" w:space="0" w:color="auto"/>
                            <w:left w:val="none" w:sz="0" w:space="0" w:color="auto"/>
                            <w:bottom w:val="none" w:sz="0" w:space="0" w:color="auto"/>
                            <w:right w:val="none" w:sz="0" w:space="0" w:color="auto"/>
                          </w:divBdr>
                          <w:divsChild>
                            <w:div w:id="1806699861">
                              <w:marLeft w:val="0"/>
                              <w:marRight w:val="0"/>
                              <w:marTop w:val="0"/>
                              <w:marBottom w:val="0"/>
                              <w:divBdr>
                                <w:top w:val="none" w:sz="0" w:space="0" w:color="auto"/>
                                <w:left w:val="none" w:sz="0" w:space="0" w:color="auto"/>
                                <w:bottom w:val="none" w:sz="0" w:space="0" w:color="auto"/>
                                <w:right w:val="none" w:sz="0" w:space="0" w:color="auto"/>
                              </w:divBdr>
                              <w:divsChild>
                                <w:div w:id="644554043">
                                  <w:marLeft w:val="0"/>
                                  <w:marRight w:val="0"/>
                                  <w:marTop w:val="0"/>
                                  <w:marBottom w:val="0"/>
                                  <w:divBdr>
                                    <w:top w:val="none" w:sz="0" w:space="0" w:color="auto"/>
                                    <w:left w:val="none" w:sz="0" w:space="0" w:color="auto"/>
                                    <w:bottom w:val="none" w:sz="0" w:space="0" w:color="auto"/>
                                    <w:right w:val="none" w:sz="0" w:space="0" w:color="auto"/>
                                  </w:divBdr>
                                  <w:divsChild>
                                    <w:div w:id="1584609819">
                                      <w:marLeft w:val="0"/>
                                      <w:marRight w:val="0"/>
                                      <w:marTop w:val="0"/>
                                      <w:marBottom w:val="0"/>
                                      <w:divBdr>
                                        <w:top w:val="none" w:sz="0" w:space="0" w:color="auto"/>
                                        <w:left w:val="none" w:sz="0" w:space="0" w:color="auto"/>
                                        <w:bottom w:val="none" w:sz="0" w:space="0" w:color="auto"/>
                                        <w:right w:val="none" w:sz="0" w:space="0" w:color="auto"/>
                                      </w:divBdr>
                                      <w:divsChild>
                                        <w:div w:id="648755610">
                                          <w:marLeft w:val="0"/>
                                          <w:marRight w:val="0"/>
                                          <w:marTop w:val="0"/>
                                          <w:marBottom w:val="0"/>
                                          <w:divBdr>
                                            <w:top w:val="none" w:sz="0" w:space="0" w:color="auto"/>
                                            <w:left w:val="none" w:sz="0" w:space="0" w:color="auto"/>
                                            <w:bottom w:val="none" w:sz="0" w:space="0" w:color="auto"/>
                                            <w:right w:val="none" w:sz="0" w:space="0" w:color="auto"/>
                                          </w:divBdr>
                                          <w:divsChild>
                                            <w:div w:id="1901476319">
                                              <w:marLeft w:val="0"/>
                                              <w:marRight w:val="0"/>
                                              <w:marTop w:val="0"/>
                                              <w:marBottom w:val="0"/>
                                              <w:divBdr>
                                                <w:top w:val="none" w:sz="0" w:space="0" w:color="auto"/>
                                                <w:left w:val="none" w:sz="0" w:space="0" w:color="auto"/>
                                                <w:bottom w:val="none" w:sz="0" w:space="0" w:color="auto"/>
                                                <w:right w:val="none" w:sz="0" w:space="0" w:color="auto"/>
                                              </w:divBdr>
                                              <w:divsChild>
                                                <w:div w:id="1250232093">
                                                  <w:marLeft w:val="0"/>
                                                  <w:marRight w:val="0"/>
                                                  <w:marTop w:val="0"/>
                                                  <w:marBottom w:val="0"/>
                                                  <w:divBdr>
                                                    <w:top w:val="none" w:sz="0" w:space="0" w:color="auto"/>
                                                    <w:left w:val="none" w:sz="0" w:space="0" w:color="auto"/>
                                                    <w:bottom w:val="none" w:sz="0" w:space="0" w:color="auto"/>
                                                    <w:right w:val="none" w:sz="0" w:space="0" w:color="auto"/>
                                                  </w:divBdr>
                                                  <w:divsChild>
                                                    <w:div w:id="1477263623">
                                                      <w:marLeft w:val="0"/>
                                                      <w:marRight w:val="0"/>
                                                      <w:marTop w:val="0"/>
                                                      <w:marBottom w:val="0"/>
                                                      <w:divBdr>
                                                        <w:top w:val="none" w:sz="0" w:space="0" w:color="auto"/>
                                                        <w:left w:val="none" w:sz="0" w:space="0" w:color="auto"/>
                                                        <w:bottom w:val="none" w:sz="0" w:space="0" w:color="auto"/>
                                                        <w:right w:val="none" w:sz="0" w:space="0" w:color="auto"/>
                                                      </w:divBdr>
                                                      <w:divsChild>
                                                        <w:div w:id="38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4428213">
      <w:bodyDiv w:val="1"/>
      <w:marLeft w:val="0"/>
      <w:marRight w:val="0"/>
      <w:marTop w:val="0"/>
      <w:marBottom w:val="0"/>
      <w:divBdr>
        <w:top w:val="none" w:sz="0" w:space="0" w:color="auto"/>
        <w:left w:val="none" w:sz="0" w:space="0" w:color="auto"/>
        <w:bottom w:val="none" w:sz="0" w:space="0" w:color="auto"/>
        <w:right w:val="none" w:sz="0" w:space="0" w:color="auto"/>
      </w:divBdr>
    </w:div>
    <w:div w:id="145732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7B577-E2CC-42DD-AF0D-25504512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2803</Words>
  <Characters>15981</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Edlington, Mandy</dc:creator>
  <cp:keywords/>
  <dc:description/>
  <cp:lastModifiedBy>NEWMAN, Trent</cp:lastModifiedBy>
  <cp:revision>2</cp:revision>
  <cp:lastPrinted>2024-06-04T03:01:00Z</cp:lastPrinted>
  <dcterms:created xsi:type="dcterms:W3CDTF">2024-08-08T05:19:00Z</dcterms:created>
  <dcterms:modified xsi:type="dcterms:W3CDTF">2024-08-08T05:19:00Z</dcterms:modified>
</cp:coreProperties>
</file>