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B30E" w14:textId="77777777" w:rsidR="00FD0D41" w:rsidRPr="003C5719" w:rsidRDefault="00FD0D41" w:rsidP="00FD0D41">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54C101B" w14:textId="77777777" w:rsidR="00FD0D41" w:rsidRPr="003C5719" w:rsidRDefault="00FD0D41" w:rsidP="00FD0D41">
      <w:pPr>
        <w:pStyle w:val="Heading2"/>
        <w:jc w:val="center"/>
        <w:rPr>
          <w:sz w:val="24"/>
          <w:szCs w:val="24"/>
        </w:rPr>
      </w:pPr>
      <w:r w:rsidRPr="003C5719">
        <w:rPr>
          <w:sz w:val="24"/>
          <w:szCs w:val="24"/>
        </w:rPr>
        <w:t xml:space="preserve">Issued by authority of </w:t>
      </w:r>
      <w:sdt>
        <w:sdtPr>
          <w:rPr>
            <w:rStyle w:val="DefaultChar"/>
          </w:rPr>
          <w:id w:val="-1025254589"/>
          <w:placeholder>
            <w:docPart w:val="EBA781C884E947DC8A728FB6981E1963"/>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Assistant Treasurer and Minister for Financial Services</w:t>
          </w:r>
        </w:sdtContent>
      </w:sdt>
      <w:r w:rsidRPr="003C5719">
        <w:rPr>
          <w:sz w:val="24"/>
          <w:szCs w:val="24"/>
        </w:rPr>
        <w:t xml:space="preserve"> </w:t>
      </w:r>
    </w:p>
    <w:p w14:paraId="2212A47E" w14:textId="77777777" w:rsidR="00FD0D41" w:rsidRDefault="00FD0D41" w:rsidP="00FD0D41">
      <w:pPr>
        <w:pStyle w:val="paragraph"/>
        <w:spacing w:before="0" w:beforeAutospacing="0" w:after="240" w:afterAutospacing="0"/>
        <w:jc w:val="center"/>
        <w:textAlignment w:val="baseline"/>
        <w:rPr>
          <w:rFonts w:ascii="Segoe UI" w:hAnsi="Segoe UI" w:cs="Segoe UI"/>
          <w:b/>
          <w:bCs/>
          <w:sz w:val="18"/>
          <w:szCs w:val="18"/>
        </w:rPr>
      </w:pPr>
      <w:r>
        <w:rPr>
          <w:rStyle w:val="normaltextrun"/>
          <w:i/>
          <w:iCs/>
        </w:rPr>
        <w:t>Australian Securities and Investments Commission Act 2001</w:t>
      </w:r>
      <w:r>
        <w:rPr>
          <w:rStyle w:val="eop"/>
          <w:b/>
          <w:bCs/>
        </w:rPr>
        <w:t> </w:t>
      </w:r>
    </w:p>
    <w:p w14:paraId="403D3098" w14:textId="77777777" w:rsidR="00FD0D41" w:rsidRDefault="00FD0D41" w:rsidP="00FD0D41">
      <w:pPr>
        <w:pStyle w:val="paragraph"/>
        <w:spacing w:before="0" w:beforeAutospacing="0" w:after="240" w:afterAutospacing="0"/>
        <w:ind w:firstLine="780"/>
        <w:jc w:val="center"/>
        <w:textAlignment w:val="baseline"/>
        <w:rPr>
          <w:rFonts w:ascii="Segoe UI" w:hAnsi="Segoe UI" w:cs="Segoe UI"/>
          <w:b/>
          <w:bCs/>
          <w:sz w:val="18"/>
          <w:szCs w:val="18"/>
        </w:rPr>
      </w:pPr>
      <w:r>
        <w:rPr>
          <w:rStyle w:val="normaltextrun"/>
          <w:i/>
          <w:iCs/>
        </w:rPr>
        <w:t>Competition and Consumer Act 2010</w:t>
      </w:r>
      <w:r>
        <w:rPr>
          <w:rStyle w:val="eop"/>
          <w:b/>
          <w:bCs/>
        </w:rPr>
        <w:t> </w:t>
      </w:r>
    </w:p>
    <w:p w14:paraId="067E0140" w14:textId="77777777" w:rsidR="00FD0D41" w:rsidRDefault="00FD0D41" w:rsidP="00FD0D41">
      <w:pPr>
        <w:pStyle w:val="paragraph"/>
        <w:spacing w:before="0" w:beforeAutospacing="0" w:after="240" w:afterAutospacing="0"/>
        <w:ind w:firstLine="780"/>
        <w:jc w:val="center"/>
        <w:textAlignment w:val="baseline"/>
        <w:rPr>
          <w:rFonts w:ascii="Segoe UI" w:hAnsi="Segoe UI" w:cs="Segoe UI"/>
          <w:sz w:val="18"/>
          <w:szCs w:val="18"/>
        </w:rPr>
      </w:pPr>
      <w:r>
        <w:rPr>
          <w:rStyle w:val="normaltextrun"/>
          <w:i/>
          <w:iCs/>
        </w:rPr>
        <w:t>Corporations Act 2001</w:t>
      </w:r>
      <w:r>
        <w:rPr>
          <w:rStyle w:val="eop"/>
        </w:rPr>
        <w:t> </w:t>
      </w:r>
    </w:p>
    <w:p w14:paraId="39C7E8A8" w14:textId="77777777" w:rsidR="00215C6A" w:rsidRDefault="00215C6A" w:rsidP="00FD0D41">
      <w:pPr>
        <w:pStyle w:val="NormalWeb"/>
        <w:keepNext/>
        <w:keepLines/>
        <w:rPr>
          <w:rStyle w:val="normaltextrun"/>
          <w:i/>
          <w:iCs/>
        </w:rPr>
      </w:pPr>
      <w:r w:rsidRPr="00215C6A">
        <w:rPr>
          <w:rStyle w:val="normaltextrun"/>
          <w:i/>
          <w:iCs/>
        </w:rPr>
        <w:t>Treasury Laws Amendment (Professional Standards Schemes No. 2) Regulations 2024</w:t>
      </w:r>
    </w:p>
    <w:p w14:paraId="228FBDB9" w14:textId="5C8FF19B" w:rsidR="00FD0D41" w:rsidRDefault="00FD0D41" w:rsidP="00FD0D41">
      <w:pPr>
        <w:pStyle w:val="NormalWeb"/>
        <w:keepNext/>
        <w:keepLines/>
        <w:rPr>
          <w:rStyle w:val="eop"/>
          <w:color w:val="000000"/>
          <w:shd w:val="clear" w:color="auto" w:fill="FFFFFF"/>
        </w:rPr>
      </w:pPr>
      <w:r>
        <w:rPr>
          <w:rStyle w:val="normaltextrun"/>
          <w:color w:val="000000"/>
          <w:shd w:val="clear" w:color="auto" w:fill="FFFFFF"/>
        </w:rPr>
        <w:t xml:space="preserve">Section 251 of the </w:t>
      </w:r>
      <w:r w:rsidRPr="47635CAE">
        <w:rPr>
          <w:rStyle w:val="normaltextrun"/>
          <w:i/>
          <w:iCs/>
          <w:color w:val="000000"/>
          <w:shd w:val="clear" w:color="auto" w:fill="FFFFFF"/>
        </w:rPr>
        <w:t>Australian Securities and Investments Commission Act 2001</w:t>
      </w:r>
      <w:r>
        <w:rPr>
          <w:rStyle w:val="normaltextrun"/>
          <w:color w:val="000000"/>
          <w:shd w:val="clear" w:color="auto" w:fill="FFFFFF"/>
        </w:rPr>
        <w:t xml:space="preserve"> (the ASIC Act), section 172 of the </w:t>
      </w:r>
      <w:r w:rsidRPr="47635CAE">
        <w:rPr>
          <w:rStyle w:val="normaltextrun"/>
          <w:i/>
          <w:iCs/>
          <w:color w:val="000000"/>
          <w:shd w:val="clear" w:color="auto" w:fill="FFFFFF"/>
        </w:rPr>
        <w:t>Competition and Consumer Act 2010</w:t>
      </w:r>
      <w:r>
        <w:rPr>
          <w:rStyle w:val="normaltextrun"/>
          <w:color w:val="000000"/>
          <w:shd w:val="clear" w:color="auto" w:fill="FFFFFF"/>
        </w:rPr>
        <w:t xml:space="preserve"> (the CCA) and section 1364 of the </w:t>
      </w:r>
      <w:r w:rsidRPr="47635CAE">
        <w:rPr>
          <w:rStyle w:val="normaltextrun"/>
          <w:i/>
          <w:iCs/>
          <w:color w:val="000000"/>
          <w:shd w:val="clear" w:color="auto" w:fill="FFFFFF"/>
        </w:rPr>
        <w:t>Corporations Act 2001</w:t>
      </w:r>
      <w:r>
        <w:rPr>
          <w:rStyle w:val="normaltextrun"/>
          <w:color w:val="000000"/>
          <w:shd w:val="clear" w:color="auto" w:fill="FFFFFF"/>
        </w:rPr>
        <w:t xml:space="preserve"> (the Corporations Act) each provide that the Governor</w:t>
      </w:r>
      <w:r w:rsidR="0958E955">
        <w:rPr>
          <w:rStyle w:val="normaltextrun"/>
          <w:color w:val="000000"/>
          <w:shd w:val="clear" w:color="auto" w:fill="FFFFFF"/>
        </w:rPr>
        <w:t>-</w:t>
      </w:r>
      <w:r>
        <w:rPr>
          <w:rStyle w:val="normaltextrun"/>
          <w:color w:val="000000"/>
          <w:shd w:val="clear" w:color="auto" w:fill="FFFFFF"/>
        </w:rPr>
        <w:t>General may make regulations prescribing matters required or permitted by the Acts to be prescribed, or necessary or convenient to be prescribed for carrying out or giving effect to the Acts.</w:t>
      </w:r>
      <w:r>
        <w:rPr>
          <w:rStyle w:val="eop"/>
          <w:color w:val="000000"/>
          <w:shd w:val="clear" w:color="auto" w:fill="FFFFFF"/>
        </w:rPr>
        <w:t> </w:t>
      </w:r>
    </w:p>
    <w:p w14:paraId="7F6E2E1B" w14:textId="2BBC5460" w:rsidR="00FD0D41" w:rsidRPr="007E107E" w:rsidRDefault="00FD0D41" w:rsidP="00FD0D41">
      <w:pPr>
        <w:spacing w:before="240"/>
      </w:pPr>
      <w:r w:rsidRPr="007E107E">
        <w:t>The intergovernmental </w:t>
      </w:r>
      <w:r w:rsidRPr="00AC6DA9">
        <w:rPr>
          <w:i/>
          <w:iCs/>
        </w:rPr>
        <w:t>Professional Standards Agreement 2011</w:t>
      </w:r>
      <w:r w:rsidRPr="007E107E">
        <w:t> </w:t>
      </w:r>
      <w:r w:rsidR="00A64A12">
        <w:t xml:space="preserve">(intergovernmental agreement) </w:t>
      </w:r>
      <w:r w:rsidRPr="007E107E">
        <w:t>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40EBC216" w14:textId="77777777" w:rsidR="00FD0D41" w:rsidRPr="00AD0822" w:rsidRDefault="00FD0D41" w:rsidP="00FD0D41">
      <w:pPr>
        <w:spacing w:before="240"/>
        <w:rPr>
          <w:color w:val="000000"/>
        </w:rPr>
      </w:pPr>
      <w:r w:rsidRPr="00E467E4">
        <w:rPr>
          <w:color w:val="000000"/>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2F819EA2" w14:textId="77777777" w:rsidR="00FD0D41" w:rsidRPr="007E107E" w:rsidRDefault="00FD0D41" w:rsidP="00FD0D41">
      <w:pPr>
        <w:spacing w:before="240"/>
      </w:pPr>
      <w:r w:rsidRPr="007E107E">
        <w:rPr>
          <w:color w:val="000000"/>
        </w:rPr>
        <w:t>All approved professional standards schemes are prescribed under the CCA. In addition, those schemes relating to financial services are also prescribed under the ASIC Act and Corporations Act.</w:t>
      </w:r>
    </w:p>
    <w:p w14:paraId="1AAF821F" w14:textId="77777777" w:rsidR="00FD0D41" w:rsidRDefault="00FD0D41" w:rsidP="00FD0D41">
      <w:pPr>
        <w:spacing w:before="240"/>
        <w:rPr>
          <w:color w:val="000000"/>
        </w:rPr>
      </w:pPr>
      <w:r>
        <w:rPr>
          <w:color w:val="000000"/>
        </w:rPr>
        <w:t>Subsections 12GNA(2) of the ASIC Act, 137(2) of the CCA and 1044B(2) of the Corporations Act provide for capped civil liability for misleading and deceptive conduct for professional standards schemes that are prescribed in relevant regulations. Accordingly, regulation 3A of the </w:t>
      </w:r>
      <w:r w:rsidRPr="00AA3F31">
        <w:rPr>
          <w:i/>
          <w:iCs/>
          <w:color w:val="000000"/>
        </w:rPr>
        <w:t>Australian Securities and Investments Commission Regulations 200</w:t>
      </w:r>
      <w:r w:rsidRPr="007E107E">
        <w:rPr>
          <w:color w:val="000000"/>
        </w:rPr>
        <w:t>1</w:t>
      </w:r>
      <w:r>
        <w:rPr>
          <w:color w:val="000000"/>
        </w:rPr>
        <w:t>, regulation 8A of the </w:t>
      </w:r>
      <w:r w:rsidRPr="00AA3F31">
        <w:rPr>
          <w:i/>
          <w:iCs/>
          <w:color w:val="000000"/>
        </w:rPr>
        <w:t>Competition and Consumer Regulations 2010</w:t>
      </w:r>
      <w:r>
        <w:rPr>
          <w:color w:val="000000"/>
        </w:rPr>
        <w:t> and regulation 7.10.02 of the </w:t>
      </w:r>
      <w:r w:rsidRPr="00AA3F31">
        <w:rPr>
          <w:i/>
          <w:iCs/>
          <w:color w:val="000000"/>
        </w:rPr>
        <w:t>Corporations Regulations 2001</w:t>
      </w:r>
      <w:r>
        <w:rPr>
          <w:color w:val="000000"/>
        </w:rPr>
        <w:t> prescribe a list of professional standards schemes that have capped civil liability for misleading and deceptive conduct under their respective principal Acts.</w:t>
      </w:r>
    </w:p>
    <w:p w14:paraId="5A1FADDC" w14:textId="42243523" w:rsidR="00FD0D41" w:rsidRPr="00215C6A" w:rsidRDefault="00FD0D41" w:rsidP="195873FA">
      <w:pPr>
        <w:pStyle w:val="NormalWeb"/>
        <w:keepNext/>
        <w:keepLines/>
        <w:rPr>
          <w:i/>
          <w:iCs/>
        </w:rPr>
      </w:pPr>
      <w:r w:rsidRPr="00E467E4">
        <w:rPr>
          <w:color w:val="000000"/>
        </w:rPr>
        <w:lastRenderedPageBreak/>
        <w:t xml:space="preserve">The </w:t>
      </w:r>
      <w:r w:rsidR="00215C6A" w:rsidRPr="195873FA">
        <w:rPr>
          <w:rStyle w:val="normaltextrun"/>
          <w:i/>
          <w:iCs/>
        </w:rPr>
        <w:t xml:space="preserve">Treasury Laws Amendment (Professional Standards Schemes No. 2) Regulations 2024 </w:t>
      </w:r>
      <w:r w:rsidRPr="00E467E4">
        <w:rPr>
          <w:color w:val="000000"/>
        </w:rPr>
        <w:t xml:space="preserve">(the Regulations) </w:t>
      </w:r>
      <w:r w:rsidR="2252870D">
        <w:rPr>
          <w:rStyle w:val="normaltextrun"/>
          <w:color w:val="000000"/>
          <w:shd w:val="clear" w:color="auto" w:fill="FFFFFF"/>
        </w:rPr>
        <w:t>prescribes a</w:t>
      </w:r>
      <w:r>
        <w:rPr>
          <w:rStyle w:val="normaltextrun"/>
          <w:color w:val="000000"/>
          <w:shd w:val="clear" w:color="auto" w:fill="FFFFFF"/>
        </w:rPr>
        <w:t xml:space="preserve"> professional standards scheme titled the </w:t>
      </w:r>
      <w:r w:rsidR="00215C6A" w:rsidRPr="195873FA">
        <w:rPr>
          <w:i/>
          <w:iCs/>
        </w:rPr>
        <w:t>Bar Association of Queensland Professional Standards Scheme</w:t>
      </w:r>
      <w:r w:rsidRPr="195873FA">
        <w:rPr>
          <w:rStyle w:val="normaltextrun"/>
          <w:i/>
          <w:iCs/>
          <w:color w:val="000000"/>
          <w:shd w:val="clear" w:color="auto" w:fill="FFFFFF"/>
        </w:rPr>
        <w:t xml:space="preserve">. </w:t>
      </w:r>
      <w:r>
        <w:rPr>
          <w:rStyle w:val="normaltextrun"/>
          <w:color w:val="000000"/>
          <w:shd w:val="clear" w:color="auto" w:fill="FFFFFF"/>
        </w:rPr>
        <w:t xml:space="preserve">There are no significant differences between this remade scheme and the earlier iteration of the scheme which was previously prescribed. </w:t>
      </w:r>
    </w:p>
    <w:p w14:paraId="0C5DBF85" w14:textId="77777777" w:rsidR="00FD0D41" w:rsidRPr="00C56F2E" w:rsidRDefault="00FD0D41" w:rsidP="00FD0D41">
      <w:pPr>
        <w:pStyle w:val="Bullet"/>
        <w:numPr>
          <w:ilvl w:val="0"/>
          <w:numId w:val="0"/>
        </w:numPr>
        <w:rPr>
          <w:color w:val="FF0000"/>
        </w:rPr>
      </w:pPr>
      <w:r>
        <w:t>The ASIC Act, the CCA and the Corporations Act do not specify any conditions that need to be satisfied before the power to make the Regulations may be exercised.</w:t>
      </w:r>
    </w:p>
    <w:p w14:paraId="038908B1" w14:textId="635F0013" w:rsidR="00FD0D41" w:rsidRPr="002E68B6" w:rsidRDefault="00FD0D41" w:rsidP="00FD0D41">
      <w:pPr>
        <w:shd w:val="clear" w:color="auto" w:fill="FFFFFF"/>
        <w:spacing w:after="240"/>
        <w:rPr>
          <w:color w:val="000000"/>
        </w:rPr>
      </w:pPr>
      <w:r w:rsidRPr="002E68B6">
        <w:rPr>
          <w:color w:val="000000"/>
        </w:rPr>
        <w:t xml:space="preserve">Details of the currently approved </w:t>
      </w:r>
      <w:r w:rsidR="00380735">
        <w:rPr>
          <w:color w:val="000000"/>
        </w:rPr>
        <w:t xml:space="preserve">and expired </w:t>
      </w:r>
      <w:r w:rsidRPr="002E68B6">
        <w:rPr>
          <w:color w:val="000000"/>
        </w:rPr>
        <w:t>schemes</w:t>
      </w:r>
      <w:r w:rsidR="00380735">
        <w:rPr>
          <w:color w:val="000000"/>
        </w:rPr>
        <w:t xml:space="preserve"> </w:t>
      </w:r>
      <w:r w:rsidRPr="002E68B6">
        <w:rPr>
          <w:color w:val="000000"/>
        </w:rPr>
        <w:t>are publicly available on the Professional Standards Councils website: </w:t>
      </w:r>
      <w:r w:rsidRPr="007B30A6">
        <w:t>www.psc.gov.au</w:t>
      </w:r>
      <w:r w:rsidRPr="002E68B6">
        <w:rPr>
          <w:color w:val="000000"/>
        </w:rPr>
        <w:t>.</w:t>
      </w:r>
    </w:p>
    <w:p w14:paraId="447A1013" w14:textId="77777777" w:rsidR="00FD0D41" w:rsidRDefault="00FD0D41" w:rsidP="00FD0D41">
      <w:pPr>
        <w:spacing w:before="240"/>
      </w:pPr>
      <w:r w:rsidRPr="003C5719">
        <w:t xml:space="preserve">The Regulations are a legislative instrument for the purposes of the </w:t>
      </w:r>
      <w:r w:rsidRPr="003C5719">
        <w:rPr>
          <w:i/>
          <w:iCs/>
        </w:rPr>
        <w:t>Legislation Act 2003</w:t>
      </w:r>
      <w:r w:rsidRPr="003C5719">
        <w:t>.</w:t>
      </w:r>
    </w:p>
    <w:p w14:paraId="3BB5329F" w14:textId="045C979F" w:rsidR="007733D1" w:rsidRPr="003C5719" w:rsidRDefault="007733D1" w:rsidP="00FD0D41">
      <w:pPr>
        <w:spacing w:before="240"/>
      </w:pPr>
      <w:r>
        <w:t>The Regulations are subject to disallowance.</w:t>
      </w:r>
    </w:p>
    <w:p w14:paraId="19C7781B" w14:textId="77777777" w:rsidR="00FD0D41" w:rsidRDefault="00FD0D41" w:rsidP="00FD0D41">
      <w:pPr>
        <w:spacing w:before="240"/>
      </w:pPr>
      <w:r w:rsidRPr="003C5719">
        <w:t xml:space="preserve">The Regulations commenced on </w:t>
      </w:r>
      <w:r>
        <w:t>the day after it is registered</w:t>
      </w:r>
      <w:r w:rsidRPr="003C5719">
        <w:t xml:space="preserve">. </w:t>
      </w:r>
    </w:p>
    <w:p w14:paraId="619DFA4F" w14:textId="6475E09F" w:rsidR="00A64A12" w:rsidRDefault="007E5B44" w:rsidP="00367266">
      <w:pPr>
        <w:pStyle w:val="Bullet"/>
        <w:numPr>
          <w:ilvl w:val="0"/>
          <w:numId w:val="0"/>
        </w:numPr>
        <w:tabs>
          <w:tab w:val="left" w:pos="720"/>
        </w:tabs>
      </w:pPr>
      <w:r w:rsidRPr="007E5B44">
        <w:t xml:space="preserve">The </w:t>
      </w:r>
      <w:r>
        <w:t>Regulations are</w:t>
      </w:r>
      <w:r w:rsidRPr="007E5B44">
        <w:t xml:space="preserve"> exempt from sunsetting </w:t>
      </w:r>
      <w:r>
        <w:t>as they</w:t>
      </w:r>
      <w:r w:rsidRPr="007E5B44">
        <w:t xml:space="preserve"> seek to amend </w:t>
      </w:r>
      <w:r w:rsidR="00FE1D61">
        <w:t>regulations</w:t>
      </w:r>
      <w:r w:rsidRPr="007E5B44">
        <w:t xml:space="preserve"> that are already exempt themselves</w:t>
      </w:r>
      <w:r w:rsidR="00EC13A4">
        <w:t>. The</w:t>
      </w:r>
      <w:r w:rsidR="00FE1D61">
        <w:t>se exempt regulations are the</w:t>
      </w:r>
      <w:r w:rsidR="00EC13A4">
        <w:t xml:space="preserve"> </w:t>
      </w:r>
      <w:r w:rsidR="00EC13A4" w:rsidRPr="00367266">
        <w:rPr>
          <w:i/>
          <w:iCs/>
        </w:rPr>
        <w:t>Australian Securities and Investments Commission Regulations 2001</w:t>
      </w:r>
      <w:r w:rsidR="00EC13A4" w:rsidRPr="00367266">
        <w:t xml:space="preserve">, the </w:t>
      </w:r>
      <w:r w:rsidR="00EC13A4" w:rsidRPr="00367266">
        <w:rPr>
          <w:i/>
          <w:iCs/>
        </w:rPr>
        <w:t>Competition and Consumer Regulations 2010</w:t>
      </w:r>
      <w:r w:rsidR="00EC13A4" w:rsidRPr="00367266">
        <w:t xml:space="preserve"> and the </w:t>
      </w:r>
      <w:r w:rsidR="00EC13A4" w:rsidRPr="00367266">
        <w:rPr>
          <w:i/>
          <w:iCs/>
        </w:rPr>
        <w:t>Corporations Regulations 2001</w:t>
      </w:r>
      <w:r w:rsidR="00EC13A4">
        <w:t xml:space="preserve"> </w:t>
      </w:r>
      <w:r w:rsidR="00370776">
        <w:t xml:space="preserve">which </w:t>
      </w:r>
      <w:r w:rsidR="00EC13A4" w:rsidRPr="00367266">
        <w:t xml:space="preserve">are exempt from sunsetting under item 9B, item 16 and item 18, respectively, of </w:t>
      </w:r>
      <w:r w:rsidRPr="007E5B44">
        <w:t xml:space="preserve">section 12 of </w:t>
      </w:r>
      <w:r w:rsidRPr="00367266">
        <w:rPr>
          <w:i/>
          <w:iCs/>
        </w:rPr>
        <w:t>Legislation (Exemptions and Other Matters) Regulation 2015</w:t>
      </w:r>
      <w:r w:rsidRPr="007E5B44">
        <w:t xml:space="preserve">. </w:t>
      </w:r>
      <w:r w:rsidR="00370776">
        <w:t>As an amending instrument, the</w:t>
      </w:r>
      <w:r w:rsidRPr="007E5B44">
        <w:t xml:space="preserve"> </w:t>
      </w:r>
      <w:r w:rsidR="00370776">
        <w:t>Regulations are</w:t>
      </w:r>
      <w:r w:rsidRPr="007E5B44">
        <w:t xml:space="preserve"> also subject to automatic repeal in accordance with section 48A of the </w:t>
      </w:r>
      <w:r w:rsidRPr="00367266">
        <w:rPr>
          <w:i/>
          <w:iCs/>
        </w:rPr>
        <w:t>Legislation Act 2003</w:t>
      </w:r>
      <w:r w:rsidRPr="007E5B44">
        <w:t xml:space="preserve">. Lastly, the objective of the </w:t>
      </w:r>
      <w:r w:rsidR="00370776">
        <w:t>Regulations</w:t>
      </w:r>
      <w:r w:rsidRPr="007E5B44">
        <w:t xml:space="preserve"> is to give effect to </w:t>
      </w:r>
      <w:r w:rsidR="009C1381">
        <w:t>the</w:t>
      </w:r>
      <w:r w:rsidRPr="007E5B44">
        <w:t xml:space="preserve"> intergovernmental agreement between the Commonwealth and States and Territories. A</w:t>
      </w:r>
      <w:r w:rsidR="00370776">
        <w:t xml:space="preserve">n exemption from sunsetting ensures that the </w:t>
      </w:r>
      <w:r w:rsidR="00A64A12">
        <w:t>Regulations would not be unilaterally altered by the Commonwealth, contrary to the terms of the intergovernmental agreement.</w:t>
      </w:r>
      <w:r w:rsidRPr="007E5B44">
        <w:t xml:space="preserve"> </w:t>
      </w:r>
    </w:p>
    <w:p w14:paraId="14575710" w14:textId="77777777" w:rsidR="00FD0D41" w:rsidRPr="003C5719" w:rsidRDefault="00FD0D41" w:rsidP="00FD0D41">
      <w:pPr>
        <w:spacing w:before="240"/>
      </w:pPr>
      <w:r w:rsidRPr="003C5719">
        <w:t xml:space="preserve">Details of the Regulations are set out in </w:t>
      </w:r>
      <w:r w:rsidRPr="003C5719">
        <w:rPr>
          <w:u w:val="single"/>
        </w:rPr>
        <w:t xml:space="preserve">Attachment </w:t>
      </w:r>
      <w:r>
        <w:rPr>
          <w:u w:val="single"/>
        </w:rPr>
        <w:t>A</w:t>
      </w:r>
      <w:r w:rsidRPr="003C5719">
        <w:t xml:space="preserve">. </w:t>
      </w:r>
    </w:p>
    <w:p w14:paraId="75B3BD94" w14:textId="77777777" w:rsidR="00FD0D41" w:rsidRDefault="00FD0D41" w:rsidP="00FD0D41">
      <w:pPr>
        <w:spacing w:before="240"/>
      </w:pPr>
      <w:r w:rsidRPr="003C5719">
        <w:t xml:space="preserve">A statement of Compatibility with Human Rights is at </w:t>
      </w:r>
      <w:r w:rsidRPr="003C5719">
        <w:rPr>
          <w:u w:val="single"/>
        </w:rPr>
        <w:t>Attachmen</w:t>
      </w:r>
      <w:r>
        <w:rPr>
          <w:u w:val="single"/>
        </w:rPr>
        <w:t>t B</w:t>
      </w:r>
      <w:r w:rsidRPr="003C5719">
        <w:rPr>
          <w:u w:val="single"/>
        </w:rPr>
        <w:t>.</w:t>
      </w:r>
      <w:r w:rsidRPr="003C5719">
        <w:t xml:space="preserve"> </w:t>
      </w:r>
    </w:p>
    <w:p w14:paraId="4B590791" w14:textId="3C0608DB" w:rsidR="00FD0D41" w:rsidRDefault="00FD0D41" w:rsidP="00FD0D41">
      <w:pPr>
        <w:spacing w:before="240"/>
      </w:pPr>
      <w:r>
        <w:t xml:space="preserve">The Office of Impact Analysis has been (OIA) has been consulted (OIA ref: </w:t>
      </w:r>
      <w:sdt>
        <w:sdtPr>
          <w:id w:val="1126047920"/>
          <w:placeholder>
            <w:docPart w:val="B2369755CEC74ED0BC025ABA3F088A56"/>
          </w:placeholder>
        </w:sdtPr>
        <w:sdtContent>
          <w:r>
            <w:t>OIA23-06158</w:t>
          </w:r>
        </w:sdtContent>
      </w:sdt>
      <w:r>
        <w:t xml:space="preserve">) and agreed that an Impact Analysis is not required. The measure has no impact on compliance costs. </w:t>
      </w:r>
    </w:p>
    <w:p w14:paraId="318429EE" w14:textId="77777777" w:rsidR="00FD0D41" w:rsidRPr="003C5719" w:rsidRDefault="00FD0D41" w:rsidP="00FD0D41">
      <w:pPr>
        <w:spacing w:before="240"/>
      </w:pPr>
    </w:p>
    <w:p w14:paraId="36496AA6" w14:textId="77777777" w:rsidR="00FD0D41" w:rsidRPr="003C5719" w:rsidRDefault="00FD0D41" w:rsidP="00FD0D41">
      <w:pPr>
        <w:pageBreakBefore/>
        <w:spacing w:before="240"/>
        <w:jc w:val="right"/>
        <w:rPr>
          <w:b/>
          <w:u w:val="single"/>
        </w:rPr>
      </w:pPr>
      <w:r w:rsidRPr="003C5719">
        <w:rPr>
          <w:b/>
          <w:u w:val="single"/>
        </w:rPr>
        <w:lastRenderedPageBreak/>
        <w:t xml:space="preserve">ATTACHMENT </w:t>
      </w:r>
      <w:r>
        <w:rPr>
          <w:b/>
          <w:u w:val="single"/>
        </w:rPr>
        <w:t>A</w:t>
      </w:r>
    </w:p>
    <w:p w14:paraId="398D3E51" w14:textId="7221AB1F" w:rsidR="00FD0D41" w:rsidRPr="003C5719" w:rsidRDefault="00FD0D41" w:rsidP="00FD0D41">
      <w:pPr>
        <w:spacing w:before="240"/>
        <w:rPr>
          <w:b/>
          <w:bCs/>
          <w:szCs w:val="24"/>
          <w:u w:val="single"/>
        </w:rPr>
      </w:pPr>
      <w:r w:rsidRPr="003C5719">
        <w:rPr>
          <w:b/>
          <w:bCs/>
          <w:u w:val="single"/>
        </w:rPr>
        <w:t xml:space="preserve">Details of the </w:t>
      </w:r>
      <w:r w:rsidR="002F2453" w:rsidRPr="002F2453">
        <w:rPr>
          <w:rStyle w:val="normaltextrun"/>
          <w:b/>
          <w:bCs/>
          <w:i/>
          <w:iCs/>
          <w:szCs w:val="24"/>
          <w:u w:val="single"/>
        </w:rPr>
        <w:t>Treasury Laws Amendment (Professional Standards Schemes No. 2) Regulations 2024</w:t>
      </w:r>
    </w:p>
    <w:p w14:paraId="7A9C855C" w14:textId="77777777" w:rsidR="00FD0D41" w:rsidRPr="003C5719" w:rsidRDefault="00FD0D41" w:rsidP="00FD0D41">
      <w:pPr>
        <w:spacing w:before="240"/>
        <w:rPr>
          <w:rFonts w:ascii="Calibri" w:hAnsi="Calibri"/>
          <w:sz w:val="22"/>
          <w:szCs w:val="22"/>
          <w:u w:val="single"/>
          <w:lang w:eastAsia="en-US"/>
        </w:rPr>
      </w:pPr>
      <w:r w:rsidRPr="003C5719">
        <w:rPr>
          <w:u w:val="single"/>
        </w:rPr>
        <w:t xml:space="preserve">Section 1 – Name </w:t>
      </w:r>
    </w:p>
    <w:p w14:paraId="61B515C1" w14:textId="58B8D7B9" w:rsidR="00FD0D41" w:rsidRPr="003C5719" w:rsidRDefault="00FD0D41" w:rsidP="00FD0D41">
      <w:pPr>
        <w:spacing w:before="240"/>
      </w:pPr>
      <w:r w:rsidRPr="003C5719">
        <w:t xml:space="preserve">This section provides that the name of the regulations is the </w:t>
      </w:r>
      <w:r w:rsidR="002F2453" w:rsidRPr="002F2453">
        <w:rPr>
          <w:rStyle w:val="normaltextrun"/>
          <w:i/>
          <w:iCs/>
          <w:szCs w:val="24"/>
        </w:rPr>
        <w:t xml:space="preserve">Treasury Laws Amendment (Professional Standards Schemes No. 2) Regulations 2024 </w:t>
      </w:r>
      <w:r w:rsidRPr="003C5719">
        <w:t>(the Regulations).</w:t>
      </w:r>
    </w:p>
    <w:p w14:paraId="7B106659" w14:textId="77777777" w:rsidR="00FD0D41" w:rsidRPr="003C5719" w:rsidRDefault="00FD0D41" w:rsidP="00FD0D41">
      <w:pPr>
        <w:spacing w:before="240"/>
        <w:rPr>
          <w:u w:val="single"/>
        </w:rPr>
      </w:pPr>
      <w:r w:rsidRPr="003C5719">
        <w:rPr>
          <w:u w:val="single"/>
        </w:rPr>
        <w:t>Section 2 – Commencement</w:t>
      </w:r>
    </w:p>
    <w:p w14:paraId="3F337159" w14:textId="77777777" w:rsidR="00FD0D41" w:rsidRPr="003C5719" w:rsidRDefault="00FD0D41" w:rsidP="00FD0D41">
      <w:pPr>
        <w:spacing w:before="240"/>
      </w:pPr>
      <w:r w:rsidRPr="00772CDB">
        <w:t xml:space="preserve">This section provides </w:t>
      </w:r>
      <w:r>
        <w:t xml:space="preserve">that </w:t>
      </w:r>
      <w:r w:rsidRPr="00772CDB">
        <w:t>the Regulations commence on the day after the instrument is registered.</w:t>
      </w:r>
    </w:p>
    <w:p w14:paraId="3390377A" w14:textId="77777777" w:rsidR="00FD0D41" w:rsidRPr="003C5719" w:rsidRDefault="00FD0D41" w:rsidP="00FD0D41">
      <w:pPr>
        <w:spacing w:before="240"/>
        <w:rPr>
          <w:u w:val="single"/>
        </w:rPr>
      </w:pPr>
      <w:r w:rsidRPr="003C5719">
        <w:rPr>
          <w:u w:val="single"/>
        </w:rPr>
        <w:t>Section 3 – Authority</w:t>
      </w:r>
    </w:p>
    <w:p w14:paraId="3EAD1C7C" w14:textId="77777777" w:rsidR="00FD0D41" w:rsidRPr="003C5719" w:rsidRDefault="00FD0D41" w:rsidP="00FD0D41">
      <w:pPr>
        <w:spacing w:before="240"/>
      </w:pPr>
      <w:r w:rsidRPr="003C5719">
        <w:t>Th</w:t>
      </w:r>
      <w:r>
        <w:t>is section provides that the</w:t>
      </w:r>
      <w:r w:rsidRPr="003C5719">
        <w:t xml:space="preserve"> Regulations are made under the </w:t>
      </w:r>
      <w:r>
        <w:rPr>
          <w:rStyle w:val="normaltextrun"/>
          <w:i/>
          <w:iCs/>
          <w:color w:val="000000"/>
          <w:shd w:val="clear" w:color="auto" w:fill="FFFFFF"/>
        </w:rPr>
        <w:t xml:space="preserve">Australian Securities and Investments Commission Act 2001 </w:t>
      </w:r>
      <w:r>
        <w:rPr>
          <w:rStyle w:val="normaltextrun"/>
          <w:color w:val="000000"/>
          <w:shd w:val="clear" w:color="auto" w:fill="FFFFFF"/>
        </w:rPr>
        <w:t>(the ASIC Act), the </w:t>
      </w:r>
      <w:r>
        <w:rPr>
          <w:rStyle w:val="normaltextrun"/>
          <w:i/>
          <w:iCs/>
          <w:color w:val="000000"/>
          <w:shd w:val="clear" w:color="auto" w:fill="FFFFFF"/>
        </w:rPr>
        <w:t xml:space="preserve">Competition and Consumer Act 2010 </w:t>
      </w:r>
      <w:r>
        <w:rPr>
          <w:rStyle w:val="normaltextrun"/>
          <w:color w:val="000000"/>
          <w:shd w:val="clear" w:color="auto" w:fill="FFFFFF"/>
        </w:rPr>
        <w:t xml:space="preserve">(the CCA), and the </w:t>
      </w:r>
      <w:r>
        <w:rPr>
          <w:rStyle w:val="normaltextrun"/>
          <w:i/>
          <w:iCs/>
          <w:color w:val="000000"/>
          <w:shd w:val="clear" w:color="auto" w:fill="FFFFFF"/>
        </w:rPr>
        <w:t xml:space="preserve">Corporations Act 2001 </w:t>
      </w:r>
      <w:r>
        <w:rPr>
          <w:rStyle w:val="normaltextrun"/>
          <w:color w:val="000000"/>
          <w:shd w:val="clear" w:color="auto" w:fill="FFFFFF"/>
        </w:rPr>
        <w:t>(the Corporations Act).</w:t>
      </w:r>
    </w:p>
    <w:p w14:paraId="122AA0BC" w14:textId="77777777" w:rsidR="00FD0D41" w:rsidRPr="003C5719" w:rsidRDefault="00FD0D41" w:rsidP="00FD0D41">
      <w:pPr>
        <w:spacing w:before="240"/>
        <w:rPr>
          <w:u w:val="single"/>
        </w:rPr>
      </w:pPr>
      <w:r w:rsidRPr="003C5719">
        <w:rPr>
          <w:u w:val="single"/>
        </w:rPr>
        <w:t>Section 4 – Schedule</w:t>
      </w:r>
    </w:p>
    <w:p w14:paraId="0864FE0E" w14:textId="77777777" w:rsidR="00FD0D41" w:rsidRDefault="00FD0D41" w:rsidP="00FD0D41">
      <w:pPr>
        <w:spacing w:before="240" w:after="200"/>
      </w:pPr>
      <w:r w:rsidRPr="003C5719">
        <w:t xml:space="preserve">This section provides that each instrument that is specified in </w:t>
      </w:r>
      <w:r>
        <w:t xml:space="preserve">a </w:t>
      </w:r>
      <w:r w:rsidRPr="003C5719">
        <w:t xml:space="preserve">Schedule to </w:t>
      </w:r>
      <w:r>
        <w:t>the Regulations</w:t>
      </w:r>
      <w:r w:rsidRPr="003C5719">
        <w:t xml:space="preserve"> </w:t>
      </w:r>
      <w:r>
        <w:t xml:space="preserve">is </w:t>
      </w:r>
      <w:r w:rsidRPr="003C5719">
        <w:t>amended or repealed as set out in the applicable items in the Schedule</w:t>
      </w:r>
      <w:r>
        <w:t xml:space="preserve"> concerned</w:t>
      </w:r>
      <w:r w:rsidRPr="003C5719">
        <w:t xml:space="preserve">, and any other item in </w:t>
      </w:r>
      <w:r>
        <w:t>a Sc</w:t>
      </w:r>
      <w:r w:rsidRPr="003C5719">
        <w:t xml:space="preserve">hedule to </w:t>
      </w:r>
      <w:r>
        <w:t>the Regulations</w:t>
      </w:r>
      <w:r w:rsidRPr="003C5719">
        <w:t xml:space="preserve"> has effect according to its terms.</w:t>
      </w:r>
    </w:p>
    <w:p w14:paraId="25730394" w14:textId="77777777" w:rsidR="00FD0D41" w:rsidRDefault="00FD0D41" w:rsidP="00FD0D41">
      <w:pPr>
        <w:spacing w:before="240" w:after="200"/>
        <w:rPr>
          <w:u w:val="single"/>
        </w:rPr>
      </w:pPr>
      <w:r>
        <w:rPr>
          <w:u w:val="single"/>
        </w:rPr>
        <w:t>Schedule 1 – Amendments</w:t>
      </w:r>
    </w:p>
    <w:p w14:paraId="6E45DC63" w14:textId="77777777" w:rsidR="002F2453" w:rsidRPr="00B904AA" w:rsidRDefault="00FD0D41" w:rsidP="002F2453">
      <w:pPr>
        <w:spacing w:before="240" w:after="200"/>
        <w:rPr>
          <w:b/>
          <w:bCs/>
          <w:i/>
          <w:iCs/>
        </w:rPr>
      </w:pPr>
      <w:r>
        <w:rPr>
          <w:b/>
          <w:bCs/>
        </w:rPr>
        <w:t xml:space="preserve">Items </w:t>
      </w:r>
      <w:r w:rsidR="002F2453">
        <w:rPr>
          <w:b/>
          <w:bCs/>
        </w:rPr>
        <w:t>1</w:t>
      </w:r>
      <w:r>
        <w:rPr>
          <w:b/>
          <w:bCs/>
        </w:rPr>
        <w:t xml:space="preserve">, </w:t>
      </w:r>
      <w:r w:rsidR="002F2453">
        <w:rPr>
          <w:b/>
          <w:bCs/>
        </w:rPr>
        <w:t>2</w:t>
      </w:r>
      <w:r>
        <w:rPr>
          <w:b/>
          <w:bCs/>
        </w:rPr>
        <w:t xml:space="preserve"> and </w:t>
      </w:r>
      <w:r w:rsidR="002F2453">
        <w:rPr>
          <w:b/>
          <w:bCs/>
        </w:rPr>
        <w:t>3</w:t>
      </w:r>
      <w:r>
        <w:rPr>
          <w:b/>
          <w:bCs/>
        </w:rPr>
        <w:t xml:space="preserve"> – Prescription of the </w:t>
      </w:r>
      <w:r w:rsidR="002F2453" w:rsidRPr="00B904AA">
        <w:rPr>
          <w:b/>
          <w:bCs/>
          <w:i/>
          <w:iCs/>
        </w:rPr>
        <w:t>Bar Association of Queensland Professional Standards Scheme</w:t>
      </w:r>
    </w:p>
    <w:p w14:paraId="52CEE43E" w14:textId="1E655758" w:rsidR="0050106A" w:rsidRDefault="002F2453" w:rsidP="0050106A">
      <w:pPr>
        <w:spacing w:before="240" w:after="200"/>
        <w:rPr>
          <w:rStyle w:val="eop"/>
          <w:color w:val="000000"/>
          <w:shd w:val="clear" w:color="auto" w:fill="FFFFFF"/>
        </w:rPr>
      </w:pPr>
      <w:r>
        <w:rPr>
          <w:rStyle w:val="normaltextrun"/>
          <w:color w:val="000000"/>
          <w:shd w:val="clear" w:color="auto" w:fill="FFFFFF"/>
        </w:rPr>
        <w:t xml:space="preserve">These items amend Regulation 3A (table item 8) of the </w:t>
      </w:r>
      <w:r w:rsidRPr="44C9D647">
        <w:rPr>
          <w:rStyle w:val="normaltextrun"/>
          <w:i/>
          <w:iCs/>
          <w:color w:val="000000"/>
          <w:shd w:val="clear" w:color="auto" w:fill="FFFFFF"/>
        </w:rPr>
        <w:t>Australian Securities and Investments Commission Regulations 2001</w:t>
      </w:r>
      <w:r>
        <w:rPr>
          <w:rStyle w:val="normaltextrun"/>
          <w:color w:val="000000"/>
          <w:shd w:val="clear" w:color="auto" w:fill="FFFFFF"/>
        </w:rPr>
        <w:t xml:space="preserve"> (ASIC Regulations), regulation 8A (table item 16) of the </w:t>
      </w:r>
      <w:r w:rsidRPr="44C9D647">
        <w:rPr>
          <w:rStyle w:val="normaltextrun"/>
          <w:i/>
          <w:iCs/>
          <w:color w:val="000000"/>
          <w:shd w:val="clear" w:color="auto" w:fill="FFFFFF"/>
        </w:rPr>
        <w:t>Competition and Consumer Regulations 2010</w:t>
      </w:r>
      <w:r>
        <w:rPr>
          <w:rStyle w:val="normaltextrun"/>
          <w:color w:val="000000"/>
          <w:shd w:val="clear" w:color="auto" w:fill="FFFFFF"/>
        </w:rPr>
        <w:t xml:space="preserve"> (CC Regulations), and regulation 7.10.02 (table item 8) of the </w:t>
      </w:r>
      <w:r w:rsidRPr="44C9D647">
        <w:rPr>
          <w:rStyle w:val="normaltextrun"/>
          <w:i/>
          <w:iCs/>
          <w:color w:val="000000"/>
          <w:shd w:val="clear" w:color="auto" w:fill="FFFFFF"/>
        </w:rPr>
        <w:t>Corporation Regulations 2001</w:t>
      </w:r>
      <w:r>
        <w:rPr>
          <w:rStyle w:val="normaltextrun"/>
          <w:color w:val="000000"/>
          <w:shd w:val="clear" w:color="auto" w:fill="FFFFFF"/>
        </w:rPr>
        <w:t xml:space="preserve"> (Corporation Regulations) </w:t>
      </w:r>
      <w:r w:rsidR="00FD0D41">
        <w:rPr>
          <w:rStyle w:val="normaltextrun"/>
          <w:color w:val="000000"/>
          <w:shd w:val="clear" w:color="auto" w:fill="FFFFFF"/>
        </w:rPr>
        <w:t xml:space="preserve">to provide for the prescription of the </w:t>
      </w:r>
      <w:r w:rsidRPr="44C9D647">
        <w:rPr>
          <w:i/>
          <w:iCs/>
        </w:rPr>
        <w:t xml:space="preserve">Bar Association of Queensland Professional Standards Scheme </w:t>
      </w:r>
      <w:r w:rsidR="00FD0D41">
        <w:rPr>
          <w:rStyle w:val="normaltextrun"/>
          <w:color w:val="000000"/>
          <w:shd w:val="clear" w:color="auto" w:fill="FFFFFF"/>
        </w:rPr>
        <w:t>as a professional standards scheme that has capped civil liability for misleading or deceptive conduct under the CCA, the ASIC Act and the Corporations Act. T</w:t>
      </w:r>
      <w:r w:rsidR="4D42CF28">
        <w:rPr>
          <w:rStyle w:val="normaltextrun"/>
          <w:color w:val="000000"/>
          <w:shd w:val="clear" w:color="auto" w:fill="FFFFFF"/>
        </w:rPr>
        <w:t>he scheme was notified</w:t>
      </w:r>
      <w:r w:rsidR="0050106A">
        <w:rPr>
          <w:rStyle w:val="normaltextrun"/>
          <w:color w:val="000000"/>
          <w:shd w:val="clear" w:color="auto" w:fill="FFFFFF"/>
        </w:rPr>
        <w:t xml:space="preserve"> </w:t>
      </w:r>
      <w:r w:rsidR="52E4BDF9">
        <w:rPr>
          <w:rStyle w:val="normaltextrun"/>
          <w:color w:val="000000"/>
          <w:shd w:val="clear" w:color="auto" w:fill="FFFFFF"/>
        </w:rPr>
        <w:t xml:space="preserve">on 21 June 2024 </w:t>
      </w:r>
      <w:r w:rsidR="0050106A">
        <w:rPr>
          <w:rStyle w:val="normaltextrun"/>
          <w:color w:val="000000"/>
          <w:shd w:val="clear" w:color="auto" w:fill="FFFFFF"/>
        </w:rPr>
        <w:t xml:space="preserve">in the </w:t>
      </w:r>
      <w:r w:rsidR="0050106A" w:rsidRPr="44C9D647">
        <w:rPr>
          <w:i/>
          <w:iCs/>
          <w:color w:val="000000"/>
        </w:rPr>
        <w:t xml:space="preserve">Bar Association of Queensland Professional Standards Scheme) Notice 2024 </w:t>
      </w:r>
      <w:r w:rsidR="0050106A">
        <w:rPr>
          <w:color w:val="000000"/>
        </w:rPr>
        <w:t>(Qld)</w:t>
      </w:r>
      <w:r w:rsidR="4C5182C9" w:rsidRPr="00C102BE">
        <w:rPr>
          <w:color w:val="000000" w:themeColor="text1"/>
        </w:rPr>
        <w:t xml:space="preserve">. </w:t>
      </w:r>
    </w:p>
    <w:p w14:paraId="35CC2A0A" w14:textId="77777777" w:rsidR="00FD0D41" w:rsidRPr="003C5719" w:rsidRDefault="00FD0D41" w:rsidP="00FD0D41">
      <w:pPr>
        <w:pageBreakBefore/>
        <w:spacing w:before="240"/>
        <w:jc w:val="right"/>
        <w:rPr>
          <w:b/>
          <w:u w:val="single"/>
        </w:rPr>
      </w:pPr>
      <w:r w:rsidRPr="003C5719">
        <w:rPr>
          <w:b/>
          <w:u w:val="single"/>
        </w:rPr>
        <w:lastRenderedPageBreak/>
        <w:t xml:space="preserve">ATTACHMENT </w:t>
      </w:r>
      <w:r>
        <w:rPr>
          <w:b/>
          <w:u w:val="single"/>
        </w:rPr>
        <w:t>B</w:t>
      </w:r>
    </w:p>
    <w:p w14:paraId="747587D6" w14:textId="77777777" w:rsidR="00FD0D41" w:rsidRPr="00757B95" w:rsidRDefault="00FD0D41" w:rsidP="00FD0D41">
      <w:pPr>
        <w:pStyle w:val="base-text-paragraph"/>
      </w:pPr>
    </w:p>
    <w:p w14:paraId="5BE92483" w14:textId="77777777" w:rsidR="00FD0D41" w:rsidRPr="003C5719" w:rsidRDefault="00FD0D41" w:rsidP="00FD0D41">
      <w:pPr>
        <w:pStyle w:val="Heading3"/>
        <w:jc w:val="center"/>
      </w:pPr>
      <w:r w:rsidRPr="003C5719">
        <w:t>Statement of Compatibility with Human Rights</w:t>
      </w:r>
    </w:p>
    <w:p w14:paraId="1A2A9487" w14:textId="77777777" w:rsidR="00FD0D41" w:rsidRPr="003C5719" w:rsidRDefault="00FD0D41" w:rsidP="00FD0D41">
      <w:pPr>
        <w:spacing w:before="240"/>
        <w:jc w:val="center"/>
        <w:rPr>
          <w:i/>
        </w:rPr>
      </w:pPr>
      <w:r w:rsidRPr="003C5719">
        <w:rPr>
          <w:i/>
        </w:rPr>
        <w:t>Prepared in accordance with Part 3 of the Human Rights (Parliamentary Scrutiny) Act</w:t>
      </w:r>
      <w:r>
        <w:rPr>
          <w:i/>
        </w:rPr>
        <w:t> </w:t>
      </w:r>
      <w:r w:rsidRPr="003C5719">
        <w:rPr>
          <w:i/>
        </w:rPr>
        <w:t>2011</w:t>
      </w:r>
    </w:p>
    <w:p w14:paraId="2CB6E0CD" w14:textId="77777777" w:rsidR="0050106A" w:rsidRDefault="0050106A" w:rsidP="00FD0D41">
      <w:pPr>
        <w:spacing w:before="240"/>
        <w:rPr>
          <w:rStyle w:val="normaltextrun"/>
          <w:b/>
          <w:color w:val="000000"/>
          <w:kern w:val="28"/>
          <w:bdr w:val="none" w:sz="0" w:space="0" w:color="auto" w:frame="1"/>
        </w:rPr>
      </w:pPr>
      <w:r w:rsidRPr="0050106A">
        <w:rPr>
          <w:rStyle w:val="normaltextrun"/>
          <w:b/>
          <w:color w:val="000000"/>
          <w:kern w:val="28"/>
          <w:bdr w:val="none" w:sz="0" w:space="0" w:color="auto" w:frame="1"/>
        </w:rPr>
        <w:t>Treasury Laws Amendment (Professional Standards Schemes No. 2) Regulations 2024</w:t>
      </w:r>
    </w:p>
    <w:p w14:paraId="40E980CE" w14:textId="411DBBB5" w:rsidR="00FD0D41" w:rsidRPr="003C5719" w:rsidRDefault="00FD0D41" w:rsidP="00FD0D41">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8FF469C" w14:textId="77777777" w:rsidR="00FD0D41" w:rsidRPr="003C5719" w:rsidRDefault="00FD0D41" w:rsidP="00FD0D41">
      <w:pPr>
        <w:pStyle w:val="Heading3"/>
      </w:pPr>
      <w:r w:rsidRPr="003C5719">
        <w:t>Overview of the Legislative Instrument</w:t>
      </w:r>
    </w:p>
    <w:p w14:paraId="5444BE77" w14:textId="77777777" w:rsidR="00FD0D41" w:rsidRDefault="00FD0D41" w:rsidP="00FD0D41">
      <w:pPr>
        <w:pStyle w:val="paragraph"/>
        <w:spacing w:before="0" w:beforeAutospacing="0" w:after="240" w:afterAutospacing="0"/>
        <w:textAlignment w:val="baseline"/>
        <w:rPr>
          <w:rFonts w:ascii="Segoe UI" w:hAnsi="Segoe UI" w:cs="Segoe UI"/>
          <w:sz w:val="18"/>
          <w:szCs w:val="18"/>
        </w:rPr>
      </w:pPr>
      <w:r>
        <w:rPr>
          <w:rStyle w:val="normaltextrun"/>
          <w:color w:val="000000"/>
          <w:shd w:val="clear" w:color="auto" w:fill="FFFFFF"/>
        </w:rPr>
        <w:t>The Regulations update the list of prescribed professional schemes that have capped civil liability for misleading and deceptive conduct under the </w:t>
      </w:r>
      <w:r>
        <w:rPr>
          <w:rStyle w:val="normaltextrun"/>
          <w:i/>
          <w:iCs/>
          <w:color w:val="000000"/>
          <w:shd w:val="clear" w:color="auto" w:fill="FFFFFF"/>
        </w:rPr>
        <w:t>Australian Securities and Investments Commission Act 2001</w:t>
      </w:r>
      <w:r>
        <w:rPr>
          <w:rStyle w:val="normaltextrun"/>
          <w:color w:val="000000"/>
          <w:shd w:val="clear" w:color="auto" w:fill="FFFFFF"/>
        </w:rPr>
        <w:t> (the ASIC Act), the </w:t>
      </w:r>
      <w:r>
        <w:rPr>
          <w:rStyle w:val="normaltextrun"/>
          <w:i/>
          <w:iCs/>
          <w:color w:val="000000"/>
          <w:shd w:val="clear" w:color="auto" w:fill="FFFFFF"/>
        </w:rPr>
        <w:t>Competition and Consumer Act 2010</w:t>
      </w:r>
      <w:r>
        <w:rPr>
          <w:rStyle w:val="normaltextrun"/>
          <w:color w:val="000000"/>
          <w:shd w:val="clear" w:color="auto" w:fill="FFFFFF"/>
        </w:rPr>
        <w:t> (the CCA) and the </w:t>
      </w:r>
      <w:r>
        <w:rPr>
          <w:rStyle w:val="normaltextrun"/>
          <w:i/>
          <w:iCs/>
          <w:color w:val="000000"/>
          <w:shd w:val="clear" w:color="auto" w:fill="FFFFFF"/>
        </w:rPr>
        <w:t>Corporations Act 2001</w:t>
      </w:r>
      <w:r>
        <w:rPr>
          <w:rStyle w:val="normaltextrun"/>
          <w:color w:val="000000"/>
          <w:shd w:val="clear" w:color="auto" w:fill="FFFFFF"/>
        </w:rPr>
        <w:t> (the Corporations Act).</w:t>
      </w:r>
      <w:r>
        <w:rPr>
          <w:rStyle w:val="eop"/>
          <w:color w:val="000000"/>
        </w:rPr>
        <w:t> </w:t>
      </w:r>
    </w:p>
    <w:p w14:paraId="6C4BB55E" w14:textId="77777777" w:rsidR="00FD0D41" w:rsidRDefault="00FD0D41" w:rsidP="00FD0D41">
      <w:pPr>
        <w:pStyle w:val="paragraph"/>
        <w:spacing w:before="0" w:beforeAutospacing="0" w:after="240" w:afterAutospacing="0"/>
        <w:textAlignment w:val="baseline"/>
        <w:rPr>
          <w:rFonts w:ascii="Segoe UI" w:hAnsi="Segoe UI" w:cs="Segoe UI"/>
          <w:sz w:val="18"/>
          <w:szCs w:val="18"/>
        </w:rPr>
      </w:pPr>
      <w:r>
        <w:rPr>
          <w:rStyle w:val="normaltextrun"/>
        </w:rPr>
        <w:t>The intergovernmental Professional Standards Agreement 2011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r>
        <w:rPr>
          <w:rStyle w:val="eop"/>
        </w:rPr>
        <w:t> </w:t>
      </w:r>
    </w:p>
    <w:p w14:paraId="2F79C4B2" w14:textId="77777777" w:rsidR="00FD0D41" w:rsidRDefault="00FD0D41" w:rsidP="00FD0D41">
      <w:pPr>
        <w:pStyle w:val="paragraph"/>
        <w:spacing w:before="0" w:beforeAutospacing="0" w:after="240" w:afterAutospacing="0"/>
        <w:textAlignment w:val="baseline"/>
        <w:rPr>
          <w:rFonts w:ascii="Segoe UI" w:hAnsi="Segoe UI" w:cs="Segoe UI"/>
          <w:sz w:val="18"/>
          <w:szCs w:val="18"/>
        </w:rPr>
      </w:pPr>
      <w:r>
        <w:rPr>
          <w:rStyle w:val="normaltextrun"/>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r>
        <w:rPr>
          <w:rStyle w:val="eop"/>
        </w:rPr>
        <w:t> </w:t>
      </w:r>
    </w:p>
    <w:p w14:paraId="6D7BA9B7" w14:textId="77777777" w:rsidR="00FD0D41" w:rsidRDefault="00FD0D41" w:rsidP="00FD0D41">
      <w:pPr>
        <w:pStyle w:val="Heading3"/>
      </w:pPr>
      <w:r w:rsidRPr="003C5719">
        <w:t>Human rights implications</w:t>
      </w:r>
      <w:r>
        <w:t xml:space="preserve"> </w:t>
      </w:r>
    </w:p>
    <w:p w14:paraId="3C2AD581" w14:textId="77777777" w:rsidR="00FD0D41" w:rsidRPr="003C5719" w:rsidRDefault="00FD0D41" w:rsidP="00FD0D41">
      <w:pPr>
        <w:spacing w:before="240"/>
      </w:pPr>
      <w:r>
        <w:t xml:space="preserve">This Legislative Instrument does not engage any of the applicable rights or freedoms. </w:t>
      </w:r>
    </w:p>
    <w:p w14:paraId="524D91CD" w14:textId="77777777" w:rsidR="00FD0D41" w:rsidRDefault="00FD0D41" w:rsidP="00FD0D41">
      <w:pPr>
        <w:pStyle w:val="Heading3"/>
      </w:pPr>
      <w:r w:rsidRPr="003C5719">
        <w:t>Conclusion</w:t>
      </w:r>
      <w:r>
        <w:t xml:space="preserve"> </w:t>
      </w:r>
    </w:p>
    <w:p w14:paraId="04DF3A72" w14:textId="77777777" w:rsidR="00FD0D41" w:rsidRDefault="00FD0D41" w:rsidP="00FD0D41">
      <w:pPr>
        <w:spacing w:before="240"/>
      </w:pPr>
      <w:r>
        <w:t>This Legislative Instrument is compatible with human rights as it does not raise any human rights issues.</w:t>
      </w:r>
    </w:p>
    <w:p w14:paraId="02D1DA25" w14:textId="3B1A9786" w:rsidR="00FD0D41" w:rsidRDefault="00FD0D41" w:rsidP="00FD0D41">
      <w:pPr>
        <w:spacing w:before="0" w:after="0"/>
      </w:pPr>
    </w:p>
    <w:sectPr w:rsidR="00FD0D41">
      <w:footerReference w:type="default" r:id="rId10"/>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4C89" w14:textId="77777777" w:rsidR="0090688C" w:rsidRDefault="0090688C">
      <w:pPr>
        <w:spacing w:before="0" w:after="0"/>
      </w:pPr>
      <w:r>
        <w:separator/>
      </w:r>
    </w:p>
  </w:endnote>
  <w:endnote w:type="continuationSeparator" w:id="0">
    <w:p w14:paraId="5D8B312F" w14:textId="77777777" w:rsidR="0090688C" w:rsidRDefault="0090688C">
      <w:pPr>
        <w:spacing w:before="0" w:after="0"/>
      </w:pPr>
      <w:r>
        <w:continuationSeparator/>
      </w:r>
    </w:p>
  </w:endnote>
  <w:endnote w:type="continuationNotice" w:id="1">
    <w:p w14:paraId="298A31C0" w14:textId="77777777" w:rsidR="0090688C" w:rsidRDefault="009068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163F8F88" w14:textId="77777777" w:rsidR="001A76E4" w:rsidRDefault="001A76E4">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DB37" w14:textId="77777777" w:rsidR="0090688C" w:rsidRDefault="0090688C">
      <w:pPr>
        <w:spacing w:before="0" w:after="0"/>
      </w:pPr>
      <w:r>
        <w:separator/>
      </w:r>
    </w:p>
  </w:footnote>
  <w:footnote w:type="continuationSeparator" w:id="0">
    <w:p w14:paraId="645A0091" w14:textId="77777777" w:rsidR="0090688C" w:rsidRDefault="0090688C">
      <w:pPr>
        <w:spacing w:before="0" w:after="0"/>
      </w:pPr>
      <w:r>
        <w:continuationSeparator/>
      </w:r>
    </w:p>
  </w:footnote>
  <w:footnote w:type="continuationNotice" w:id="1">
    <w:p w14:paraId="59742E08" w14:textId="77777777" w:rsidR="0090688C" w:rsidRDefault="0090688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7A43C0B"/>
    <w:multiLevelType w:val="multilevel"/>
    <w:tmpl w:val="2F24D1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6450127">
    <w:abstractNumId w:val="1"/>
  </w:num>
  <w:num w:numId="2" w16cid:durableId="169603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41"/>
    <w:rsid w:val="00046A74"/>
    <w:rsid w:val="00152FF4"/>
    <w:rsid w:val="001577CF"/>
    <w:rsid w:val="0019114E"/>
    <w:rsid w:val="001A76E4"/>
    <w:rsid w:val="00215C6A"/>
    <w:rsid w:val="00230EC7"/>
    <w:rsid w:val="0023398A"/>
    <w:rsid w:val="00260334"/>
    <w:rsid w:val="002F2453"/>
    <w:rsid w:val="00334C4C"/>
    <w:rsid w:val="00367266"/>
    <w:rsid w:val="00370776"/>
    <w:rsid w:val="00372284"/>
    <w:rsid w:val="00380735"/>
    <w:rsid w:val="00446A64"/>
    <w:rsid w:val="0050106A"/>
    <w:rsid w:val="00527AEB"/>
    <w:rsid w:val="0058383F"/>
    <w:rsid w:val="006142C7"/>
    <w:rsid w:val="00654EEB"/>
    <w:rsid w:val="00672B71"/>
    <w:rsid w:val="00682A75"/>
    <w:rsid w:val="006A7D6A"/>
    <w:rsid w:val="0072246E"/>
    <w:rsid w:val="00752AB0"/>
    <w:rsid w:val="007733D1"/>
    <w:rsid w:val="007917CF"/>
    <w:rsid w:val="007B124C"/>
    <w:rsid w:val="007B30A6"/>
    <w:rsid w:val="007E5B44"/>
    <w:rsid w:val="00804A50"/>
    <w:rsid w:val="0090688C"/>
    <w:rsid w:val="00915056"/>
    <w:rsid w:val="009C1381"/>
    <w:rsid w:val="009C15D8"/>
    <w:rsid w:val="00A42F07"/>
    <w:rsid w:val="00A64A12"/>
    <w:rsid w:val="00A713C3"/>
    <w:rsid w:val="00AE1F3B"/>
    <w:rsid w:val="00B3237D"/>
    <w:rsid w:val="00C102BE"/>
    <w:rsid w:val="00C7671A"/>
    <w:rsid w:val="00D51608"/>
    <w:rsid w:val="00D620A2"/>
    <w:rsid w:val="00D90260"/>
    <w:rsid w:val="00E87FE9"/>
    <w:rsid w:val="00E94349"/>
    <w:rsid w:val="00EC13A4"/>
    <w:rsid w:val="00F1174B"/>
    <w:rsid w:val="00FB78DE"/>
    <w:rsid w:val="00FD0D41"/>
    <w:rsid w:val="00FE1D61"/>
    <w:rsid w:val="0737B963"/>
    <w:rsid w:val="0958E955"/>
    <w:rsid w:val="195873FA"/>
    <w:rsid w:val="2252870D"/>
    <w:rsid w:val="23A7F210"/>
    <w:rsid w:val="44C9D647"/>
    <w:rsid w:val="47635CAE"/>
    <w:rsid w:val="4C5182C9"/>
    <w:rsid w:val="4D42CF28"/>
    <w:rsid w:val="52E4BDF9"/>
    <w:rsid w:val="7D678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6570"/>
  <w15:chartTrackingRefBased/>
  <w15:docId w15:val="{B129FBCB-81D4-4C14-8086-D1008ED0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41"/>
    <w:pPr>
      <w:spacing w:before="120" w:after="12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qFormat/>
    <w:rsid w:val="00FD0D41"/>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FD0D41"/>
    <w:pPr>
      <w:keepNext/>
      <w:spacing w:before="240" w:after="60"/>
      <w:outlineLvl w:val="1"/>
    </w:pPr>
    <w:rPr>
      <w:b/>
      <w:sz w:val="28"/>
      <w:u w:val="single"/>
    </w:rPr>
  </w:style>
  <w:style w:type="paragraph" w:styleId="Heading3">
    <w:name w:val="heading 3"/>
    <w:basedOn w:val="Heading2"/>
    <w:next w:val="base-text-paragraph"/>
    <w:link w:val="Heading3Char"/>
    <w:qFormat/>
    <w:rsid w:val="00FD0D41"/>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D41"/>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rsid w:val="00FD0D41"/>
    <w:rPr>
      <w:rFonts w:ascii="Times New Roman" w:eastAsia="Times New Roman" w:hAnsi="Times New Roman" w:cs="Times New Roman"/>
      <w:b/>
      <w:kern w:val="0"/>
      <w:sz w:val="28"/>
      <w:szCs w:val="20"/>
      <w:u w:val="single"/>
      <w:lang w:eastAsia="en-AU"/>
      <w14:ligatures w14:val="none"/>
    </w:rPr>
  </w:style>
  <w:style w:type="character" w:customStyle="1" w:styleId="Heading3Char">
    <w:name w:val="Heading 3 Char"/>
    <w:basedOn w:val="DefaultParagraphFont"/>
    <w:link w:val="Heading3"/>
    <w:rsid w:val="00FD0D41"/>
    <w:rPr>
      <w:rFonts w:ascii="Times New Roman" w:eastAsia="Times New Roman" w:hAnsi="Times New Roman" w:cs="Times New Roman"/>
      <w:b/>
      <w:kern w:val="28"/>
      <w:sz w:val="24"/>
      <w:szCs w:val="20"/>
      <w:lang w:eastAsia="en-AU"/>
      <w14:ligatures w14:val="none"/>
    </w:rPr>
  </w:style>
  <w:style w:type="paragraph" w:customStyle="1" w:styleId="base-text-paragraph">
    <w:name w:val="base-text-paragraph"/>
    <w:rsid w:val="00FD0D41"/>
    <w:pPr>
      <w:tabs>
        <w:tab w:val="left" w:pos="1987"/>
      </w:tabs>
      <w:spacing w:before="120" w:after="120" w:line="240" w:lineRule="auto"/>
      <w:ind w:left="1140"/>
    </w:pPr>
    <w:rPr>
      <w:rFonts w:ascii="Times New Roman" w:eastAsia="Times New Roman" w:hAnsi="Times New Roman" w:cs="Times New Roman"/>
      <w:kern w:val="0"/>
      <w:sz w:val="24"/>
      <w:szCs w:val="20"/>
      <w:lang w:eastAsia="en-AU"/>
      <w14:ligatures w14:val="none"/>
    </w:rPr>
  </w:style>
  <w:style w:type="paragraph" w:customStyle="1" w:styleId="Default">
    <w:name w:val="Default"/>
    <w:link w:val="DefaultChar"/>
    <w:rsid w:val="00FD0D4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character" w:styleId="Hyperlink">
    <w:name w:val="Hyperlink"/>
    <w:basedOn w:val="DefaultParagraphFont"/>
    <w:uiPriority w:val="99"/>
    <w:unhideWhenUsed/>
    <w:rsid w:val="00FD0D41"/>
    <w:rPr>
      <w:color w:val="0563C1" w:themeColor="hyperlink"/>
      <w:u w:val="single"/>
    </w:rPr>
  </w:style>
  <w:style w:type="paragraph" w:customStyle="1" w:styleId="Bullet">
    <w:name w:val="Bullet"/>
    <w:basedOn w:val="Normal"/>
    <w:link w:val="BulletChar"/>
    <w:rsid w:val="00FD0D41"/>
    <w:pPr>
      <w:numPr>
        <w:numId w:val="1"/>
      </w:numPr>
      <w:spacing w:before="240"/>
    </w:pPr>
    <w:rPr>
      <w:color w:val="000000"/>
      <w:szCs w:val="23"/>
    </w:rPr>
  </w:style>
  <w:style w:type="character" w:customStyle="1" w:styleId="DefaultChar">
    <w:name w:val="Default Char"/>
    <w:basedOn w:val="DefaultParagraphFont"/>
    <w:link w:val="Default"/>
    <w:rsid w:val="00FD0D41"/>
    <w:rPr>
      <w:rFonts w:ascii="Times New Roman" w:eastAsia="Times New Roman" w:hAnsi="Times New Roman" w:cs="Times New Roman"/>
      <w:color w:val="000000"/>
      <w:kern w:val="0"/>
      <w:sz w:val="24"/>
      <w:szCs w:val="24"/>
      <w:lang w:eastAsia="en-AU"/>
      <w14:ligatures w14:val="none"/>
    </w:rPr>
  </w:style>
  <w:style w:type="character" w:customStyle="1" w:styleId="BulletChar">
    <w:name w:val="Bullet Char"/>
    <w:basedOn w:val="DefaultChar"/>
    <w:link w:val="Bullet"/>
    <w:rsid w:val="00FD0D41"/>
    <w:rPr>
      <w:rFonts w:ascii="Times New Roman" w:eastAsia="Times New Roman" w:hAnsi="Times New Roman" w:cs="Times New Roman"/>
      <w:color w:val="000000"/>
      <w:kern w:val="0"/>
      <w:sz w:val="24"/>
      <w:szCs w:val="23"/>
      <w:lang w:eastAsia="en-AU"/>
      <w14:ligatures w14:val="none"/>
    </w:rPr>
  </w:style>
  <w:style w:type="paragraph" w:customStyle="1" w:styleId="Dash">
    <w:name w:val="Dash"/>
    <w:basedOn w:val="Normal"/>
    <w:rsid w:val="00FD0D41"/>
    <w:pPr>
      <w:numPr>
        <w:ilvl w:val="1"/>
        <w:numId w:val="1"/>
      </w:numPr>
      <w:spacing w:before="240"/>
    </w:pPr>
    <w:rPr>
      <w:szCs w:val="23"/>
    </w:rPr>
  </w:style>
  <w:style w:type="paragraph" w:customStyle="1" w:styleId="DoubleDot">
    <w:name w:val="Double Dot"/>
    <w:basedOn w:val="Normal"/>
    <w:rsid w:val="00FD0D41"/>
    <w:pPr>
      <w:numPr>
        <w:ilvl w:val="2"/>
        <w:numId w:val="1"/>
      </w:numPr>
      <w:spacing w:before="240"/>
    </w:pPr>
    <w:rPr>
      <w:szCs w:val="23"/>
    </w:rPr>
  </w:style>
  <w:style w:type="paragraph" w:styleId="Footer">
    <w:name w:val="footer"/>
    <w:basedOn w:val="Normal"/>
    <w:link w:val="FooterChar"/>
    <w:uiPriority w:val="99"/>
    <w:unhideWhenUsed/>
    <w:rsid w:val="00FD0D41"/>
    <w:pPr>
      <w:tabs>
        <w:tab w:val="center" w:pos="4513"/>
        <w:tab w:val="right" w:pos="9026"/>
      </w:tabs>
      <w:spacing w:before="0" w:after="0"/>
    </w:pPr>
  </w:style>
  <w:style w:type="character" w:customStyle="1" w:styleId="FooterChar">
    <w:name w:val="Footer Char"/>
    <w:basedOn w:val="DefaultParagraphFont"/>
    <w:link w:val="Footer"/>
    <w:uiPriority w:val="99"/>
    <w:rsid w:val="00FD0D41"/>
    <w:rPr>
      <w:rFonts w:ascii="Times New Roman" w:eastAsia="Times New Roman" w:hAnsi="Times New Roman" w:cs="Times New Roman"/>
      <w:kern w:val="0"/>
      <w:sz w:val="24"/>
      <w:szCs w:val="20"/>
      <w:lang w:eastAsia="en-AU"/>
      <w14:ligatures w14:val="none"/>
    </w:rPr>
  </w:style>
  <w:style w:type="paragraph" w:styleId="NormalWeb">
    <w:name w:val="Normal (Web)"/>
    <w:basedOn w:val="Normal"/>
    <w:uiPriority w:val="99"/>
    <w:unhideWhenUsed/>
    <w:rsid w:val="00FD0D41"/>
    <w:pPr>
      <w:spacing w:before="100" w:beforeAutospacing="1" w:after="100" w:afterAutospacing="1"/>
    </w:pPr>
    <w:rPr>
      <w:szCs w:val="24"/>
    </w:rPr>
  </w:style>
  <w:style w:type="paragraph" w:customStyle="1" w:styleId="paragraph">
    <w:name w:val="paragraph"/>
    <w:basedOn w:val="Normal"/>
    <w:rsid w:val="00FD0D41"/>
    <w:pPr>
      <w:spacing w:before="100" w:beforeAutospacing="1" w:after="100" w:afterAutospacing="1"/>
    </w:pPr>
    <w:rPr>
      <w:szCs w:val="24"/>
    </w:rPr>
  </w:style>
  <w:style w:type="character" w:customStyle="1" w:styleId="normaltextrun">
    <w:name w:val="normaltextrun"/>
    <w:basedOn w:val="DefaultParagraphFont"/>
    <w:rsid w:val="00FD0D41"/>
  </w:style>
  <w:style w:type="character" w:customStyle="1" w:styleId="eop">
    <w:name w:val="eop"/>
    <w:basedOn w:val="DefaultParagraphFont"/>
    <w:rsid w:val="00FD0D41"/>
  </w:style>
  <w:style w:type="character" w:styleId="CommentReference">
    <w:name w:val="annotation reference"/>
    <w:basedOn w:val="DefaultParagraphFont"/>
    <w:uiPriority w:val="99"/>
    <w:semiHidden/>
    <w:unhideWhenUsed/>
    <w:rsid w:val="00380735"/>
    <w:rPr>
      <w:sz w:val="16"/>
      <w:szCs w:val="16"/>
    </w:rPr>
  </w:style>
  <w:style w:type="paragraph" w:styleId="CommentText">
    <w:name w:val="annotation text"/>
    <w:basedOn w:val="Normal"/>
    <w:link w:val="CommentTextChar"/>
    <w:uiPriority w:val="99"/>
    <w:unhideWhenUsed/>
    <w:rsid w:val="00380735"/>
    <w:rPr>
      <w:sz w:val="20"/>
    </w:rPr>
  </w:style>
  <w:style w:type="character" w:customStyle="1" w:styleId="CommentTextChar">
    <w:name w:val="Comment Text Char"/>
    <w:basedOn w:val="DefaultParagraphFont"/>
    <w:link w:val="CommentText"/>
    <w:uiPriority w:val="99"/>
    <w:rsid w:val="00380735"/>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380735"/>
    <w:rPr>
      <w:b/>
      <w:bCs/>
    </w:rPr>
  </w:style>
  <w:style w:type="character" w:customStyle="1" w:styleId="CommentSubjectChar">
    <w:name w:val="Comment Subject Char"/>
    <w:basedOn w:val="CommentTextChar"/>
    <w:link w:val="CommentSubject"/>
    <w:uiPriority w:val="99"/>
    <w:semiHidden/>
    <w:rsid w:val="00380735"/>
    <w:rPr>
      <w:rFonts w:ascii="Times New Roman" w:eastAsia="Times New Roman" w:hAnsi="Times New Roman" w:cs="Times New Roman"/>
      <w:b/>
      <w:bCs/>
      <w:kern w:val="0"/>
      <w:sz w:val="20"/>
      <w:szCs w:val="20"/>
      <w:lang w:eastAsia="en-AU"/>
      <w14:ligatures w14:val="none"/>
    </w:rPr>
  </w:style>
  <w:style w:type="character" w:styleId="Mention">
    <w:name w:val="Mention"/>
    <w:basedOn w:val="DefaultParagraphFont"/>
    <w:uiPriority w:val="99"/>
    <w:unhideWhenUsed/>
    <w:rsid w:val="00152FF4"/>
    <w:rPr>
      <w:color w:val="2B579A"/>
      <w:shd w:val="clear" w:color="auto" w:fill="E1DFDD"/>
    </w:rPr>
  </w:style>
  <w:style w:type="paragraph" w:styleId="Header">
    <w:name w:val="header"/>
    <w:basedOn w:val="Normal"/>
    <w:link w:val="HeaderChar"/>
    <w:uiPriority w:val="99"/>
    <w:semiHidden/>
    <w:unhideWhenUsed/>
    <w:rsid w:val="0072246E"/>
    <w:pPr>
      <w:tabs>
        <w:tab w:val="center" w:pos="4513"/>
        <w:tab w:val="right" w:pos="9026"/>
      </w:tabs>
      <w:spacing w:before="0" w:after="0"/>
    </w:pPr>
  </w:style>
  <w:style w:type="character" w:customStyle="1" w:styleId="HeaderChar">
    <w:name w:val="Header Char"/>
    <w:basedOn w:val="DefaultParagraphFont"/>
    <w:link w:val="Header"/>
    <w:uiPriority w:val="99"/>
    <w:semiHidden/>
    <w:rsid w:val="0072246E"/>
    <w:rPr>
      <w:rFonts w:ascii="Times New Roman" w:eastAsia="Times New Roman" w:hAnsi="Times New Roman" w:cs="Times New Roman"/>
      <w:kern w:val="0"/>
      <w:sz w:val="24"/>
      <w:szCs w:val="20"/>
      <w:lang w:eastAsia="en-AU"/>
      <w14:ligatures w14:val="none"/>
    </w:rPr>
  </w:style>
  <w:style w:type="paragraph" w:styleId="Revision">
    <w:name w:val="Revision"/>
    <w:hidden/>
    <w:uiPriority w:val="99"/>
    <w:semiHidden/>
    <w:rsid w:val="007733D1"/>
    <w:pPr>
      <w:spacing w:after="0" w:line="240" w:lineRule="auto"/>
    </w:pPr>
    <w:rPr>
      <w:rFonts w:ascii="Times New Roman" w:eastAsia="Times New Roman" w:hAnsi="Times New Roman" w:cs="Times New Roman"/>
      <w:kern w:val="0"/>
      <w:sz w:val="24"/>
      <w:szCs w:val="20"/>
      <w:lang w:eastAsia="en-AU"/>
      <w14:ligatures w14:val="none"/>
    </w:rPr>
  </w:style>
  <w:style w:type="character" w:styleId="Strong">
    <w:name w:val="Strong"/>
    <w:basedOn w:val="DefaultParagraphFont"/>
    <w:uiPriority w:val="22"/>
    <w:qFormat/>
    <w:rsid w:val="006A7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157">
      <w:bodyDiv w:val="1"/>
      <w:marLeft w:val="0"/>
      <w:marRight w:val="0"/>
      <w:marTop w:val="0"/>
      <w:marBottom w:val="0"/>
      <w:divBdr>
        <w:top w:val="none" w:sz="0" w:space="0" w:color="auto"/>
        <w:left w:val="none" w:sz="0" w:space="0" w:color="auto"/>
        <w:bottom w:val="none" w:sz="0" w:space="0" w:color="auto"/>
        <w:right w:val="none" w:sz="0" w:space="0" w:color="auto"/>
      </w:divBdr>
    </w:div>
    <w:div w:id="598372231">
      <w:bodyDiv w:val="1"/>
      <w:marLeft w:val="0"/>
      <w:marRight w:val="0"/>
      <w:marTop w:val="0"/>
      <w:marBottom w:val="0"/>
      <w:divBdr>
        <w:top w:val="none" w:sz="0" w:space="0" w:color="auto"/>
        <w:left w:val="none" w:sz="0" w:space="0" w:color="auto"/>
        <w:bottom w:val="none" w:sz="0" w:space="0" w:color="auto"/>
        <w:right w:val="none" w:sz="0" w:space="0" w:color="auto"/>
      </w:divBdr>
    </w:div>
    <w:div w:id="648051321">
      <w:bodyDiv w:val="1"/>
      <w:marLeft w:val="0"/>
      <w:marRight w:val="0"/>
      <w:marTop w:val="0"/>
      <w:marBottom w:val="0"/>
      <w:divBdr>
        <w:top w:val="none" w:sz="0" w:space="0" w:color="auto"/>
        <w:left w:val="none" w:sz="0" w:space="0" w:color="auto"/>
        <w:bottom w:val="none" w:sz="0" w:space="0" w:color="auto"/>
        <w:right w:val="none" w:sz="0" w:space="0" w:color="auto"/>
      </w:divBdr>
    </w:div>
    <w:div w:id="846946667">
      <w:bodyDiv w:val="1"/>
      <w:marLeft w:val="0"/>
      <w:marRight w:val="0"/>
      <w:marTop w:val="0"/>
      <w:marBottom w:val="0"/>
      <w:divBdr>
        <w:top w:val="none" w:sz="0" w:space="0" w:color="auto"/>
        <w:left w:val="none" w:sz="0" w:space="0" w:color="auto"/>
        <w:bottom w:val="none" w:sz="0" w:space="0" w:color="auto"/>
        <w:right w:val="none" w:sz="0" w:space="0" w:color="auto"/>
      </w:divBdr>
    </w:div>
    <w:div w:id="20200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781C884E947DC8A728FB6981E1963"/>
        <w:category>
          <w:name w:val="General"/>
          <w:gallery w:val="placeholder"/>
        </w:category>
        <w:types>
          <w:type w:val="bbPlcHdr"/>
        </w:types>
        <w:behaviors>
          <w:behavior w:val="content"/>
        </w:behaviors>
        <w:guid w:val="{82DAB3D6-5ADB-41DF-80C4-DBFF90ECEBAD}"/>
      </w:docPartPr>
      <w:docPartBody>
        <w:p w:rsidR="00E87FE9" w:rsidRDefault="00E87FE9" w:rsidP="00E87FE9">
          <w:pPr>
            <w:pStyle w:val="EBA781C884E947DC8A728FB6981E1963"/>
          </w:pPr>
          <w:r w:rsidRPr="003C5719">
            <w:rPr>
              <w:rStyle w:val="PlaceholderText"/>
              <w:sz w:val="24"/>
              <w:szCs w:val="24"/>
            </w:rPr>
            <w:t>select a Minister</w:t>
          </w:r>
        </w:p>
      </w:docPartBody>
    </w:docPart>
    <w:docPart>
      <w:docPartPr>
        <w:name w:val="B2369755CEC74ED0BC025ABA3F088A56"/>
        <w:category>
          <w:name w:val="General"/>
          <w:gallery w:val="placeholder"/>
        </w:category>
        <w:types>
          <w:type w:val="bbPlcHdr"/>
        </w:types>
        <w:behaviors>
          <w:behavior w:val="content"/>
        </w:behaviors>
        <w:guid w:val="{F890D68B-84E9-43C8-8EFB-323788D56060}"/>
      </w:docPartPr>
      <w:docPartBody>
        <w:p w:rsidR="00E87FE9" w:rsidRDefault="00E87FE9" w:rsidP="00E87FE9">
          <w:pPr>
            <w:pStyle w:val="B2369755CEC74ED0BC025ABA3F088A56"/>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E9"/>
    <w:rsid w:val="00375FAC"/>
    <w:rsid w:val="00742A88"/>
    <w:rsid w:val="00955BAC"/>
    <w:rsid w:val="0099647C"/>
    <w:rsid w:val="00A257D9"/>
    <w:rsid w:val="00E8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FE9"/>
    <w:rPr>
      <w:color w:val="808080"/>
    </w:rPr>
  </w:style>
  <w:style w:type="paragraph" w:customStyle="1" w:styleId="EBA781C884E947DC8A728FB6981E1963">
    <w:name w:val="EBA781C884E947DC8A728FB6981E1963"/>
    <w:rsid w:val="00E87FE9"/>
  </w:style>
  <w:style w:type="paragraph" w:customStyle="1" w:styleId="B2369755CEC74ED0BC025ABA3F088A56">
    <w:name w:val="B2369755CEC74ED0BC025ABA3F088A56"/>
    <w:rsid w:val="00E87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3F9CC76F48B445AA9D68D5A6081313" ma:contentTypeVersion="" ma:contentTypeDescription="PDMS Document Site Content Type" ma:contentTypeScope="" ma:versionID="a7c782652353394cf9d9dd18e55c2fd0">
  <xsd:schema xmlns:xsd="http://www.w3.org/2001/XMLSchema" xmlns:xs="http://www.w3.org/2001/XMLSchema" xmlns:p="http://schemas.microsoft.com/office/2006/metadata/properties" xmlns:ns2="127CCC29-AFCD-4BE8-BF28-A3418AC7BD24" targetNamespace="http://schemas.microsoft.com/office/2006/metadata/properties" ma:root="true" ma:fieldsID="723dbe67fb4cc2c79f85f28babc9c8fc" ns2:_="">
    <xsd:import namespace="127CCC29-AFCD-4BE8-BF28-A3418AC7BD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CC29-AFCD-4BE8-BF28-A3418AC7BD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27CCC29-AFCD-4BE8-BF28-A3418AC7BD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C8F19-3AA7-4503-BE36-E0840F652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CC29-AFCD-4BE8-BF28-A3418AC7B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18310-11E3-44D9-9767-8C2054CE7496}">
  <ds:schemaRefs>
    <ds:schemaRef ds:uri="http://schemas.microsoft.com/office/2006/metadata/properties"/>
    <ds:schemaRef ds:uri="http://schemas.microsoft.com/office/infopath/2007/PartnerControls"/>
    <ds:schemaRef ds:uri="127CCC29-AFCD-4BE8-BF28-A3418AC7BD24"/>
  </ds:schemaRefs>
</ds:datastoreItem>
</file>

<file path=customXml/itemProps3.xml><?xml version="1.0" encoding="utf-8"?>
<ds:datastoreItem xmlns:ds="http://schemas.openxmlformats.org/officeDocument/2006/customXml" ds:itemID="{35AD4E7C-BE98-4024-B800-5EFDE6112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7570</Characters>
  <Application>Microsoft Office Word</Application>
  <DocSecurity>0</DocSecurity>
  <Lines>63</Lines>
  <Paragraphs>17</Paragraphs>
  <ScaleCrop>false</ScaleCrop>
  <Company>The Department of the Treasury</Company>
  <LinksUpToDate>false</LinksUpToDate>
  <CharactersWithSpaces>8881</CharactersWithSpaces>
  <SharedDoc>false</SharedDoc>
  <HLinks>
    <vt:vector size="6" baseType="variant">
      <vt:variant>
        <vt:i4>2162723</vt:i4>
      </vt:variant>
      <vt:variant>
        <vt:i4>0</vt:i4>
      </vt:variant>
      <vt:variant>
        <vt:i4>0</vt:i4>
      </vt:variant>
      <vt:variant>
        <vt:i4>5</vt:i4>
      </vt:variant>
      <vt:variant>
        <vt:lpwstr>https://www.psc.gov.au/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240704</dc:title>
  <dc:subject/>
  <dc:creator>Batchelor, Diana</dc:creator>
  <cp:keywords/>
  <dc:description/>
  <cp:lastModifiedBy>Cuming, Anita</cp:lastModifiedBy>
  <cp:revision>3</cp:revision>
  <dcterms:created xsi:type="dcterms:W3CDTF">2024-12-22T22:34:00Z</dcterms:created>
  <dcterms:modified xsi:type="dcterms:W3CDTF">2024-12-22T22:34:00Z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0x010100266966F133664895A6EE3632470D45F500383F9CC76F48B445AA9D68D5A6081313</vt:lpwstr>
  </property>
  <property fmtid="{D5CDD505-2E9C-101B-9397-08002B2CF9AE}" pid="3" name="eActivity">
    <vt:lpwstr>28;#Legislative measures|0d31ce10-0017-4a46-8d2d-ba60058cb6a2</vt:lpwstr>
  </property>
  <property fmtid="{D5CDD505-2E9C-101B-9397-08002B2CF9AE}" pid="4" name="TSYStatus">
    <vt:lpwstr/>
  </property>
  <property fmtid="{D5CDD505-2E9C-101B-9397-08002B2CF9AE}" pid="5" name="eDocumentType">
    <vt:lpwstr>153;#Explanatory Materials|ac61e78e-992e-40fd-ae93-2c9522960b05</vt:lpwstr>
  </property>
  <property fmtid="{D5CDD505-2E9C-101B-9397-08002B2CF9AE}" pid="6" name="k8424359e03846678cc4a99dd97e9705">
    <vt:lpwstr>Treasury Enterprise Terms|69519368-d55f-4403-adc0-7b3d464d5501</vt:lpwstr>
  </property>
  <property fmtid="{D5CDD505-2E9C-101B-9397-08002B2CF9AE}" pid="7" name="eTopic">
    <vt:lpwstr>83;#Insurance|b90cd62f-b048-4409-b585-751d11d9d856</vt:lpwstr>
  </property>
  <property fmtid="{D5CDD505-2E9C-101B-9397-08002B2CF9AE}" pid="8" name="eTheme">
    <vt:lpwstr>1;#Law Design|318dd2d2-18da-4b8e-a458-14db2c1af95f</vt:lpwstr>
  </property>
  <property fmtid="{D5CDD505-2E9C-101B-9397-08002B2CF9AE}" pid="9" name="_dlc_DocIdItemGuid">
    <vt:lpwstr>35cc4c40-d3e0-4e28-837e-58670e02c4e1</vt:lpwstr>
  </property>
  <property fmtid="{D5CDD505-2E9C-101B-9397-08002B2CF9AE}" pid="10" name="LMDivision">
    <vt:lpwstr>3;#Treasury Enterprise Terms|69519368-d55f-4403-adc0-7b3d464d5501</vt:lpwstr>
  </property>
  <property fmtid="{D5CDD505-2E9C-101B-9397-08002B2CF9AE}" pid="11" name="MSIP_Label_4f932d64-9ab1-4d9b-81d2-a3a8b82dd47d_Enabled">
    <vt:lpwstr>true</vt:lpwstr>
  </property>
  <property fmtid="{D5CDD505-2E9C-101B-9397-08002B2CF9AE}" pid="12" name="MSIP_Label_4f932d64-9ab1-4d9b-81d2-a3a8b82dd47d_SetDate">
    <vt:lpwstr>2024-11-26T04:07:44Z</vt:lpwstr>
  </property>
  <property fmtid="{D5CDD505-2E9C-101B-9397-08002B2CF9AE}" pid="13" name="MSIP_Label_4f932d64-9ab1-4d9b-81d2-a3a8b82dd47d_Method">
    <vt:lpwstr>Privileged</vt:lpwstr>
  </property>
  <property fmtid="{D5CDD505-2E9C-101B-9397-08002B2CF9AE}" pid="14" name="MSIP_Label_4f932d64-9ab1-4d9b-81d2-a3a8b82dd47d_Name">
    <vt:lpwstr>OFFICIAL No Visual Marking</vt:lpwstr>
  </property>
  <property fmtid="{D5CDD505-2E9C-101B-9397-08002B2CF9AE}" pid="15" name="MSIP_Label_4f932d64-9ab1-4d9b-81d2-a3a8b82dd47d_SiteId">
    <vt:lpwstr>214f1646-2021-47cc-8397-e3d3a7ba7d9d</vt:lpwstr>
  </property>
  <property fmtid="{D5CDD505-2E9C-101B-9397-08002B2CF9AE}" pid="16" name="MSIP_Label_4f932d64-9ab1-4d9b-81d2-a3a8b82dd47d_ActionId">
    <vt:lpwstr>52014b5e-41e6-4a96-9567-15b3bf8b61f0</vt:lpwstr>
  </property>
  <property fmtid="{D5CDD505-2E9C-101B-9397-08002B2CF9AE}" pid="17" name="MSIP_Label_4f932d64-9ab1-4d9b-81d2-a3a8b82dd47d_ContentBits">
    <vt:lpwstr>0</vt:lpwstr>
  </property>
</Properties>
</file>