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631D3" w14:textId="3EBA99ED" w:rsidR="003929D9" w:rsidRPr="00934AB0" w:rsidRDefault="003929D9" w:rsidP="003929D9">
      <w:pPr>
        <w:keepNext/>
        <w:keepLines/>
        <w:spacing w:after="0" w:line="240" w:lineRule="auto"/>
        <w:ind w:right="91"/>
        <w:jc w:val="center"/>
        <w:rPr>
          <w:rFonts w:ascii="Times New Roman" w:eastAsia="Times New Roman" w:hAnsi="Times New Roman" w:cs="Times New Roman"/>
          <w:sz w:val="24"/>
          <w:szCs w:val="24"/>
          <w:lang w:val="en-AU" w:eastAsia="en-AU"/>
        </w:rPr>
      </w:pPr>
      <w:bookmarkStart w:id="0" w:name="_GoBack"/>
      <w:bookmarkEnd w:id="0"/>
      <w:r w:rsidRPr="00934AB0">
        <w:rPr>
          <w:rFonts w:ascii="Times New Roman" w:eastAsia="Times New Roman" w:hAnsi="Times New Roman" w:cs="Times New Roman"/>
          <w:b/>
          <w:sz w:val="24"/>
          <w:szCs w:val="24"/>
          <w:u w:val="single"/>
          <w:lang w:val="en-AU" w:eastAsia="en-AU"/>
        </w:rPr>
        <w:t>EXPLANATORY STATEMENT</w:t>
      </w:r>
    </w:p>
    <w:p w14:paraId="3E224EA2" w14:textId="77777777" w:rsidR="003929D9" w:rsidRPr="00934AB0" w:rsidRDefault="003929D9" w:rsidP="003929D9">
      <w:pPr>
        <w:keepNext/>
        <w:keepLines/>
        <w:spacing w:after="0" w:line="240" w:lineRule="auto"/>
        <w:ind w:right="91"/>
        <w:jc w:val="center"/>
        <w:outlineLvl w:val="5"/>
        <w:rPr>
          <w:rFonts w:ascii="Times New Roman" w:eastAsia="Times New Roman" w:hAnsi="Times New Roman" w:cs="Times New Roman"/>
          <w:sz w:val="24"/>
          <w:szCs w:val="24"/>
          <w:lang w:val="en-AU" w:eastAsia="en-AU"/>
        </w:rPr>
      </w:pPr>
    </w:p>
    <w:p w14:paraId="452F74AB" w14:textId="3D584047" w:rsidR="003929D9" w:rsidRPr="00934AB0" w:rsidRDefault="003929D9" w:rsidP="003929D9">
      <w:pPr>
        <w:keepNext/>
        <w:spacing w:after="0" w:line="240" w:lineRule="auto"/>
        <w:ind w:right="42"/>
        <w:jc w:val="center"/>
        <w:outlineLvl w:val="5"/>
        <w:rPr>
          <w:rFonts w:ascii="Times New Roman" w:eastAsia="Times New Roman" w:hAnsi="Times New Roman" w:cs="Times New Roman"/>
          <w:sz w:val="24"/>
          <w:szCs w:val="24"/>
          <w:lang w:val="en-AU" w:eastAsia="en-AU"/>
        </w:rPr>
      </w:pPr>
      <w:r w:rsidRPr="00934AB0">
        <w:rPr>
          <w:rFonts w:ascii="Times New Roman" w:eastAsia="Times New Roman" w:hAnsi="Times New Roman" w:cs="Times New Roman"/>
          <w:sz w:val="24"/>
          <w:szCs w:val="24"/>
          <w:lang w:val="en-AU" w:eastAsia="en-AU"/>
        </w:rPr>
        <w:t xml:space="preserve">Issued by the Minister </w:t>
      </w:r>
      <w:r w:rsidR="00C373B6">
        <w:rPr>
          <w:rFonts w:ascii="Times New Roman" w:eastAsia="Times New Roman" w:hAnsi="Times New Roman" w:cs="Times New Roman"/>
          <w:sz w:val="24"/>
          <w:szCs w:val="24"/>
          <w:lang w:val="en-AU" w:eastAsia="en-AU"/>
        </w:rPr>
        <w:t>Immigration</w:t>
      </w:r>
      <w:r w:rsidR="00FF780A">
        <w:rPr>
          <w:rFonts w:ascii="Times New Roman" w:eastAsia="Times New Roman" w:hAnsi="Times New Roman" w:cs="Times New Roman"/>
          <w:sz w:val="24"/>
          <w:szCs w:val="24"/>
          <w:lang w:val="en-AU" w:eastAsia="en-AU"/>
        </w:rPr>
        <w:t xml:space="preserve"> and Multicultural Affairs</w:t>
      </w:r>
    </w:p>
    <w:p w14:paraId="489B9977" w14:textId="77777777" w:rsidR="003929D9" w:rsidRPr="00934AB0" w:rsidRDefault="003929D9" w:rsidP="003929D9">
      <w:pPr>
        <w:keepNext/>
        <w:spacing w:after="0" w:line="240" w:lineRule="auto"/>
        <w:ind w:right="42"/>
        <w:jc w:val="center"/>
        <w:outlineLvl w:val="5"/>
        <w:rPr>
          <w:rFonts w:ascii="Times New Roman" w:eastAsia="Times New Roman" w:hAnsi="Times New Roman" w:cs="Times New Roman"/>
          <w:i/>
          <w:iCs/>
          <w:sz w:val="24"/>
          <w:szCs w:val="24"/>
          <w:u w:val="single"/>
          <w:lang w:val="en-AU" w:eastAsia="en-AU"/>
        </w:rPr>
      </w:pPr>
    </w:p>
    <w:p w14:paraId="145B3FCD" w14:textId="078ED699" w:rsidR="003929D9" w:rsidRPr="00934AB0" w:rsidRDefault="0085036A" w:rsidP="003929D9">
      <w:pPr>
        <w:keepNext/>
        <w:spacing w:after="0" w:line="240" w:lineRule="auto"/>
        <w:ind w:right="42"/>
        <w:jc w:val="center"/>
        <w:outlineLvl w:val="5"/>
        <w:rPr>
          <w:rFonts w:ascii="Times New Roman" w:eastAsia="Times New Roman" w:hAnsi="Times New Roman" w:cs="Times New Roman"/>
          <w:i/>
          <w:sz w:val="24"/>
          <w:szCs w:val="24"/>
          <w:lang w:val="en-AU" w:eastAsia="en-AU"/>
        </w:rPr>
      </w:pPr>
      <w:r w:rsidRPr="00934AB0">
        <w:rPr>
          <w:rFonts w:ascii="Times New Roman" w:eastAsia="Times New Roman" w:hAnsi="Times New Roman" w:cs="Times New Roman"/>
          <w:i/>
          <w:sz w:val="24"/>
          <w:szCs w:val="24"/>
          <w:lang w:val="en-AU" w:eastAsia="en-AU"/>
        </w:rPr>
        <w:t>Migration Act </w:t>
      </w:r>
      <w:r w:rsidR="003929D9" w:rsidRPr="00934AB0">
        <w:rPr>
          <w:rFonts w:ascii="Times New Roman" w:eastAsia="Times New Roman" w:hAnsi="Times New Roman" w:cs="Times New Roman"/>
          <w:i/>
          <w:sz w:val="24"/>
          <w:szCs w:val="24"/>
          <w:lang w:val="en-AU" w:eastAsia="en-AU"/>
        </w:rPr>
        <w:t>1958</w:t>
      </w:r>
    </w:p>
    <w:p w14:paraId="61CCF439" w14:textId="57448237" w:rsidR="0085036A" w:rsidRPr="00934AB0" w:rsidRDefault="0085036A" w:rsidP="003929D9">
      <w:pPr>
        <w:keepNext/>
        <w:spacing w:after="0" w:line="240" w:lineRule="auto"/>
        <w:ind w:right="42"/>
        <w:jc w:val="center"/>
        <w:outlineLvl w:val="5"/>
        <w:rPr>
          <w:rFonts w:ascii="Times New Roman" w:eastAsia="Times New Roman" w:hAnsi="Times New Roman" w:cs="Times New Roman"/>
          <w:i/>
          <w:sz w:val="24"/>
          <w:szCs w:val="24"/>
          <w:lang w:val="en-AU" w:eastAsia="en-AU"/>
        </w:rPr>
      </w:pPr>
    </w:p>
    <w:p w14:paraId="7A446BAB" w14:textId="697B49B1" w:rsidR="0085036A" w:rsidRPr="00934AB0" w:rsidRDefault="0085036A" w:rsidP="003929D9">
      <w:pPr>
        <w:keepNext/>
        <w:spacing w:after="0" w:line="240" w:lineRule="auto"/>
        <w:ind w:right="42"/>
        <w:jc w:val="center"/>
        <w:outlineLvl w:val="5"/>
        <w:rPr>
          <w:rFonts w:ascii="Times New Roman" w:eastAsia="Times New Roman" w:hAnsi="Times New Roman" w:cs="Times New Roman"/>
          <w:i/>
          <w:sz w:val="24"/>
          <w:szCs w:val="24"/>
          <w:lang w:val="en-AU" w:eastAsia="en-AU"/>
        </w:rPr>
      </w:pPr>
      <w:r w:rsidRPr="00934AB0">
        <w:rPr>
          <w:rFonts w:ascii="Times New Roman" w:eastAsia="Times New Roman" w:hAnsi="Times New Roman" w:cs="Times New Roman"/>
          <w:i/>
          <w:sz w:val="24"/>
          <w:szCs w:val="24"/>
          <w:lang w:val="en-AU" w:eastAsia="en-AU"/>
        </w:rPr>
        <w:t>Migration Amendment (Visa Application Charge Refund) Regulations 2024</w:t>
      </w:r>
    </w:p>
    <w:p w14:paraId="6798D78C" w14:textId="77777777" w:rsidR="00B035C2" w:rsidRPr="00934AB0" w:rsidRDefault="00B035C2" w:rsidP="00BF2E79">
      <w:pPr>
        <w:rPr>
          <w:lang w:val="en-AU" w:eastAsia="en-AU"/>
        </w:rPr>
      </w:pPr>
    </w:p>
    <w:p w14:paraId="5F7A5BEC" w14:textId="77777777" w:rsidR="000C010E" w:rsidRPr="000C010E" w:rsidRDefault="000C010E" w:rsidP="00A35CB5">
      <w:pPr>
        <w:pStyle w:val="EStext-overview"/>
      </w:pPr>
      <w:r w:rsidRPr="000C010E">
        <w:t xml:space="preserve">The </w:t>
      </w:r>
      <w:r w:rsidRPr="000C010E">
        <w:rPr>
          <w:i/>
        </w:rPr>
        <w:t>Migration Act 1958</w:t>
      </w:r>
      <w:r w:rsidRPr="000C010E">
        <w:t xml:space="preserve"> (the Migration Act) is an Act relating to the entry into, and presence in, Australia of aliens, and the departure or deportation from Australia of aliens and certain other persons.</w:t>
      </w:r>
    </w:p>
    <w:p w14:paraId="74256750" w14:textId="77777777" w:rsidR="000C010E" w:rsidRPr="000C010E" w:rsidRDefault="000C010E" w:rsidP="000C010E">
      <w:pPr>
        <w:spacing w:after="0" w:line="240" w:lineRule="auto"/>
        <w:ind w:right="42"/>
        <w:rPr>
          <w:rFonts w:ascii="Times New Roman" w:eastAsiaTheme="minorEastAsia" w:hAnsi="Times New Roman" w:cs="Times New Roman"/>
          <w:sz w:val="24"/>
          <w:szCs w:val="24"/>
          <w:lang w:val="en-AU" w:eastAsia="en-AU"/>
        </w:rPr>
      </w:pPr>
    </w:p>
    <w:p w14:paraId="59F96E8F" w14:textId="77777777" w:rsidR="000C010E" w:rsidRPr="000C010E" w:rsidRDefault="000C010E" w:rsidP="00A35CB5">
      <w:pPr>
        <w:pStyle w:val="EStext-overview"/>
      </w:pPr>
      <w:r w:rsidRPr="000C010E">
        <w:t xml:space="preserve">Subsection 504(1) of </w:t>
      </w:r>
      <w:r w:rsidRPr="000C010E">
        <w:rPr>
          <w:iCs/>
        </w:rPr>
        <w:t xml:space="preserve">the </w:t>
      </w:r>
      <w:r w:rsidRPr="000C010E">
        <w:t>Migration Act</w:t>
      </w:r>
      <w:r w:rsidRPr="000C010E">
        <w:rPr>
          <w:i/>
        </w:rPr>
        <w:t xml:space="preserve"> </w:t>
      </w:r>
      <w:r w:rsidRPr="000C010E">
        <w:t>provides that the Governor-General may make regulations, not inconsistent with the Migration Act, prescribing matters required or permitted to be prescribed, or necessary or convenient to be prescribed, for carrying out or giving effect to the Migration Act.</w:t>
      </w:r>
    </w:p>
    <w:p w14:paraId="51133F96" w14:textId="77777777" w:rsidR="000C010E" w:rsidRPr="000C010E" w:rsidRDefault="000C010E" w:rsidP="00A35CB5">
      <w:pPr>
        <w:pStyle w:val="EStext-overview"/>
      </w:pPr>
    </w:p>
    <w:p w14:paraId="6A7B3CF3" w14:textId="77777777" w:rsidR="000C010E" w:rsidRPr="000C010E" w:rsidRDefault="000C010E" w:rsidP="00A35CB5">
      <w:pPr>
        <w:pStyle w:val="EStext-overview"/>
      </w:pPr>
      <w:r w:rsidRPr="000C010E">
        <w:t xml:space="preserve">Subsection 45B(1) of the Migration Act provides that the amount of the visa application charge (VAC) is the amount, not exceeding the VAC limit, prescribed by the </w:t>
      </w:r>
      <w:r w:rsidRPr="000C010E">
        <w:rPr>
          <w:i/>
        </w:rPr>
        <w:t>Migration Regulations 1994</w:t>
      </w:r>
      <w:r w:rsidRPr="000C010E">
        <w:t xml:space="preserve"> (the Migration Regulations) in relation to the application.</w:t>
      </w:r>
    </w:p>
    <w:p w14:paraId="14DE1FDB" w14:textId="77777777" w:rsidR="000C010E" w:rsidRPr="000C010E" w:rsidRDefault="000C010E" w:rsidP="00A35CB5">
      <w:pPr>
        <w:pStyle w:val="EStext-overview"/>
      </w:pPr>
    </w:p>
    <w:p w14:paraId="2878C56A" w14:textId="77777777" w:rsidR="000C010E" w:rsidRPr="000C010E" w:rsidRDefault="000C010E" w:rsidP="00A35CB5">
      <w:pPr>
        <w:pStyle w:val="EStext-overview"/>
      </w:pPr>
      <w:r w:rsidRPr="000C010E">
        <w:t>Section 45C of the Act provides for matters for which the regulations may provide in relation to the VAC. Paragraph </w:t>
      </w:r>
      <w:proofErr w:type="gramStart"/>
      <w:r w:rsidRPr="000C010E">
        <w:t>45C(</w:t>
      </w:r>
      <w:proofErr w:type="gramEnd"/>
      <w:r w:rsidRPr="000C010E">
        <w:t>2)(b) of the Migration Act provides that the regulations may provide for the remission, refund or waiver of the VAC or an amount of the VAC.</w:t>
      </w:r>
    </w:p>
    <w:p w14:paraId="3C3A3778" w14:textId="77777777" w:rsidR="000C010E" w:rsidRPr="000C010E" w:rsidRDefault="000C010E" w:rsidP="00A35CB5">
      <w:pPr>
        <w:pStyle w:val="EStext-overview"/>
      </w:pPr>
    </w:p>
    <w:p w14:paraId="206EC6C5" w14:textId="77777777" w:rsidR="000C010E" w:rsidRPr="000C010E" w:rsidRDefault="000C010E" w:rsidP="00A35CB5">
      <w:pPr>
        <w:pStyle w:val="EStext-overview"/>
      </w:pPr>
      <w:r w:rsidRPr="000C010E">
        <w:t xml:space="preserve">Division 2.2A of the </w:t>
      </w:r>
      <w:r w:rsidRPr="000C010E">
        <w:rPr>
          <w:i/>
        </w:rPr>
        <w:t>Migration Regulations 1994</w:t>
      </w:r>
      <w:r w:rsidRPr="000C010E">
        <w:t xml:space="preserve"> (the Migration Regulations) deals with the VAC and related matters. Regulation 2.12C prescribes the amount of VAC in relation to an application for a visa of a class to which an item of Schedule 1 relates. Regulation 2.12F deals </w:t>
      </w:r>
      <w:proofErr w:type="gramStart"/>
      <w:r w:rsidRPr="000C010E">
        <w:t>with</w:t>
      </w:r>
      <w:proofErr w:type="gramEnd"/>
      <w:r w:rsidRPr="000C010E">
        <w:t xml:space="preserve"> refunds of the first instalment of the VAC. </w:t>
      </w:r>
    </w:p>
    <w:p w14:paraId="54CC34AE" w14:textId="77777777" w:rsidR="000C010E" w:rsidRPr="000C010E" w:rsidRDefault="000C010E" w:rsidP="00A35CB5">
      <w:pPr>
        <w:pStyle w:val="EStext-overview"/>
      </w:pPr>
    </w:p>
    <w:p w14:paraId="390DCB22" w14:textId="5B2AE84D" w:rsidR="000C010E" w:rsidRPr="000C010E" w:rsidRDefault="000C010E" w:rsidP="00A35CB5">
      <w:pPr>
        <w:pStyle w:val="EStext-overview"/>
      </w:pPr>
      <w:r w:rsidRPr="000C010E">
        <w:rPr>
          <w:lang w:val="en"/>
        </w:rPr>
        <w:t xml:space="preserve">The purpose of the </w:t>
      </w:r>
      <w:r w:rsidRPr="000C010E">
        <w:rPr>
          <w:i/>
          <w:iCs/>
        </w:rPr>
        <w:t xml:space="preserve">Migration Amendment (Visa Application Charge Refund) Regulations 2024 </w:t>
      </w:r>
      <w:r w:rsidRPr="000C010E">
        <w:t xml:space="preserve">(the Regulations) </w:t>
      </w:r>
      <w:r w:rsidR="00B27599">
        <w:t>is</w:t>
      </w:r>
      <w:r w:rsidRPr="000C010E">
        <w:t xml:space="preserve"> to amend the Migration Regulations to provide access to a partial refund of the VAC for Student (Temporary) (Class TU) visa applicants from specified countries in the Pacific and Timor</w:t>
      </w:r>
      <w:r w:rsidRPr="000C010E">
        <w:noBreakHyphen/>
        <w:t xml:space="preserve">Leste, to offset the impact of the increased VAC applied by the </w:t>
      </w:r>
      <w:r w:rsidRPr="000C010E">
        <w:rPr>
          <w:i/>
        </w:rPr>
        <w:t>Migration Amendment (Visa Application Charges) Regulations 2024</w:t>
      </w:r>
      <w:r w:rsidRPr="000C010E">
        <w:t xml:space="preserve"> (the VAC Regulations) from 1 July 2024. </w:t>
      </w:r>
    </w:p>
    <w:p w14:paraId="61369B9C" w14:textId="77777777" w:rsidR="000C010E" w:rsidRPr="000C010E" w:rsidRDefault="000C010E" w:rsidP="00A35CB5">
      <w:pPr>
        <w:pStyle w:val="EStext-overview"/>
      </w:pPr>
    </w:p>
    <w:p w14:paraId="44871B18" w14:textId="194B4DEB" w:rsidR="00B47FF9" w:rsidRDefault="000C010E" w:rsidP="00A35CB5">
      <w:pPr>
        <w:pStyle w:val="EStext-overview"/>
      </w:pPr>
      <w:r w:rsidRPr="000C010E">
        <w:t>The</w:t>
      </w:r>
      <w:r w:rsidR="00B27599">
        <w:t>se</w:t>
      </w:r>
      <w:r w:rsidRPr="000C010E">
        <w:t xml:space="preserve"> Regulations provide that a partial refund, being the difference between the VAC payable on or after 1 July 2024 and the VAC that </w:t>
      </w:r>
      <w:r w:rsidR="005E24DD">
        <w:t xml:space="preserve">would have </w:t>
      </w:r>
      <w:r w:rsidRPr="000C010E">
        <w:t xml:space="preserve">applied </w:t>
      </w:r>
      <w:r w:rsidR="005E24DD">
        <w:t xml:space="preserve">if the application was made </w:t>
      </w:r>
      <w:r w:rsidRPr="000C010E">
        <w:t xml:space="preserve">on 30 June 2024, is available in relation to </w:t>
      </w:r>
      <w:r w:rsidR="00C80675">
        <w:t>S</w:t>
      </w:r>
      <w:r w:rsidRPr="000C010E">
        <w:t xml:space="preserve">tudent visa applications where the primary applicant </w:t>
      </w:r>
      <w:r w:rsidR="005E24DD">
        <w:t xml:space="preserve">(the student) </w:t>
      </w:r>
      <w:r w:rsidRPr="000C010E">
        <w:t xml:space="preserve">is </w:t>
      </w:r>
      <w:r w:rsidR="006409E8">
        <w:t xml:space="preserve">the </w:t>
      </w:r>
      <w:r w:rsidRPr="000C010E">
        <w:t>holder of a valid passport issued by a specified Pacific country or Timor</w:t>
      </w:r>
      <w:r w:rsidRPr="000C010E">
        <w:noBreakHyphen/>
        <w:t xml:space="preserve">Leste. </w:t>
      </w:r>
    </w:p>
    <w:p w14:paraId="0178865C" w14:textId="77777777" w:rsidR="00B47FF9" w:rsidRDefault="00B47FF9" w:rsidP="00A35CB5">
      <w:pPr>
        <w:pStyle w:val="EStext-overview"/>
      </w:pPr>
    </w:p>
    <w:p w14:paraId="01DE3739" w14:textId="13D73265" w:rsidR="000C010E" w:rsidRPr="000C010E" w:rsidRDefault="000C010E" w:rsidP="00B47FF9">
      <w:pPr>
        <w:pStyle w:val="EStext-overview"/>
        <w:keepNext/>
        <w:ind w:right="40"/>
      </w:pPr>
      <w:r w:rsidRPr="000C010E">
        <w:lastRenderedPageBreak/>
        <w:t xml:space="preserve">The following table sets out the </w:t>
      </w:r>
      <w:r w:rsidR="00D832AD">
        <w:t xml:space="preserve">amounts of </w:t>
      </w:r>
      <w:r w:rsidRPr="000C010E">
        <w:t>VAC</w:t>
      </w:r>
      <w:r w:rsidR="00D832AD">
        <w:t xml:space="preserve"> components</w:t>
      </w:r>
      <w:r w:rsidRPr="000C010E">
        <w:t xml:space="preserve"> </w:t>
      </w:r>
      <w:r w:rsidR="00A01712">
        <w:t xml:space="preserve">that would have been </w:t>
      </w:r>
      <w:r w:rsidRPr="000C010E">
        <w:t>payable</w:t>
      </w:r>
      <w:r w:rsidR="00B47FF9">
        <w:t xml:space="preserve"> on 30 June 2024</w:t>
      </w:r>
      <w:r w:rsidRPr="000C010E">
        <w:t>, the VAC</w:t>
      </w:r>
      <w:r w:rsidR="00B47FF9">
        <w:t xml:space="preserve"> that</w:t>
      </w:r>
      <w:r w:rsidRPr="000C010E">
        <w:t xml:space="preserve"> </w:t>
      </w:r>
      <w:r w:rsidR="006409E8">
        <w:t xml:space="preserve">is </w:t>
      </w:r>
      <w:r w:rsidRPr="000C010E">
        <w:t>payable on or after 1 July 2024, and the parti</w:t>
      </w:r>
      <w:r>
        <w:t>al refund amount</w:t>
      </w:r>
      <w:r w:rsidR="00B47FF9">
        <w:t xml:space="preserve"> available under regulation 2.12FA</w:t>
      </w:r>
      <w:r w:rsidR="00331D3B">
        <w:t>, in relation to components of the first instalment of the VAC</w:t>
      </w:r>
      <w:r w:rsidR="002F28D2">
        <w:t>.</w:t>
      </w:r>
    </w:p>
    <w:p w14:paraId="6C45D8DB" w14:textId="7CC5D987" w:rsidR="00563E48" w:rsidRPr="00934AB0" w:rsidRDefault="00563E48" w:rsidP="00B47FF9">
      <w:pPr>
        <w:pStyle w:val="EStext-overview"/>
        <w:keepNext/>
        <w:ind w:right="40"/>
      </w:pPr>
    </w:p>
    <w:tbl>
      <w:tblPr>
        <w:tblStyle w:val="TableGrid"/>
        <w:tblW w:w="0" w:type="auto"/>
        <w:tblLook w:val="04A0" w:firstRow="1" w:lastRow="0" w:firstColumn="1" w:lastColumn="0" w:noHBand="0" w:noVBand="1"/>
      </w:tblPr>
      <w:tblGrid>
        <w:gridCol w:w="2972"/>
        <w:gridCol w:w="1937"/>
        <w:gridCol w:w="2032"/>
        <w:gridCol w:w="1843"/>
      </w:tblGrid>
      <w:tr w:rsidR="00563E48" w:rsidRPr="00934AB0" w14:paraId="7CAED6D1" w14:textId="77777777" w:rsidTr="009D3A3E">
        <w:tc>
          <w:tcPr>
            <w:tcW w:w="2972" w:type="dxa"/>
          </w:tcPr>
          <w:p w14:paraId="477D1BAB" w14:textId="78F8E4D1" w:rsidR="00563E48" w:rsidRPr="00934AB0" w:rsidRDefault="005E24DD" w:rsidP="007E77AA">
            <w:pPr>
              <w:keepNext/>
              <w:spacing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VAC f</w:t>
            </w:r>
            <w:r w:rsidR="00563E48" w:rsidRPr="00934AB0">
              <w:rPr>
                <w:rFonts w:ascii="Times New Roman" w:eastAsia="Times New Roman" w:hAnsi="Times New Roman" w:cs="Times New Roman"/>
                <w:b/>
                <w:sz w:val="24"/>
                <w:szCs w:val="24"/>
                <w:lang w:eastAsia="en-AU"/>
              </w:rPr>
              <w:t>irst instalment component</w:t>
            </w:r>
          </w:p>
        </w:tc>
        <w:tc>
          <w:tcPr>
            <w:tcW w:w="1937" w:type="dxa"/>
          </w:tcPr>
          <w:p w14:paraId="259B5434" w14:textId="7F6F2BD2" w:rsidR="00563E48" w:rsidRPr="00934AB0" w:rsidRDefault="00937544">
            <w:pPr>
              <w:keepNext/>
              <w:spacing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On </w:t>
            </w:r>
            <w:r w:rsidR="005E24DD">
              <w:rPr>
                <w:rFonts w:ascii="Times New Roman" w:eastAsia="Times New Roman" w:hAnsi="Times New Roman" w:cs="Times New Roman"/>
                <w:b/>
                <w:sz w:val="24"/>
                <w:szCs w:val="24"/>
                <w:lang w:eastAsia="en-AU"/>
              </w:rPr>
              <w:t>30 June</w:t>
            </w:r>
            <w:r w:rsidR="00563E48" w:rsidRPr="00934AB0">
              <w:rPr>
                <w:rFonts w:ascii="Times New Roman" w:eastAsia="Times New Roman" w:hAnsi="Times New Roman" w:cs="Times New Roman"/>
                <w:b/>
                <w:sz w:val="24"/>
                <w:szCs w:val="24"/>
                <w:lang w:eastAsia="en-AU"/>
              </w:rPr>
              <w:t xml:space="preserve"> 2024 </w:t>
            </w:r>
          </w:p>
        </w:tc>
        <w:tc>
          <w:tcPr>
            <w:tcW w:w="2032" w:type="dxa"/>
          </w:tcPr>
          <w:p w14:paraId="52FA03A4" w14:textId="66F107E7" w:rsidR="00563E48" w:rsidRPr="00934AB0" w:rsidRDefault="00937544" w:rsidP="007E77AA">
            <w:pPr>
              <w:keepNext/>
              <w:spacing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F</w:t>
            </w:r>
            <w:r w:rsidR="00563E48" w:rsidRPr="00934AB0">
              <w:rPr>
                <w:rFonts w:ascii="Times New Roman" w:eastAsia="Times New Roman" w:hAnsi="Times New Roman" w:cs="Times New Roman"/>
                <w:b/>
                <w:sz w:val="24"/>
                <w:szCs w:val="24"/>
                <w:lang w:eastAsia="en-AU"/>
              </w:rPr>
              <w:t>rom 1 July 2024</w:t>
            </w:r>
          </w:p>
        </w:tc>
        <w:tc>
          <w:tcPr>
            <w:tcW w:w="1843" w:type="dxa"/>
          </w:tcPr>
          <w:p w14:paraId="5C6A7F9F" w14:textId="0B46DB6B" w:rsidR="00563E48" w:rsidRPr="00934AB0" w:rsidRDefault="00563E48" w:rsidP="005E24DD">
            <w:pPr>
              <w:keepNext/>
              <w:spacing w:line="240" w:lineRule="auto"/>
              <w:rPr>
                <w:rFonts w:ascii="Times New Roman" w:eastAsia="Times New Roman" w:hAnsi="Times New Roman" w:cs="Times New Roman"/>
                <w:b/>
                <w:sz w:val="24"/>
                <w:szCs w:val="24"/>
                <w:lang w:eastAsia="en-AU"/>
              </w:rPr>
            </w:pPr>
            <w:r w:rsidRPr="00934AB0">
              <w:rPr>
                <w:rFonts w:ascii="Times New Roman" w:eastAsia="Times New Roman" w:hAnsi="Times New Roman" w:cs="Times New Roman"/>
                <w:b/>
                <w:sz w:val="24"/>
                <w:szCs w:val="24"/>
                <w:lang w:eastAsia="en-AU"/>
              </w:rPr>
              <w:t xml:space="preserve">Partial </w:t>
            </w:r>
            <w:r w:rsidR="005E24DD">
              <w:rPr>
                <w:rFonts w:ascii="Times New Roman" w:eastAsia="Times New Roman" w:hAnsi="Times New Roman" w:cs="Times New Roman"/>
                <w:b/>
                <w:sz w:val="24"/>
                <w:szCs w:val="24"/>
                <w:lang w:eastAsia="en-AU"/>
              </w:rPr>
              <w:t>r</w:t>
            </w:r>
            <w:r w:rsidR="005E24DD" w:rsidRPr="00934AB0">
              <w:rPr>
                <w:rFonts w:ascii="Times New Roman" w:eastAsia="Times New Roman" w:hAnsi="Times New Roman" w:cs="Times New Roman"/>
                <w:b/>
                <w:sz w:val="24"/>
                <w:szCs w:val="24"/>
                <w:lang w:eastAsia="en-AU"/>
              </w:rPr>
              <w:t xml:space="preserve">efund </w:t>
            </w:r>
            <w:r w:rsidR="005E24DD">
              <w:rPr>
                <w:rFonts w:ascii="Times New Roman" w:eastAsia="Times New Roman" w:hAnsi="Times New Roman" w:cs="Times New Roman"/>
                <w:b/>
                <w:sz w:val="24"/>
                <w:szCs w:val="24"/>
                <w:lang w:eastAsia="en-AU"/>
              </w:rPr>
              <w:t>a</w:t>
            </w:r>
            <w:r w:rsidR="005E24DD" w:rsidRPr="00934AB0">
              <w:rPr>
                <w:rFonts w:ascii="Times New Roman" w:eastAsia="Times New Roman" w:hAnsi="Times New Roman" w:cs="Times New Roman"/>
                <w:b/>
                <w:sz w:val="24"/>
                <w:szCs w:val="24"/>
                <w:lang w:eastAsia="en-AU"/>
              </w:rPr>
              <w:t>mount</w:t>
            </w:r>
          </w:p>
        </w:tc>
      </w:tr>
      <w:tr w:rsidR="00563E48" w:rsidRPr="00934AB0" w14:paraId="0B842D04" w14:textId="77777777" w:rsidTr="009D3A3E">
        <w:tc>
          <w:tcPr>
            <w:tcW w:w="2972" w:type="dxa"/>
          </w:tcPr>
          <w:p w14:paraId="5A740AE2" w14:textId="77777777" w:rsidR="00563E48" w:rsidRPr="00934AB0" w:rsidRDefault="00563E48" w:rsidP="007E77AA">
            <w:pPr>
              <w:keepNext/>
              <w:spacing w:line="240" w:lineRule="auto"/>
              <w:rPr>
                <w:rFonts w:ascii="Times New Roman" w:eastAsia="Times New Roman" w:hAnsi="Times New Roman" w:cs="Times New Roman"/>
                <w:sz w:val="24"/>
                <w:szCs w:val="24"/>
                <w:lang w:eastAsia="en-AU"/>
              </w:rPr>
            </w:pPr>
            <w:r w:rsidRPr="00934AB0">
              <w:rPr>
                <w:rFonts w:ascii="Times New Roman" w:eastAsia="Times New Roman" w:hAnsi="Times New Roman" w:cs="Times New Roman"/>
                <w:sz w:val="24"/>
                <w:szCs w:val="24"/>
                <w:lang w:eastAsia="en-AU"/>
              </w:rPr>
              <w:t>Base application charge</w:t>
            </w:r>
          </w:p>
        </w:tc>
        <w:tc>
          <w:tcPr>
            <w:tcW w:w="1937" w:type="dxa"/>
          </w:tcPr>
          <w:p w14:paraId="30D25CCA" w14:textId="77777777" w:rsidR="00563E48" w:rsidRPr="00934AB0" w:rsidRDefault="00563E48" w:rsidP="007E77AA">
            <w:pPr>
              <w:keepNext/>
              <w:spacing w:line="240" w:lineRule="auto"/>
              <w:rPr>
                <w:rFonts w:ascii="Times New Roman" w:eastAsia="Times New Roman" w:hAnsi="Times New Roman" w:cs="Times New Roman"/>
                <w:sz w:val="24"/>
                <w:szCs w:val="24"/>
                <w:lang w:eastAsia="en-AU"/>
              </w:rPr>
            </w:pPr>
            <w:r w:rsidRPr="00934AB0">
              <w:rPr>
                <w:rFonts w:ascii="Times New Roman" w:eastAsia="Times New Roman" w:hAnsi="Times New Roman" w:cs="Times New Roman"/>
                <w:sz w:val="24"/>
                <w:szCs w:val="24"/>
                <w:lang w:eastAsia="en-AU"/>
              </w:rPr>
              <w:t>$710</w:t>
            </w:r>
          </w:p>
        </w:tc>
        <w:tc>
          <w:tcPr>
            <w:tcW w:w="2032" w:type="dxa"/>
          </w:tcPr>
          <w:p w14:paraId="113E7F50" w14:textId="4CEF20D5" w:rsidR="00563E48" w:rsidRPr="00934AB0" w:rsidRDefault="00563E48" w:rsidP="007E77AA">
            <w:pPr>
              <w:keepNext/>
              <w:spacing w:line="240" w:lineRule="auto"/>
              <w:rPr>
                <w:rFonts w:ascii="Times New Roman" w:eastAsia="Times New Roman" w:hAnsi="Times New Roman" w:cs="Times New Roman"/>
                <w:sz w:val="24"/>
                <w:szCs w:val="24"/>
                <w:lang w:eastAsia="en-AU"/>
              </w:rPr>
            </w:pPr>
            <w:r w:rsidRPr="00934AB0">
              <w:rPr>
                <w:rFonts w:ascii="Times New Roman" w:eastAsia="Times New Roman" w:hAnsi="Times New Roman" w:cs="Times New Roman"/>
                <w:sz w:val="24"/>
                <w:szCs w:val="24"/>
                <w:lang w:eastAsia="en-AU"/>
              </w:rPr>
              <w:t>$1</w:t>
            </w:r>
            <w:r w:rsidR="00041462" w:rsidRPr="00934AB0">
              <w:rPr>
                <w:rFonts w:ascii="Times New Roman" w:eastAsia="Times New Roman" w:hAnsi="Times New Roman" w:cs="Times New Roman"/>
                <w:sz w:val="24"/>
                <w:szCs w:val="24"/>
                <w:lang w:eastAsia="en-AU"/>
              </w:rPr>
              <w:t>,</w:t>
            </w:r>
            <w:r w:rsidRPr="00934AB0">
              <w:rPr>
                <w:rFonts w:ascii="Times New Roman" w:eastAsia="Times New Roman" w:hAnsi="Times New Roman" w:cs="Times New Roman"/>
                <w:sz w:val="24"/>
                <w:szCs w:val="24"/>
                <w:lang w:eastAsia="en-AU"/>
              </w:rPr>
              <w:t>600</w:t>
            </w:r>
          </w:p>
        </w:tc>
        <w:tc>
          <w:tcPr>
            <w:tcW w:w="1843" w:type="dxa"/>
          </w:tcPr>
          <w:p w14:paraId="25A6CFF2" w14:textId="77777777" w:rsidR="00563E48" w:rsidRPr="00934AB0" w:rsidRDefault="00563E48" w:rsidP="007E77AA">
            <w:pPr>
              <w:keepNext/>
              <w:spacing w:line="240" w:lineRule="auto"/>
              <w:rPr>
                <w:rFonts w:ascii="Times New Roman" w:eastAsia="Times New Roman" w:hAnsi="Times New Roman" w:cs="Times New Roman"/>
                <w:b/>
                <w:sz w:val="24"/>
                <w:szCs w:val="24"/>
                <w:lang w:eastAsia="en-AU"/>
              </w:rPr>
            </w:pPr>
            <w:r w:rsidRPr="00934AB0">
              <w:rPr>
                <w:rFonts w:ascii="Times New Roman" w:eastAsia="Times New Roman" w:hAnsi="Times New Roman" w:cs="Times New Roman"/>
                <w:b/>
                <w:sz w:val="24"/>
                <w:szCs w:val="24"/>
                <w:lang w:eastAsia="en-AU"/>
              </w:rPr>
              <w:t>$890</w:t>
            </w:r>
          </w:p>
        </w:tc>
      </w:tr>
      <w:tr w:rsidR="00563E48" w:rsidRPr="00934AB0" w14:paraId="2FCBC94F" w14:textId="77777777" w:rsidTr="009D3A3E">
        <w:tc>
          <w:tcPr>
            <w:tcW w:w="2972" w:type="dxa"/>
          </w:tcPr>
          <w:p w14:paraId="68BFAB79" w14:textId="77777777" w:rsidR="00563E48" w:rsidRPr="00934AB0" w:rsidRDefault="00563E48" w:rsidP="007E77AA">
            <w:pPr>
              <w:keepNext/>
              <w:spacing w:line="240" w:lineRule="auto"/>
              <w:rPr>
                <w:rFonts w:ascii="Times New Roman" w:eastAsia="Times New Roman" w:hAnsi="Times New Roman" w:cs="Times New Roman"/>
                <w:sz w:val="24"/>
                <w:szCs w:val="24"/>
                <w:lang w:eastAsia="en-AU"/>
              </w:rPr>
            </w:pPr>
            <w:r w:rsidRPr="00934AB0">
              <w:rPr>
                <w:rFonts w:ascii="Times New Roman" w:eastAsia="Times New Roman" w:hAnsi="Times New Roman" w:cs="Times New Roman"/>
                <w:sz w:val="24"/>
                <w:szCs w:val="24"/>
                <w:lang w:eastAsia="en-AU"/>
              </w:rPr>
              <w:t>Additional applicant charge for any other applicant who is at least 18</w:t>
            </w:r>
          </w:p>
        </w:tc>
        <w:tc>
          <w:tcPr>
            <w:tcW w:w="1937" w:type="dxa"/>
          </w:tcPr>
          <w:p w14:paraId="1C222391" w14:textId="77777777" w:rsidR="00563E48" w:rsidRPr="00934AB0" w:rsidRDefault="00563E48" w:rsidP="007E77AA">
            <w:pPr>
              <w:keepNext/>
              <w:spacing w:line="240" w:lineRule="auto"/>
              <w:rPr>
                <w:rFonts w:ascii="Times New Roman" w:eastAsia="Times New Roman" w:hAnsi="Times New Roman" w:cs="Times New Roman"/>
                <w:sz w:val="24"/>
                <w:szCs w:val="24"/>
                <w:lang w:eastAsia="en-AU"/>
              </w:rPr>
            </w:pPr>
            <w:r w:rsidRPr="00934AB0">
              <w:rPr>
                <w:rFonts w:ascii="Times New Roman" w:eastAsia="Times New Roman" w:hAnsi="Times New Roman" w:cs="Times New Roman"/>
                <w:sz w:val="24"/>
                <w:szCs w:val="24"/>
                <w:lang w:eastAsia="en-AU"/>
              </w:rPr>
              <w:t>$530</w:t>
            </w:r>
          </w:p>
        </w:tc>
        <w:tc>
          <w:tcPr>
            <w:tcW w:w="2032" w:type="dxa"/>
          </w:tcPr>
          <w:p w14:paraId="64BB26A6" w14:textId="5CFD4138" w:rsidR="00563E48" w:rsidRPr="00934AB0" w:rsidRDefault="00563E48" w:rsidP="007E77AA">
            <w:pPr>
              <w:keepNext/>
              <w:spacing w:line="240" w:lineRule="auto"/>
              <w:rPr>
                <w:rFonts w:ascii="Times New Roman" w:eastAsia="Times New Roman" w:hAnsi="Times New Roman" w:cs="Times New Roman"/>
                <w:sz w:val="24"/>
                <w:szCs w:val="24"/>
                <w:lang w:eastAsia="en-AU"/>
              </w:rPr>
            </w:pPr>
            <w:r w:rsidRPr="00934AB0">
              <w:rPr>
                <w:rFonts w:ascii="Times New Roman" w:eastAsia="Times New Roman" w:hAnsi="Times New Roman" w:cs="Times New Roman"/>
                <w:sz w:val="24"/>
                <w:szCs w:val="24"/>
                <w:lang w:eastAsia="en-AU"/>
              </w:rPr>
              <w:t>$1</w:t>
            </w:r>
            <w:r w:rsidR="00041462" w:rsidRPr="00934AB0">
              <w:rPr>
                <w:rFonts w:ascii="Times New Roman" w:eastAsia="Times New Roman" w:hAnsi="Times New Roman" w:cs="Times New Roman"/>
                <w:sz w:val="24"/>
                <w:szCs w:val="24"/>
                <w:lang w:eastAsia="en-AU"/>
              </w:rPr>
              <w:t>,</w:t>
            </w:r>
            <w:r w:rsidRPr="00934AB0">
              <w:rPr>
                <w:rFonts w:ascii="Times New Roman" w:eastAsia="Times New Roman" w:hAnsi="Times New Roman" w:cs="Times New Roman"/>
                <w:sz w:val="24"/>
                <w:szCs w:val="24"/>
                <w:lang w:eastAsia="en-AU"/>
              </w:rPr>
              <w:t>190</w:t>
            </w:r>
          </w:p>
        </w:tc>
        <w:tc>
          <w:tcPr>
            <w:tcW w:w="1843" w:type="dxa"/>
          </w:tcPr>
          <w:p w14:paraId="7AC69840" w14:textId="77777777" w:rsidR="00563E48" w:rsidRPr="00934AB0" w:rsidRDefault="00563E48" w:rsidP="007E77AA">
            <w:pPr>
              <w:keepNext/>
              <w:spacing w:line="240" w:lineRule="auto"/>
              <w:rPr>
                <w:rFonts w:ascii="Times New Roman" w:eastAsia="Times New Roman" w:hAnsi="Times New Roman" w:cs="Times New Roman"/>
                <w:b/>
                <w:sz w:val="24"/>
                <w:szCs w:val="24"/>
                <w:lang w:eastAsia="en-AU"/>
              </w:rPr>
            </w:pPr>
            <w:r w:rsidRPr="00934AB0">
              <w:rPr>
                <w:rFonts w:ascii="Times New Roman" w:eastAsia="Times New Roman" w:hAnsi="Times New Roman" w:cs="Times New Roman"/>
                <w:b/>
                <w:sz w:val="24"/>
                <w:szCs w:val="24"/>
                <w:lang w:eastAsia="en-AU"/>
              </w:rPr>
              <w:t>$660</w:t>
            </w:r>
          </w:p>
        </w:tc>
      </w:tr>
      <w:tr w:rsidR="00563E48" w:rsidRPr="00934AB0" w14:paraId="141B9C70" w14:textId="77777777" w:rsidTr="009D3A3E">
        <w:tc>
          <w:tcPr>
            <w:tcW w:w="2972" w:type="dxa"/>
          </w:tcPr>
          <w:p w14:paraId="37F6B17E" w14:textId="77777777" w:rsidR="00563E48" w:rsidRPr="00934AB0" w:rsidRDefault="00563E48" w:rsidP="007E77AA">
            <w:pPr>
              <w:keepNext/>
              <w:spacing w:line="240" w:lineRule="auto"/>
              <w:rPr>
                <w:rFonts w:ascii="Times New Roman" w:eastAsia="Times New Roman" w:hAnsi="Times New Roman" w:cs="Times New Roman"/>
                <w:sz w:val="24"/>
                <w:szCs w:val="24"/>
                <w:lang w:eastAsia="en-AU"/>
              </w:rPr>
            </w:pPr>
            <w:r w:rsidRPr="00934AB0">
              <w:rPr>
                <w:rFonts w:ascii="Times New Roman" w:eastAsia="Times New Roman" w:hAnsi="Times New Roman" w:cs="Times New Roman"/>
                <w:sz w:val="24"/>
                <w:szCs w:val="24"/>
                <w:lang w:eastAsia="en-AU"/>
              </w:rPr>
              <w:t>Additional applicant charge for any other applicant who is less than 18</w:t>
            </w:r>
          </w:p>
        </w:tc>
        <w:tc>
          <w:tcPr>
            <w:tcW w:w="1937" w:type="dxa"/>
          </w:tcPr>
          <w:p w14:paraId="0E0407CB" w14:textId="77777777" w:rsidR="00563E48" w:rsidRPr="00934AB0" w:rsidRDefault="00563E48" w:rsidP="007E77AA">
            <w:pPr>
              <w:keepNext/>
              <w:spacing w:line="240" w:lineRule="auto"/>
              <w:rPr>
                <w:rFonts w:ascii="Times New Roman" w:eastAsia="Times New Roman" w:hAnsi="Times New Roman" w:cs="Times New Roman"/>
                <w:sz w:val="24"/>
                <w:szCs w:val="24"/>
                <w:lang w:eastAsia="en-AU"/>
              </w:rPr>
            </w:pPr>
            <w:r w:rsidRPr="00934AB0">
              <w:rPr>
                <w:rFonts w:ascii="Times New Roman" w:eastAsia="Times New Roman" w:hAnsi="Times New Roman" w:cs="Times New Roman"/>
                <w:sz w:val="24"/>
                <w:szCs w:val="24"/>
                <w:lang w:eastAsia="en-AU"/>
              </w:rPr>
              <w:t>$175</w:t>
            </w:r>
          </w:p>
        </w:tc>
        <w:tc>
          <w:tcPr>
            <w:tcW w:w="2032" w:type="dxa"/>
          </w:tcPr>
          <w:p w14:paraId="4BABA221" w14:textId="77777777" w:rsidR="00563E48" w:rsidRPr="00934AB0" w:rsidRDefault="00563E48" w:rsidP="007E77AA">
            <w:pPr>
              <w:keepNext/>
              <w:spacing w:line="240" w:lineRule="auto"/>
              <w:rPr>
                <w:rFonts w:ascii="Times New Roman" w:eastAsia="Times New Roman" w:hAnsi="Times New Roman" w:cs="Times New Roman"/>
                <w:sz w:val="24"/>
                <w:szCs w:val="24"/>
                <w:lang w:eastAsia="en-AU"/>
              </w:rPr>
            </w:pPr>
            <w:r w:rsidRPr="00934AB0">
              <w:rPr>
                <w:rFonts w:ascii="Times New Roman" w:eastAsia="Times New Roman" w:hAnsi="Times New Roman" w:cs="Times New Roman"/>
                <w:sz w:val="24"/>
                <w:szCs w:val="24"/>
                <w:lang w:eastAsia="en-AU"/>
              </w:rPr>
              <w:t>$390</w:t>
            </w:r>
          </w:p>
        </w:tc>
        <w:tc>
          <w:tcPr>
            <w:tcW w:w="1843" w:type="dxa"/>
          </w:tcPr>
          <w:p w14:paraId="1277AC59" w14:textId="77777777" w:rsidR="00563E48" w:rsidRPr="00934AB0" w:rsidRDefault="00563E48" w:rsidP="007E77AA">
            <w:pPr>
              <w:keepNext/>
              <w:spacing w:line="240" w:lineRule="auto"/>
              <w:rPr>
                <w:rFonts w:ascii="Times New Roman" w:eastAsia="Times New Roman" w:hAnsi="Times New Roman" w:cs="Times New Roman"/>
                <w:b/>
                <w:sz w:val="24"/>
                <w:szCs w:val="24"/>
                <w:lang w:eastAsia="en-AU"/>
              </w:rPr>
            </w:pPr>
            <w:r w:rsidRPr="00934AB0">
              <w:rPr>
                <w:rFonts w:ascii="Times New Roman" w:eastAsia="Times New Roman" w:hAnsi="Times New Roman" w:cs="Times New Roman"/>
                <w:b/>
                <w:sz w:val="24"/>
                <w:szCs w:val="24"/>
                <w:lang w:eastAsia="en-AU"/>
              </w:rPr>
              <w:t>$215</w:t>
            </w:r>
          </w:p>
        </w:tc>
      </w:tr>
    </w:tbl>
    <w:p w14:paraId="4D3709CD" w14:textId="77777777" w:rsidR="00563E48" w:rsidRPr="00934AB0" w:rsidRDefault="00563E48" w:rsidP="00A97916">
      <w:pPr>
        <w:spacing w:after="0" w:line="240" w:lineRule="auto"/>
        <w:ind w:right="91"/>
        <w:rPr>
          <w:rFonts w:ascii="Times New Roman" w:hAnsi="Times New Roman" w:cs="Times New Roman"/>
          <w:sz w:val="24"/>
          <w:szCs w:val="24"/>
        </w:rPr>
      </w:pPr>
    </w:p>
    <w:p w14:paraId="18541006" w14:textId="429B6D1F" w:rsidR="00DA5A0F" w:rsidRDefault="00041462" w:rsidP="00A35CB5">
      <w:pPr>
        <w:pStyle w:val="EStext-overview"/>
      </w:pPr>
      <w:r w:rsidRPr="00934AB0">
        <w:t>The partial refund</w:t>
      </w:r>
      <w:r w:rsidR="007039EE">
        <w:t xml:space="preserve"> arrangements in the Regulations are </w:t>
      </w:r>
      <w:r w:rsidRPr="00B04494">
        <w:t xml:space="preserve">intended </w:t>
      </w:r>
      <w:r w:rsidR="001A2FDC" w:rsidRPr="00B04494">
        <w:t xml:space="preserve">to </w:t>
      </w:r>
      <w:r w:rsidR="007039EE" w:rsidRPr="00B04494">
        <w:t>assist</w:t>
      </w:r>
      <w:r w:rsidR="007039EE">
        <w:t xml:space="preserve"> with </w:t>
      </w:r>
      <w:r w:rsidRPr="00934AB0">
        <w:t xml:space="preserve">the cost of applying for </w:t>
      </w:r>
      <w:r w:rsidR="007039EE">
        <w:t xml:space="preserve">a </w:t>
      </w:r>
      <w:r w:rsidR="00C80675">
        <w:t>S</w:t>
      </w:r>
      <w:r w:rsidR="007039EE">
        <w:t>tudent visa for</w:t>
      </w:r>
      <w:r w:rsidRPr="00934AB0">
        <w:t xml:space="preserve"> prospective students from the Pacific </w:t>
      </w:r>
      <w:r w:rsidR="00944E82" w:rsidRPr="00934AB0">
        <w:t>and Timor</w:t>
      </w:r>
      <w:r w:rsidR="00944E82" w:rsidRPr="00934AB0">
        <w:noBreakHyphen/>
      </w:r>
      <w:r w:rsidRPr="00934AB0">
        <w:t xml:space="preserve">Leste. </w:t>
      </w:r>
      <w:r w:rsidR="007039EE">
        <w:t>The Regulations reflect the importance of</w:t>
      </w:r>
      <w:r w:rsidR="00DA5A0F">
        <w:t xml:space="preserve"> deepening Australia’s connections with those countries; supporting wider education opportunities within the region, thereby contributing to Pacific economies; and providing opportunities for cultural, educational and skills exchange, in support of a peaceful, prosperous and resilient Pacific region.</w:t>
      </w:r>
    </w:p>
    <w:p w14:paraId="7BD207F7" w14:textId="7D3375AC" w:rsidR="00041462" w:rsidRDefault="00041462" w:rsidP="00A35CB5">
      <w:pPr>
        <w:pStyle w:val="EStext-overview"/>
      </w:pPr>
    </w:p>
    <w:p w14:paraId="03508F69" w14:textId="37AEC5C1" w:rsidR="00767BA3" w:rsidRPr="00934AB0" w:rsidRDefault="00F33D82" w:rsidP="00A35CB5">
      <w:pPr>
        <w:pStyle w:val="EStext-overview"/>
      </w:pPr>
      <w:r w:rsidRPr="00934AB0">
        <w:t>The Migration Act specifies no conditions that need to be satisfied before the power to make the regulations may be exercised.</w:t>
      </w:r>
    </w:p>
    <w:p w14:paraId="63676EDF" w14:textId="77777777" w:rsidR="002B6C0F" w:rsidRPr="00934AB0" w:rsidRDefault="002B6C0F" w:rsidP="00A35CB5">
      <w:pPr>
        <w:pStyle w:val="EStext-overview"/>
      </w:pPr>
    </w:p>
    <w:p w14:paraId="2C23C853" w14:textId="75DDEE20" w:rsidR="002C3719" w:rsidRPr="00934AB0" w:rsidRDefault="003929D9" w:rsidP="00A35CB5">
      <w:pPr>
        <w:pStyle w:val="EStext-overview"/>
      </w:pPr>
      <w:r w:rsidRPr="00934AB0">
        <w:t xml:space="preserve">The matters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w:t>
      </w:r>
      <w:r w:rsidR="00272A17" w:rsidRPr="00934AB0">
        <w:t xml:space="preserve">The Migration Act expressly provides for these matters </w:t>
      </w:r>
      <w:r w:rsidR="00DA5F25" w:rsidRPr="00934AB0">
        <w:t>to be prescribed in regulations</w:t>
      </w:r>
      <w:r w:rsidR="00EE1C8E" w:rsidRPr="00934AB0">
        <w:t>. The current Migration Regulations have been in place since 1994, when they replaced regulations made in 1989 and 1993. Providing for these details to be in delegated legislation rather than primary legislati</w:t>
      </w:r>
      <w:r w:rsidR="00806BC1" w:rsidRPr="00934AB0">
        <w:t xml:space="preserve">on gives the Government the </w:t>
      </w:r>
      <w:r w:rsidR="00272A17" w:rsidRPr="00934AB0">
        <w:t>ability to effectively manage the operation of Australia’s visa program and respond quickly to emerging needs.</w:t>
      </w:r>
    </w:p>
    <w:p w14:paraId="43B52C2B" w14:textId="77777777" w:rsidR="002C3719" w:rsidRPr="00934AB0" w:rsidRDefault="002C3719" w:rsidP="00A35CB5">
      <w:pPr>
        <w:pStyle w:val="EStext-overview"/>
      </w:pPr>
    </w:p>
    <w:p w14:paraId="160114F9" w14:textId="5CEA0B45" w:rsidR="00227B05" w:rsidRPr="00934AB0" w:rsidRDefault="005218AB" w:rsidP="00A35CB5">
      <w:pPr>
        <w:pStyle w:val="EStext-overview"/>
      </w:pPr>
      <w:r w:rsidRPr="00934AB0">
        <w:t xml:space="preserve">A Statement of Compatibility with Human Rights (the Statement) has been completed in accordance with the </w:t>
      </w:r>
      <w:r w:rsidRPr="00934AB0">
        <w:rPr>
          <w:i/>
        </w:rPr>
        <w:t>Human Righ</w:t>
      </w:r>
      <w:r w:rsidR="00944E82" w:rsidRPr="00934AB0">
        <w:rPr>
          <w:i/>
        </w:rPr>
        <w:t>ts (Parliamentary Scrutiny) Act </w:t>
      </w:r>
      <w:r w:rsidRPr="00934AB0">
        <w:rPr>
          <w:i/>
        </w:rPr>
        <w:t>2011</w:t>
      </w:r>
      <w:r w:rsidRPr="00934AB0">
        <w:t xml:space="preserve">. The overall assessment is that the Regulations are compatible with human rights. A copy of the Statement is at </w:t>
      </w:r>
      <w:r w:rsidRPr="00934AB0">
        <w:rPr>
          <w:u w:val="single"/>
        </w:rPr>
        <w:t>Attachment</w:t>
      </w:r>
      <w:r w:rsidR="00A52638" w:rsidRPr="00934AB0">
        <w:rPr>
          <w:u w:val="single"/>
        </w:rPr>
        <w:t> </w:t>
      </w:r>
      <w:r w:rsidR="00C76FA8" w:rsidRPr="00934AB0">
        <w:rPr>
          <w:u w:val="single"/>
        </w:rPr>
        <w:t>A</w:t>
      </w:r>
      <w:r w:rsidRPr="00934AB0">
        <w:t>.</w:t>
      </w:r>
    </w:p>
    <w:p w14:paraId="21B51944" w14:textId="77777777" w:rsidR="00A97916" w:rsidRPr="00934AB0" w:rsidRDefault="00A97916" w:rsidP="00A35CB5">
      <w:pPr>
        <w:pStyle w:val="EStext-overview"/>
      </w:pPr>
    </w:p>
    <w:p w14:paraId="184533DB" w14:textId="3DF77B83" w:rsidR="00E15E4A" w:rsidRPr="00934AB0" w:rsidRDefault="00BF156A" w:rsidP="00A35CB5">
      <w:pPr>
        <w:pStyle w:val="EStext-overview"/>
      </w:pPr>
      <w:r w:rsidRPr="00934AB0">
        <w:t>The Offi</w:t>
      </w:r>
      <w:r w:rsidR="00331D3B">
        <w:t xml:space="preserve">ce of Impact Analysis (OIA) was consulted in relation to the Regulations, and </w:t>
      </w:r>
      <w:r w:rsidRPr="00934AB0">
        <w:t xml:space="preserve">assessed that the </w:t>
      </w:r>
      <w:r w:rsidR="0074491E" w:rsidRPr="00934AB0">
        <w:t>Regulations</w:t>
      </w:r>
      <w:r w:rsidRPr="00934AB0">
        <w:t xml:space="preserve"> do not trigger the Australian Government Impact Analysis </w:t>
      </w:r>
      <w:r w:rsidR="00331D3B">
        <w:t>r</w:t>
      </w:r>
      <w:r w:rsidRPr="00934AB0">
        <w:t>equirements. </w:t>
      </w:r>
      <w:r w:rsidR="005B1BE5" w:rsidRPr="00934AB0">
        <w:t xml:space="preserve">The OIA reference </w:t>
      </w:r>
      <w:r w:rsidR="007E77AA" w:rsidRPr="00934AB0">
        <w:t>number is</w:t>
      </w:r>
      <w:r w:rsidR="005B1BE5" w:rsidRPr="00934AB0">
        <w:t xml:space="preserve"> </w:t>
      </w:r>
      <w:r w:rsidR="00944E82" w:rsidRPr="00934AB0">
        <w:t>OIA24</w:t>
      </w:r>
      <w:r w:rsidR="00944E82" w:rsidRPr="00934AB0">
        <w:noBreakHyphen/>
      </w:r>
      <w:r w:rsidR="00963906" w:rsidRPr="00934AB0">
        <w:t>06930</w:t>
      </w:r>
      <w:r w:rsidR="007E77AA" w:rsidRPr="00934AB0">
        <w:t>.</w:t>
      </w:r>
    </w:p>
    <w:p w14:paraId="156F0279" w14:textId="0A137419" w:rsidR="00A97916" w:rsidRDefault="00A97916" w:rsidP="00A35CB5">
      <w:pPr>
        <w:pStyle w:val="EStext-overview"/>
      </w:pPr>
    </w:p>
    <w:p w14:paraId="27599570" w14:textId="26468957" w:rsidR="00FF780A" w:rsidRPr="00FF780A" w:rsidRDefault="00FF780A" w:rsidP="00A35CB5">
      <w:pPr>
        <w:pStyle w:val="EStext-overview"/>
      </w:pPr>
      <w:r w:rsidRPr="00FF780A">
        <w:t>The Regulations do not operate retrospectively and s</w:t>
      </w:r>
      <w:r w:rsidR="00F503B5">
        <w:t>ubsection</w:t>
      </w:r>
      <w:r w:rsidRPr="00FF780A">
        <w:t xml:space="preserve"> 12(2) of the </w:t>
      </w:r>
      <w:r w:rsidRPr="00FF780A">
        <w:rPr>
          <w:i/>
        </w:rPr>
        <w:t>Legislation Act 2003</w:t>
      </w:r>
      <w:r w:rsidRPr="00FF780A">
        <w:t xml:space="preserve"> (the Legislation Act) is not engaged. This is because the proposed Regulations commence the day after they are registered, consistent with </w:t>
      </w:r>
      <w:r w:rsidR="00F503B5">
        <w:t>paragraph</w:t>
      </w:r>
      <w:r w:rsidR="00F503B5" w:rsidRPr="00FF780A">
        <w:t> </w:t>
      </w:r>
      <w:r w:rsidRPr="00FF780A">
        <w:t>12(1</w:t>
      </w:r>
      <w:proofErr w:type="gramStart"/>
      <w:r w:rsidRPr="00FF780A">
        <w:t>)(</w:t>
      </w:r>
      <w:proofErr w:type="gramEnd"/>
      <w:r w:rsidRPr="00FF780A">
        <w:t>a) of the Legislation Act.</w:t>
      </w:r>
    </w:p>
    <w:p w14:paraId="62CA48CE" w14:textId="77777777" w:rsidR="00FF780A" w:rsidRPr="00934AB0" w:rsidRDefault="00FF780A" w:rsidP="00A35CB5">
      <w:pPr>
        <w:pStyle w:val="EStext-overview"/>
      </w:pPr>
    </w:p>
    <w:p w14:paraId="36EA7B3C" w14:textId="159C47E0" w:rsidR="00BF156A" w:rsidRPr="00934AB0" w:rsidRDefault="004D1319" w:rsidP="00A35CB5">
      <w:pPr>
        <w:pStyle w:val="EStext-overview"/>
      </w:pPr>
      <w:r>
        <w:t xml:space="preserve">The Department of Home Affairs consulted </w:t>
      </w:r>
      <w:r w:rsidR="00326741">
        <w:t>with</w:t>
      </w:r>
      <w:r>
        <w:t xml:space="preserve"> </w:t>
      </w:r>
      <w:r w:rsidR="005E24DD">
        <w:t xml:space="preserve">the Department of Foreign Affairs and Trade and </w:t>
      </w:r>
      <w:r w:rsidR="00331D3B">
        <w:t xml:space="preserve">other </w:t>
      </w:r>
      <w:r w:rsidR="00326741">
        <w:t>Commonwealth agencies</w:t>
      </w:r>
      <w:r w:rsidR="00B51AC6" w:rsidRPr="00934AB0">
        <w:t xml:space="preserve"> during</w:t>
      </w:r>
      <w:r w:rsidR="007E77AA" w:rsidRPr="00934AB0">
        <w:t xml:space="preserve"> and after</w:t>
      </w:r>
      <w:r w:rsidR="00944E82" w:rsidRPr="00934AB0">
        <w:t xml:space="preserve"> the 2024</w:t>
      </w:r>
      <w:r w:rsidR="00944E82" w:rsidRPr="00934AB0">
        <w:noBreakHyphen/>
      </w:r>
      <w:r w:rsidR="00B51AC6" w:rsidRPr="00934AB0">
        <w:t xml:space="preserve">25 Budget process to support the Government’s decision to </w:t>
      </w:r>
      <w:r w:rsidR="007E77AA" w:rsidRPr="00934AB0">
        <w:t>provide a partial refund of the</w:t>
      </w:r>
      <w:r w:rsidR="00B51AC6" w:rsidRPr="00934AB0">
        <w:t xml:space="preserve"> VACs for </w:t>
      </w:r>
      <w:r w:rsidR="00331D3B">
        <w:t>Student visa applications by prospective students</w:t>
      </w:r>
      <w:r w:rsidR="00944E82" w:rsidRPr="00934AB0">
        <w:t xml:space="preserve"> from the Pacific and Timor</w:t>
      </w:r>
      <w:r w:rsidR="00944E82" w:rsidRPr="00934AB0">
        <w:noBreakHyphen/>
      </w:r>
      <w:r w:rsidR="007E77AA" w:rsidRPr="00934AB0">
        <w:t>Leste</w:t>
      </w:r>
      <w:r w:rsidR="00B51AC6" w:rsidRPr="00934AB0">
        <w:t xml:space="preserve">. </w:t>
      </w:r>
      <w:r w:rsidR="00BF156A" w:rsidRPr="00934AB0">
        <w:t xml:space="preserve">This </w:t>
      </w:r>
      <w:r w:rsidR="00331D3B">
        <w:t xml:space="preserve">consultation </w:t>
      </w:r>
      <w:r w:rsidR="005E24DD">
        <w:t xml:space="preserve">is appropriate and </w:t>
      </w:r>
      <w:r w:rsidR="00BF156A" w:rsidRPr="00934AB0">
        <w:t>accords with consulta</w:t>
      </w:r>
      <w:r w:rsidR="00944E82" w:rsidRPr="00934AB0">
        <w:t>tion requirements in subsection </w:t>
      </w:r>
      <w:r w:rsidR="00420583">
        <w:t xml:space="preserve">17(1) of </w:t>
      </w:r>
      <w:r w:rsidR="00BF156A" w:rsidRPr="00934AB0">
        <w:t>the Legislation Act.</w:t>
      </w:r>
      <w:r w:rsidR="009820D5">
        <w:t xml:space="preserve"> Consistent with usual departmental practice, advice in relation to the changes made by these Regulations will be provided for clients and other stakeholders on the Department’s website and through other communication channels.</w:t>
      </w:r>
    </w:p>
    <w:p w14:paraId="3DB59059" w14:textId="3D5F1371" w:rsidR="00A97916" w:rsidRPr="00934AB0" w:rsidRDefault="00A97916" w:rsidP="00A35CB5">
      <w:pPr>
        <w:pStyle w:val="EStext-overview"/>
      </w:pPr>
    </w:p>
    <w:p w14:paraId="4EC9303B" w14:textId="1960AE41" w:rsidR="00676095" w:rsidRPr="00934AB0" w:rsidRDefault="00FA2A98" w:rsidP="00A35CB5">
      <w:pPr>
        <w:pStyle w:val="EStext-overview"/>
      </w:pPr>
      <w:r w:rsidRPr="00FF780A">
        <w:t xml:space="preserve">The amendments </w:t>
      </w:r>
      <w:r w:rsidR="00331D3B" w:rsidRPr="00FF780A">
        <w:t xml:space="preserve">in the Regulations </w:t>
      </w:r>
      <w:r w:rsidRPr="00FF780A">
        <w:t xml:space="preserve">commence on </w:t>
      </w:r>
      <w:r w:rsidR="00FF780A">
        <w:t>the day after the instrument is registered</w:t>
      </w:r>
      <w:r w:rsidR="00944E82" w:rsidRPr="00FF780A">
        <w:t>.</w:t>
      </w:r>
    </w:p>
    <w:p w14:paraId="1119F4E8" w14:textId="77777777" w:rsidR="00A97916" w:rsidRPr="00934AB0" w:rsidRDefault="00A97916" w:rsidP="00C80675">
      <w:pPr>
        <w:pStyle w:val="EStext-overview"/>
      </w:pPr>
    </w:p>
    <w:p w14:paraId="072196BC" w14:textId="0A70D572" w:rsidR="00676095" w:rsidRPr="00934AB0" w:rsidRDefault="00676095" w:rsidP="00C80675">
      <w:pPr>
        <w:pStyle w:val="EStext-overview"/>
      </w:pPr>
      <w:r w:rsidRPr="00934AB0">
        <w:t xml:space="preserve">Further details of the Regulations are set out in </w:t>
      </w:r>
      <w:r w:rsidR="00944E82" w:rsidRPr="00934AB0">
        <w:rPr>
          <w:u w:val="single"/>
        </w:rPr>
        <w:t>Attachment </w:t>
      </w:r>
      <w:r w:rsidR="00C76FA8" w:rsidRPr="00934AB0">
        <w:rPr>
          <w:u w:val="single"/>
        </w:rPr>
        <w:t>B</w:t>
      </w:r>
      <w:r w:rsidRPr="00934AB0">
        <w:t>.</w:t>
      </w:r>
    </w:p>
    <w:p w14:paraId="6ECF90F9" w14:textId="77777777" w:rsidR="007E77AA" w:rsidRPr="00934AB0" w:rsidRDefault="007E77AA" w:rsidP="00C80675">
      <w:pPr>
        <w:pStyle w:val="EStext-overview"/>
      </w:pPr>
    </w:p>
    <w:p w14:paraId="0CD8E5E1" w14:textId="0FFF2F95" w:rsidR="00676095" w:rsidRPr="00934AB0" w:rsidRDefault="00676095" w:rsidP="00C80675">
      <w:pPr>
        <w:pStyle w:val="EStext-overview"/>
        <w:rPr>
          <w:color w:val="000000"/>
        </w:rPr>
      </w:pPr>
      <w:r w:rsidRPr="00934AB0">
        <w:t>The Regulations amend the Migration Regulations</w:t>
      </w:r>
      <w:r w:rsidR="00276E83" w:rsidRPr="00934AB0">
        <w:t>,</w:t>
      </w:r>
      <w:r w:rsidRPr="00934AB0">
        <w:t xml:space="preserve"> which are exempt f</w:t>
      </w:r>
      <w:r w:rsidR="00944E82" w:rsidRPr="00934AB0">
        <w:t xml:space="preserve">rom </w:t>
      </w:r>
      <w:proofErr w:type="spellStart"/>
      <w:r w:rsidR="00944E82" w:rsidRPr="00934AB0">
        <w:t>sunsetting</w:t>
      </w:r>
      <w:proofErr w:type="spellEnd"/>
      <w:r w:rsidR="00944E82" w:rsidRPr="00934AB0">
        <w:t xml:space="preserve"> under table item 38A of section </w:t>
      </w:r>
      <w:r w:rsidRPr="00934AB0">
        <w:t xml:space="preserve">12 of the </w:t>
      </w:r>
      <w:r w:rsidRPr="00934AB0">
        <w:rPr>
          <w:i/>
        </w:rPr>
        <w:t>Legislation (Exemption</w:t>
      </w:r>
      <w:r w:rsidR="00944E82" w:rsidRPr="00934AB0">
        <w:rPr>
          <w:i/>
        </w:rPr>
        <w:t>s and Other Matters) Regulation </w:t>
      </w:r>
      <w:r w:rsidRPr="00934AB0">
        <w:rPr>
          <w:i/>
        </w:rPr>
        <w:t xml:space="preserve">2015. </w:t>
      </w:r>
      <w:r w:rsidRPr="00934AB0">
        <w:t xml:space="preserve">The Migration Regulations are exempt from </w:t>
      </w:r>
      <w:proofErr w:type="spellStart"/>
      <w:r w:rsidRPr="00934AB0">
        <w:t>sunsetting</w:t>
      </w:r>
      <w:proofErr w:type="spellEnd"/>
      <w:r w:rsidRPr="00934AB0">
        <w:t xml:space="preserve"> on the basis that </w:t>
      </w:r>
      <w:r w:rsidRPr="00934AB0">
        <w:rPr>
          <w:color w:val="000000"/>
        </w:rPr>
        <w:t>the repeal and remaking of the Migration Regulations:</w:t>
      </w:r>
    </w:p>
    <w:p w14:paraId="77F791DF" w14:textId="77777777" w:rsidR="00676095" w:rsidRPr="00934AB0" w:rsidRDefault="00676095" w:rsidP="00A35CB5">
      <w:pPr>
        <w:pStyle w:val="EStext-bullet"/>
      </w:pPr>
      <w:r w:rsidRPr="00934AB0">
        <w:t xml:space="preserve">is unnecessary as the Migration Regulations are regularly amended numerous times each year to update policy settings for immigration programs; </w:t>
      </w:r>
    </w:p>
    <w:p w14:paraId="6FA40D7F" w14:textId="77777777" w:rsidR="00676095" w:rsidRPr="00934AB0" w:rsidRDefault="00676095" w:rsidP="00A35CB5">
      <w:pPr>
        <w:pStyle w:val="EStext-bullet"/>
      </w:pPr>
      <w:r w:rsidRPr="00934AB0">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03A6BA26" w14:textId="77777777" w:rsidR="00676095" w:rsidRPr="00934AB0" w:rsidRDefault="00676095" w:rsidP="00A35CB5">
      <w:pPr>
        <w:pStyle w:val="EStext-bullet"/>
      </w:pPr>
      <w:proofErr w:type="gramStart"/>
      <w:r w:rsidRPr="00934AB0">
        <w:t>would</w:t>
      </w:r>
      <w:proofErr w:type="gramEnd"/>
      <w:r w:rsidRPr="00934AB0">
        <w:t xml:space="preserve"> demand complicated and costly systems, training and operational changes that would impose significant strain on Government resources and the Australian public for insignificant gain, while not advancing the aims of the Legislation Act.</w:t>
      </w:r>
    </w:p>
    <w:p w14:paraId="14FB7F8F" w14:textId="77777777" w:rsidR="00A97916" w:rsidRPr="00934AB0" w:rsidRDefault="00A97916" w:rsidP="00C80675">
      <w:pPr>
        <w:pStyle w:val="EStext-overview"/>
      </w:pPr>
    </w:p>
    <w:p w14:paraId="0F64613C" w14:textId="34F9A143" w:rsidR="003929D9" w:rsidRPr="00934AB0" w:rsidRDefault="003929D9" w:rsidP="00A35CB5">
      <w:pPr>
        <w:pStyle w:val="EStext-overview"/>
      </w:pPr>
      <w:r w:rsidRPr="00934AB0">
        <w:t>The Regulations are a legislative instrument for the purposes of the Legislation Act</w:t>
      </w:r>
      <w:r w:rsidR="00676095" w:rsidRPr="00934AB0">
        <w:t>.</w:t>
      </w:r>
    </w:p>
    <w:p w14:paraId="284BF61D" w14:textId="4C2041E3" w:rsidR="006C3C73" w:rsidRPr="00934AB0" w:rsidRDefault="00676095" w:rsidP="001D2B2F">
      <w:pPr>
        <w:spacing w:after="120"/>
        <w:ind w:left="-1134"/>
        <w:rPr>
          <w:rFonts w:ascii="Times New Roman" w:eastAsiaTheme="minorEastAsia" w:hAnsi="Times New Roman" w:cs="Times New Roman"/>
          <w:b/>
          <w:sz w:val="24"/>
          <w:szCs w:val="24"/>
          <w:u w:val="single"/>
          <w:lang w:val="en-AU" w:eastAsia="en-AU"/>
        </w:rPr>
      </w:pPr>
      <w:r w:rsidRPr="00934AB0">
        <w:rPr>
          <w:rFonts w:ascii="Times New Roman" w:hAnsi="Times New Roman" w:cs="Times New Roman"/>
          <w:sz w:val="24"/>
          <w:szCs w:val="24"/>
        </w:rPr>
        <w:br w:type="page"/>
      </w:r>
      <w:r w:rsidR="00C76FA8" w:rsidRPr="00934AB0">
        <w:rPr>
          <w:rFonts w:ascii="Times New Roman" w:eastAsiaTheme="minorEastAsia" w:hAnsi="Times New Roman" w:cs="Times New Roman"/>
          <w:b/>
          <w:sz w:val="24"/>
          <w:szCs w:val="24"/>
          <w:u w:val="single"/>
          <w:lang w:val="en-AU" w:eastAsia="en-AU"/>
        </w:rPr>
        <w:t xml:space="preserve"> </w:t>
      </w:r>
      <w:bookmarkStart w:id="1" w:name="PM"/>
      <w:bookmarkEnd w:id="1"/>
    </w:p>
    <w:p w14:paraId="3E19BC6F" w14:textId="4C2041E3" w:rsidR="001D2B2F" w:rsidRPr="00934AB0" w:rsidRDefault="001D2B2F" w:rsidP="001D2B2F">
      <w:pPr>
        <w:spacing w:before="240" w:after="0" w:line="240" w:lineRule="auto"/>
        <w:jc w:val="right"/>
        <w:rPr>
          <w:rFonts w:ascii="Times New Roman" w:eastAsiaTheme="minorEastAsia" w:hAnsi="Times New Roman" w:cs="Times New Roman"/>
          <w:sz w:val="24"/>
          <w:szCs w:val="24"/>
          <w:lang w:val="en-AU" w:eastAsia="en-AU"/>
        </w:rPr>
      </w:pPr>
      <w:r w:rsidRPr="00934AB0">
        <w:rPr>
          <w:rFonts w:ascii="Times New Roman" w:eastAsiaTheme="minorEastAsia" w:hAnsi="Times New Roman" w:cs="Times New Roman"/>
          <w:b/>
          <w:sz w:val="24"/>
          <w:szCs w:val="24"/>
          <w:u w:val="single"/>
          <w:lang w:val="en-AU" w:eastAsia="en-AU"/>
        </w:rPr>
        <w:t>ATTACHMENT A</w:t>
      </w:r>
    </w:p>
    <w:p w14:paraId="7C5ED20D" w14:textId="77777777" w:rsidR="001D2B2F" w:rsidRPr="00934AB0" w:rsidRDefault="001D2B2F" w:rsidP="00F02A81">
      <w:pPr>
        <w:shd w:val="clear" w:color="auto" w:fill="FFFFFF"/>
        <w:spacing w:after="0" w:line="240" w:lineRule="auto"/>
        <w:ind w:right="43"/>
        <w:jc w:val="right"/>
        <w:rPr>
          <w:rFonts w:ascii="Times New Roman" w:eastAsia="Times New Roman" w:hAnsi="Times New Roman" w:cs="Times New Roman"/>
          <w:color w:val="000000"/>
          <w:sz w:val="24"/>
          <w:szCs w:val="24"/>
          <w:lang w:val="en-AU" w:eastAsia="en-AU"/>
        </w:rPr>
      </w:pPr>
      <w:r w:rsidRPr="00934AB0">
        <w:rPr>
          <w:rFonts w:ascii="Times New Roman" w:eastAsia="Times New Roman" w:hAnsi="Times New Roman" w:cs="Times New Roman"/>
          <w:b/>
          <w:bCs/>
          <w:color w:val="000000"/>
          <w:sz w:val="24"/>
          <w:szCs w:val="24"/>
          <w:lang w:val="en-AU" w:eastAsia="en-AU"/>
        </w:rPr>
        <w:t> </w:t>
      </w:r>
    </w:p>
    <w:p w14:paraId="5CAD33DB" w14:textId="77777777" w:rsidR="001D2B2F" w:rsidRPr="00934AB0" w:rsidRDefault="001D2B2F" w:rsidP="00F02A81">
      <w:pPr>
        <w:keepNext/>
        <w:keepLines/>
        <w:spacing w:after="0" w:line="240" w:lineRule="auto"/>
        <w:jc w:val="center"/>
        <w:outlineLvl w:val="1"/>
        <w:rPr>
          <w:rFonts w:ascii="Times New Roman" w:hAnsi="Times New Roman" w:cs="Times New Roman"/>
          <w:b/>
          <w:sz w:val="24"/>
          <w:szCs w:val="24"/>
        </w:rPr>
      </w:pPr>
      <w:r w:rsidRPr="00934AB0">
        <w:rPr>
          <w:rFonts w:ascii="Times New Roman" w:hAnsi="Times New Roman" w:cs="Times New Roman"/>
          <w:b/>
          <w:sz w:val="24"/>
          <w:szCs w:val="24"/>
        </w:rPr>
        <w:t>Statement of Compatibility with Human Rights</w:t>
      </w:r>
    </w:p>
    <w:p w14:paraId="0306FDB7" w14:textId="77777777" w:rsidR="00F02A81" w:rsidRDefault="00F02A81" w:rsidP="00F02A81">
      <w:pPr>
        <w:spacing w:after="0" w:line="240" w:lineRule="auto"/>
        <w:jc w:val="center"/>
        <w:rPr>
          <w:rFonts w:ascii="Times New Roman" w:hAnsi="Times New Roman" w:cs="Times New Roman"/>
          <w:i/>
          <w:sz w:val="24"/>
          <w:szCs w:val="24"/>
        </w:rPr>
      </w:pPr>
    </w:p>
    <w:p w14:paraId="7BAB5191" w14:textId="49E22089" w:rsidR="001D2B2F" w:rsidRPr="00934AB0" w:rsidRDefault="001D2B2F" w:rsidP="00F02A81">
      <w:pPr>
        <w:spacing w:after="0" w:line="240" w:lineRule="auto"/>
        <w:jc w:val="center"/>
        <w:rPr>
          <w:rFonts w:ascii="Times New Roman" w:hAnsi="Times New Roman" w:cs="Times New Roman"/>
          <w:i/>
          <w:sz w:val="24"/>
          <w:szCs w:val="24"/>
        </w:rPr>
      </w:pPr>
      <w:r w:rsidRPr="00934AB0">
        <w:rPr>
          <w:rFonts w:ascii="Times New Roman" w:hAnsi="Times New Roman" w:cs="Times New Roman"/>
          <w:i/>
          <w:sz w:val="24"/>
          <w:szCs w:val="24"/>
        </w:rPr>
        <w:t>P</w:t>
      </w:r>
      <w:r w:rsidR="002F6C16" w:rsidRPr="00934AB0">
        <w:rPr>
          <w:rFonts w:ascii="Times New Roman" w:hAnsi="Times New Roman" w:cs="Times New Roman"/>
          <w:i/>
          <w:sz w:val="24"/>
          <w:szCs w:val="24"/>
        </w:rPr>
        <w:t>repared in accordance with Part </w:t>
      </w:r>
      <w:r w:rsidRPr="00934AB0">
        <w:rPr>
          <w:rFonts w:ascii="Times New Roman" w:hAnsi="Times New Roman" w:cs="Times New Roman"/>
          <w:i/>
          <w:sz w:val="24"/>
          <w:szCs w:val="24"/>
        </w:rPr>
        <w:t>3 of the Human Righ</w:t>
      </w:r>
      <w:r w:rsidR="002F6C16" w:rsidRPr="00934AB0">
        <w:rPr>
          <w:rFonts w:ascii="Times New Roman" w:hAnsi="Times New Roman" w:cs="Times New Roman"/>
          <w:i/>
          <w:sz w:val="24"/>
          <w:szCs w:val="24"/>
        </w:rPr>
        <w:t>ts (Parliamentary Scrutiny) Act </w:t>
      </w:r>
      <w:r w:rsidRPr="00934AB0">
        <w:rPr>
          <w:rFonts w:ascii="Times New Roman" w:hAnsi="Times New Roman" w:cs="Times New Roman"/>
          <w:i/>
          <w:sz w:val="24"/>
          <w:szCs w:val="24"/>
        </w:rPr>
        <w:t>2011</w:t>
      </w:r>
    </w:p>
    <w:p w14:paraId="6B66684C" w14:textId="77777777" w:rsidR="00F02A81" w:rsidRDefault="00F02A81" w:rsidP="00F02A81">
      <w:pPr>
        <w:spacing w:after="0" w:line="240" w:lineRule="auto"/>
        <w:jc w:val="center"/>
        <w:rPr>
          <w:rFonts w:ascii="Times New Roman" w:hAnsi="Times New Roman"/>
          <w:b/>
          <w:i/>
          <w:sz w:val="24"/>
          <w:szCs w:val="24"/>
        </w:rPr>
      </w:pPr>
    </w:p>
    <w:p w14:paraId="790D2BB8" w14:textId="45A1CDF1" w:rsidR="00934AB0" w:rsidRPr="00934AB0" w:rsidRDefault="00934AB0" w:rsidP="00F02A81">
      <w:pPr>
        <w:spacing w:after="0" w:line="240" w:lineRule="auto"/>
        <w:jc w:val="center"/>
        <w:rPr>
          <w:rFonts w:ascii="Times New Roman" w:hAnsi="Times New Roman"/>
          <w:b/>
          <w:i/>
          <w:sz w:val="24"/>
          <w:szCs w:val="24"/>
        </w:rPr>
      </w:pPr>
      <w:r w:rsidRPr="00934AB0">
        <w:rPr>
          <w:rFonts w:ascii="Times New Roman" w:hAnsi="Times New Roman"/>
          <w:b/>
          <w:i/>
          <w:sz w:val="24"/>
          <w:szCs w:val="24"/>
        </w:rPr>
        <w:t>Migration Amendment (Visa Application Charge Refund) Regulations 2024</w:t>
      </w:r>
    </w:p>
    <w:p w14:paraId="0953375F" w14:textId="77777777" w:rsidR="00934AB0" w:rsidRPr="00934AB0" w:rsidRDefault="00934AB0" w:rsidP="00F02A81">
      <w:pPr>
        <w:spacing w:after="0" w:line="240" w:lineRule="auto"/>
        <w:jc w:val="center"/>
        <w:rPr>
          <w:rFonts w:ascii="Times New Roman" w:hAnsi="Times New Roman"/>
          <w:sz w:val="24"/>
          <w:szCs w:val="24"/>
        </w:rPr>
      </w:pPr>
    </w:p>
    <w:p w14:paraId="587FDEFF" w14:textId="77777777" w:rsidR="00934AB0" w:rsidRPr="00934AB0" w:rsidRDefault="00934AB0" w:rsidP="00F02A81">
      <w:pPr>
        <w:spacing w:after="0" w:line="240" w:lineRule="auto"/>
        <w:jc w:val="center"/>
        <w:rPr>
          <w:rFonts w:ascii="Times New Roman" w:hAnsi="Times New Roman"/>
          <w:sz w:val="24"/>
          <w:szCs w:val="24"/>
        </w:rPr>
      </w:pPr>
      <w:r w:rsidRPr="00934AB0">
        <w:rPr>
          <w:rFonts w:ascii="Times New Roman" w:hAnsi="Times New Roman"/>
          <w:sz w:val="24"/>
          <w:szCs w:val="24"/>
        </w:rPr>
        <w:t xml:space="preserve">This Disallowable Legislative Instrument is compatible with the human rights and freedoms </w:t>
      </w:r>
      <w:proofErr w:type="spellStart"/>
      <w:r w:rsidRPr="00934AB0">
        <w:rPr>
          <w:rFonts w:ascii="Times New Roman" w:hAnsi="Times New Roman"/>
          <w:sz w:val="24"/>
          <w:szCs w:val="24"/>
        </w:rPr>
        <w:t>recognised</w:t>
      </w:r>
      <w:proofErr w:type="spellEnd"/>
      <w:r w:rsidRPr="00934AB0">
        <w:rPr>
          <w:rFonts w:ascii="Times New Roman" w:hAnsi="Times New Roman"/>
          <w:sz w:val="24"/>
          <w:szCs w:val="24"/>
        </w:rPr>
        <w:t xml:space="preserve"> or declared in the international instruments listed in section 3 of the </w:t>
      </w:r>
      <w:r w:rsidRPr="00934AB0">
        <w:rPr>
          <w:rFonts w:ascii="Times New Roman" w:hAnsi="Times New Roman"/>
          <w:i/>
          <w:sz w:val="24"/>
          <w:szCs w:val="24"/>
        </w:rPr>
        <w:t>Human Rights (Parliamentary Scrutiny) Act 2011</w:t>
      </w:r>
      <w:r w:rsidRPr="00934AB0">
        <w:rPr>
          <w:rFonts w:ascii="Times New Roman" w:hAnsi="Times New Roman"/>
          <w:sz w:val="24"/>
          <w:szCs w:val="24"/>
        </w:rPr>
        <w:t>.</w:t>
      </w:r>
    </w:p>
    <w:p w14:paraId="3C9AD246" w14:textId="77777777" w:rsidR="00934AB0" w:rsidRPr="00934AB0" w:rsidRDefault="00934AB0" w:rsidP="00F02A81">
      <w:pPr>
        <w:spacing w:after="0" w:line="240" w:lineRule="auto"/>
        <w:rPr>
          <w:rFonts w:ascii="Times New Roman" w:hAnsi="Times New Roman"/>
          <w:sz w:val="24"/>
          <w:szCs w:val="24"/>
        </w:rPr>
      </w:pPr>
    </w:p>
    <w:p w14:paraId="1A81A804" w14:textId="77777777" w:rsidR="00934AB0" w:rsidRPr="00934AB0" w:rsidRDefault="00934AB0" w:rsidP="00F02A81">
      <w:pPr>
        <w:pStyle w:val="Heading3"/>
        <w:spacing w:before="0" w:after="0"/>
      </w:pPr>
      <w:r w:rsidRPr="00934AB0">
        <w:t>Overview of the Disallowable Legislative Instrument</w:t>
      </w:r>
    </w:p>
    <w:p w14:paraId="005DB561" w14:textId="77777777" w:rsidR="00F02A81" w:rsidRDefault="00F02A81" w:rsidP="00F02A81">
      <w:pPr>
        <w:spacing w:after="0" w:line="240" w:lineRule="auto"/>
        <w:rPr>
          <w:rFonts w:ascii="Times New Roman" w:hAnsi="Times New Roman"/>
          <w:sz w:val="24"/>
          <w:szCs w:val="24"/>
        </w:rPr>
      </w:pPr>
    </w:p>
    <w:p w14:paraId="7B175A18" w14:textId="3AE7EEDE" w:rsidR="00934AB0" w:rsidRPr="00934AB0" w:rsidRDefault="00934AB0" w:rsidP="00F02A81">
      <w:pPr>
        <w:spacing w:after="0" w:line="240" w:lineRule="auto"/>
        <w:rPr>
          <w:rFonts w:ascii="Times New Roman" w:hAnsi="Times New Roman"/>
          <w:sz w:val="24"/>
          <w:szCs w:val="24"/>
        </w:rPr>
      </w:pPr>
      <w:r w:rsidRPr="00934AB0">
        <w:rPr>
          <w:rFonts w:ascii="Times New Roman" w:hAnsi="Times New Roman"/>
          <w:sz w:val="24"/>
          <w:szCs w:val="24"/>
        </w:rPr>
        <w:t xml:space="preserve">International education is a </w:t>
      </w:r>
      <w:r w:rsidR="00126305">
        <w:rPr>
          <w:rFonts w:ascii="Times New Roman" w:hAnsi="Times New Roman"/>
          <w:sz w:val="24"/>
          <w:szCs w:val="24"/>
        </w:rPr>
        <w:t xml:space="preserve">huge </w:t>
      </w:r>
      <w:r w:rsidRPr="00934AB0">
        <w:rPr>
          <w:rFonts w:ascii="Times New Roman" w:hAnsi="Times New Roman"/>
          <w:sz w:val="24"/>
          <w:szCs w:val="24"/>
        </w:rPr>
        <w:t xml:space="preserve">national asset for Australia – economically, socially and diplomatically. However, in the last two years, unmanaged growth in this sector has created population pressures and threatened the sector’s reputation. To support integrity and manage growth in the international education sector, the Government agreed to </w:t>
      </w:r>
      <w:r w:rsidR="00323E17">
        <w:rPr>
          <w:rFonts w:ascii="Times New Roman" w:hAnsi="Times New Roman"/>
          <w:sz w:val="24"/>
          <w:szCs w:val="24"/>
        </w:rPr>
        <w:t xml:space="preserve">increase </w:t>
      </w:r>
      <w:r w:rsidR="00126305">
        <w:rPr>
          <w:rFonts w:ascii="Times New Roman" w:hAnsi="Times New Roman"/>
          <w:sz w:val="24"/>
          <w:szCs w:val="24"/>
        </w:rPr>
        <w:t>Student (Subclass 500) and Student Guardian (Subclass 590)</w:t>
      </w:r>
      <w:r w:rsidR="009C4C9F">
        <w:rPr>
          <w:rFonts w:ascii="Times New Roman" w:hAnsi="Times New Roman"/>
          <w:sz w:val="24"/>
          <w:szCs w:val="24"/>
        </w:rPr>
        <w:t xml:space="preserve"> v</w:t>
      </w:r>
      <w:r w:rsidR="00323E17">
        <w:rPr>
          <w:rFonts w:ascii="Times New Roman" w:hAnsi="Times New Roman"/>
          <w:sz w:val="24"/>
          <w:szCs w:val="24"/>
        </w:rPr>
        <w:t xml:space="preserve">isa </w:t>
      </w:r>
      <w:r w:rsidR="009C4C9F">
        <w:rPr>
          <w:rFonts w:ascii="Times New Roman" w:hAnsi="Times New Roman"/>
          <w:sz w:val="24"/>
          <w:szCs w:val="24"/>
        </w:rPr>
        <w:t>application c</w:t>
      </w:r>
      <w:r w:rsidR="00323E17">
        <w:rPr>
          <w:rFonts w:ascii="Times New Roman" w:hAnsi="Times New Roman"/>
          <w:sz w:val="24"/>
          <w:szCs w:val="24"/>
        </w:rPr>
        <w:t>harge</w:t>
      </w:r>
      <w:r w:rsidR="00126305">
        <w:rPr>
          <w:rFonts w:ascii="Times New Roman" w:hAnsi="Times New Roman"/>
          <w:sz w:val="24"/>
          <w:szCs w:val="24"/>
        </w:rPr>
        <w:t>s</w:t>
      </w:r>
      <w:r w:rsidR="00323E17">
        <w:rPr>
          <w:rFonts w:ascii="Times New Roman" w:hAnsi="Times New Roman"/>
          <w:sz w:val="24"/>
          <w:szCs w:val="24"/>
        </w:rPr>
        <w:t> (VAC)</w:t>
      </w:r>
      <w:r w:rsidR="00F503B5">
        <w:rPr>
          <w:rFonts w:ascii="Times New Roman" w:hAnsi="Times New Roman"/>
          <w:sz w:val="24"/>
          <w:szCs w:val="24"/>
        </w:rPr>
        <w:t xml:space="preserve"> </w:t>
      </w:r>
      <w:r w:rsidR="00126305">
        <w:rPr>
          <w:rFonts w:ascii="Times New Roman" w:hAnsi="Times New Roman"/>
          <w:sz w:val="24"/>
          <w:szCs w:val="24"/>
        </w:rPr>
        <w:t>from</w:t>
      </w:r>
      <w:r w:rsidR="00126305" w:rsidRPr="00FA661F">
        <w:rPr>
          <w:rFonts w:ascii="Times New Roman" w:hAnsi="Times New Roman"/>
          <w:sz w:val="24"/>
          <w:szCs w:val="24"/>
        </w:rPr>
        <w:t xml:space="preserve"> </w:t>
      </w:r>
      <w:r w:rsidR="00FA661F" w:rsidRPr="00FA661F">
        <w:rPr>
          <w:rFonts w:ascii="Times New Roman" w:hAnsi="Times New Roman"/>
          <w:sz w:val="24"/>
          <w:szCs w:val="24"/>
        </w:rPr>
        <w:t>1</w:t>
      </w:r>
      <w:r w:rsidR="00FA661F">
        <w:rPr>
          <w:rFonts w:ascii="Times New Roman" w:hAnsi="Times New Roman"/>
          <w:sz w:val="24"/>
          <w:szCs w:val="24"/>
        </w:rPr>
        <w:t> </w:t>
      </w:r>
      <w:r w:rsidR="00FA661F" w:rsidRPr="00FA661F">
        <w:rPr>
          <w:rFonts w:ascii="Times New Roman" w:hAnsi="Times New Roman"/>
          <w:sz w:val="24"/>
          <w:szCs w:val="24"/>
        </w:rPr>
        <w:t>July</w:t>
      </w:r>
      <w:r w:rsidR="00FA661F">
        <w:rPr>
          <w:rFonts w:ascii="Times New Roman" w:hAnsi="Times New Roman"/>
          <w:sz w:val="24"/>
          <w:szCs w:val="24"/>
        </w:rPr>
        <w:t> </w:t>
      </w:r>
      <w:r w:rsidR="00FA661F" w:rsidRPr="00FA661F">
        <w:rPr>
          <w:rFonts w:ascii="Times New Roman" w:hAnsi="Times New Roman"/>
          <w:sz w:val="24"/>
          <w:szCs w:val="24"/>
        </w:rPr>
        <w:t>2024</w:t>
      </w:r>
      <w:r w:rsidR="00323E17" w:rsidRPr="00323E17">
        <w:rPr>
          <w:rFonts w:ascii="Times New Roman" w:hAnsi="Times New Roman"/>
          <w:sz w:val="24"/>
          <w:szCs w:val="24"/>
        </w:rPr>
        <w:t>.</w:t>
      </w:r>
    </w:p>
    <w:p w14:paraId="455D0B2A" w14:textId="77777777" w:rsidR="00F02A81" w:rsidRDefault="00F02A81" w:rsidP="00F02A81">
      <w:pPr>
        <w:spacing w:after="0" w:line="240" w:lineRule="auto"/>
        <w:rPr>
          <w:rFonts w:ascii="Times New Roman" w:hAnsi="Times New Roman"/>
          <w:sz w:val="24"/>
          <w:szCs w:val="24"/>
        </w:rPr>
      </w:pPr>
    </w:p>
    <w:p w14:paraId="49E85736" w14:textId="4E438A3B" w:rsidR="00934AB0" w:rsidRDefault="00934AB0" w:rsidP="00F02A81">
      <w:pPr>
        <w:spacing w:after="0" w:line="240" w:lineRule="auto"/>
        <w:rPr>
          <w:rFonts w:ascii="Times New Roman" w:hAnsi="Times New Roman"/>
          <w:sz w:val="24"/>
          <w:szCs w:val="24"/>
        </w:rPr>
      </w:pPr>
      <w:r w:rsidRPr="00934AB0">
        <w:rPr>
          <w:rFonts w:ascii="Times New Roman" w:hAnsi="Times New Roman"/>
          <w:sz w:val="24"/>
          <w:szCs w:val="24"/>
        </w:rPr>
        <w:t xml:space="preserve">The purpose of the </w:t>
      </w:r>
      <w:r w:rsidRPr="00934AB0">
        <w:rPr>
          <w:rFonts w:ascii="Times New Roman" w:hAnsi="Times New Roman"/>
          <w:i/>
          <w:sz w:val="24"/>
          <w:szCs w:val="24"/>
        </w:rPr>
        <w:t>Migration Amendment (Visa Application Charge Refund) Regulations 2024</w:t>
      </w:r>
      <w:r w:rsidRPr="00934AB0">
        <w:rPr>
          <w:rFonts w:ascii="Times New Roman" w:hAnsi="Times New Roman"/>
          <w:sz w:val="24"/>
          <w:szCs w:val="24"/>
        </w:rPr>
        <w:t xml:space="preserve"> (</w:t>
      </w:r>
      <w:r w:rsidR="009E3C64">
        <w:rPr>
          <w:rFonts w:ascii="Times New Roman" w:hAnsi="Times New Roman"/>
          <w:sz w:val="24"/>
          <w:szCs w:val="24"/>
        </w:rPr>
        <w:t>the</w:t>
      </w:r>
      <w:r w:rsidR="009E3C64" w:rsidRPr="00934AB0">
        <w:rPr>
          <w:rFonts w:ascii="Times New Roman" w:hAnsi="Times New Roman"/>
          <w:sz w:val="24"/>
          <w:szCs w:val="24"/>
        </w:rPr>
        <w:t xml:space="preserve"> </w:t>
      </w:r>
      <w:r w:rsidRPr="00934AB0">
        <w:rPr>
          <w:rFonts w:ascii="Times New Roman" w:hAnsi="Times New Roman"/>
          <w:sz w:val="24"/>
          <w:szCs w:val="24"/>
        </w:rPr>
        <w:t xml:space="preserve">Regulations) is to amend the </w:t>
      </w:r>
      <w:r w:rsidRPr="00934AB0">
        <w:rPr>
          <w:rFonts w:ascii="Times New Roman" w:hAnsi="Times New Roman"/>
          <w:i/>
          <w:sz w:val="24"/>
          <w:szCs w:val="24"/>
        </w:rPr>
        <w:t>Migration Regulations 1994</w:t>
      </w:r>
      <w:r w:rsidRPr="00934AB0">
        <w:rPr>
          <w:rFonts w:ascii="Times New Roman" w:hAnsi="Times New Roman"/>
          <w:sz w:val="24"/>
          <w:szCs w:val="24"/>
        </w:rPr>
        <w:t xml:space="preserve"> (the Migration Regulations) to mitigate the impact of t</w:t>
      </w:r>
      <w:r w:rsidR="00F02A81">
        <w:rPr>
          <w:rFonts w:ascii="Times New Roman" w:hAnsi="Times New Roman"/>
          <w:sz w:val="24"/>
          <w:szCs w:val="24"/>
        </w:rPr>
        <w:t xml:space="preserve">he increase to the VAC </w:t>
      </w:r>
      <w:r w:rsidR="00323E17">
        <w:rPr>
          <w:rFonts w:ascii="Times New Roman" w:hAnsi="Times New Roman"/>
          <w:sz w:val="24"/>
          <w:szCs w:val="24"/>
        </w:rPr>
        <w:t>(from 1 July 2024</w:t>
      </w:r>
      <w:r w:rsidR="006409E8">
        <w:rPr>
          <w:rFonts w:ascii="Times New Roman" w:hAnsi="Times New Roman"/>
          <w:sz w:val="24"/>
          <w:szCs w:val="24"/>
        </w:rPr>
        <w:t>)</w:t>
      </w:r>
      <w:r w:rsidR="00323E17">
        <w:rPr>
          <w:rFonts w:ascii="Times New Roman" w:hAnsi="Times New Roman"/>
          <w:sz w:val="24"/>
          <w:szCs w:val="24"/>
        </w:rPr>
        <w:t xml:space="preserve"> </w:t>
      </w:r>
      <w:r w:rsidR="00126305">
        <w:rPr>
          <w:rFonts w:ascii="Times New Roman" w:hAnsi="Times New Roman"/>
          <w:sz w:val="24"/>
          <w:szCs w:val="24"/>
        </w:rPr>
        <w:t>for</w:t>
      </w:r>
      <w:r w:rsidR="00323E17">
        <w:rPr>
          <w:rFonts w:ascii="Times New Roman" w:hAnsi="Times New Roman"/>
          <w:sz w:val="24"/>
          <w:szCs w:val="24"/>
        </w:rPr>
        <w:t xml:space="preserve"> </w:t>
      </w:r>
      <w:r w:rsidR="00FA661F">
        <w:rPr>
          <w:rFonts w:ascii="Times New Roman" w:hAnsi="Times New Roman"/>
          <w:sz w:val="24"/>
          <w:szCs w:val="24"/>
        </w:rPr>
        <w:t xml:space="preserve">Student </w:t>
      </w:r>
      <w:r w:rsidR="00FA661F" w:rsidRPr="00FA661F">
        <w:rPr>
          <w:rFonts w:ascii="Times New Roman" w:hAnsi="Times New Roman"/>
          <w:sz w:val="24"/>
          <w:szCs w:val="24"/>
        </w:rPr>
        <w:t>(</w:t>
      </w:r>
      <w:r w:rsidR="00126305">
        <w:rPr>
          <w:rFonts w:ascii="Times New Roman" w:hAnsi="Times New Roman"/>
          <w:sz w:val="24"/>
          <w:szCs w:val="24"/>
        </w:rPr>
        <w:t>Subclass 500</w:t>
      </w:r>
      <w:r w:rsidR="00FA661F" w:rsidRPr="00FA661F">
        <w:rPr>
          <w:rFonts w:ascii="Times New Roman" w:hAnsi="Times New Roman"/>
          <w:sz w:val="24"/>
          <w:szCs w:val="24"/>
        </w:rPr>
        <w:t xml:space="preserve">) visa </w:t>
      </w:r>
      <w:r w:rsidR="00126305">
        <w:rPr>
          <w:rFonts w:ascii="Times New Roman" w:hAnsi="Times New Roman"/>
          <w:sz w:val="24"/>
          <w:szCs w:val="24"/>
        </w:rPr>
        <w:t xml:space="preserve">and Student Guardian (Subclass 590) </w:t>
      </w:r>
      <w:r w:rsidR="00AB4058">
        <w:rPr>
          <w:rFonts w:ascii="Times New Roman" w:hAnsi="Times New Roman"/>
          <w:sz w:val="24"/>
          <w:szCs w:val="24"/>
        </w:rPr>
        <w:t xml:space="preserve">visa </w:t>
      </w:r>
      <w:r w:rsidRPr="00934AB0">
        <w:rPr>
          <w:rFonts w:ascii="Times New Roman" w:hAnsi="Times New Roman"/>
          <w:sz w:val="24"/>
          <w:szCs w:val="24"/>
        </w:rPr>
        <w:t xml:space="preserve">applicants from the Pacific and Timor-Leste. </w:t>
      </w:r>
    </w:p>
    <w:p w14:paraId="066C059A" w14:textId="77777777" w:rsidR="00F02A81" w:rsidRPr="00934AB0" w:rsidRDefault="00F02A81" w:rsidP="00F02A81">
      <w:pPr>
        <w:spacing w:after="0" w:line="240" w:lineRule="auto"/>
        <w:rPr>
          <w:rFonts w:ascii="Times New Roman" w:hAnsi="Times New Roman"/>
          <w:sz w:val="24"/>
          <w:szCs w:val="24"/>
        </w:rPr>
      </w:pPr>
    </w:p>
    <w:p w14:paraId="71667C45" w14:textId="55A479C7" w:rsidR="00934AB0" w:rsidRDefault="00126305" w:rsidP="00F02A81">
      <w:pPr>
        <w:spacing w:after="0" w:line="240" w:lineRule="auto"/>
        <w:rPr>
          <w:rFonts w:ascii="Times New Roman" w:hAnsi="Times New Roman"/>
          <w:sz w:val="24"/>
          <w:szCs w:val="24"/>
        </w:rPr>
      </w:pPr>
      <w:r>
        <w:rPr>
          <w:rFonts w:ascii="Times New Roman" w:hAnsi="Times New Roman"/>
          <w:sz w:val="24"/>
          <w:szCs w:val="24"/>
        </w:rPr>
        <w:t>To ensure the VAC increase does not pose a barrier for these applicants, t</w:t>
      </w:r>
      <w:r w:rsidR="009E3C64">
        <w:rPr>
          <w:rFonts w:ascii="Times New Roman" w:hAnsi="Times New Roman"/>
          <w:sz w:val="24"/>
          <w:szCs w:val="24"/>
        </w:rPr>
        <w:t xml:space="preserve">he </w:t>
      </w:r>
      <w:r w:rsidR="009E3C64" w:rsidRPr="009E3C64">
        <w:rPr>
          <w:rFonts w:ascii="Times New Roman" w:hAnsi="Times New Roman"/>
          <w:sz w:val="24"/>
          <w:szCs w:val="24"/>
        </w:rPr>
        <w:t xml:space="preserve">Regulations provide for a partial </w:t>
      </w:r>
      <w:r w:rsidR="00FA661F">
        <w:rPr>
          <w:rFonts w:ascii="Times New Roman" w:hAnsi="Times New Roman"/>
          <w:sz w:val="24"/>
          <w:szCs w:val="24"/>
        </w:rPr>
        <w:t xml:space="preserve">VAC </w:t>
      </w:r>
      <w:r w:rsidR="009E3C64" w:rsidRPr="009E3C64">
        <w:rPr>
          <w:rFonts w:ascii="Times New Roman" w:hAnsi="Times New Roman"/>
          <w:sz w:val="24"/>
          <w:szCs w:val="24"/>
        </w:rPr>
        <w:t xml:space="preserve">refund for </w:t>
      </w:r>
      <w:r w:rsidR="00FA661F">
        <w:rPr>
          <w:rFonts w:ascii="Times New Roman" w:hAnsi="Times New Roman"/>
          <w:sz w:val="24"/>
          <w:szCs w:val="24"/>
        </w:rPr>
        <w:t>Student</w:t>
      </w:r>
      <w:r w:rsidR="009E3C64" w:rsidRPr="009E3C64">
        <w:rPr>
          <w:rFonts w:ascii="Times New Roman" w:hAnsi="Times New Roman"/>
          <w:sz w:val="24"/>
          <w:szCs w:val="24"/>
        </w:rPr>
        <w:t xml:space="preserve"> </w:t>
      </w:r>
      <w:r>
        <w:rPr>
          <w:rFonts w:ascii="Times New Roman" w:hAnsi="Times New Roman"/>
          <w:sz w:val="24"/>
          <w:szCs w:val="24"/>
        </w:rPr>
        <w:t xml:space="preserve">and Student Guardian </w:t>
      </w:r>
      <w:r w:rsidR="00934AB0" w:rsidRPr="00934AB0">
        <w:rPr>
          <w:rFonts w:ascii="Times New Roman" w:hAnsi="Times New Roman"/>
          <w:sz w:val="24"/>
          <w:szCs w:val="24"/>
        </w:rPr>
        <w:t>visa applic</w:t>
      </w:r>
      <w:r w:rsidR="003B02DA">
        <w:rPr>
          <w:rFonts w:ascii="Times New Roman" w:hAnsi="Times New Roman"/>
          <w:sz w:val="24"/>
          <w:szCs w:val="24"/>
        </w:rPr>
        <w:t>ants from the Pacific and Timor</w:t>
      </w:r>
      <w:r w:rsidR="003B02DA">
        <w:rPr>
          <w:rFonts w:ascii="Times New Roman" w:hAnsi="Times New Roman"/>
          <w:sz w:val="24"/>
          <w:szCs w:val="24"/>
        </w:rPr>
        <w:noBreakHyphen/>
      </w:r>
      <w:r w:rsidR="00934AB0" w:rsidRPr="00934AB0">
        <w:rPr>
          <w:rFonts w:ascii="Times New Roman" w:hAnsi="Times New Roman"/>
          <w:sz w:val="24"/>
          <w:szCs w:val="24"/>
        </w:rPr>
        <w:t xml:space="preserve">Leste, for the difference between the VAC </w:t>
      </w:r>
      <w:r w:rsidR="00FA661F">
        <w:rPr>
          <w:rFonts w:ascii="Times New Roman" w:hAnsi="Times New Roman"/>
          <w:sz w:val="24"/>
          <w:szCs w:val="24"/>
        </w:rPr>
        <w:t xml:space="preserve">payable </w:t>
      </w:r>
      <w:r w:rsidR="00934AB0" w:rsidRPr="00934AB0">
        <w:rPr>
          <w:rFonts w:ascii="Times New Roman" w:hAnsi="Times New Roman"/>
          <w:sz w:val="24"/>
          <w:szCs w:val="24"/>
        </w:rPr>
        <w:t xml:space="preserve">as at 30 June 2024 ($710 for the base application charge) and the VAC </w:t>
      </w:r>
      <w:r>
        <w:rPr>
          <w:rFonts w:ascii="Times New Roman" w:hAnsi="Times New Roman"/>
          <w:sz w:val="24"/>
          <w:szCs w:val="24"/>
        </w:rPr>
        <w:t xml:space="preserve">which came into effect </w:t>
      </w:r>
      <w:r w:rsidR="00FA661F">
        <w:rPr>
          <w:rFonts w:ascii="Times New Roman" w:hAnsi="Times New Roman"/>
          <w:sz w:val="24"/>
          <w:szCs w:val="24"/>
        </w:rPr>
        <w:t xml:space="preserve">on </w:t>
      </w:r>
      <w:r w:rsidR="00934AB0" w:rsidRPr="00934AB0">
        <w:rPr>
          <w:rFonts w:ascii="Times New Roman" w:hAnsi="Times New Roman"/>
          <w:sz w:val="24"/>
          <w:szCs w:val="24"/>
        </w:rPr>
        <w:t>1 July 2024 ($1,600 for the base application charge).</w:t>
      </w:r>
    </w:p>
    <w:p w14:paraId="694898CA" w14:textId="77777777" w:rsidR="00F02A81" w:rsidRPr="00934AB0" w:rsidRDefault="00F02A81" w:rsidP="00F02A81">
      <w:pPr>
        <w:spacing w:after="0" w:line="240" w:lineRule="auto"/>
        <w:rPr>
          <w:rFonts w:ascii="Times New Roman" w:hAnsi="Times New Roman"/>
          <w:sz w:val="24"/>
          <w:szCs w:val="24"/>
        </w:rPr>
      </w:pPr>
    </w:p>
    <w:p w14:paraId="03BA521D" w14:textId="5DBFD87E" w:rsidR="00934AB0" w:rsidRDefault="00934AB0" w:rsidP="00F02A81">
      <w:pPr>
        <w:spacing w:after="0" w:line="240" w:lineRule="auto"/>
        <w:rPr>
          <w:rFonts w:ascii="Times New Roman" w:hAnsi="Times New Roman"/>
          <w:sz w:val="24"/>
          <w:szCs w:val="24"/>
        </w:rPr>
      </w:pPr>
      <w:r w:rsidRPr="00934AB0">
        <w:rPr>
          <w:rFonts w:ascii="Times New Roman" w:hAnsi="Times New Roman"/>
          <w:sz w:val="24"/>
          <w:szCs w:val="24"/>
        </w:rPr>
        <w:t xml:space="preserve">The partial refund is available in relation to all applicants for a </w:t>
      </w:r>
      <w:r w:rsidR="009E3C64">
        <w:rPr>
          <w:rFonts w:ascii="Times New Roman" w:hAnsi="Times New Roman"/>
          <w:sz w:val="24"/>
          <w:szCs w:val="24"/>
        </w:rPr>
        <w:t>Student (Temporary) (Class TU)</w:t>
      </w:r>
      <w:r w:rsidRPr="00934AB0">
        <w:rPr>
          <w:rFonts w:ascii="Times New Roman" w:hAnsi="Times New Roman"/>
          <w:sz w:val="24"/>
          <w:szCs w:val="24"/>
        </w:rPr>
        <w:t xml:space="preserve"> visa, including both Subclass 500 and Subclass 590, where the primary applicant is the holder of a valid passport issued by one of the following countries: </w:t>
      </w:r>
    </w:p>
    <w:p w14:paraId="1DECDD82" w14:textId="77777777" w:rsidR="00934AB0" w:rsidRPr="00934AB0" w:rsidRDefault="00934AB0" w:rsidP="00FA661F">
      <w:pPr>
        <w:pStyle w:val="EStext-bullet"/>
      </w:pPr>
      <w:r w:rsidRPr="00934AB0">
        <w:t>Federated States of Micronesia</w:t>
      </w:r>
    </w:p>
    <w:p w14:paraId="22FA75D5" w14:textId="77777777" w:rsidR="00934AB0" w:rsidRPr="00934AB0" w:rsidRDefault="00934AB0" w:rsidP="00FA661F">
      <w:pPr>
        <w:pStyle w:val="EStext-bullet"/>
      </w:pPr>
      <w:r w:rsidRPr="00934AB0">
        <w:t>Fiji</w:t>
      </w:r>
    </w:p>
    <w:p w14:paraId="7D87294B" w14:textId="77777777" w:rsidR="00934AB0" w:rsidRPr="00934AB0" w:rsidRDefault="00934AB0" w:rsidP="00FA661F">
      <w:pPr>
        <w:pStyle w:val="EStext-bullet"/>
      </w:pPr>
      <w:r w:rsidRPr="00934AB0">
        <w:t>Kiribati</w:t>
      </w:r>
    </w:p>
    <w:p w14:paraId="454815EF" w14:textId="77777777" w:rsidR="00934AB0" w:rsidRPr="00934AB0" w:rsidRDefault="00934AB0" w:rsidP="00FA661F">
      <w:pPr>
        <w:pStyle w:val="EStext-bullet"/>
      </w:pPr>
      <w:r w:rsidRPr="00934AB0">
        <w:t>Nauru</w:t>
      </w:r>
    </w:p>
    <w:p w14:paraId="797E5D0B" w14:textId="77777777" w:rsidR="00934AB0" w:rsidRPr="00934AB0" w:rsidRDefault="00934AB0" w:rsidP="00FA661F">
      <w:pPr>
        <w:pStyle w:val="EStext-bullet"/>
      </w:pPr>
      <w:r w:rsidRPr="00934AB0">
        <w:t>Palau</w:t>
      </w:r>
    </w:p>
    <w:p w14:paraId="7FC46C6C" w14:textId="77777777" w:rsidR="00934AB0" w:rsidRPr="00934AB0" w:rsidRDefault="00934AB0" w:rsidP="00FA661F">
      <w:pPr>
        <w:pStyle w:val="EStext-bullet"/>
      </w:pPr>
      <w:r w:rsidRPr="00934AB0">
        <w:t>Papua New Guinea</w:t>
      </w:r>
    </w:p>
    <w:p w14:paraId="2D806E23" w14:textId="77777777" w:rsidR="00934AB0" w:rsidRPr="00934AB0" w:rsidRDefault="00934AB0" w:rsidP="00FA661F">
      <w:pPr>
        <w:pStyle w:val="EStext-bullet"/>
      </w:pPr>
      <w:r w:rsidRPr="00934AB0">
        <w:t>Republic of the Marshall Islands</w:t>
      </w:r>
    </w:p>
    <w:p w14:paraId="330DF4C8" w14:textId="77777777" w:rsidR="00934AB0" w:rsidRPr="00934AB0" w:rsidRDefault="00934AB0" w:rsidP="00FA661F">
      <w:pPr>
        <w:pStyle w:val="EStext-bullet"/>
      </w:pPr>
      <w:r w:rsidRPr="00934AB0">
        <w:t>Samoa</w:t>
      </w:r>
    </w:p>
    <w:p w14:paraId="39745BBF" w14:textId="77777777" w:rsidR="00934AB0" w:rsidRPr="00934AB0" w:rsidRDefault="00934AB0" w:rsidP="00FA661F">
      <w:pPr>
        <w:pStyle w:val="EStext-bullet"/>
      </w:pPr>
      <w:r w:rsidRPr="00934AB0">
        <w:t>Solomon Islands</w:t>
      </w:r>
    </w:p>
    <w:p w14:paraId="3FF085FA" w14:textId="3DD6150B" w:rsidR="00934AB0" w:rsidRPr="00934AB0" w:rsidRDefault="00934AB0" w:rsidP="00FA661F">
      <w:pPr>
        <w:pStyle w:val="EStext-bullet"/>
      </w:pPr>
      <w:r w:rsidRPr="00934AB0">
        <w:t>Timor</w:t>
      </w:r>
      <w:r w:rsidRPr="00934AB0">
        <w:noBreakHyphen/>
        <w:t>Leste</w:t>
      </w:r>
    </w:p>
    <w:p w14:paraId="0950AEA0" w14:textId="77777777" w:rsidR="00934AB0" w:rsidRPr="00934AB0" w:rsidRDefault="00934AB0" w:rsidP="00FA661F">
      <w:pPr>
        <w:pStyle w:val="EStext-bullet"/>
      </w:pPr>
      <w:r w:rsidRPr="00934AB0">
        <w:t>Tonga</w:t>
      </w:r>
    </w:p>
    <w:p w14:paraId="7747EBB1" w14:textId="77777777" w:rsidR="00934AB0" w:rsidRPr="00934AB0" w:rsidRDefault="00934AB0" w:rsidP="00FA661F">
      <w:pPr>
        <w:pStyle w:val="EStext-bullet"/>
      </w:pPr>
      <w:r w:rsidRPr="00934AB0">
        <w:t>Tuvalu</w:t>
      </w:r>
    </w:p>
    <w:p w14:paraId="1D29CEA7" w14:textId="77777777" w:rsidR="00934AB0" w:rsidRPr="00934AB0" w:rsidRDefault="00934AB0" w:rsidP="00FA661F">
      <w:pPr>
        <w:pStyle w:val="EStext-bullet"/>
      </w:pPr>
      <w:r w:rsidRPr="00934AB0">
        <w:t>Vanuatu</w:t>
      </w:r>
    </w:p>
    <w:p w14:paraId="088A9340" w14:textId="3E2E3AA8" w:rsidR="00934AB0" w:rsidRPr="00934AB0" w:rsidRDefault="00934AB0" w:rsidP="00F02A81">
      <w:pPr>
        <w:spacing w:after="0" w:line="240" w:lineRule="auto"/>
        <w:rPr>
          <w:rFonts w:ascii="Times New Roman" w:hAnsi="Times New Roman"/>
          <w:sz w:val="24"/>
          <w:szCs w:val="24"/>
        </w:rPr>
      </w:pPr>
    </w:p>
    <w:p w14:paraId="473FC50F" w14:textId="77777777" w:rsidR="00934AB0" w:rsidRPr="00934AB0" w:rsidRDefault="00934AB0" w:rsidP="00F02A81">
      <w:pPr>
        <w:pStyle w:val="Heading3"/>
        <w:spacing w:before="0" w:after="0"/>
      </w:pPr>
      <w:r w:rsidRPr="00934AB0">
        <w:t>Human rights implications</w:t>
      </w:r>
    </w:p>
    <w:p w14:paraId="3C8DA770" w14:textId="77777777" w:rsidR="00F02A81" w:rsidRDefault="00F02A81" w:rsidP="00F02A81">
      <w:pPr>
        <w:spacing w:after="0" w:line="240" w:lineRule="auto"/>
        <w:ind w:right="91"/>
        <w:contextualSpacing/>
        <w:rPr>
          <w:rFonts w:ascii="Times New Roman" w:hAnsi="Times New Roman"/>
          <w:sz w:val="24"/>
          <w:szCs w:val="24"/>
        </w:rPr>
      </w:pPr>
    </w:p>
    <w:p w14:paraId="74779CE0" w14:textId="1251FECF" w:rsidR="00934AB0" w:rsidRPr="00934AB0" w:rsidRDefault="00934AB0" w:rsidP="00F02A81">
      <w:pPr>
        <w:spacing w:after="0" w:line="240" w:lineRule="auto"/>
        <w:ind w:right="91"/>
        <w:contextualSpacing/>
        <w:rPr>
          <w:rFonts w:ascii="Times New Roman" w:hAnsi="Times New Roman" w:cs="Times New Roman"/>
          <w:sz w:val="24"/>
          <w:szCs w:val="24"/>
        </w:rPr>
      </w:pPr>
      <w:r w:rsidRPr="00934AB0">
        <w:rPr>
          <w:rFonts w:ascii="Times New Roman" w:hAnsi="Times New Roman"/>
          <w:sz w:val="24"/>
          <w:szCs w:val="24"/>
        </w:rPr>
        <w:t>This Disallowable Legislative Instrument may engage the</w:t>
      </w:r>
      <w:r w:rsidR="00AB4058">
        <w:rPr>
          <w:rFonts w:ascii="Times New Roman" w:hAnsi="Times New Roman"/>
          <w:sz w:val="24"/>
          <w:szCs w:val="24"/>
        </w:rPr>
        <w:t xml:space="preserve"> following</w:t>
      </w:r>
      <w:r w:rsidRPr="00934AB0">
        <w:rPr>
          <w:rFonts w:ascii="Times New Roman" w:hAnsi="Times New Roman"/>
          <w:sz w:val="24"/>
          <w:szCs w:val="24"/>
        </w:rPr>
        <w:t xml:space="preserve"> </w:t>
      </w:r>
      <w:r w:rsidRPr="00934AB0">
        <w:rPr>
          <w:rFonts w:ascii="Times New Roman" w:hAnsi="Times New Roman" w:cs="Times New Roman"/>
          <w:sz w:val="24"/>
          <w:szCs w:val="24"/>
        </w:rPr>
        <w:t xml:space="preserve">rights: </w:t>
      </w:r>
    </w:p>
    <w:p w14:paraId="7A741A41" w14:textId="1BA30301" w:rsidR="00F02A81" w:rsidRPr="00F02A81" w:rsidRDefault="00F02A81" w:rsidP="00F02A81">
      <w:pPr>
        <w:pStyle w:val="ListParagraph"/>
        <w:tabs>
          <w:tab w:val="left" w:pos="426"/>
        </w:tabs>
        <w:spacing w:after="0" w:line="240" w:lineRule="auto"/>
        <w:ind w:right="91"/>
        <w:rPr>
          <w:rFonts w:ascii="Times New Roman" w:hAnsi="Times New Roman"/>
          <w:sz w:val="24"/>
        </w:rPr>
      </w:pPr>
    </w:p>
    <w:p w14:paraId="2BCA21B5" w14:textId="13E605AB" w:rsidR="00934AB0" w:rsidRPr="00934AB0" w:rsidRDefault="00934AB0" w:rsidP="00FA661F">
      <w:pPr>
        <w:pStyle w:val="EStext-bullet"/>
      </w:pPr>
      <w:r w:rsidRPr="00AF066A">
        <w:t>The</w:t>
      </w:r>
      <w:r w:rsidRPr="00934AB0">
        <w:t xml:space="preserve"> right to education in Article 13(1) of the </w:t>
      </w:r>
      <w:r w:rsidRPr="00934AB0">
        <w:rPr>
          <w:i/>
        </w:rPr>
        <w:t>International Covenant on Economic, Social and Cultural Rights</w:t>
      </w:r>
      <w:r w:rsidRPr="00934AB0">
        <w:t xml:space="preserve"> (ICESCR), read with Article 2(2) of the ICESCR </w:t>
      </w:r>
    </w:p>
    <w:p w14:paraId="047BD8A0" w14:textId="231F25B7" w:rsidR="00934AB0" w:rsidRPr="00934AB0" w:rsidRDefault="00934AB0" w:rsidP="00FA661F">
      <w:pPr>
        <w:pStyle w:val="EStext-bullet"/>
      </w:pPr>
      <w:r w:rsidRPr="00934AB0">
        <w:t xml:space="preserve">The right to non-discrimination in Article 26 of the </w:t>
      </w:r>
      <w:r w:rsidRPr="00934AB0">
        <w:rPr>
          <w:i/>
        </w:rPr>
        <w:t xml:space="preserve">International Covenant on Civil and Political Rights </w:t>
      </w:r>
      <w:r w:rsidRPr="00934AB0">
        <w:t>(ICCPR)</w:t>
      </w:r>
    </w:p>
    <w:p w14:paraId="1E322AA0" w14:textId="77777777" w:rsidR="00934AB0" w:rsidRPr="00934AB0" w:rsidRDefault="00934AB0" w:rsidP="00F02A81">
      <w:pPr>
        <w:spacing w:after="0" w:line="240" w:lineRule="auto"/>
        <w:ind w:right="91"/>
        <w:contextualSpacing/>
        <w:rPr>
          <w:rFonts w:ascii="Times New Roman" w:hAnsi="Times New Roman" w:cs="Times New Roman"/>
          <w:sz w:val="24"/>
          <w:szCs w:val="24"/>
        </w:rPr>
      </w:pPr>
    </w:p>
    <w:p w14:paraId="0599EDF5" w14:textId="241F9BD0" w:rsidR="00934AB0" w:rsidRPr="00934AB0" w:rsidRDefault="00934AB0" w:rsidP="00F02A81">
      <w:pPr>
        <w:spacing w:after="0" w:line="240" w:lineRule="auto"/>
        <w:ind w:right="91"/>
        <w:contextualSpacing/>
        <w:rPr>
          <w:rFonts w:ascii="Times New Roman" w:hAnsi="Times New Roman" w:cs="Times New Roman"/>
          <w:sz w:val="24"/>
          <w:szCs w:val="24"/>
        </w:rPr>
      </w:pPr>
      <w:r w:rsidRPr="00934AB0">
        <w:rPr>
          <w:rFonts w:ascii="Times New Roman" w:hAnsi="Times New Roman" w:cs="Times New Roman"/>
          <w:sz w:val="24"/>
          <w:szCs w:val="24"/>
        </w:rPr>
        <w:t xml:space="preserve">Articles 2(2) and 13(1) of the ICESCR and Article 26 of the ICCPR may be engaged by establishing a partial refund of the </w:t>
      </w:r>
      <w:r w:rsidR="00C80675">
        <w:rPr>
          <w:rFonts w:ascii="Times New Roman" w:hAnsi="Times New Roman" w:cs="Times New Roman"/>
          <w:sz w:val="24"/>
          <w:szCs w:val="24"/>
        </w:rPr>
        <w:t>S</w:t>
      </w:r>
      <w:r w:rsidRPr="00934AB0">
        <w:rPr>
          <w:rFonts w:ascii="Times New Roman" w:hAnsi="Times New Roman" w:cs="Times New Roman"/>
          <w:sz w:val="24"/>
          <w:szCs w:val="24"/>
        </w:rPr>
        <w:t xml:space="preserve">tudent visa VAC for applicants from specific countries, at the exclusion of other applicants who will not be eligible for a refund. </w:t>
      </w:r>
    </w:p>
    <w:p w14:paraId="7D4A7B75" w14:textId="77777777" w:rsidR="00934AB0" w:rsidRPr="00934AB0" w:rsidRDefault="00934AB0" w:rsidP="00F02A81">
      <w:pPr>
        <w:spacing w:after="0" w:line="240" w:lineRule="auto"/>
        <w:ind w:right="91"/>
        <w:contextualSpacing/>
        <w:rPr>
          <w:rFonts w:ascii="Times New Roman" w:hAnsi="Times New Roman" w:cs="Times New Roman"/>
          <w:sz w:val="24"/>
          <w:szCs w:val="24"/>
        </w:rPr>
      </w:pPr>
    </w:p>
    <w:p w14:paraId="2D6F4532" w14:textId="33C2DC02" w:rsidR="00934AB0" w:rsidRDefault="00934AB0" w:rsidP="00F02A81">
      <w:pPr>
        <w:spacing w:after="0" w:line="240" w:lineRule="auto"/>
        <w:ind w:right="91"/>
        <w:contextualSpacing/>
        <w:rPr>
          <w:rFonts w:ascii="Times New Roman" w:hAnsi="Times New Roman" w:cs="Times New Roman"/>
          <w:sz w:val="24"/>
          <w:szCs w:val="24"/>
        </w:rPr>
      </w:pPr>
      <w:r w:rsidRPr="00934AB0">
        <w:rPr>
          <w:rFonts w:ascii="Times New Roman" w:hAnsi="Times New Roman" w:cs="Times New Roman"/>
          <w:sz w:val="24"/>
          <w:szCs w:val="24"/>
        </w:rPr>
        <w:t>Article 2(2) of ICESCR states:</w:t>
      </w:r>
    </w:p>
    <w:p w14:paraId="557F0B39" w14:textId="77777777" w:rsidR="00135BD6" w:rsidRPr="00934AB0" w:rsidRDefault="00135BD6" w:rsidP="00F02A81">
      <w:pPr>
        <w:spacing w:after="0" w:line="240" w:lineRule="auto"/>
        <w:ind w:right="91"/>
        <w:contextualSpacing/>
        <w:rPr>
          <w:rFonts w:ascii="Times New Roman" w:hAnsi="Times New Roman" w:cs="Times New Roman"/>
          <w:sz w:val="24"/>
          <w:szCs w:val="24"/>
        </w:rPr>
      </w:pPr>
    </w:p>
    <w:p w14:paraId="20BE5539" w14:textId="77777777" w:rsidR="00934AB0" w:rsidRPr="00934AB0" w:rsidRDefault="00934AB0" w:rsidP="00F02A81">
      <w:pPr>
        <w:spacing w:after="0" w:line="240" w:lineRule="auto"/>
        <w:ind w:left="720" w:right="91"/>
        <w:contextualSpacing/>
        <w:rPr>
          <w:rFonts w:ascii="Times New Roman" w:hAnsi="Times New Roman" w:cs="Times New Roman"/>
          <w:i/>
          <w:sz w:val="24"/>
          <w:szCs w:val="24"/>
        </w:rPr>
      </w:pPr>
      <w:r w:rsidRPr="00934AB0">
        <w:rPr>
          <w:rFonts w:ascii="Times New Roman" w:hAnsi="Times New Roman" w:cs="Times New Roman"/>
          <w:i/>
          <w:sz w:val="24"/>
          <w:szCs w:val="24"/>
        </w:rPr>
        <w:t xml:space="preserve">The States Parties to the present Covenant undertake to guarantee that the rights enunciated in the present Covenant will be exercised without discrimination of any kind as to race, </w:t>
      </w:r>
      <w:proofErr w:type="spellStart"/>
      <w:r w:rsidRPr="00934AB0">
        <w:rPr>
          <w:rFonts w:ascii="Times New Roman" w:hAnsi="Times New Roman" w:cs="Times New Roman"/>
          <w:i/>
          <w:sz w:val="24"/>
          <w:szCs w:val="24"/>
        </w:rPr>
        <w:t>colour</w:t>
      </w:r>
      <w:proofErr w:type="spellEnd"/>
      <w:r w:rsidRPr="00934AB0">
        <w:rPr>
          <w:rFonts w:ascii="Times New Roman" w:hAnsi="Times New Roman" w:cs="Times New Roman"/>
          <w:i/>
          <w:sz w:val="24"/>
          <w:szCs w:val="24"/>
        </w:rPr>
        <w:t>, sex, language, religion, political or other opinion, national or social origin, property, birth or other status.</w:t>
      </w:r>
    </w:p>
    <w:p w14:paraId="40D83F2D" w14:textId="77777777" w:rsidR="00934AB0" w:rsidRPr="00934AB0" w:rsidRDefault="00934AB0" w:rsidP="00F02A81">
      <w:pPr>
        <w:spacing w:after="0" w:line="240" w:lineRule="auto"/>
        <w:ind w:right="91"/>
        <w:contextualSpacing/>
        <w:rPr>
          <w:rFonts w:ascii="Times New Roman" w:hAnsi="Times New Roman" w:cs="Times New Roman"/>
          <w:i/>
          <w:sz w:val="24"/>
          <w:szCs w:val="24"/>
        </w:rPr>
      </w:pPr>
    </w:p>
    <w:p w14:paraId="42FC8886" w14:textId="77777777" w:rsidR="00934AB0" w:rsidRPr="00934AB0" w:rsidRDefault="00934AB0" w:rsidP="00F02A81">
      <w:pPr>
        <w:spacing w:after="0" w:line="240" w:lineRule="auto"/>
        <w:ind w:right="91"/>
        <w:contextualSpacing/>
        <w:rPr>
          <w:rFonts w:ascii="Times New Roman" w:hAnsi="Times New Roman" w:cs="Times New Roman"/>
          <w:sz w:val="24"/>
          <w:szCs w:val="24"/>
        </w:rPr>
      </w:pPr>
      <w:r w:rsidRPr="00934AB0">
        <w:rPr>
          <w:rFonts w:ascii="Times New Roman" w:hAnsi="Times New Roman" w:cs="Times New Roman"/>
          <w:sz w:val="24"/>
          <w:szCs w:val="24"/>
        </w:rPr>
        <w:t>Article 26 of the ICCPR states:</w:t>
      </w:r>
    </w:p>
    <w:p w14:paraId="6D0E5B16" w14:textId="77777777" w:rsidR="00934AB0" w:rsidRPr="00934AB0" w:rsidRDefault="00934AB0" w:rsidP="00F02A81">
      <w:pPr>
        <w:spacing w:after="0" w:line="240" w:lineRule="auto"/>
        <w:ind w:right="91"/>
        <w:contextualSpacing/>
        <w:rPr>
          <w:rFonts w:ascii="Times New Roman" w:hAnsi="Times New Roman" w:cs="Times New Roman"/>
          <w:i/>
          <w:sz w:val="24"/>
          <w:szCs w:val="24"/>
        </w:rPr>
      </w:pPr>
    </w:p>
    <w:p w14:paraId="5AC95619" w14:textId="77777777" w:rsidR="00934AB0" w:rsidRPr="00934AB0" w:rsidRDefault="00934AB0" w:rsidP="00F02A81">
      <w:pPr>
        <w:spacing w:after="0" w:line="240" w:lineRule="auto"/>
        <w:ind w:left="720" w:right="91"/>
        <w:contextualSpacing/>
        <w:rPr>
          <w:rFonts w:ascii="Times New Roman" w:hAnsi="Times New Roman" w:cs="Times New Roman"/>
          <w:i/>
          <w:sz w:val="24"/>
          <w:szCs w:val="24"/>
        </w:rPr>
      </w:pPr>
      <w:r w:rsidRPr="00934AB0">
        <w:rPr>
          <w:rFonts w:ascii="Times New Roman" w:hAnsi="Times New Roman" w:cs="Times New Roman"/>
          <w:i/>
          <w:sz w:val="24"/>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w:t>
      </w:r>
      <w:proofErr w:type="spellStart"/>
      <w:r w:rsidRPr="00934AB0">
        <w:rPr>
          <w:rFonts w:ascii="Times New Roman" w:hAnsi="Times New Roman" w:cs="Times New Roman"/>
          <w:i/>
          <w:sz w:val="24"/>
          <w:szCs w:val="24"/>
        </w:rPr>
        <w:t>colour</w:t>
      </w:r>
      <w:proofErr w:type="spellEnd"/>
      <w:r w:rsidRPr="00934AB0">
        <w:rPr>
          <w:rFonts w:ascii="Times New Roman" w:hAnsi="Times New Roman" w:cs="Times New Roman"/>
          <w:i/>
          <w:sz w:val="24"/>
          <w:szCs w:val="24"/>
        </w:rPr>
        <w:t>, sex, language, religion, political or other opinion, national or social origin, property, birth or other status.</w:t>
      </w:r>
    </w:p>
    <w:p w14:paraId="78F8E7B4" w14:textId="77777777" w:rsidR="00934AB0" w:rsidRPr="00934AB0" w:rsidRDefault="00934AB0" w:rsidP="00F02A81">
      <w:pPr>
        <w:spacing w:after="0" w:line="240" w:lineRule="auto"/>
        <w:ind w:right="91"/>
        <w:contextualSpacing/>
        <w:rPr>
          <w:rFonts w:ascii="Times New Roman" w:hAnsi="Times New Roman" w:cs="Times New Roman"/>
          <w:sz w:val="24"/>
          <w:szCs w:val="24"/>
        </w:rPr>
      </w:pPr>
    </w:p>
    <w:p w14:paraId="7FDDD06F" w14:textId="7D112604" w:rsidR="00934AB0" w:rsidRDefault="00934AB0" w:rsidP="00F02A81">
      <w:pPr>
        <w:spacing w:after="0" w:line="240" w:lineRule="auto"/>
        <w:ind w:right="91"/>
        <w:contextualSpacing/>
        <w:rPr>
          <w:rFonts w:ascii="Times New Roman" w:hAnsi="Times New Roman" w:cs="Times New Roman"/>
          <w:sz w:val="24"/>
          <w:szCs w:val="24"/>
        </w:rPr>
      </w:pPr>
      <w:r w:rsidRPr="00934AB0">
        <w:rPr>
          <w:rFonts w:ascii="Times New Roman" w:hAnsi="Times New Roman" w:cs="Times New Roman"/>
          <w:sz w:val="24"/>
          <w:szCs w:val="24"/>
        </w:rPr>
        <w:t>Article 13(1) of the ICESCR relevantly states:</w:t>
      </w:r>
    </w:p>
    <w:p w14:paraId="15EC5BF8" w14:textId="77777777" w:rsidR="00135BD6" w:rsidRPr="00934AB0" w:rsidRDefault="00135BD6" w:rsidP="00F02A81">
      <w:pPr>
        <w:spacing w:after="0" w:line="240" w:lineRule="auto"/>
        <w:ind w:right="91"/>
        <w:contextualSpacing/>
        <w:rPr>
          <w:rFonts w:ascii="Times New Roman" w:hAnsi="Times New Roman" w:cs="Times New Roman"/>
          <w:sz w:val="24"/>
          <w:szCs w:val="24"/>
        </w:rPr>
      </w:pPr>
    </w:p>
    <w:p w14:paraId="7B922FD3" w14:textId="77777777" w:rsidR="00934AB0" w:rsidRPr="00135BD6" w:rsidRDefault="00934AB0" w:rsidP="00135BD6">
      <w:pPr>
        <w:spacing w:after="0" w:line="240" w:lineRule="auto"/>
        <w:ind w:left="720" w:right="91"/>
        <w:contextualSpacing/>
        <w:rPr>
          <w:rFonts w:ascii="Times New Roman" w:hAnsi="Times New Roman" w:cs="Times New Roman"/>
          <w:i/>
          <w:sz w:val="24"/>
          <w:szCs w:val="24"/>
        </w:rPr>
      </w:pPr>
      <w:r w:rsidRPr="00135BD6">
        <w:rPr>
          <w:rFonts w:ascii="Times New Roman" w:hAnsi="Times New Roman" w:cs="Times New Roman"/>
          <w:i/>
          <w:sz w:val="24"/>
          <w:szCs w:val="24"/>
        </w:rPr>
        <w:t xml:space="preserve">The States Parties to the present Covenant recognize the right of everyone to education. </w:t>
      </w:r>
    </w:p>
    <w:p w14:paraId="3241BB72" w14:textId="77777777" w:rsidR="00934AB0" w:rsidRPr="00934AB0" w:rsidRDefault="00934AB0" w:rsidP="00F02A81">
      <w:pPr>
        <w:spacing w:after="0" w:line="240" w:lineRule="auto"/>
        <w:ind w:right="91"/>
        <w:contextualSpacing/>
        <w:rPr>
          <w:rFonts w:ascii="Times New Roman" w:hAnsi="Times New Roman" w:cs="Times New Roman"/>
          <w:sz w:val="24"/>
          <w:szCs w:val="24"/>
        </w:rPr>
      </w:pPr>
    </w:p>
    <w:p w14:paraId="1EC0DFC1" w14:textId="59914126" w:rsidR="00934AB0" w:rsidRDefault="00934AB0" w:rsidP="00FA661F">
      <w:pPr>
        <w:keepNext/>
        <w:shd w:val="clear" w:color="auto" w:fill="FFFFFF"/>
        <w:spacing w:after="0" w:line="240" w:lineRule="auto"/>
        <w:rPr>
          <w:rFonts w:ascii="Times New Roman" w:hAnsi="Times New Roman" w:cs="Times New Roman"/>
          <w:sz w:val="24"/>
          <w:szCs w:val="24"/>
        </w:rPr>
      </w:pPr>
      <w:r w:rsidRPr="00934AB0">
        <w:rPr>
          <w:rFonts w:ascii="Times New Roman" w:hAnsi="Times New Roman" w:cs="Times New Roman"/>
          <w:sz w:val="24"/>
          <w:szCs w:val="24"/>
        </w:rPr>
        <w:t>In its General Comment on Article 2 of the ICESCR, the United Nations Committee on Economic Social and Cultural Rights has stated that:</w:t>
      </w:r>
    </w:p>
    <w:p w14:paraId="347D2666" w14:textId="77777777" w:rsidR="00FA661F" w:rsidRPr="00934AB0" w:rsidRDefault="00FA661F" w:rsidP="00FA661F">
      <w:pPr>
        <w:keepNext/>
        <w:shd w:val="clear" w:color="auto" w:fill="FFFFFF"/>
        <w:spacing w:after="0" w:line="240" w:lineRule="auto"/>
        <w:rPr>
          <w:rFonts w:ascii="Times New Roman" w:hAnsi="Times New Roman" w:cs="Times New Roman"/>
          <w:sz w:val="24"/>
          <w:szCs w:val="24"/>
        </w:rPr>
      </w:pPr>
    </w:p>
    <w:p w14:paraId="6854B2B2" w14:textId="77777777" w:rsidR="00934AB0" w:rsidRPr="00934AB0" w:rsidRDefault="00934AB0" w:rsidP="00FA661F">
      <w:pPr>
        <w:keepNext/>
        <w:shd w:val="clear" w:color="auto" w:fill="FFFFFF"/>
        <w:spacing w:after="0" w:line="240" w:lineRule="auto"/>
        <w:ind w:left="720"/>
        <w:rPr>
          <w:rFonts w:ascii="Times New Roman" w:hAnsi="Times New Roman" w:cs="Times New Roman"/>
          <w:i/>
          <w:sz w:val="24"/>
          <w:szCs w:val="24"/>
        </w:rPr>
      </w:pPr>
      <w:r w:rsidRPr="00934AB0">
        <w:rPr>
          <w:rFonts w:ascii="Times New Roman" w:hAnsi="Times New Roman" w:cs="Times New Roman"/>
          <w:i/>
          <w:sz w:val="24"/>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342B4CD6" w14:textId="77777777" w:rsidR="009E3C64" w:rsidRDefault="009E3C64" w:rsidP="00F02A81">
      <w:pPr>
        <w:shd w:val="clear" w:color="auto" w:fill="FFFFFF"/>
        <w:spacing w:after="0" w:line="240" w:lineRule="auto"/>
        <w:rPr>
          <w:rFonts w:ascii="Times New Roman" w:hAnsi="Times New Roman" w:cs="Times New Roman"/>
          <w:sz w:val="24"/>
          <w:szCs w:val="24"/>
        </w:rPr>
      </w:pPr>
    </w:p>
    <w:p w14:paraId="145850BA" w14:textId="4466E616" w:rsidR="00934AB0" w:rsidRDefault="00934AB0" w:rsidP="00F02A81">
      <w:pPr>
        <w:shd w:val="clear" w:color="auto" w:fill="FFFFFF"/>
        <w:spacing w:after="0" w:line="240" w:lineRule="auto"/>
        <w:rPr>
          <w:rFonts w:ascii="Times New Roman" w:hAnsi="Times New Roman" w:cs="Times New Roman"/>
          <w:sz w:val="24"/>
          <w:szCs w:val="24"/>
        </w:rPr>
      </w:pPr>
      <w:r w:rsidRPr="00934AB0">
        <w:rPr>
          <w:rFonts w:ascii="Times New Roman" w:hAnsi="Times New Roman" w:cs="Times New Roman"/>
          <w:sz w:val="24"/>
          <w:szCs w:val="24"/>
        </w:rPr>
        <w:t>Similarly, in its General Comment 18 on Article 26 of the ICCPR, the UN Human Rights Committee (UNHRC) stated that:</w:t>
      </w:r>
    </w:p>
    <w:p w14:paraId="3A95A12D" w14:textId="77777777" w:rsidR="00FA661F" w:rsidRPr="00934AB0" w:rsidRDefault="00FA661F" w:rsidP="00F02A81">
      <w:pPr>
        <w:shd w:val="clear" w:color="auto" w:fill="FFFFFF"/>
        <w:spacing w:after="0" w:line="240" w:lineRule="auto"/>
        <w:rPr>
          <w:rFonts w:ascii="Times New Roman" w:hAnsi="Times New Roman" w:cs="Times New Roman"/>
          <w:sz w:val="24"/>
          <w:szCs w:val="24"/>
        </w:rPr>
      </w:pPr>
    </w:p>
    <w:p w14:paraId="1B1D9EED" w14:textId="77777777" w:rsidR="00934AB0" w:rsidRPr="00934AB0" w:rsidRDefault="00934AB0" w:rsidP="00F02A81">
      <w:pPr>
        <w:shd w:val="clear" w:color="auto" w:fill="FFFFFF"/>
        <w:spacing w:after="0" w:line="240" w:lineRule="auto"/>
        <w:ind w:left="720"/>
        <w:rPr>
          <w:rFonts w:ascii="Times New Roman" w:hAnsi="Times New Roman" w:cs="Times New Roman"/>
          <w:i/>
          <w:sz w:val="24"/>
          <w:szCs w:val="24"/>
        </w:rPr>
      </w:pPr>
      <w:r w:rsidRPr="00934AB0">
        <w:rPr>
          <w:rFonts w:ascii="Times New Roman" w:hAnsi="Times New Roman" w:cs="Times New Roman"/>
          <w:i/>
          <w:sz w:val="24"/>
          <w:szCs w:val="24"/>
        </w:rPr>
        <w:t>The Committee observes that not every differentiation of treatment will constitute discrimination, if the criteria for such differentiation are reasonable and objective and if the aim is to achieve a purpose which is legitimate under the [ICCPR].</w:t>
      </w:r>
    </w:p>
    <w:p w14:paraId="6430A73E" w14:textId="77777777" w:rsidR="00F02A81" w:rsidRDefault="00F02A81" w:rsidP="00F02A81">
      <w:pPr>
        <w:shd w:val="clear" w:color="auto" w:fill="FFFFFF"/>
        <w:spacing w:after="0" w:line="240" w:lineRule="auto"/>
        <w:rPr>
          <w:rFonts w:ascii="Times New Roman" w:hAnsi="Times New Roman" w:cs="Times New Roman"/>
          <w:sz w:val="24"/>
          <w:szCs w:val="24"/>
        </w:rPr>
      </w:pPr>
    </w:p>
    <w:p w14:paraId="5A66BC25" w14:textId="196C8B82" w:rsidR="00934AB0" w:rsidRPr="00934AB0" w:rsidRDefault="00934AB0" w:rsidP="00F02A81">
      <w:pPr>
        <w:shd w:val="clear" w:color="auto" w:fill="FFFFFF"/>
        <w:spacing w:after="0" w:line="240" w:lineRule="auto"/>
        <w:rPr>
          <w:rFonts w:ascii="Times New Roman" w:hAnsi="Times New Roman" w:cs="Times New Roman"/>
          <w:sz w:val="24"/>
          <w:szCs w:val="24"/>
        </w:rPr>
      </w:pPr>
      <w:r w:rsidRPr="00934AB0">
        <w:rPr>
          <w:rFonts w:ascii="Times New Roman" w:hAnsi="Times New Roman" w:cs="Times New Roman"/>
          <w:sz w:val="24"/>
          <w:szCs w:val="24"/>
        </w:rPr>
        <w:t xml:space="preserve">In most instances, Pacific and Timor-Leste applicants for a </w:t>
      </w:r>
      <w:r w:rsidR="00FA661F">
        <w:rPr>
          <w:rFonts w:ascii="Times New Roman" w:hAnsi="Times New Roman" w:cs="Times New Roman"/>
          <w:sz w:val="24"/>
          <w:szCs w:val="24"/>
        </w:rPr>
        <w:t>Student</w:t>
      </w:r>
      <w:r w:rsidR="009E3C64">
        <w:rPr>
          <w:rFonts w:ascii="Times New Roman" w:hAnsi="Times New Roman" w:cs="Times New Roman"/>
          <w:sz w:val="24"/>
          <w:szCs w:val="24"/>
        </w:rPr>
        <w:t xml:space="preserve"> </w:t>
      </w:r>
      <w:r w:rsidRPr="00934AB0">
        <w:rPr>
          <w:rFonts w:ascii="Times New Roman" w:hAnsi="Times New Roman" w:cs="Times New Roman"/>
          <w:sz w:val="24"/>
          <w:szCs w:val="24"/>
        </w:rPr>
        <w:t>visa are outside Australia</w:t>
      </w:r>
      <w:r w:rsidR="00FA661F">
        <w:rPr>
          <w:rFonts w:ascii="Times New Roman" w:hAnsi="Times New Roman" w:cs="Times New Roman"/>
          <w:sz w:val="24"/>
          <w:szCs w:val="24"/>
        </w:rPr>
        <w:t>,</w:t>
      </w:r>
      <w:r w:rsidRPr="00934AB0">
        <w:rPr>
          <w:rFonts w:ascii="Times New Roman" w:hAnsi="Times New Roman" w:cs="Times New Roman"/>
          <w:sz w:val="24"/>
          <w:szCs w:val="24"/>
        </w:rPr>
        <w:t xml:space="preserve"> and the increase in the VAC for those applicants will not engage the applicable rights and freedoms. </w:t>
      </w:r>
    </w:p>
    <w:p w14:paraId="2A8FA3AD" w14:textId="77777777" w:rsidR="00F02A81" w:rsidRDefault="00F02A81" w:rsidP="00F02A81">
      <w:pPr>
        <w:shd w:val="clear" w:color="auto" w:fill="FFFFFF"/>
        <w:spacing w:after="0" w:line="240" w:lineRule="auto"/>
        <w:rPr>
          <w:rFonts w:ascii="Times New Roman" w:hAnsi="Times New Roman" w:cs="Times New Roman"/>
          <w:sz w:val="24"/>
          <w:szCs w:val="24"/>
        </w:rPr>
      </w:pPr>
    </w:p>
    <w:p w14:paraId="324CAD4F" w14:textId="04E051E8" w:rsidR="00934AB0" w:rsidRPr="00934AB0" w:rsidRDefault="00934AB0" w:rsidP="00F02A81">
      <w:pPr>
        <w:shd w:val="clear" w:color="auto" w:fill="FFFFFF"/>
        <w:spacing w:after="0" w:line="240" w:lineRule="auto"/>
        <w:rPr>
          <w:rFonts w:ascii="Times New Roman" w:hAnsi="Times New Roman"/>
          <w:sz w:val="24"/>
          <w:szCs w:val="24"/>
        </w:rPr>
      </w:pPr>
      <w:r w:rsidRPr="00934AB0">
        <w:rPr>
          <w:rFonts w:ascii="Times New Roman" w:hAnsi="Times New Roman" w:cs="Times New Roman"/>
          <w:sz w:val="24"/>
          <w:szCs w:val="24"/>
        </w:rPr>
        <w:t xml:space="preserve">Where Pacific and Timor-Leste </w:t>
      </w:r>
      <w:r w:rsidR="00FA661F">
        <w:rPr>
          <w:rFonts w:ascii="Times New Roman" w:hAnsi="Times New Roman" w:cs="Times New Roman"/>
          <w:sz w:val="24"/>
          <w:szCs w:val="24"/>
        </w:rPr>
        <w:t xml:space="preserve">visa </w:t>
      </w:r>
      <w:r w:rsidRPr="00934AB0">
        <w:rPr>
          <w:rFonts w:ascii="Times New Roman" w:hAnsi="Times New Roman" w:cs="Times New Roman"/>
          <w:sz w:val="24"/>
          <w:szCs w:val="24"/>
        </w:rPr>
        <w:t xml:space="preserve">applicants are in Australia, the increase to the VAC may engage the right to education. By providing for a partial refund of the VAC, the </w:t>
      </w:r>
      <w:r w:rsidRPr="00934AB0">
        <w:rPr>
          <w:rFonts w:ascii="Times New Roman" w:hAnsi="Times New Roman"/>
          <w:sz w:val="24"/>
          <w:szCs w:val="24"/>
        </w:rPr>
        <w:t xml:space="preserve">Regulations </w:t>
      </w:r>
      <w:r w:rsidRPr="00934AB0">
        <w:rPr>
          <w:rFonts w:ascii="Times New Roman" w:hAnsi="Times New Roman" w:cs="Times New Roman"/>
          <w:sz w:val="24"/>
          <w:szCs w:val="24"/>
        </w:rPr>
        <w:t xml:space="preserve">will promote the right to education by removing a potential barrier for </w:t>
      </w:r>
      <w:r w:rsidRPr="00934AB0">
        <w:rPr>
          <w:rFonts w:ascii="Times New Roman" w:hAnsi="Times New Roman"/>
          <w:sz w:val="24"/>
          <w:szCs w:val="24"/>
        </w:rPr>
        <w:t>applicants from Pacific and Timor</w:t>
      </w:r>
      <w:r w:rsidR="009E3C64">
        <w:rPr>
          <w:rFonts w:ascii="Times New Roman" w:hAnsi="Times New Roman"/>
          <w:sz w:val="24"/>
          <w:szCs w:val="24"/>
        </w:rPr>
        <w:noBreakHyphen/>
      </w:r>
      <w:r w:rsidRPr="00934AB0">
        <w:rPr>
          <w:rFonts w:ascii="Times New Roman" w:hAnsi="Times New Roman"/>
          <w:sz w:val="24"/>
          <w:szCs w:val="24"/>
        </w:rPr>
        <w:t>Leste. International education is a key support that Australia provides to the Pacific and Timor</w:t>
      </w:r>
      <w:r w:rsidR="009E3C64">
        <w:rPr>
          <w:rFonts w:ascii="Times New Roman" w:hAnsi="Times New Roman"/>
          <w:sz w:val="24"/>
          <w:szCs w:val="24"/>
        </w:rPr>
        <w:noBreakHyphen/>
      </w:r>
      <w:r w:rsidRPr="00934AB0">
        <w:rPr>
          <w:rFonts w:ascii="Times New Roman" w:hAnsi="Times New Roman"/>
          <w:sz w:val="24"/>
          <w:szCs w:val="24"/>
        </w:rPr>
        <w:t xml:space="preserve">Leste, providing opportunities to increase skills to bring home to their countries.  </w:t>
      </w:r>
    </w:p>
    <w:p w14:paraId="041BAED2" w14:textId="77777777" w:rsidR="00F02A81" w:rsidRDefault="00F02A81" w:rsidP="00F02A81">
      <w:pPr>
        <w:shd w:val="clear" w:color="auto" w:fill="FFFFFF"/>
        <w:spacing w:after="0" w:line="240" w:lineRule="auto"/>
        <w:rPr>
          <w:rFonts w:ascii="Times New Roman" w:hAnsi="Times New Roman"/>
          <w:sz w:val="24"/>
          <w:szCs w:val="24"/>
        </w:rPr>
      </w:pPr>
    </w:p>
    <w:p w14:paraId="42A18FAF" w14:textId="0AF2E029" w:rsidR="00934AB0" w:rsidRPr="00934AB0" w:rsidRDefault="00934AB0" w:rsidP="00F02A81">
      <w:pPr>
        <w:shd w:val="clear" w:color="auto" w:fill="FFFFFF"/>
        <w:spacing w:after="0" w:line="240" w:lineRule="auto"/>
        <w:rPr>
          <w:rFonts w:ascii="Times New Roman" w:hAnsi="Times New Roman"/>
          <w:sz w:val="24"/>
          <w:szCs w:val="24"/>
        </w:rPr>
      </w:pPr>
      <w:r w:rsidRPr="00934AB0">
        <w:rPr>
          <w:rFonts w:ascii="Times New Roman" w:hAnsi="Times New Roman"/>
          <w:sz w:val="24"/>
          <w:szCs w:val="24"/>
        </w:rPr>
        <w:t>However, to the extent that the refund will only be available to citizens from Pacific and Timor</w:t>
      </w:r>
      <w:r w:rsidR="009E3C64">
        <w:rPr>
          <w:rFonts w:ascii="Times New Roman" w:hAnsi="Times New Roman"/>
          <w:sz w:val="24"/>
          <w:szCs w:val="24"/>
        </w:rPr>
        <w:noBreakHyphen/>
      </w:r>
      <w:r w:rsidRPr="00934AB0">
        <w:rPr>
          <w:rFonts w:ascii="Times New Roman" w:hAnsi="Times New Roman"/>
          <w:sz w:val="24"/>
          <w:szCs w:val="24"/>
        </w:rPr>
        <w:t>Leste countries, the measure will limit the right to non</w:t>
      </w:r>
      <w:r w:rsidR="009E3C64">
        <w:rPr>
          <w:rFonts w:ascii="Times New Roman" w:hAnsi="Times New Roman"/>
          <w:sz w:val="24"/>
          <w:szCs w:val="24"/>
        </w:rPr>
        <w:noBreakHyphen/>
      </w:r>
      <w:r w:rsidRPr="00934AB0">
        <w:rPr>
          <w:rFonts w:ascii="Times New Roman" w:hAnsi="Times New Roman"/>
          <w:sz w:val="24"/>
          <w:szCs w:val="24"/>
        </w:rPr>
        <w:t xml:space="preserve">discrimination in the right to education, as it is discriminating on the basis of national origin. This limitation is compatible with the nature of the right and is solely for the purpose of promoting general welfare in a democratic society. To the extent that the Regulations differentiate on the basis of nationality or citizenship, this is reasonable and proportionate to the meeting of a legitimate Government objective. This is because providing a </w:t>
      </w:r>
      <w:r w:rsidR="00F02A81">
        <w:rPr>
          <w:rFonts w:ascii="Times New Roman" w:hAnsi="Times New Roman"/>
          <w:sz w:val="24"/>
          <w:szCs w:val="24"/>
        </w:rPr>
        <w:t xml:space="preserve">partial </w:t>
      </w:r>
      <w:r w:rsidRPr="00934AB0">
        <w:rPr>
          <w:rFonts w:ascii="Times New Roman" w:hAnsi="Times New Roman"/>
          <w:sz w:val="24"/>
          <w:szCs w:val="24"/>
        </w:rPr>
        <w:t xml:space="preserve">refund on the </w:t>
      </w:r>
      <w:r w:rsidR="00C80675">
        <w:rPr>
          <w:rFonts w:ascii="Times New Roman" w:hAnsi="Times New Roman"/>
          <w:sz w:val="24"/>
          <w:szCs w:val="24"/>
        </w:rPr>
        <w:t>S</w:t>
      </w:r>
      <w:r w:rsidRPr="00934AB0">
        <w:rPr>
          <w:rFonts w:ascii="Times New Roman" w:hAnsi="Times New Roman"/>
          <w:sz w:val="24"/>
          <w:szCs w:val="24"/>
        </w:rPr>
        <w:t>tudent visa VAC for Pacific island countries and Timor</w:t>
      </w:r>
      <w:r w:rsidR="009E3C64">
        <w:rPr>
          <w:rFonts w:ascii="Times New Roman" w:hAnsi="Times New Roman"/>
          <w:sz w:val="24"/>
          <w:szCs w:val="24"/>
        </w:rPr>
        <w:noBreakHyphen/>
      </w:r>
      <w:r w:rsidRPr="00934AB0">
        <w:rPr>
          <w:rFonts w:ascii="Times New Roman" w:hAnsi="Times New Roman"/>
          <w:sz w:val="24"/>
          <w:szCs w:val="24"/>
        </w:rPr>
        <w:t>Leste is aimed at deepening Australia’s connections with those countries; supporting wider education opportunities within the region, thereby contributing to Pacific economies; and providing opportunities for cultural, educational and skills exchange, in support of a peaceful, prosperous and resilient Pacific region.</w:t>
      </w:r>
    </w:p>
    <w:p w14:paraId="72065C42" w14:textId="77777777" w:rsidR="00F02A81" w:rsidRDefault="00F02A81" w:rsidP="00F02A81">
      <w:pPr>
        <w:shd w:val="clear" w:color="auto" w:fill="FFFFFF"/>
        <w:spacing w:after="0" w:line="240" w:lineRule="auto"/>
        <w:rPr>
          <w:rFonts w:ascii="Times New Roman" w:hAnsi="Times New Roman"/>
          <w:sz w:val="24"/>
          <w:szCs w:val="24"/>
        </w:rPr>
      </w:pPr>
    </w:p>
    <w:p w14:paraId="4B11FA33" w14:textId="3EC1E5F1" w:rsidR="00934AB0" w:rsidRPr="00934AB0" w:rsidRDefault="00934AB0" w:rsidP="00F02A81">
      <w:pPr>
        <w:shd w:val="clear" w:color="auto" w:fill="FFFFFF"/>
        <w:spacing w:after="0" w:line="240" w:lineRule="auto"/>
        <w:rPr>
          <w:rFonts w:ascii="Times New Roman" w:hAnsi="Times New Roman" w:cs="Times New Roman"/>
          <w:b/>
          <w:sz w:val="24"/>
          <w:szCs w:val="24"/>
        </w:rPr>
      </w:pPr>
      <w:r w:rsidRPr="00934AB0">
        <w:rPr>
          <w:rFonts w:ascii="Times New Roman" w:hAnsi="Times New Roman"/>
          <w:sz w:val="24"/>
          <w:szCs w:val="24"/>
        </w:rPr>
        <w:t xml:space="preserve">To the extent that </w:t>
      </w:r>
      <w:r w:rsidR="00C80675">
        <w:rPr>
          <w:rFonts w:ascii="Times New Roman" w:hAnsi="Times New Roman"/>
          <w:sz w:val="24"/>
          <w:szCs w:val="24"/>
        </w:rPr>
        <w:t>S</w:t>
      </w:r>
      <w:r w:rsidRPr="00934AB0">
        <w:rPr>
          <w:rFonts w:ascii="Times New Roman" w:hAnsi="Times New Roman"/>
          <w:sz w:val="24"/>
          <w:szCs w:val="24"/>
        </w:rPr>
        <w:t xml:space="preserve">tudent visa applicants from other nationalities are not eligible for a refund, any differential treatment is reasonable and objective. As the VAC is a small component of the cost of education in Australia, the VAC increase is unlikely to have a material impact on the students choosing Australia as their country of education and will not impermissibly limit the right to education in Australia. As such, the unavailability of a refund is unlikely to impact on the accessibility of </w:t>
      </w:r>
      <w:r w:rsidR="00C80675">
        <w:rPr>
          <w:rFonts w:ascii="Times New Roman" w:hAnsi="Times New Roman"/>
          <w:sz w:val="24"/>
          <w:szCs w:val="24"/>
        </w:rPr>
        <w:t>S</w:t>
      </w:r>
      <w:r w:rsidRPr="00934AB0">
        <w:rPr>
          <w:rFonts w:ascii="Times New Roman" w:hAnsi="Times New Roman"/>
          <w:sz w:val="24"/>
          <w:szCs w:val="24"/>
        </w:rPr>
        <w:t>tudent visas for other cohorts. The amendments to provide refunds for Pacific island countries and Timor-Leste applicants are directed to supporting educational opportunities for applicants from those countries who want to undertake education in Australia and supporting a peaceful, prosperous and resilient Pacific region.</w:t>
      </w:r>
    </w:p>
    <w:p w14:paraId="46282CF4" w14:textId="77777777" w:rsidR="00F02A81" w:rsidRDefault="00F02A81" w:rsidP="00F02A81">
      <w:pPr>
        <w:keepNext/>
        <w:spacing w:after="0" w:line="240" w:lineRule="auto"/>
        <w:jc w:val="both"/>
        <w:outlineLvl w:val="2"/>
        <w:rPr>
          <w:rFonts w:ascii="Times New Roman" w:hAnsi="Times New Roman" w:cs="Times New Roman"/>
          <w:b/>
          <w:sz w:val="24"/>
          <w:szCs w:val="24"/>
        </w:rPr>
      </w:pPr>
    </w:p>
    <w:p w14:paraId="0BB85743" w14:textId="6E8BE742" w:rsidR="00934AB0" w:rsidRDefault="00934AB0" w:rsidP="00F02A81">
      <w:pPr>
        <w:keepNext/>
        <w:spacing w:after="0" w:line="240" w:lineRule="auto"/>
        <w:jc w:val="both"/>
        <w:outlineLvl w:val="2"/>
        <w:rPr>
          <w:rFonts w:ascii="Times New Roman" w:hAnsi="Times New Roman" w:cs="Times New Roman"/>
          <w:b/>
          <w:sz w:val="24"/>
          <w:szCs w:val="24"/>
        </w:rPr>
      </w:pPr>
      <w:r w:rsidRPr="00934AB0">
        <w:rPr>
          <w:rFonts w:ascii="Times New Roman" w:hAnsi="Times New Roman" w:cs="Times New Roman"/>
          <w:b/>
          <w:sz w:val="24"/>
          <w:szCs w:val="24"/>
        </w:rPr>
        <w:t>Conclusion</w:t>
      </w:r>
    </w:p>
    <w:p w14:paraId="0833C4FE" w14:textId="77777777" w:rsidR="00F02A81" w:rsidRPr="00934AB0" w:rsidRDefault="00F02A81" w:rsidP="00F02A81">
      <w:pPr>
        <w:keepNext/>
        <w:spacing w:after="0" w:line="240" w:lineRule="auto"/>
        <w:jc w:val="both"/>
        <w:outlineLvl w:val="2"/>
        <w:rPr>
          <w:rFonts w:ascii="Times New Roman" w:hAnsi="Times New Roman" w:cs="Times New Roman"/>
          <w:b/>
          <w:sz w:val="24"/>
          <w:szCs w:val="24"/>
        </w:rPr>
      </w:pPr>
    </w:p>
    <w:p w14:paraId="4466C880" w14:textId="50F0CE28" w:rsidR="001D2B2F" w:rsidRPr="00934AB0" w:rsidRDefault="00934AB0" w:rsidP="00F02A81">
      <w:pPr>
        <w:spacing w:after="0" w:line="240" w:lineRule="auto"/>
        <w:rPr>
          <w:rFonts w:ascii="Times New Roman" w:hAnsi="Times New Roman"/>
          <w:sz w:val="24"/>
          <w:szCs w:val="24"/>
        </w:rPr>
      </w:pPr>
      <w:r w:rsidRPr="00934AB0">
        <w:rPr>
          <w:rFonts w:ascii="Times New Roman" w:hAnsi="Times New Roman"/>
          <w:sz w:val="24"/>
          <w:szCs w:val="24"/>
        </w:rPr>
        <w:t xml:space="preserve">The Disallowable Legislative Instrument is compatible with human rights because </w:t>
      </w:r>
      <w:r w:rsidRPr="00934AB0">
        <w:rPr>
          <w:rFonts w:ascii="Times New Roman" w:hAnsi="Times New Roman"/>
          <w:sz w:val="24"/>
          <w:szCs w:val="24"/>
          <w:lang w:val="en-GB"/>
        </w:rPr>
        <w:t>to the extent that it may limit human rights, those limitations are compatible with the nature of the right.</w:t>
      </w:r>
    </w:p>
    <w:p w14:paraId="3626A94C" w14:textId="77777777" w:rsidR="001D2B2F" w:rsidRPr="00934AB0" w:rsidRDefault="001D2B2F" w:rsidP="00F02A81">
      <w:pPr>
        <w:spacing w:after="0" w:line="240" w:lineRule="auto"/>
        <w:rPr>
          <w:rFonts w:ascii="Times New Roman" w:hAnsi="Times New Roman" w:cs="Times New Roman"/>
          <w:sz w:val="24"/>
          <w:szCs w:val="24"/>
        </w:rPr>
      </w:pPr>
    </w:p>
    <w:p w14:paraId="04399770" w14:textId="292E4A4A" w:rsidR="001D2B2F" w:rsidRPr="00934AB0" w:rsidRDefault="001D2B2F" w:rsidP="00F02A81">
      <w:pPr>
        <w:spacing w:after="0" w:line="240" w:lineRule="auto"/>
        <w:jc w:val="center"/>
        <w:rPr>
          <w:rFonts w:ascii="Times New Roman" w:hAnsi="Times New Roman" w:cs="Times New Roman"/>
          <w:b/>
          <w:sz w:val="24"/>
          <w:szCs w:val="24"/>
        </w:rPr>
      </w:pPr>
      <w:r w:rsidRPr="00934AB0">
        <w:rPr>
          <w:rFonts w:ascii="Times New Roman" w:hAnsi="Times New Roman" w:cs="Times New Roman"/>
          <w:b/>
          <w:sz w:val="24"/>
          <w:szCs w:val="24"/>
        </w:rPr>
        <w:t xml:space="preserve">The Hon </w:t>
      </w:r>
      <w:r w:rsidR="00C373B6">
        <w:rPr>
          <w:rFonts w:ascii="Times New Roman" w:hAnsi="Times New Roman" w:cs="Times New Roman"/>
          <w:b/>
          <w:sz w:val="24"/>
          <w:szCs w:val="24"/>
        </w:rPr>
        <w:t>Tony Burke</w:t>
      </w:r>
      <w:r w:rsidRPr="00934AB0">
        <w:rPr>
          <w:rFonts w:ascii="Times New Roman" w:hAnsi="Times New Roman" w:cs="Times New Roman"/>
          <w:b/>
          <w:sz w:val="24"/>
          <w:szCs w:val="24"/>
        </w:rPr>
        <w:t xml:space="preserve"> MP</w:t>
      </w:r>
    </w:p>
    <w:p w14:paraId="30735A76" w14:textId="2CFC2F69" w:rsidR="001D2B2F" w:rsidRPr="00934AB0" w:rsidRDefault="001D2B2F" w:rsidP="00F02A81">
      <w:pPr>
        <w:spacing w:after="0" w:line="240" w:lineRule="auto"/>
        <w:jc w:val="center"/>
        <w:rPr>
          <w:rFonts w:ascii="Times New Roman" w:hAnsi="Times New Roman" w:cs="Times New Roman"/>
          <w:b/>
          <w:sz w:val="24"/>
          <w:szCs w:val="24"/>
        </w:rPr>
      </w:pPr>
      <w:r w:rsidRPr="00934AB0">
        <w:rPr>
          <w:rFonts w:ascii="Times New Roman" w:hAnsi="Times New Roman" w:cs="Times New Roman"/>
          <w:b/>
          <w:sz w:val="24"/>
          <w:szCs w:val="24"/>
        </w:rPr>
        <w:t xml:space="preserve">Minister for </w:t>
      </w:r>
      <w:r w:rsidR="00C373B6">
        <w:rPr>
          <w:rFonts w:ascii="Times New Roman" w:hAnsi="Times New Roman" w:cs="Times New Roman"/>
          <w:b/>
          <w:sz w:val="24"/>
          <w:szCs w:val="24"/>
        </w:rPr>
        <w:t>Immigration</w:t>
      </w:r>
      <w:r w:rsidR="00FF780A">
        <w:rPr>
          <w:rFonts w:ascii="Times New Roman" w:hAnsi="Times New Roman" w:cs="Times New Roman"/>
          <w:b/>
          <w:sz w:val="24"/>
          <w:szCs w:val="24"/>
        </w:rPr>
        <w:t xml:space="preserve"> and Multicultural</w:t>
      </w:r>
      <w:r w:rsidR="00FF780A" w:rsidRPr="00934AB0">
        <w:rPr>
          <w:rFonts w:ascii="Times New Roman" w:hAnsi="Times New Roman" w:cs="Times New Roman"/>
          <w:b/>
          <w:sz w:val="24"/>
          <w:szCs w:val="24"/>
        </w:rPr>
        <w:t xml:space="preserve"> </w:t>
      </w:r>
      <w:r w:rsidRPr="00934AB0">
        <w:rPr>
          <w:rFonts w:ascii="Times New Roman" w:hAnsi="Times New Roman" w:cs="Times New Roman"/>
          <w:b/>
          <w:sz w:val="24"/>
          <w:szCs w:val="24"/>
        </w:rPr>
        <w:t>Affairs</w:t>
      </w:r>
    </w:p>
    <w:p w14:paraId="5462323D" w14:textId="431811F8" w:rsidR="00FA661F" w:rsidRDefault="00FA661F" w:rsidP="00FA661F">
      <w:r>
        <w:br w:type="page"/>
      </w:r>
    </w:p>
    <w:p w14:paraId="04BB4A04" w14:textId="60C1F37D" w:rsidR="00405C04" w:rsidRPr="00934AB0" w:rsidRDefault="00405C04" w:rsidP="00FA661F">
      <w:pPr>
        <w:spacing w:line="259" w:lineRule="auto"/>
        <w:ind w:left="720"/>
        <w:jc w:val="right"/>
        <w:rPr>
          <w:rFonts w:ascii="Times New Roman" w:eastAsiaTheme="minorEastAsia" w:hAnsi="Times New Roman" w:cs="Times New Roman"/>
          <w:b/>
          <w:sz w:val="24"/>
          <w:szCs w:val="24"/>
          <w:u w:val="single"/>
          <w:lang w:val="en-AU" w:eastAsia="en-AU"/>
        </w:rPr>
      </w:pPr>
      <w:r w:rsidRPr="00934AB0">
        <w:rPr>
          <w:rFonts w:ascii="Times New Roman" w:eastAsiaTheme="minorEastAsia" w:hAnsi="Times New Roman" w:cs="Times New Roman"/>
          <w:b/>
          <w:sz w:val="24"/>
          <w:szCs w:val="24"/>
          <w:u w:val="single"/>
          <w:lang w:val="en-AU" w:eastAsia="en-AU"/>
        </w:rPr>
        <w:t xml:space="preserve">ATTACHMENT </w:t>
      </w:r>
      <w:r w:rsidR="00F15020" w:rsidRPr="00934AB0">
        <w:rPr>
          <w:rFonts w:ascii="Times New Roman" w:eastAsiaTheme="minorEastAsia" w:hAnsi="Times New Roman" w:cs="Times New Roman"/>
          <w:b/>
          <w:sz w:val="24"/>
          <w:szCs w:val="24"/>
          <w:u w:val="single"/>
          <w:lang w:val="en-AU" w:eastAsia="en-AU"/>
        </w:rPr>
        <w:t>B</w:t>
      </w:r>
    </w:p>
    <w:p w14:paraId="20132112" w14:textId="4EE09887" w:rsidR="00405C04" w:rsidRPr="00934AB0" w:rsidRDefault="00405C04" w:rsidP="00F15020">
      <w:pPr>
        <w:spacing w:after="0" w:line="240" w:lineRule="auto"/>
        <w:ind w:right="91"/>
        <w:rPr>
          <w:rFonts w:ascii="Times New Roman" w:eastAsiaTheme="minorEastAsia" w:hAnsi="Times New Roman" w:cs="Times New Roman"/>
          <w:b/>
          <w:bCs/>
          <w:color w:val="000000" w:themeColor="text1"/>
          <w:sz w:val="24"/>
          <w:szCs w:val="24"/>
          <w:u w:val="single"/>
          <w:lang w:val="en-AU" w:eastAsia="en-AU"/>
        </w:rPr>
      </w:pPr>
    </w:p>
    <w:p w14:paraId="1948532E" w14:textId="06ABC0EA" w:rsidR="00D509B8" w:rsidRPr="00934AB0" w:rsidRDefault="00D509B8" w:rsidP="00F15020">
      <w:pPr>
        <w:spacing w:after="0" w:line="240" w:lineRule="auto"/>
        <w:ind w:right="91"/>
        <w:rPr>
          <w:rFonts w:ascii="Times New Roman" w:eastAsiaTheme="minorEastAsia" w:hAnsi="Times New Roman" w:cs="Times New Roman"/>
          <w:b/>
          <w:bCs/>
          <w:color w:val="000000" w:themeColor="text1"/>
          <w:sz w:val="24"/>
          <w:szCs w:val="24"/>
          <w:u w:val="single"/>
          <w:lang w:val="en-AU" w:eastAsia="en-AU"/>
        </w:rPr>
      </w:pPr>
    </w:p>
    <w:p w14:paraId="5BF79D0C" w14:textId="5654E262" w:rsidR="00D509B8" w:rsidRPr="00934AB0" w:rsidRDefault="00D509B8" w:rsidP="00F15020">
      <w:pPr>
        <w:spacing w:after="0" w:line="240" w:lineRule="auto"/>
        <w:ind w:right="91"/>
        <w:rPr>
          <w:rFonts w:ascii="Times New Roman" w:hAnsi="Times New Roman" w:cs="Times New Roman"/>
          <w:b/>
          <w:bCs/>
          <w:i/>
          <w:iCs/>
          <w:color w:val="000000" w:themeColor="text1"/>
          <w:sz w:val="24"/>
          <w:szCs w:val="24"/>
          <w:u w:val="single"/>
        </w:rPr>
      </w:pPr>
      <w:r w:rsidRPr="00934AB0">
        <w:rPr>
          <w:rFonts w:ascii="Times New Roman" w:hAnsi="Times New Roman" w:cs="Times New Roman"/>
          <w:b/>
          <w:bCs/>
          <w:color w:val="000000" w:themeColor="text1"/>
          <w:sz w:val="24"/>
          <w:szCs w:val="24"/>
        </w:rPr>
        <w:t xml:space="preserve">Details of the </w:t>
      </w:r>
      <w:r w:rsidR="00F05AF7" w:rsidRPr="00934AB0">
        <w:rPr>
          <w:rFonts w:ascii="Times New Roman" w:hAnsi="Times New Roman" w:cs="Times New Roman"/>
          <w:b/>
          <w:bCs/>
          <w:i/>
          <w:color w:val="000000" w:themeColor="text1"/>
          <w:sz w:val="24"/>
          <w:szCs w:val="24"/>
        </w:rPr>
        <w:t>Migration Amendment (Visa</w:t>
      </w:r>
      <w:r w:rsidR="002F6C16" w:rsidRPr="00934AB0">
        <w:rPr>
          <w:rFonts w:ascii="Times New Roman" w:hAnsi="Times New Roman" w:cs="Times New Roman"/>
          <w:b/>
          <w:bCs/>
          <w:i/>
          <w:color w:val="000000" w:themeColor="text1"/>
          <w:sz w:val="24"/>
          <w:szCs w:val="24"/>
        </w:rPr>
        <w:t xml:space="preserve"> Application Charge</w:t>
      </w:r>
      <w:r w:rsidR="00F05AF7" w:rsidRPr="00934AB0">
        <w:rPr>
          <w:rFonts w:ascii="Times New Roman" w:hAnsi="Times New Roman" w:cs="Times New Roman"/>
          <w:b/>
          <w:bCs/>
          <w:i/>
          <w:color w:val="000000" w:themeColor="text1"/>
          <w:sz w:val="24"/>
          <w:szCs w:val="24"/>
        </w:rPr>
        <w:t xml:space="preserve"> </w:t>
      </w:r>
      <w:r w:rsidR="00F15020" w:rsidRPr="00934AB0">
        <w:rPr>
          <w:rFonts w:ascii="Times New Roman" w:hAnsi="Times New Roman" w:cs="Times New Roman"/>
          <w:b/>
          <w:bCs/>
          <w:i/>
          <w:color w:val="000000" w:themeColor="text1"/>
          <w:sz w:val="24"/>
          <w:szCs w:val="24"/>
        </w:rPr>
        <w:t>Refund</w:t>
      </w:r>
      <w:r w:rsidR="009763E5" w:rsidRPr="00934AB0">
        <w:rPr>
          <w:rFonts w:ascii="Times New Roman" w:hAnsi="Times New Roman" w:cs="Times New Roman"/>
          <w:b/>
          <w:bCs/>
          <w:i/>
          <w:color w:val="000000" w:themeColor="text1"/>
          <w:sz w:val="24"/>
          <w:szCs w:val="24"/>
        </w:rPr>
        <w:t>) Regulations </w:t>
      </w:r>
      <w:r w:rsidR="0051446D" w:rsidRPr="00934AB0">
        <w:rPr>
          <w:rFonts w:ascii="Times New Roman" w:hAnsi="Times New Roman" w:cs="Times New Roman"/>
          <w:b/>
          <w:bCs/>
          <w:i/>
          <w:color w:val="000000" w:themeColor="text1"/>
          <w:sz w:val="24"/>
          <w:szCs w:val="24"/>
        </w:rPr>
        <w:t>2024</w:t>
      </w:r>
      <w:r w:rsidR="00F05AF7" w:rsidRPr="00934AB0">
        <w:rPr>
          <w:rFonts w:ascii="Times New Roman" w:hAnsi="Times New Roman" w:cs="Times New Roman"/>
          <w:b/>
          <w:bCs/>
          <w:color w:val="000000" w:themeColor="text1"/>
          <w:sz w:val="24"/>
          <w:szCs w:val="24"/>
        </w:rPr>
        <w:t xml:space="preserve"> </w:t>
      </w:r>
    </w:p>
    <w:p w14:paraId="56A3BD83" w14:textId="77777777" w:rsidR="00F15020" w:rsidRPr="00934AB0" w:rsidRDefault="00F15020" w:rsidP="00F15020">
      <w:pPr>
        <w:pStyle w:val="ItemHead"/>
        <w:keepNext w:val="0"/>
        <w:keepLines w:val="0"/>
        <w:widowControl w:val="0"/>
        <w:spacing w:before="0"/>
        <w:rPr>
          <w:rFonts w:ascii="Times New Roman" w:hAnsi="Times New Roman" w:cs="Times New Roman"/>
          <w:b w:val="0"/>
          <w:bCs w:val="0"/>
          <w:u w:val="single"/>
        </w:rPr>
      </w:pPr>
    </w:p>
    <w:p w14:paraId="1D2867D8" w14:textId="32B1E8DA" w:rsidR="002753C5" w:rsidRPr="00934AB0" w:rsidRDefault="002753C5" w:rsidP="00F15020">
      <w:pPr>
        <w:pStyle w:val="ItemHead"/>
        <w:keepNext w:val="0"/>
        <w:keepLines w:val="0"/>
        <w:widowControl w:val="0"/>
        <w:spacing w:before="0"/>
        <w:rPr>
          <w:rFonts w:ascii="Times New Roman" w:hAnsi="Times New Roman" w:cs="Times New Roman"/>
          <w:b w:val="0"/>
          <w:bCs w:val="0"/>
          <w:u w:val="single"/>
        </w:rPr>
      </w:pPr>
      <w:r w:rsidRPr="00934AB0">
        <w:rPr>
          <w:rFonts w:ascii="Times New Roman" w:hAnsi="Times New Roman" w:cs="Times New Roman"/>
          <w:b w:val="0"/>
          <w:bCs w:val="0"/>
          <w:u w:val="single"/>
        </w:rPr>
        <w:t>Section</w:t>
      </w:r>
      <w:r w:rsidR="009763E5" w:rsidRPr="00934AB0">
        <w:rPr>
          <w:rFonts w:ascii="Times New Roman" w:hAnsi="Times New Roman" w:cs="Times New Roman"/>
          <w:b w:val="0"/>
          <w:bCs w:val="0"/>
          <w:u w:val="single"/>
        </w:rPr>
        <w:t> </w:t>
      </w:r>
      <w:r w:rsidRPr="00934AB0">
        <w:rPr>
          <w:rFonts w:ascii="Times New Roman" w:hAnsi="Times New Roman" w:cs="Times New Roman"/>
          <w:b w:val="0"/>
          <w:bCs w:val="0"/>
          <w:u w:val="single"/>
        </w:rPr>
        <w:t>1 – Name</w:t>
      </w:r>
      <w:r w:rsidR="000C010E">
        <w:rPr>
          <w:rFonts w:ascii="Times New Roman" w:hAnsi="Times New Roman" w:cs="Times New Roman"/>
          <w:b w:val="0"/>
          <w:bCs w:val="0"/>
          <w:u w:val="single"/>
        </w:rPr>
        <w:t xml:space="preserve"> of Regulations</w:t>
      </w:r>
    </w:p>
    <w:p w14:paraId="55B987AA" w14:textId="77777777" w:rsidR="004B5831" w:rsidRPr="00934AB0" w:rsidRDefault="004B5831" w:rsidP="00F15020">
      <w:pPr>
        <w:spacing w:after="0" w:line="240" w:lineRule="auto"/>
        <w:ind w:right="91"/>
        <w:rPr>
          <w:rFonts w:ascii="Times New Roman" w:hAnsi="Times New Roman" w:cs="Times New Roman"/>
          <w:sz w:val="24"/>
          <w:szCs w:val="24"/>
        </w:rPr>
      </w:pPr>
    </w:p>
    <w:p w14:paraId="4104919B" w14:textId="378B926C" w:rsidR="002753C5" w:rsidRPr="00934AB0" w:rsidRDefault="002753C5" w:rsidP="00212F19">
      <w:pPr>
        <w:pStyle w:val="ESclnotetext"/>
        <w:rPr>
          <w:i/>
        </w:rPr>
      </w:pPr>
      <w:r w:rsidRPr="00934AB0">
        <w:t>This section provide</w:t>
      </w:r>
      <w:r w:rsidR="00710B53" w:rsidRPr="00934AB0">
        <w:t>s</w:t>
      </w:r>
      <w:r w:rsidRPr="00934AB0">
        <w:t xml:space="preserve"> that the name of the instrument is the </w:t>
      </w:r>
      <w:r w:rsidRPr="00934AB0">
        <w:rPr>
          <w:i/>
        </w:rPr>
        <w:t>Migration Amendment (</w:t>
      </w:r>
      <w:r w:rsidR="00F15020" w:rsidRPr="00934AB0">
        <w:rPr>
          <w:i/>
        </w:rPr>
        <w:t>Visa</w:t>
      </w:r>
      <w:r w:rsidR="002F6C16" w:rsidRPr="00934AB0">
        <w:rPr>
          <w:i/>
        </w:rPr>
        <w:t xml:space="preserve"> Application Charge</w:t>
      </w:r>
      <w:r w:rsidR="00F15020" w:rsidRPr="00934AB0">
        <w:rPr>
          <w:i/>
        </w:rPr>
        <w:t xml:space="preserve"> Refund</w:t>
      </w:r>
      <w:r w:rsidR="009763E5" w:rsidRPr="00934AB0">
        <w:rPr>
          <w:i/>
        </w:rPr>
        <w:t>) Regulations </w:t>
      </w:r>
      <w:r w:rsidR="0051446D" w:rsidRPr="00934AB0">
        <w:rPr>
          <w:i/>
        </w:rPr>
        <w:t>2024</w:t>
      </w:r>
      <w:r w:rsidRPr="00934AB0">
        <w:rPr>
          <w:i/>
        </w:rPr>
        <w:t xml:space="preserve"> </w:t>
      </w:r>
      <w:r w:rsidRPr="00934AB0">
        <w:t>(the Regulations)</w:t>
      </w:r>
      <w:r w:rsidR="009763E5" w:rsidRPr="00934AB0">
        <w:rPr>
          <w:i/>
        </w:rPr>
        <w:t>.</w:t>
      </w:r>
    </w:p>
    <w:p w14:paraId="2A4C72CB" w14:textId="77777777" w:rsidR="00F15020" w:rsidRPr="00934AB0" w:rsidRDefault="00F15020" w:rsidP="00F15020">
      <w:pPr>
        <w:spacing w:after="0" w:line="240" w:lineRule="auto"/>
        <w:ind w:right="91"/>
        <w:rPr>
          <w:rFonts w:ascii="Times New Roman" w:hAnsi="Times New Roman" w:cs="Times New Roman"/>
          <w:sz w:val="24"/>
          <w:szCs w:val="24"/>
          <w:u w:val="single"/>
        </w:rPr>
      </w:pPr>
    </w:p>
    <w:p w14:paraId="12CE224D" w14:textId="6C927BF3" w:rsidR="002753C5" w:rsidRPr="00934AB0" w:rsidRDefault="002753C5" w:rsidP="00F15020">
      <w:pPr>
        <w:spacing w:after="0" w:line="240" w:lineRule="auto"/>
        <w:ind w:right="91"/>
        <w:rPr>
          <w:rFonts w:ascii="Times New Roman" w:hAnsi="Times New Roman" w:cs="Times New Roman"/>
          <w:sz w:val="24"/>
          <w:szCs w:val="24"/>
          <w:u w:val="single"/>
        </w:rPr>
      </w:pPr>
      <w:r w:rsidRPr="00934AB0">
        <w:rPr>
          <w:rFonts w:ascii="Times New Roman" w:hAnsi="Times New Roman" w:cs="Times New Roman"/>
          <w:sz w:val="24"/>
          <w:szCs w:val="24"/>
          <w:u w:val="single"/>
        </w:rPr>
        <w:t>Sec</w:t>
      </w:r>
      <w:r w:rsidR="009763E5" w:rsidRPr="00934AB0">
        <w:rPr>
          <w:rFonts w:ascii="Times New Roman" w:hAnsi="Times New Roman" w:cs="Times New Roman"/>
          <w:sz w:val="24"/>
          <w:szCs w:val="24"/>
          <w:u w:val="single"/>
        </w:rPr>
        <w:t>tion </w:t>
      </w:r>
      <w:r w:rsidRPr="00934AB0">
        <w:rPr>
          <w:rFonts w:ascii="Times New Roman" w:hAnsi="Times New Roman" w:cs="Times New Roman"/>
          <w:sz w:val="24"/>
          <w:szCs w:val="24"/>
          <w:u w:val="single"/>
        </w:rPr>
        <w:t>2 – Commencement</w:t>
      </w:r>
    </w:p>
    <w:p w14:paraId="48A6CBE7" w14:textId="77777777" w:rsidR="004B5831" w:rsidRPr="00934AB0" w:rsidRDefault="004B5831" w:rsidP="00F15020">
      <w:pPr>
        <w:spacing w:after="0" w:line="240" w:lineRule="auto"/>
        <w:ind w:right="91"/>
        <w:rPr>
          <w:rFonts w:ascii="Times New Roman" w:eastAsia="SimSun" w:hAnsi="Times New Roman" w:cs="Times New Roman"/>
          <w:sz w:val="24"/>
          <w:szCs w:val="24"/>
        </w:rPr>
      </w:pPr>
    </w:p>
    <w:p w14:paraId="57BA14EC" w14:textId="75C5ACFA" w:rsidR="002753C5" w:rsidRPr="00934AB0" w:rsidRDefault="00710B53" w:rsidP="00212F19">
      <w:pPr>
        <w:pStyle w:val="ESclnotetext"/>
        <w:rPr>
          <w:u w:val="single"/>
        </w:rPr>
      </w:pPr>
      <w:r w:rsidRPr="00934AB0">
        <w:rPr>
          <w:rFonts w:eastAsia="SimSun"/>
        </w:rPr>
        <w:t>This section</w:t>
      </w:r>
      <w:r w:rsidR="002753C5" w:rsidRPr="00934AB0">
        <w:rPr>
          <w:rFonts w:eastAsia="SimSun"/>
        </w:rPr>
        <w:t xml:space="preserve"> </w:t>
      </w:r>
      <w:r w:rsidR="002753C5" w:rsidRPr="00934AB0">
        <w:t>provide</w:t>
      </w:r>
      <w:r w:rsidRPr="00934AB0">
        <w:t>s</w:t>
      </w:r>
      <w:r w:rsidR="002753C5" w:rsidRPr="00934AB0">
        <w:rPr>
          <w:rFonts w:eastAsia="SimSun"/>
        </w:rPr>
        <w:t xml:space="preserve"> for the whole of </w:t>
      </w:r>
      <w:r w:rsidR="009763E5" w:rsidRPr="00934AB0">
        <w:rPr>
          <w:rFonts w:eastAsia="SimSun"/>
        </w:rPr>
        <w:t xml:space="preserve">the instrument to commence on </w:t>
      </w:r>
      <w:r w:rsidR="004E7DBE">
        <w:rPr>
          <w:rFonts w:eastAsia="SimSun"/>
        </w:rPr>
        <w:t>the day after the instrument is registered</w:t>
      </w:r>
      <w:r w:rsidR="00C93D46">
        <w:rPr>
          <w:rFonts w:eastAsia="SimSun"/>
        </w:rPr>
        <w:t xml:space="preserve"> on the Federal Register of Legislation</w:t>
      </w:r>
      <w:r w:rsidR="009763E5" w:rsidRPr="00934AB0">
        <w:rPr>
          <w:rFonts w:eastAsia="SimSun"/>
        </w:rPr>
        <w:t>.</w:t>
      </w:r>
    </w:p>
    <w:p w14:paraId="4E264071" w14:textId="77777777" w:rsidR="00FF780A" w:rsidRPr="00FF780A" w:rsidRDefault="00FF780A" w:rsidP="00FF780A">
      <w:pPr>
        <w:tabs>
          <w:tab w:val="left" w:pos="6521"/>
        </w:tabs>
        <w:spacing w:after="0" w:line="240" w:lineRule="auto"/>
        <w:ind w:right="170"/>
        <w:rPr>
          <w:rFonts w:ascii="Times New Roman" w:hAnsi="Times New Roman" w:cs="Times New Roman"/>
          <w:sz w:val="24"/>
          <w:szCs w:val="24"/>
          <w:u w:val="single"/>
          <w:lang w:val="en-AU"/>
        </w:rPr>
      </w:pPr>
    </w:p>
    <w:p w14:paraId="105416B4" w14:textId="7453063A" w:rsidR="00C93D46" w:rsidRDefault="00FF780A" w:rsidP="00C93D46">
      <w:pPr>
        <w:tabs>
          <w:tab w:val="left" w:pos="6521"/>
        </w:tabs>
        <w:spacing w:after="0" w:line="240" w:lineRule="auto"/>
        <w:ind w:right="170"/>
        <w:rPr>
          <w:rFonts w:ascii="Times New Roman" w:hAnsi="Times New Roman" w:cs="Times New Roman"/>
          <w:sz w:val="24"/>
          <w:szCs w:val="24"/>
          <w:lang w:val="en-AU"/>
        </w:rPr>
      </w:pPr>
      <w:r w:rsidRPr="00FF780A">
        <w:rPr>
          <w:rFonts w:ascii="Times New Roman" w:hAnsi="Times New Roman" w:cs="Times New Roman"/>
          <w:sz w:val="24"/>
          <w:szCs w:val="24"/>
          <w:lang w:val="en-AU"/>
        </w:rPr>
        <w:t>The Regulations do not operate retrospectively and s</w:t>
      </w:r>
      <w:r>
        <w:rPr>
          <w:rFonts w:ascii="Times New Roman" w:hAnsi="Times New Roman" w:cs="Times New Roman"/>
          <w:sz w:val="24"/>
          <w:szCs w:val="24"/>
          <w:lang w:val="en-AU"/>
        </w:rPr>
        <w:t>ection</w:t>
      </w:r>
      <w:r w:rsidRPr="00FF780A">
        <w:rPr>
          <w:rFonts w:ascii="Times New Roman" w:hAnsi="Times New Roman" w:cs="Times New Roman"/>
          <w:sz w:val="24"/>
          <w:szCs w:val="24"/>
          <w:lang w:val="en-AU"/>
        </w:rPr>
        <w:t xml:space="preserve"> 12(2) of the </w:t>
      </w:r>
      <w:r w:rsidRPr="00FF780A">
        <w:rPr>
          <w:rFonts w:ascii="Times New Roman" w:hAnsi="Times New Roman" w:cs="Times New Roman"/>
          <w:i/>
          <w:sz w:val="24"/>
          <w:szCs w:val="24"/>
          <w:lang w:val="en-AU"/>
        </w:rPr>
        <w:t>Legislation Act 2003</w:t>
      </w:r>
      <w:r w:rsidRPr="00FF780A">
        <w:rPr>
          <w:rFonts w:ascii="Times New Roman" w:hAnsi="Times New Roman" w:cs="Times New Roman"/>
          <w:sz w:val="24"/>
          <w:szCs w:val="24"/>
          <w:lang w:val="en-AU"/>
        </w:rPr>
        <w:t xml:space="preserve"> (the Legislation Act) is not engaged. </w:t>
      </w:r>
      <w:r w:rsidR="00C93D46">
        <w:rPr>
          <w:rFonts w:ascii="Times New Roman" w:hAnsi="Times New Roman" w:cs="Times New Roman"/>
          <w:sz w:val="24"/>
          <w:szCs w:val="24"/>
          <w:lang w:val="en-AU"/>
        </w:rPr>
        <w:t>The</w:t>
      </w:r>
      <w:r w:rsidRPr="00FF780A">
        <w:rPr>
          <w:rFonts w:ascii="Times New Roman" w:hAnsi="Times New Roman" w:cs="Times New Roman"/>
          <w:sz w:val="24"/>
          <w:szCs w:val="24"/>
          <w:lang w:val="en-AU"/>
        </w:rPr>
        <w:t xml:space="preserve"> Regulations commence the day after they are registered, consistent with </w:t>
      </w:r>
      <w:r w:rsidR="00F503B5">
        <w:rPr>
          <w:rFonts w:ascii="Times New Roman" w:hAnsi="Times New Roman" w:cs="Times New Roman"/>
          <w:sz w:val="24"/>
          <w:szCs w:val="24"/>
          <w:lang w:val="en-AU"/>
        </w:rPr>
        <w:t>paragraph</w:t>
      </w:r>
      <w:r w:rsidR="00F503B5" w:rsidRPr="00FF780A">
        <w:rPr>
          <w:rFonts w:ascii="Times New Roman" w:hAnsi="Times New Roman" w:cs="Times New Roman"/>
          <w:sz w:val="24"/>
          <w:szCs w:val="24"/>
          <w:lang w:val="en-AU"/>
        </w:rPr>
        <w:t> </w:t>
      </w:r>
      <w:r w:rsidRPr="00FF780A">
        <w:rPr>
          <w:rFonts w:ascii="Times New Roman" w:hAnsi="Times New Roman" w:cs="Times New Roman"/>
          <w:sz w:val="24"/>
          <w:szCs w:val="24"/>
          <w:lang w:val="en-AU"/>
        </w:rPr>
        <w:t>12(1</w:t>
      </w:r>
      <w:proofErr w:type="gramStart"/>
      <w:r w:rsidRPr="00FF780A">
        <w:rPr>
          <w:rFonts w:ascii="Times New Roman" w:hAnsi="Times New Roman" w:cs="Times New Roman"/>
          <w:sz w:val="24"/>
          <w:szCs w:val="24"/>
          <w:lang w:val="en-AU"/>
        </w:rPr>
        <w:t>)(</w:t>
      </w:r>
      <w:proofErr w:type="gramEnd"/>
      <w:r w:rsidRPr="00FF780A">
        <w:rPr>
          <w:rFonts w:ascii="Times New Roman" w:hAnsi="Times New Roman" w:cs="Times New Roman"/>
          <w:sz w:val="24"/>
          <w:szCs w:val="24"/>
          <w:lang w:val="en-AU"/>
        </w:rPr>
        <w:t>a) of the Legislation Act</w:t>
      </w:r>
      <w:r w:rsidR="00C93D46">
        <w:rPr>
          <w:rFonts w:ascii="Times New Roman" w:hAnsi="Times New Roman" w:cs="Times New Roman"/>
          <w:sz w:val="24"/>
          <w:szCs w:val="24"/>
          <w:lang w:val="en-AU"/>
        </w:rPr>
        <w:t xml:space="preserve">, </w:t>
      </w:r>
      <w:r w:rsidR="00C93D46" w:rsidRPr="00C93D46">
        <w:rPr>
          <w:rFonts w:ascii="Times New Roman" w:hAnsi="Times New Roman" w:cs="Times New Roman"/>
          <w:sz w:val="24"/>
          <w:szCs w:val="24"/>
          <w:lang w:val="en-AU"/>
        </w:rPr>
        <w:t>which relevantly provides that a legislative instrument commences ‘at the start of the day after the instrument is registered’</w:t>
      </w:r>
      <w:r w:rsidRPr="00FF780A">
        <w:rPr>
          <w:rFonts w:ascii="Times New Roman" w:hAnsi="Times New Roman" w:cs="Times New Roman"/>
          <w:sz w:val="24"/>
          <w:szCs w:val="24"/>
          <w:lang w:val="en-AU"/>
        </w:rPr>
        <w:t xml:space="preserve">. </w:t>
      </w:r>
    </w:p>
    <w:p w14:paraId="34C426D9" w14:textId="77777777" w:rsidR="00C93D46" w:rsidRDefault="00C93D46" w:rsidP="00C93D46">
      <w:pPr>
        <w:tabs>
          <w:tab w:val="left" w:pos="6521"/>
        </w:tabs>
        <w:spacing w:after="0" w:line="240" w:lineRule="auto"/>
        <w:ind w:right="170"/>
        <w:rPr>
          <w:rFonts w:ascii="Times New Roman" w:hAnsi="Times New Roman" w:cs="Times New Roman"/>
          <w:sz w:val="24"/>
          <w:szCs w:val="24"/>
          <w:lang w:val="en-AU"/>
        </w:rPr>
      </w:pPr>
    </w:p>
    <w:p w14:paraId="2C831747" w14:textId="30485E76" w:rsidR="00FF780A" w:rsidRPr="00FF780A" w:rsidRDefault="00FF780A" w:rsidP="00C93D46">
      <w:pPr>
        <w:tabs>
          <w:tab w:val="left" w:pos="6521"/>
        </w:tabs>
        <w:spacing w:after="0" w:line="240" w:lineRule="auto"/>
        <w:ind w:right="170"/>
        <w:rPr>
          <w:rFonts w:ascii="Times New Roman" w:hAnsi="Times New Roman" w:cs="Times New Roman"/>
          <w:sz w:val="24"/>
          <w:szCs w:val="24"/>
          <w:lang w:val="en-AU"/>
        </w:rPr>
      </w:pPr>
      <w:r w:rsidRPr="00FF780A">
        <w:rPr>
          <w:rFonts w:ascii="Times New Roman" w:hAnsi="Times New Roman" w:cs="Times New Roman"/>
          <w:sz w:val="24"/>
          <w:szCs w:val="24"/>
          <w:lang w:val="en-AU"/>
        </w:rPr>
        <w:t xml:space="preserve">The Regulations are </w:t>
      </w:r>
      <w:r w:rsidR="00C93D46">
        <w:rPr>
          <w:rFonts w:ascii="Times New Roman" w:hAnsi="Times New Roman" w:cs="Times New Roman"/>
          <w:sz w:val="24"/>
          <w:szCs w:val="24"/>
          <w:lang w:val="en-AU"/>
        </w:rPr>
        <w:t xml:space="preserve">also </w:t>
      </w:r>
      <w:r w:rsidRPr="00FF780A">
        <w:rPr>
          <w:rFonts w:ascii="Times New Roman" w:hAnsi="Times New Roman" w:cs="Times New Roman"/>
          <w:sz w:val="24"/>
          <w:szCs w:val="24"/>
          <w:lang w:val="en-AU"/>
        </w:rPr>
        <w:t xml:space="preserve">not retrospective in the extended sense as they do not operate to defeat a reasonable expectation concerning an existing right. </w:t>
      </w:r>
      <w:r w:rsidR="00C93D46">
        <w:rPr>
          <w:rFonts w:ascii="Times New Roman" w:hAnsi="Times New Roman" w:cs="Times New Roman"/>
          <w:sz w:val="24"/>
          <w:szCs w:val="24"/>
          <w:lang w:val="en-AU"/>
        </w:rPr>
        <w:t>Instead</w:t>
      </w:r>
      <w:r w:rsidRPr="00FF780A">
        <w:rPr>
          <w:rFonts w:ascii="Times New Roman" w:hAnsi="Times New Roman" w:cs="Times New Roman"/>
          <w:sz w:val="24"/>
          <w:szCs w:val="24"/>
          <w:lang w:val="en-AU"/>
        </w:rPr>
        <w:t>, regulation 2.12FA operates to create a new legal entitlement, albeit based on an event that at least in some cases will have occurred before the Regulations commence</w:t>
      </w:r>
      <w:r w:rsidR="00F503B5">
        <w:rPr>
          <w:rFonts w:ascii="Times New Roman" w:hAnsi="Times New Roman" w:cs="Times New Roman"/>
          <w:sz w:val="24"/>
          <w:szCs w:val="24"/>
          <w:lang w:val="en-AU"/>
        </w:rPr>
        <w:t xml:space="preserve"> – </w:t>
      </w:r>
      <w:proofErr w:type="spellStart"/>
      <w:r w:rsidR="00F503B5">
        <w:rPr>
          <w:rFonts w:ascii="Times New Roman" w:hAnsi="Times New Roman" w:cs="Times New Roman"/>
          <w:sz w:val="24"/>
          <w:szCs w:val="24"/>
          <w:lang w:val="en-AU"/>
        </w:rPr>
        <w:t>ie</w:t>
      </w:r>
      <w:proofErr w:type="spellEnd"/>
      <w:r w:rsidR="00F503B5">
        <w:rPr>
          <w:rFonts w:ascii="Times New Roman" w:hAnsi="Times New Roman" w:cs="Times New Roman"/>
          <w:sz w:val="24"/>
          <w:szCs w:val="24"/>
          <w:lang w:val="en-AU"/>
        </w:rPr>
        <w:t>.</w:t>
      </w:r>
      <w:r w:rsidRPr="00FF780A">
        <w:rPr>
          <w:rFonts w:ascii="Times New Roman" w:hAnsi="Times New Roman" w:cs="Times New Roman"/>
          <w:sz w:val="24"/>
          <w:szCs w:val="24"/>
          <w:lang w:val="en-AU"/>
        </w:rPr>
        <w:t xml:space="preserve"> </w:t>
      </w:r>
      <w:proofErr w:type="gramStart"/>
      <w:r w:rsidR="00C93D46">
        <w:rPr>
          <w:rFonts w:ascii="Times New Roman" w:hAnsi="Times New Roman" w:cs="Times New Roman"/>
          <w:sz w:val="24"/>
          <w:szCs w:val="24"/>
          <w:lang w:val="en-AU"/>
        </w:rPr>
        <w:t>where</w:t>
      </w:r>
      <w:proofErr w:type="gramEnd"/>
      <w:r w:rsidR="00C93D46" w:rsidRPr="00FF780A">
        <w:rPr>
          <w:rFonts w:ascii="Times New Roman" w:hAnsi="Times New Roman" w:cs="Times New Roman"/>
          <w:sz w:val="24"/>
          <w:szCs w:val="24"/>
          <w:lang w:val="en-AU"/>
        </w:rPr>
        <w:t xml:space="preserve"> </w:t>
      </w:r>
      <w:r w:rsidR="00C93D46">
        <w:rPr>
          <w:rFonts w:ascii="Times New Roman" w:hAnsi="Times New Roman" w:cs="Times New Roman"/>
          <w:sz w:val="24"/>
          <w:szCs w:val="24"/>
          <w:lang w:val="en-AU"/>
        </w:rPr>
        <w:t>paragraph</w:t>
      </w:r>
      <w:r w:rsidR="00C93D46" w:rsidRPr="00FF780A">
        <w:rPr>
          <w:rFonts w:ascii="Times New Roman" w:hAnsi="Times New Roman" w:cs="Times New Roman"/>
          <w:sz w:val="24"/>
          <w:szCs w:val="24"/>
          <w:lang w:val="en-AU"/>
        </w:rPr>
        <w:t> </w:t>
      </w:r>
      <w:r w:rsidRPr="00FF780A">
        <w:rPr>
          <w:rFonts w:ascii="Times New Roman" w:hAnsi="Times New Roman" w:cs="Times New Roman"/>
          <w:sz w:val="24"/>
          <w:szCs w:val="24"/>
          <w:lang w:val="en-AU"/>
        </w:rPr>
        <w:t xml:space="preserve">2.12FA(1)(a) </w:t>
      </w:r>
      <w:r w:rsidR="00C93D46">
        <w:rPr>
          <w:rFonts w:ascii="Times New Roman" w:hAnsi="Times New Roman" w:cs="Times New Roman"/>
          <w:sz w:val="24"/>
          <w:szCs w:val="24"/>
          <w:lang w:val="en-AU"/>
        </w:rPr>
        <w:t>operates to extend regulation 2.12FA</w:t>
      </w:r>
      <w:r w:rsidR="00C93D46" w:rsidRPr="00FF780A">
        <w:rPr>
          <w:rFonts w:ascii="Times New Roman" w:hAnsi="Times New Roman" w:cs="Times New Roman"/>
          <w:sz w:val="24"/>
          <w:szCs w:val="24"/>
          <w:lang w:val="en-AU"/>
        </w:rPr>
        <w:t xml:space="preserve"> </w:t>
      </w:r>
      <w:r w:rsidRPr="00FF780A">
        <w:rPr>
          <w:rFonts w:ascii="Times New Roman" w:hAnsi="Times New Roman" w:cs="Times New Roman"/>
          <w:sz w:val="24"/>
          <w:szCs w:val="24"/>
          <w:lang w:val="en-AU"/>
        </w:rPr>
        <w:t>in relation to any application for a Student (Temporary) (Class</w:t>
      </w:r>
      <w:r w:rsidR="009D3A3E">
        <w:rPr>
          <w:rFonts w:ascii="Times New Roman" w:hAnsi="Times New Roman" w:cs="Times New Roman"/>
          <w:sz w:val="24"/>
          <w:szCs w:val="24"/>
          <w:lang w:val="en-AU"/>
        </w:rPr>
        <w:t> </w:t>
      </w:r>
      <w:r w:rsidRPr="00FF780A">
        <w:rPr>
          <w:rFonts w:ascii="Times New Roman" w:hAnsi="Times New Roman" w:cs="Times New Roman"/>
          <w:sz w:val="24"/>
          <w:szCs w:val="24"/>
          <w:lang w:val="en-AU"/>
        </w:rPr>
        <w:t>TU) visa made on or after 1 July 2024.</w:t>
      </w:r>
    </w:p>
    <w:p w14:paraId="3F6F41EB" w14:textId="77777777" w:rsidR="00F15020" w:rsidRPr="00934AB0" w:rsidRDefault="00F15020" w:rsidP="00F15020">
      <w:pPr>
        <w:tabs>
          <w:tab w:val="left" w:pos="6521"/>
        </w:tabs>
        <w:spacing w:after="0" w:line="240" w:lineRule="auto"/>
        <w:ind w:right="170"/>
        <w:rPr>
          <w:rFonts w:ascii="Times New Roman" w:hAnsi="Times New Roman" w:cs="Times New Roman"/>
          <w:sz w:val="24"/>
          <w:szCs w:val="24"/>
          <w:u w:val="single"/>
        </w:rPr>
      </w:pPr>
    </w:p>
    <w:p w14:paraId="18C18983" w14:textId="0FC87DBE" w:rsidR="002753C5" w:rsidRPr="00934AB0" w:rsidRDefault="009763E5" w:rsidP="00F15020">
      <w:pPr>
        <w:tabs>
          <w:tab w:val="left" w:pos="6521"/>
        </w:tabs>
        <w:spacing w:after="0" w:line="240" w:lineRule="auto"/>
        <w:ind w:right="170"/>
        <w:rPr>
          <w:rFonts w:ascii="Times New Roman" w:hAnsi="Times New Roman" w:cs="Times New Roman"/>
          <w:sz w:val="24"/>
          <w:szCs w:val="24"/>
          <w:u w:val="single"/>
        </w:rPr>
      </w:pPr>
      <w:r w:rsidRPr="00934AB0">
        <w:rPr>
          <w:rFonts w:ascii="Times New Roman" w:hAnsi="Times New Roman" w:cs="Times New Roman"/>
          <w:sz w:val="24"/>
          <w:szCs w:val="24"/>
          <w:u w:val="single"/>
        </w:rPr>
        <w:t>Section </w:t>
      </w:r>
      <w:r w:rsidR="002753C5" w:rsidRPr="00934AB0">
        <w:rPr>
          <w:rFonts w:ascii="Times New Roman" w:hAnsi="Times New Roman" w:cs="Times New Roman"/>
          <w:sz w:val="24"/>
          <w:szCs w:val="24"/>
          <w:u w:val="single"/>
        </w:rPr>
        <w:t>3 – Authority</w:t>
      </w:r>
    </w:p>
    <w:p w14:paraId="1F9CBD64" w14:textId="77777777" w:rsidR="004B5831" w:rsidRPr="00934AB0" w:rsidRDefault="004B5831" w:rsidP="00F15020">
      <w:pPr>
        <w:spacing w:after="0" w:line="240" w:lineRule="auto"/>
        <w:rPr>
          <w:rFonts w:ascii="Times New Roman" w:eastAsia="SimSun" w:hAnsi="Times New Roman" w:cs="Times New Roman"/>
          <w:sz w:val="24"/>
          <w:szCs w:val="24"/>
        </w:rPr>
      </w:pPr>
    </w:p>
    <w:p w14:paraId="4ED009F4" w14:textId="0F96F392" w:rsidR="002753C5" w:rsidRPr="00934AB0" w:rsidRDefault="002753C5" w:rsidP="00212F19">
      <w:pPr>
        <w:pStyle w:val="ESclnotetext"/>
        <w:rPr>
          <w:rFonts w:eastAsia="SimSun"/>
        </w:rPr>
      </w:pPr>
      <w:r w:rsidRPr="00934AB0">
        <w:rPr>
          <w:rFonts w:eastAsia="SimSun"/>
        </w:rPr>
        <w:t xml:space="preserve">This section </w:t>
      </w:r>
      <w:r w:rsidRPr="00934AB0">
        <w:t>provide</w:t>
      </w:r>
      <w:r w:rsidR="00710B53" w:rsidRPr="00934AB0">
        <w:t>s</w:t>
      </w:r>
      <w:r w:rsidRPr="00934AB0">
        <w:rPr>
          <w:rFonts w:eastAsia="SimSun"/>
        </w:rPr>
        <w:t xml:space="preserve"> that the instrument is made under the </w:t>
      </w:r>
      <w:r w:rsidR="009763E5" w:rsidRPr="00934AB0">
        <w:rPr>
          <w:rFonts w:eastAsia="SimSun"/>
          <w:i/>
          <w:iCs/>
        </w:rPr>
        <w:t>Migration Act </w:t>
      </w:r>
      <w:r w:rsidRPr="00934AB0">
        <w:rPr>
          <w:rFonts w:eastAsia="SimSun"/>
          <w:i/>
          <w:iCs/>
        </w:rPr>
        <w:t xml:space="preserve">1958 </w:t>
      </w:r>
      <w:r w:rsidR="00187CA3">
        <w:rPr>
          <w:rFonts w:eastAsia="SimSun"/>
        </w:rPr>
        <w:t>(the Migration </w:t>
      </w:r>
      <w:r w:rsidRPr="00934AB0">
        <w:rPr>
          <w:rFonts w:eastAsia="SimSun"/>
        </w:rPr>
        <w:t>Act).</w:t>
      </w:r>
    </w:p>
    <w:p w14:paraId="3132628C" w14:textId="77777777" w:rsidR="00F15020" w:rsidRPr="00934AB0" w:rsidRDefault="00F15020" w:rsidP="00F15020">
      <w:pPr>
        <w:spacing w:after="0" w:line="240" w:lineRule="auto"/>
        <w:rPr>
          <w:rFonts w:ascii="Times New Roman" w:eastAsia="SimSun" w:hAnsi="Times New Roman" w:cs="Times New Roman"/>
          <w:sz w:val="24"/>
          <w:szCs w:val="24"/>
          <w:u w:val="single"/>
        </w:rPr>
      </w:pPr>
    </w:p>
    <w:p w14:paraId="03BED159" w14:textId="357A7494" w:rsidR="002753C5" w:rsidRPr="00934AB0" w:rsidRDefault="009763E5" w:rsidP="00F15020">
      <w:pPr>
        <w:spacing w:after="0" w:line="240" w:lineRule="auto"/>
        <w:rPr>
          <w:rFonts w:ascii="Times New Roman" w:eastAsia="SimSun" w:hAnsi="Times New Roman" w:cs="Times New Roman"/>
          <w:sz w:val="24"/>
          <w:szCs w:val="24"/>
          <w:u w:val="single"/>
        </w:rPr>
      </w:pPr>
      <w:r w:rsidRPr="00934AB0">
        <w:rPr>
          <w:rFonts w:ascii="Times New Roman" w:eastAsia="SimSun" w:hAnsi="Times New Roman" w:cs="Times New Roman"/>
          <w:sz w:val="24"/>
          <w:szCs w:val="24"/>
          <w:u w:val="single"/>
        </w:rPr>
        <w:t>Section </w:t>
      </w:r>
      <w:r w:rsidR="002753C5" w:rsidRPr="00934AB0">
        <w:rPr>
          <w:rFonts w:ascii="Times New Roman" w:eastAsia="SimSun" w:hAnsi="Times New Roman" w:cs="Times New Roman"/>
          <w:sz w:val="24"/>
          <w:szCs w:val="24"/>
          <w:u w:val="single"/>
        </w:rPr>
        <w:t>4</w:t>
      </w:r>
      <w:r w:rsidR="002753C5" w:rsidRPr="00934AB0">
        <w:rPr>
          <w:rFonts w:ascii="Times New Roman" w:hAnsi="Times New Roman" w:cs="Times New Roman"/>
          <w:sz w:val="24"/>
          <w:szCs w:val="24"/>
          <w:u w:val="single"/>
        </w:rPr>
        <w:t xml:space="preserve"> – </w:t>
      </w:r>
      <w:r w:rsidR="002753C5" w:rsidRPr="00934AB0">
        <w:rPr>
          <w:rFonts w:ascii="Times New Roman" w:eastAsia="SimSun" w:hAnsi="Times New Roman" w:cs="Times New Roman"/>
          <w:sz w:val="24"/>
          <w:szCs w:val="24"/>
          <w:u w:val="single"/>
        </w:rPr>
        <w:t>Schedules</w:t>
      </w:r>
    </w:p>
    <w:p w14:paraId="2EDB8589" w14:textId="77777777" w:rsidR="004B5831" w:rsidRPr="00934AB0" w:rsidRDefault="004B5831" w:rsidP="00F15020">
      <w:pPr>
        <w:spacing w:after="0" w:line="240" w:lineRule="auto"/>
        <w:rPr>
          <w:rFonts w:ascii="Times New Roman" w:hAnsi="Times New Roman" w:cs="Times New Roman"/>
          <w:sz w:val="24"/>
          <w:szCs w:val="24"/>
        </w:rPr>
      </w:pPr>
    </w:p>
    <w:p w14:paraId="153628E7" w14:textId="77777777" w:rsidR="00906427" w:rsidRPr="00934AB0" w:rsidRDefault="002753C5" w:rsidP="00212F19">
      <w:pPr>
        <w:pStyle w:val="ESclnotetext"/>
      </w:pPr>
      <w:r w:rsidRPr="00934AB0">
        <w:t>This section provide</w:t>
      </w:r>
      <w:r w:rsidR="00710B53" w:rsidRPr="00934AB0">
        <w:t>s</w:t>
      </w:r>
      <w:r w:rsidRPr="00934AB0">
        <w:t xml:space="preserve"> </w:t>
      </w:r>
      <w:r w:rsidR="00906427" w:rsidRPr="00934AB0">
        <w:t>that each instrument that is specified in a Schedule to this instrument is amended or repealed as set out in the applicable items in the Schedule concerned, and any other item in a Schedule to this instrument has effect according to its terms.</w:t>
      </w:r>
    </w:p>
    <w:p w14:paraId="59CBE096" w14:textId="77777777" w:rsidR="00906427" w:rsidRPr="00934AB0" w:rsidRDefault="00906427" w:rsidP="00212F19">
      <w:pPr>
        <w:pStyle w:val="ESclnotetext"/>
      </w:pPr>
    </w:p>
    <w:p w14:paraId="74D55129" w14:textId="3E11FF9F" w:rsidR="002753C5" w:rsidRPr="00934AB0" w:rsidRDefault="00906427" w:rsidP="00212F19">
      <w:pPr>
        <w:pStyle w:val="ESclnotetext"/>
      </w:pPr>
      <w:r w:rsidRPr="00934AB0">
        <w:t xml:space="preserve">The instrument that is amended is the </w:t>
      </w:r>
      <w:r w:rsidRPr="00934AB0">
        <w:rPr>
          <w:i/>
        </w:rPr>
        <w:t>Migration Regulations 1994</w:t>
      </w:r>
      <w:r w:rsidRPr="00934AB0">
        <w:t xml:space="preserve"> (the </w:t>
      </w:r>
      <w:r w:rsidR="00B27599">
        <w:t>Migration</w:t>
      </w:r>
      <w:r w:rsidR="00B27599" w:rsidRPr="00934AB0">
        <w:t xml:space="preserve"> </w:t>
      </w:r>
      <w:r w:rsidRPr="00934AB0">
        <w:t>Regulations).</w:t>
      </w:r>
    </w:p>
    <w:p w14:paraId="21B913DB" w14:textId="77777777" w:rsidR="00F15020" w:rsidRPr="00934AB0" w:rsidRDefault="00F15020" w:rsidP="00F15020">
      <w:pPr>
        <w:spacing w:after="0" w:line="240" w:lineRule="auto"/>
        <w:rPr>
          <w:rFonts w:ascii="Times New Roman" w:hAnsi="Times New Roman" w:cs="Times New Roman"/>
          <w:b/>
          <w:sz w:val="24"/>
          <w:szCs w:val="24"/>
          <w:u w:val="single"/>
        </w:rPr>
      </w:pPr>
    </w:p>
    <w:p w14:paraId="2383B022" w14:textId="77777777" w:rsidR="00937544" w:rsidRDefault="00937544" w:rsidP="00692818">
      <w:pPr>
        <w:keepNext/>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6977A45" w14:textId="354E9A56" w:rsidR="002753C5" w:rsidRPr="00934AB0" w:rsidRDefault="009763E5" w:rsidP="009D3A3E">
      <w:pPr>
        <w:keepNext/>
        <w:spacing w:after="0" w:line="240" w:lineRule="auto"/>
        <w:rPr>
          <w:rFonts w:ascii="Times New Roman" w:hAnsi="Times New Roman" w:cs="Times New Roman"/>
          <w:b/>
          <w:sz w:val="24"/>
          <w:szCs w:val="24"/>
          <w:u w:val="single"/>
        </w:rPr>
      </w:pPr>
      <w:r w:rsidRPr="00934AB0">
        <w:rPr>
          <w:rFonts w:ascii="Times New Roman" w:hAnsi="Times New Roman" w:cs="Times New Roman"/>
          <w:b/>
          <w:sz w:val="24"/>
          <w:szCs w:val="24"/>
          <w:u w:val="single"/>
        </w:rPr>
        <w:t>Schedule </w:t>
      </w:r>
      <w:r w:rsidR="002753C5" w:rsidRPr="00934AB0">
        <w:rPr>
          <w:rFonts w:ascii="Times New Roman" w:hAnsi="Times New Roman" w:cs="Times New Roman"/>
          <w:b/>
          <w:sz w:val="24"/>
          <w:szCs w:val="24"/>
          <w:u w:val="single"/>
        </w:rPr>
        <w:t xml:space="preserve">1 – Amendments </w:t>
      </w:r>
    </w:p>
    <w:p w14:paraId="620DC42D" w14:textId="77777777" w:rsidR="00F15020" w:rsidRPr="00934AB0" w:rsidRDefault="00F15020" w:rsidP="009D3A3E">
      <w:pPr>
        <w:pStyle w:val="ESclnotetext"/>
        <w:keepNext/>
      </w:pPr>
    </w:p>
    <w:p w14:paraId="3D5C6780" w14:textId="784A2432" w:rsidR="002753C5" w:rsidRPr="00934AB0" w:rsidRDefault="002753C5" w:rsidP="00F15020">
      <w:pPr>
        <w:spacing w:after="0" w:line="240" w:lineRule="auto"/>
        <w:rPr>
          <w:rFonts w:ascii="Times New Roman" w:hAnsi="Times New Roman" w:cs="Times New Roman"/>
          <w:b/>
          <w:i/>
          <w:sz w:val="24"/>
          <w:szCs w:val="24"/>
        </w:rPr>
      </w:pPr>
      <w:r w:rsidRPr="00934AB0">
        <w:rPr>
          <w:rFonts w:ascii="Times New Roman" w:hAnsi="Times New Roman" w:cs="Times New Roman"/>
          <w:b/>
          <w:i/>
          <w:sz w:val="24"/>
          <w:szCs w:val="24"/>
        </w:rPr>
        <w:t>Migration Regulations 1994</w:t>
      </w:r>
    </w:p>
    <w:p w14:paraId="080CDF2D" w14:textId="77777777" w:rsidR="00F15020" w:rsidRPr="00934AB0" w:rsidRDefault="00F15020" w:rsidP="00E92F8E">
      <w:pPr>
        <w:pStyle w:val="ESclnotetext"/>
      </w:pPr>
    </w:p>
    <w:p w14:paraId="55E087A5" w14:textId="77777777" w:rsidR="000C010E" w:rsidRPr="0012058E" w:rsidRDefault="000C010E" w:rsidP="000C010E">
      <w:pPr>
        <w:pStyle w:val="ItemHead"/>
        <w:spacing w:before="0"/>
        <w:rPr>
          <w:rFonts w:ascii="Times New Roman" w:hAnsi="Times New Roman"/>
        </w:rPr>
      </w:pPr>
      <w:r w:rsidRPr="0012058E">
        <w:rPr>
          <w:rFonts w:ascii="Times New Roman" w:hAnsi="Times New Roman"/>
        </w:rPr>
        <w:t>Item [1]</w:t>
      </w:r>
      <w:r w:rsidRPr="000C6351">
        <w:rPr>
          <w:rFonts w:ascii="Times New Roman" w:hAnsi="Times New Roman"/>
        </w:rPr>
        <w:t xml:space="preserve"> – </w:t>
      </w:r>
      <w:r w:rsidRPr="0012058E">
        <w:rPr>
          <w:rFonts w:ascii="Times New Roman" w:hAnsi="Times New Roman"/>
        </w:rPr>
        <w:t>At the end of regulation 2.12F</w:t>
      </w:r>
    </w:p>
    <w:p w14:paraId="62263994" w14:textId="77777777" w:rsidR="00623DA4" w:rsidRPr="00934AB0" w:rsidRDefault="00623DA4" w:rsidP="00623DA4">
      <w:pPr>
        <w:tabs>
          <w:tab w:val="left" w:pos="345"/>
        </w:tabs>
        <w:spacing w:after="0" w:line="240" w:lineRule="auto"/>
        <w:ind w:right="662"/>
        <w:rPr>
          <w:rFonts w:ascii="Times New Roman" w:eastAsiaTheme="minorEastAsia" w:hAnsi="Times New Roman" w:cs="Times New Roman"/>
          <w:bCs/>
          <w:kern w:val="28"/>
          <w:sz w:val="24"/>
          <w:szCs w:val="24"/>
          <w:lang w:val="en-AU" w:eastAsia="en-AU"/>
        </w:rPr>
      </w:pPr>
    </w:p>
    <w:p w14:paraId="45291E54" w14:textId="050103EB" w:rsidR="000C010E" w:rsidRPr="000C010E" w:rsidRDefault="000C010E" w:rsidP="00212F19">
      <w:pPr>
        <w:pStyle w:val="ESclnotetext"/>
      </w:pPr>
      <w:r w:rsidRPr="000C010E">
        <w:t>This item insert</w:t>
      </w:r>
      <w:r>
        <w:t>s</w:t>
      </w:r>
      <w:r w:rsidRPr="000C010E">
        <w:t xml:space="preserve"> new </w:t>
      </w:r>
      <w:proofErr w:type="spellStart"/>
      <w:r w:rsidRPr="000C010E">
        <w:t>subregulation</w:t>
      </w:r>
      <w:proofErr w:type="spellEnd"/>
      <w:r w:rsidRPr="000C010E">
        <w:t> </w:t>
      </w:r>
      <w:proofErr w:type="gramStart"/>
      <w:r w:rsidRPr="000C010E">
        <w:t>2.12F(</w:t>
      </w:r>
      <w:proofErr w:type="gramEnd"/>
      <w:r w:rsidRPr="000C010E">
        <w:t>9) in regulation 2.12F</w:t>
      </w:r>
      <w:r w:rsidR="00212F19">
        <w:t xml:space="preserve"> of the Migration Regulations. Regulation 2.12F</w:t>
      </w:r>
      <w:r w:rsidRPr="000C010E">
        <w:t xml:space="preserve"> deals with refunds of the first instalment of the visa application charge (VAC). </w:t>
      </w:r>
      <w:r w:rsidR="00212F19">
        <w:t xml:space="preserve">New </w:t>
      </w:r>
      <w:proofErr w:type="spellStart"/>
      <w:r w:rsidR="00212F19">
        <w:t>s</w:t>
      </w:r>
      <w:r w:rsidRPr="000C010E">
        <w:t>ubregulation</w:t>
      </w:r>
      <w:proofErr w:type="spellEnd"/>
      <w:r w:rsidRPr="000C010E">
        <w:t xml:space="preserve"> 2.12F(9) provide</w:t>
      </w:r>
      <w:r>
        <w:t>s</w:t>
      </w:r>
      <w:r w:rsidRPr="000C010E">
        <w:t xml:space="preserve"> that if an amount paid in relation to an application for a visa is refunded as a partial refund under regulation 2.12FA (as inserted by item [2] of the Regulations), the amount that would be payable under regulation 2.12F is to be reduced by an amount equal to the amount of the partial refund.</w:t>
      </w:r>
    </w:p>
    <w:p w14:paraId="557D596D" w14:textId="77777777" w:rsidR="000C010E" w:rsidRPr="000C010E" w:rsidRDefault="000C010E" w:rsidP="00212F19">
      <w:pPr>
        <w:pStyle w:val="ESclnotetext"/>
      </w:pPr>
    </w:p>
    <w:p w14:paraId="44DC8D6E" w14:textId="7E46C0F6" w:rsidR="000C010E" w:rsidRPr="000C010E" w:rsidRDefault="000C010E" w:rsidP="00212F19">
      <w:pPr>
        <w:pStyle w:val="ESclnotetext"/>
      </w:pPr>
      <w:r w:rsidRPr="000C010E">
        <w:t xml:space="preserve">The effect of this provision </w:t>
      </w:r>
      <w:r>
        <w:t>is</w:t>
      </w:r>
      <w:r w:rsidRPr="000C010E">
        <w:t xml:space="preserve"> to ensure that if a person is paid a partial refund of the VAC under regulation 2.12FA, any VAC refund that may be available under regulation 2.12F is limited to the amount that has not already been refunded to the payer under regulation</w:t>
      </w:r>
      <w:r w:rsidR="00212F19">
        <w:t> </w:t>
      </w:r>
      <w:r w:rsidRPr="000C010E">
        <w:t>2.12FA.</w:t>
      </w:r>
    </w:p>
    <w:p w14:paraId="5C2A7ED7" w14:textId="77777777" w:rsidR="000C010E" w:rsidRPr="000C010E" w:rsidRDefault="000C010E" w:rsidP="00212F19">
      <w:pPr>
        <w:pStyle w:val="ESclnotetext"/>
      </w:pPr>
    </w:p>
    <w:p w14:paraId="730A7269" w14:textId="2C6782C5" w:rsidR="000C010E" w:rsidRPr="000C010E" w:rsidRDefault="000C010E" w:rsidP="00212F19">
      <w:pPr>
        <w:pStyle w:val="ESclnotetext"/>
        <w:rPr>
          <w:i/>
          <w:iCs/>
        </w:rPr>
      </w:pPr>
      <w:r w:rsidRPr="000C010E">
        <w:t xml:space="preserve">In this way, regulation 2.12FA and </w:t>
      </w:r>
      <w:proofErr w:type="spellStart"/>
      <w:r w:rsidRPr="000C010E">
        <w:t>subregulation</w:t>
      </w:r>
      <w:proofErr w:type="spellEnd"/>
      <w:r w:rsidRPr="000C010E">
        <w:t xml:space="preserve"> 2.12F(9) work together to ensure that a person may be paid a partial or full refund of the VAC in certain circumstances, but not an amount greater than the VAC that was originally paid when making the visa application. </w:t>
      </w:r>
    </w:p>
    <w:p w14:paraId="70EC8195" w14:textId="77777777" w:rsidR="000C010E" w:rsidRDefault="008A036D" w:rsidP="000C010E">
      <w:pPr>
        <w:tabs>
          <w:tab w:val="left" w:pos="345"/>
        </w:tabs>
        <w:spacing w:after="0" w:line="240" w:lineRule="auto"/>
        <w:ind w:right="662"/>
        <w:rPr>
          <w:rFonts w:ascii="Times New Roman" w:eastAsiaTheme="minorEastAsia" w:hAnsi="Times New Roman" w:cs="Times New Roman"/>
          <w:bCs/>
          <w:kern w:val="28"/>
          <w:sz w:val="24"/>
          <w:szCs w:val="24"/>
          <w:lang w:val="en-AU" w:eastAsia="en-AU"/>
        </w:rPr>
      </w:pPr>
      <w:r w:rsidRPr="008A036D">
        <w:rPr>
          <w:rFonts w:ascii="Times New Roman" w:eastAsiaTheme="minorEastAsia" w:hAnsi="Times New Roman" w:cs="Times New Roman"/>
          <w:bCs/>
          <w:kern w:val="28"/>
          <w:sz w:val="24"/>
          <w:szCs w:val="24"/>
          <w:lang w:val="en-AU" w:eastAsia="en-AU"/>
        </w:rPr>
        <w:t xml:space="preserve"> </w:t>
      </w:r>
    </w:p>
    <w:p w14:paraId="256781C1" w14:textId="77777777" w:rsidR="000C010E" w:rsidRPr="000C010E" w:rsidRDefault="000C010E" w:rsidP="000C010E">
      <w:pPr>
        <w:tabs>
          <w:tab w:val="left" w:pos="345"/>
        </w:tabs>
        <w:spacing w:after="0" w:line="240" w:lineRule="auto"/>
        <w:ind w:right="662"/>
        <w:rPr>
          <w:rFonts w:ascii="Times New Roman" w:hAnsi="Times New Roman" w:cs="Times New Roman"/>
          <w:b/>
          <w:bCs/>
          <w:sz w:val="24"/>
          <w:szCs w:val="24"/>
          <w:lang w:val="en-AU"/>
        </w:rPr>
      </w:pPr>
      <w:r w:rsidRPr="000C010E">
        <w:rPr>
          <w:rFonts w:ascii="Times New Roman" w:hAnsi="Times New Roman" w:cs="Times New Roman"/>
          <w:b/>
          <w:bCs/>
          <w:sz w:val="24"/>
          <w:szCs w:val="24"/>
          <w:lang w:val="en-AU"/>
        </w:rPr>
        <w:t>Item [2] – After regulation 2.12F</w:t>
      </w:r>
    </w:p>
    <w:p w14:paraId="0EE99BD6" w14:textId="77777777" w:rsidR="000C010E" w:rsidRPr="000C010E" w:rsidRDefault="000C010E" w:rsidP="000C010E">
      <w:pPr>
        <w:tabs>
          <w:tab w:val="left" w:pos="345"/>
        </w:tabs>
        <w:spacing w:after="0" w:line="240" w:lineRule="auto"/>
        <w:ind w:right="662"/>
        <w:rPr>
          <w:rFonts w:ascii="Times New Roman" w:hAnsi="Times New Roman" w:cs="Times New Roman"/>
          <w:b/>
          <w:iCs/>
          <w:sz w:val="24"/>
          <w:szCs w:val="24"/>
          <w:lang w:val="en-AU"/>
        </w:rPr>
      </w:pPr>
    </w:p>
    <w:p w14:paraId="330C2899" w14:textId="72795373" w:rsidR="000C010E" w:rsidRPr="000C010E" w:rsidRDefault="000C010E" w:rsidP="00212F19">
      <w:pPr>
        <w:pStyle w:val="ESclnotetext"/>
      </w:pPr>
      <w:r w:rsidRPr="000C010E">
        <w:t>This item insert</w:t>
      </w:r>
      <w:r w:rsidR="00323E17">
        <w:t>s</w:t>
      </w:r>
      <w:r w:rsidRPr="000C010E">
        <w:t xml:space="preserve"> new regulation 2.12FA in Division 2.2A of the Migration Regulations to provide for a partial refund of the VAC paid </w:t>
      </w:r>
      <w:r w:rsidR="006409E8">
        <w:t>in relation to</w:t>
      </w:r>
      <w:r w:rsidR="006409E8" w:rsidRPr="000C010E">
        <w:t xml:space="preserve"> </w:t>
      </w:r>
      <w:r w:rsidRPr="000C010E">
        <w:t xml:space="preserve">a Student (Temporary) (Class TU) </w:t>
      </w:r>
      <w:r w:rsidR="00C80675">
        <w:t xml:space="preserve">visa </w:t>
      </w:r>
      <w:r w:rsidRPr="000C010E">
        <w:t>application</w:t>
      </w:r>
      <w:r w:rsidR="006409E8">
        <w:t>,</w:t>
      </w:r>
      <w:r w:rsidRPr="000C010E">
        <w:t xml:space="preserve"> to be payable in certain circumstances. </w:t>
      </w:r>
    </w:p>
    <w:p w14:paraId="747E56D6" w14:textId="77777777" w:rsidR="000C010E" w:rsidRPr="000C010E" w:rsidRDefault="000C010E" w:rsidP="00212F19">
      <w:pPr>
        <w:pStyle w:val="ESclnotetext"/>
      </w:pPr>
    </w:p>
    <w:p w14:paraId="2DD6471B" w14:textId="39494BD0" w:rsidR="000C010E" w:rsidRPr="000C010E" w:rsidRDefault="000C010E" w:rsidP="00212F19">
      <w:pPr>
        <w:pStyle w:val="ESclnotetext"/>
      </w:pPr>
      <w:proofErr w:type="spellStart"/>
      <w:r w:rsidRPr="000C010E">
        <w:t>Subregulation</w:t>
      </w:r>
      <w:proofErr w:type="spellEnd"/>
      <w:r w:rsidRPr="000C010E">
        <w:t> 2.12FA(1) provide</w:t>
      </w:r>
      <w:r w:rsidR="00323E17">
        <w:t>s</w:t>
      </w:r>
      <w:r w:rsidRPr="000C010E">
        <w:t xml:space="preserve"> that the Minister must refund the difference between the VAC amount paid on or after 1 July 2024, and the amount that would have been paid if the visa application had been made on 30 June 2024, if the following requirements are met:</w:t>
      </w:r>
    </w:p>
    <w:p w14:paraId="107297ED" w14:textId="60F29953" w:rsidR="000C010E" w:rsidRPr="000C010E" w:rsidRDefault="000C010E" w:rsidP="00212F19">
      <w:pPr>
        <w:pStyle w:val="EStext-bullet"/>
        <w:rPr>
          <w:lang w:val="en-AU"/>
        </w:rPr>
      </w:pPr>
      <w:r w:rsidRPr="000C010E">
        <w:rPr>
          <w:lang w:val="en-AU"/>
        </w:rPr>
        <w:t xml:space="preserve">an amount of VAC was paid (by way of the first instalment) for an application made on or after 1 July 2024 for a </w:t>
      </w:r>
      <w:r w:rsidR="00C80675">
        <w:rPr>
          <w:lang w:val="en-AU"/>
        </w:rPr>
        <w:t>S</w:t>
      </w:r>
      <w:r w:rsidRPr="000C010E">
        <w:rPr>
          <w:lang w:val="en-AU"/>
        </w:rPr>
        <w:t>tudent visa; and</w:t>
      </w:r>
    </w:p>
    <w:p w14:paraId="173B0CA8" w14:textId="4B632BF6" w:rsidR="000C010E" w:rsidRPr="000C010E" w:rsidRDefault="000C010E" w:rsidP="00212F19">
      <w:pPr>
        <w:pStyle w:val="EStext-bullet"/>
        <w:rPr>
          <w:lang w:val="en-AU"/>
        </w:rPr>
      </w:pPr>
      <w:r w:rsidRPr="000C010E">
        <w:rPr>
          <w:lang w:val="en-AU"/>
        </w:rPr>
        <w:t>one of the following circumstances apply:</w:t>
      </w:r>
    </w:p>
    <w:p w14:paraId="4F614D4A" w14:textId="7AAB5A5F" w:rsidR="000C010E" w:rsidRPr="000C010E" w:rsidRDefault="000C010E" w:rsidP="00212F19">
      <w:pPr>
        <w:numPr>
          <w:ilvl w:val="1"/>
          <w:numId w:val="36"/>
        </w:numPr>
        <w:tabs>
          <w:tab w:val="left" w:pos="345"/>
        </w:tabs>
        <w:spacing w:before="120" w:after="0" w:line="240" w:lineRule="auto"/>
        <w:ind w:left="1077" w:right="663" w:hanging="357"/>
        <w:rPr>
          <w:rFonts w:ascii="Times New Roman" w:hAnsi="Times New Roman" w:cs="Times New Roman"/>
          <w:sz w:val="24"/>
          <w:szCs w:val="24"/>
          <w:lang w:val="en-AU"/>
        </w:rPr>
      </w:pPr>
      <w:r w:rsidRPr="000C010E">
        <w:rPr>
          <w:rFonts w:ascii="Times New Roman" w:hAnsi="Times New Roman" w:cs="Times New Roman"/>
          <w:sz w:val="24"/>
          <w:szCs w:val="24"/>
          <w:lang w:val="en-AU"/>
        </w:rPr>
        <w:t xml:space="preserve">the application was made by a person (the </w:t>
      </w:r>
      <w:r w:rsidRPr="000C010E">
        <w:rPr>
          <w:rFonts w:ascii="Times New Roman" w:hAnsi="Times New Roman" w:cs="Times New Roman"/>
          <w:i/>
          <w:sz w:val="24"/>
          <w:szCs w:val="24"/>
          <w:lang w:val="en-AU"/>
        </w:rPr>
        <w:t>primary applicant</w:t>
      </w:r>
      <w:r w:rsidRPr="000C010E">
        <w:rPr>
          <w:rFonts w:ascii="Times New Roman" w:hAnsi="Times New Roman" w:cs="Times New Roman"/>
          <w:sz w:val="24"/>
          <w:szCs w:val="24"/>
          <w:lang w:val="en-AU"/>
        </w:rPr>
        <w:t>) seeking to satisfy the primary criteria for the grant of the visa;</w:t>
      </w:r>
    </w:p>
    <w:p w14:paraId="62DEFBED" w14:textId="55796D3C" w:rsidR="000C010E" w:rsidRPr="000C010E" w:rsidRDefault="000C010E" w:rsidP="00212F19">
      <w:pPr>
        <w:numPr>
          <w:ilvl w:val="1"/>
          <w:numId w:val="36"/>
        </w:numPr>
        <w:tabs>
          <w:tab w:val="left" w:pos="345"/>
        </w:tabs>
        <w:spacing w:before="120" w:after="0" w:line="240" w:lineRule="auto"/>
        <w:ind w:left="1077" w:right="663" w:hanging="357"/>
        <w:rPr>
          <w:rFonts w:ascii="Times New Roman" w:hAnsi="Times New Roman" w:cs="Times New Roman"/>
          <w:sz w:val="24"/>
          <w:szCs w:val="24"/>
          <w:lang w:val="en-AU"/>
        </w:rPr>
      </w:pPr>
      <w:r w:rsidRPr="000C010E">
        <w:rPr>
          <w:rFonts w:ascii="Times New Roman" w:hAnsi="Times New Roman" w:cs="Times New Roman"/>
          <w:sz w:val="24"/>
          <w:szCs w:val="24"/>
          <w:lang w:val="en-AU"/>
        </w:rPr>
        <w:t>the application was combined, in a way permitted by Schedule 1 to the Migration Regulations, with the application made by the primary applicant (whether the primary applicant’s application was made before, on or after 1 July 2024); or</w:t>
      </w:r>
    </w:p>
    <w:p w14:paraId="1F73B074" w14:textId="5B04DAA0" w:rsidR="000C010E" w:rsidRPr="000C010E" w:rsidRDefault="000C010E" w:rsidP="00212F19">
      <w:pPr>
        <w:numPr>
          <w:ilvl w:val="1"/>
          <w:numId w:val="36"/>
        </w:numPr>
        <w:tabs>
          <w:tab w:val="left" w:pos="345"/>
        </w:tabs>
        <w:spacing w:before="120" w:after="0" w:line="240" w:lineRule="auto"/>
        <w:ind w:left="1077" w:right="663" w:hanging="357"/>
        <w:rPr>
          <w:rFonts w:ascii="Times New Roman" w:hAnsi="Times New Roman" w:cs="Times New Roman"/>
          <w:sz w:val="24"/>
          <w:szCs w:val="24"/>
          <w:lang w:val="en-AU"/>
        </w:rPr>
      </w:pPr>
      <w:r w:rsidRPr="000C010E">
        <w:rPr>
          <w:rFonts w:ascii="Times New Roman" w:hAnsi="Times New Roman" w:cs="Times New Roman"/>
          <w:sz w:val="24"/>
          <w:szCs w:val="24"/>
          <w:lang w:val="en-AU"/>
        </w:rPr>
        <w:t xml:space="preserve">the application was made by a person who is a member of the family unit of another person (the </w:t>
      </w:r>
      <w:r w:rsidRPr="000C010E">
        <w:rPr>
          <w:rFonts w:ascii="Times New Roman" w:hAnsi="Times New Roman" w:cs="Times New Roman"/>
          <w:i/>
          <w:sz w:val="24"/>
          <w:szCs w:val="24"/>
          <w:lang w:val="en-AU"/>
        </w:rPr>
        <w:t>primary visa holder</w:t>
      </w:r>
      <w:r w:rsidRPr="000C010E">
        <w:rPr>
          <w:rFonts w:ascii="Times New Roman" w:hAnsi="Times New Roman" w:cs="Times New Roman"/>
          <w:sz w:val="24"/>
          <w:szCs w:val="24"/>
          <w:lang w:val="en-AU"/>
        </w:rPr>
        <w:t xml:space="preserve">) who holds a </w:t>
      </w:r>
      <w:r w:rsidR="00C80675">
        <w:rPr>
          <w:rFonts w:ascii="Times New Roman" w:hAnsi="Times New Roman" w:cs="Times New Roman"/>
          <w:sz w:val="24"/>
          <w:szCs w:val="24"/>
          <w:lang w:val="en-AU"/>
        </w:rPr>
        <w:t>S</w:t>
      </w:r>
      <w:r w:rsidRPr="000C010E">
        <w:rPr>
          <w:rFonts w:ascii="Times New Roman" w:hAnsi="Times New Roman" w:cs="Times New Roman"/>
          <w:sz w:val="24"/>
          <w:szCs w:val="24"/>
          <w:lang w:val="en-AU"/>
        </w:rPr>
        <w:t>tudent visa, having satisfied the primary criteria for that visa; and</w:t>
      </w:r>
    </w:p>
    <w:p w14:paraId="3445278F" w14:textId="2F46C24A" w:rsidR="000C010E" w:rsidRPr="000C010E" w:rsidRDefault="000C010E" w:rsidP="00212F19">
      <w:pPr>
        <w:pStyle w:val="EStext-bullet"/>
      </w:pPr>
      <w:r w:rsidRPr="000C010E">
        <w:t>the amount of VAC paid on or after 1 July 2024 is more than the amount of the first instalment of the VAC that would have been payable if the application had been made on 30 June 2024; and</w:t>
      </w:r>
    </w:p>
    <w:p w14:paraId="5C0B757C" w14:textId="18D908F0" w:rsidR="000C010E" w:rsidRPr="000C010E" w:rsidRDefault="000C010E" w:rsidP="00212F19">
      <w:pPr>
        <w:pStyle w:val="EStext-bullet"/>
      </w:pPr>
      <w:r w:rsidRPr="000C010E">
        <w:t xml:space="preserve">the Minister receives a written request from a person mentioned in </w:t>
      </w:r>
      <w:proofErr w:type="spellStart"/>
      <w:r w:rsidRPr="000C010E">
        <w:t>subregulation</w:t>
      </w:r>
      <w:proofErr w:type="spellEnd"/>
      <w:r w:rsidRPr="000C010E">
        <w:t xml:space="preserve"> 2.12FA(2) for a refund of the difference; and</w:t>
      </w:r>
    </w:p>
    <w:p w14:paraId="3EA6FC66" w14:textId="48114505" w:rsidR="000C010E" w:rsidRPr="000C010E" w:rsidRDefault="000C010E" w:rsidP="00212F19">
      <w:pPr>
        <w:pStyle w:val="EStext-bullet"/>
      </w:pPr>
      <w:r w:rsidRPr="000C010E">
        <w:t>the Minister is satisfied that, at the time of the request, the primary applicant or the primary visa holder held a valid passport issued by a specified country; and</w:t>
      </w:r>
    </w:p>
    <w:p w14:paraId="272DB38B" w14:textId="7771BDEB" w:rsidR="000C010E" w:rsidRPr="000C010E" w:rsidRDefault="000C010E" w:rsidP="00212F19">
      <w:pPr>
        <w:pStyle w:val="EStext-bullet"/>
      </w:pPr>
      <w:proofErr w:type="gramStart"/>
      <w:r w:rsidRPr="000C010E">
        <w:t>no</w:t>
      </w:r>
      <w:proofErr w:type="gramEnd"/>
      <w:r w:rsidRPr="000C010E">
        <w:t xml:space="preserve"> amount has been refunded under regulation 2.12F in relation to the application.</w:t>
      </w:r>
    </w:p>
    <w:p w14:paraId="1F4D90D9" w14:textId="77777777" w:rsidR="000C010E" w:rsidRPr="000C010E" w:rsidRDefault="000C010E" w:rsidP="00E92F8E">
      <w:pPr>
        <w:pStyle w:val="ESclnotetext"/>
      </w:pPr>
    </w:p>
    <w:p w14:paraId="7DBA94E4" w14:textId="41659403" w:rsidR="000C010E" w:rsidRDefault="000C010E" w:rsidP="00E92F8E">
      <w:pPr>
        <w:pStyle w:val="ESclnotetext"/>
      </w:pPr>
      <w:proofErr w:type="spellStart"/>
      <w:r>
        <w:t>S</w:t>
      </w:r>
      <w:r w:rsidRPr="000C010E">
        <w:t>ubregulation</w:t>
      </w:r>
      <w:proofErr w:type="spellEnd"/>
      <w:r w:rsidRPr="000C010E">
        <w:t> </w:t>
      </w:r>
      <w:proofErr w:type="gramStart"/>
      <w:r w:rsidRPr="000C010E">
        <w:t>2.12FA(</w:t>
      </w:r>
      <w:proofErr w:type="gramEnd"/>
      <w:r w:rsidRPr="000C010E">
        <w:t>2) provide</w:t>
      </w:r>
      <w:r w:rsidR="00323E17">
        <w:t>s</w:t>
      </w:r>
      <w:r w:rsidR="00347AF2">
        <w:t xml:space="preserve"> that for the purposes of </w:t>
      </w:r>
      <w:r w:rsidRPr="000C010E">
        <w:t>paragraph </w:t>
      </w:r>
      <w:r w:rsidR="00347AF2">
        <w:t>2.12FA</w:t>
      </w:r>
      <w:r w:rsidRPr="000C010E">
        <w:t>(1)(d), the written request must be from:</w:t>
      </w:r>
    </w:p>
    <w:p w14:paraId="79EEFAA4" w14:textId="0A794FBF" w:rsidR="000C010E" w:rsidRDefault="000C010E" w:rsidP="00E92F8E">
      <w:pPr>
        <w:pStyle w:val="EStext-bullet"/>
        <w:rPr>
          <w:lang w:val="en-AU"/>
        </w:rPr>
      </w:pPr>
      <w:r w:rsidRPr="000C010E">
        <w:rPr>
          <w:lang w:val="en-AU"/>
        </w:rPr>
        <w:t xml:space="preserve">the person who paid the amount (the </w:t>
      </w:r>
      <w:r w:rsidRPr="000C010E">
        <w:rPr>
          <w:i/>
          <w:lang w:val="en-AU"/>
        </w:rPr>
        <w:t>payer</w:t>
      </w:r>
      <w:r w:rsidRPr="000C010E">
        <w:rPr>
          <w:lang w:val="en-AU"/>
        </w:rPr>
        <w:t>); or</w:t>
      </w:r>
    </w:p>
    <w:p w14:paraId="601263AE" w14:textId="4320C42A" w:rsidR="000C010E" w:rsidRDefault="000C010E" w:rsidP="00E92F8E">
      <w:pPr>
        <w:pStyle w:val="EStext-bullet"/>
        <w:rPr>
          <w:lang w:val="en-AU"/>
        </w:rPr>
      </w:pPr>
      <w:r w:rsidRPr="000C010E">
        <w:rPr>
          <w:lang w:val="en-AU"/>
        </w:rPr>
        <w:t>if the payer has a serious physical or mental incapacity—the payer’s legal personal representative; or</w:t>
      </w:r>
    </w:p>
    <w:p w14:paraId="3C86FF06" w14:textId="54283C15" w:rsidR="000C010E" w:rsidRDefault="000C010E" w:rsidP="00E92F8E">
      <w:pPr>
        <w:pStyle w:val="EStext-bullet"/>
        <w:rPr>
          <w:lang w:val="en-AU"/>
        </w:rPr>
      </w:pPr>
      <w:proofErr w:type="gramStart"/>
      <w:r w:rsidRPr="000C010E">
        <w:rPr>
          <w:lang w:val="en-AU"/>
        </w:rPr>
        <w:t>if</w:t>
      </w:r>
      <w:proofErr w:type="gramEnd"/>
      <w:r w:rsidRPr="000C010E">
        <w:rPr>
          <w:lang w:val="en-AU"/>
        </w:rPr>
        <w:t xml:space="preserve"> the payer is a bankrupt within the meaning of the </w:t>
      </w:r>
      <w:r w:rsidRPr="000C010E">
        <w:rPr>
          <w:i/>
          <w:lang w:val="en-AU"/>
        </w:rPr>
        <w:t>Bankruptcy Act 1966—</w:t>
      </w:r>
      <w:r w:rsidRPr="000C010E">
        <w:rPr>
          <w:lang w:val="en-AU"/>
        </w:rPr>
        <w:t>the trustee of the estate of the payer.</w:t>
      </w:r>
    </w:p>
    <w:p w14:paraId="2695DAFB" w14:textId="77777777" w:rsidR="000C010E" w:rsidRPr="000C010E" w:rsidRDefault="000C010E" w:rsidP="00E92F8E">
      <w:pPr>
        <w:pStyle w:val="ESclnotetext"/>
      </w:pPr>
    </w:p>
    <w:p w14:paraId="21F269D7" w14:textId="2ED339F5" w:rsidR="000C010E" w:rsidRPr="000C010E" w:rsidRDefault="000C010E" w:rsidP="00E92F8E">
      <w:pPr>
        <w:pStyle w:val="ESclnotetext"/>
      </w:pPr>
      <w:proofErr w:type="spellStart"/>
      <w:r w:rsidRPr="000C010E">
        <w:t>Subregulation</w:t>
      </w:r>
      <w:proofErr w:type="spellEnd"/>
      <w:r w:rsidRPr="000C010E">
        <w:t> </w:t>
      </w:r>
      <w:proofErr w:type="gramStart"/>
      <w:r w:rsidRPr="000C010E">
        <w:t>2.12FA(</w:t>
      </w:r>
      <w:proofErr w:type="gramEnd"/>
      <w:r w:rsidRPr="000C010E">
        <w:t xml:space="preserve">2) </w:t>
      </w:r>
      <w:r>
        <w:t>is</w:t>
      </w:r>
      <w:r w:rsidRPr="000C010E">
        <w:t xml:space="preserve"> consistent with similar provisions in regulation 2.12F of the Migration Regulations, except for circumstances where the payer has died. In these circumstances</w:t>
      </w:r>
      <w:r w:rsidR="00E01581">
        <w:t>,</w:t>
      </w:r>
      <w:r w:rsidRPr="000C010E">
        <w:t xml:space="preserve"> a written request for a full refund of the VAC may be made under regulation 2.12F of the Migration Regulations.</w:t>
      </w:r>
    </w:p>
    <w:p w14:paraId="6BD31CB8" w14:textId="77777777" w:rsidR="000C010E" w:rsidRPr="000C010E" w:rsidRDefault="000C010E" w:rsidP="00E92F8E">
      <w:pPr>
        <w:pStyle w:val="ESclnotetext"/>
      </w:pPr>
    </w:p>
    <w:p w14:paraId="1D01A0DA" w14:textId="79BC0A03" w:rsidR="000C010E" w:rsidRPr="000C010E" w:rsidRDefault="000C010E" w:rsidP="00E92F8E">
      <w:pPr>
        <w:pStyle w:val="ESclnotetext"/>
      </w:pPr>
      <w:r w:rsidRPr="000C010E">
        <w:t xml:space="preserve">The note to </w:t>
      </w:r>
      <w:proofErr w:type="spellStart"/>
      <w:r w:rsidRPr="000C010E">
        <w:t>subregulation</w:t>
      </w:r>
      <w:proofErr w:type="spellEnd"/>
      <w:r w:rsidRPr="000C010E">
        <w:t> </w:t>
      </w:r>
      <w:proofErr w:type="gramStart"/>
      <w:r w:rsidRPr="000C010E">
        <w:t>2.12FA(</w:t>
      </w:r>
      <w:proofErr w:type="gramEnd"/>
      <w:r w:rsidRPr="000C010E">
        <w:t>2) refer</w:t>
      </w:r>
      <w:r w:rsidR="00323E17">
        <w:t>s</w:t>
      </w:r>
      <w:r w:rsidRPr="000C010E">
        <w:t xml:space="preserve"> the reader to regulation 2.12K of the Migration Regulations. Regulation 2.12K </w:t>
      </w:r>
      <w:r w:rsidR="00E01581">
        <w:t xml:space="preserve">(as amended by item [3]) </w:t>
      </w:r>
      <w:r w:rsidRPr="000C010E">
        <w:t xml:space="preserve">operates to determine who the </w:t>
      </w:r>
      <w:r w:rsidRPr="000C010E">
        <w:rPr>
          <w:i/>
        </w:rPr>
        <w:t>payer</w:t>
      </w:r>
      <w:r w:rsidRPr="000C010E">
        <w:t xml:space="preserve"> is when considering a request for a partial refund under regulation 2.12FA.</w:t>
      </w:r>
    </w:p>
    <w:p w14:paraId="62849526" w14:textId="77777777" w:rsidR="000C010E" w:rsidRPr="000C010E" w:rsidRDefault="000C010E" w:rsidP="00E92F8E">
      <w:pPr>
        <w:pStyle w:val="ESclnotetext"/>
      </w:pPr>
    </w:p>
    <w:p w14:paraId="135AB75D" w14:textId="1CA822BD" w:rsidR="000C010E" w:rsidRPr="000C010E" w:rsidRDefault="000C010E" w:rsidP="00E92F8E">
      <w:pPr>
        <w:pStyle w:val="ESclnotetext"/>
      </w:pPr>
      <w:r w:rsidRPr="000C010E">
        <w:t xml:space="preserve">Under </w:t>
      </w:r>
      <w:proofErr w:type="spellStart"/>
      <w:r w:rsidRPr="000C010E">
        <w:t>subregulation</w:t>
      </w:r>
      <w:proofErr w:type="spellEnd"/>
      <w:r w:rsidRPr="000C010E">
        <w:t xml:space="preserve"> </w:t>
      </w:r>
      <w:proofErr w:type="gramStart"/>
      <w:r w:rsidRPr="000C010E">
        <w:t>2.12FA(</w:t>
      </w:r>
      <w:proofErr w:type="gramEnd"/>
      <w:r w:rsidRPr="000C010E">
        <w:t xml:space="preserve">3), the Minister must not make a refund to the legal personal representative of a </w:t>
      </w:r>
      <w:proofErr w:type="spellStart"/>
      <w:r w:rsidRPr="000C010E">
        <w:t>payer</w:t>
      </w:r>
      <w:proofErr w:type="spellEnd"/>
      <w:r w:rsidRPr="000C010E">
        <w:t xml:space="preserve"> who has died unless the request for the refund is accompanied by satisfactory evidence of the payer’s death. This evidence may include, for example, a legal will or letters of administration.</w:t>
      </w:r>
    </w:p>
    <w:p w14:paraId="1A39151F" w14:textId="77777777" w:rsidR="000C010E" w:rsidRPr="000C010E" w:rsidRDefault="000C010E" w:rsidP="00E92F8E">
      <w:pPr>
        <w:pStyle w:val="ESclnotetext"/>
      </w:pPr>
    </w:p>
    <w:p w14:paraId="1AEC11CB" w14:textId="685FC126" w:rsidR="000C010E" w:rsidRPr="000C010E" w:rsidRDefault="000C010E" w:rsidP="00E92F8E">
      <w:pPr>
        <w:pStyle w:val="ESclnotetext"/>
      </w:pPr>
      <w:proofErr w:type="spellStart"/>
      <w:r>
        <w:t>S</w:t>
      </w:r>
      <w:r w:rsidRPr="000C010E">
        <w:t>ubregulation</w:t>
      </w:r>
      <w:proofErr w:type="spellEnd"/>
      <w:r w:rsidRPr="000C010E">
        <w:t> </w:t>
      </w:r>
      <w:proofErr w:type="gramStart"/>
      <w:r w:rsidRPr="000C010E">
        <w:t>2.12FA(</w:t>
      </w:r>
      <w:proofErr w:type="gramEnd"/>
      <w:r w:rsidRPr="000C010E">
        <w:t>4) require</w:t>
      </w:r>
      <w:r w:rsidR="00323E17">
        <w:t>s</w:t>
      </w:r>
      <w:r w:rsidRPr="000C010E">
        <w:t xml:space="preserve"> the refund to be paid to the person who made the request for the refund, or provided to a person who made the request for the refund for payment to the applicant’s deceased estate.</w:t>
      </w:r>
    </w:p>
    <w:p w14:paraId="6D734FD1" w14:textId="77777777" w:rsidR="000C010E" w:rsidRPr="000C010E" w:rsidRDefault="000C010E" w:rsidP="00E92F8E">
      <w:pPr>
        <w:pStyle w:val="ESclnotetext"/>
      </w:pPr>
    </w:p>
    <w:p w14:paraId="7BC9F22B" w14:textId="599C20A8" w:rsidR="000C010E" w:rsidRPr="000C010E" w:rsidRDefault="000C010E" w:rsidP="00E92F8E">
      <w:pPr>
        <w:pStyle w:val="ESclnotetext"/>
      </w:pPr>
      <w:proofErr w:type="spellStart"/>
      <w:r>
        <w:t>S</w:t>
      </w:r>
      <w:r w:rsidRPr="000C010E">
        <w:t>ubregulation</w:t>
      </w:r>
      <w:proofErr w:type="spellEnd"/>
      <w:r w:rsidRPr="000C010E">
        <w:t> </w:t>
      </w:r>
      <w:proofErr w:type="gramStart"/>
      <w:r w:rsidRPr="000C010E">
        <w:t>2.12FA(</w:t>
      </w:r>
      <w:proofErr w:type="gramEnd"/>
      <w:r w:rsidRPr="000C010E">
        <w:t>5) provide</w:t>
      </w:r>
      <w:r w:rsidR="00323E17">
        <w:t>s</w:t>
      </w:r>
      <w:r w:rsidRPr="000C010E">
        <w:t xml:space="preserve"> that, if, in the opinion of the Minister, there is no doubt about the identity of the payer, and the refund is paid to the payer or a person mentioned in paragraph 2.12FA(2)(b) or (c), a receipt that is given by the person to whom the refund is paid is, for all purposes, a valid discharge of any liability of the Commonwealth in relation to the payment of the amount of the refund.</w:t>
      </w:r>
    </w:p>
    <w:p w14:paraId="0D5C5588" w14:textId="77777777" w:rsidR="000C010E" w:rsidRPr="000C010E" w:rsidRDefault="000C010E" w:rsidP="00E92F8E">
      <w:pPr>
        <w:pStyle w:val="ESclnotetext"/>
      </w:pPr>
    </w:p>
    <w:p w14:paraId="2A4A0A44" w14:textId="1FE8DEB7" w:rsidR="000C010E" w:rsidRPr="000C010E" w:rsidRDefault="000C010E" w:rsidP="00E92F8E">
      <w:pPr>
        <w:pStyle w:val="ESclnotetext"/>
      </w:pPr>
      <w:proofErr w:type="spellStart"/>
      <w:r>
        <w:t>S</w:t>
      </w:r>
      <w:r w:rsidRPr="000C010E">
        <w:t>ubregulation</w:t>
      </w:r>
      <w:proofErr w:type="spellEnd"/>
      <w:r w:rsidRPr="000C010E">
        <w:t> </w:t>
      </w:r>
      <w:proofErr w:type="gramStart"/>
      <w:r w:rsidRPr="000C010E">
        <w:t>2.12FA(</w:t>
      </w:r>
      <w:proofErr w:type="gramEnd"/>
      <w:r w:rsidRPr="000C010E">
        <w:t>6) provide</w:t>
      </w:r>
      <w:r w:rsidR="00323E17">
        <w:t>s</w:t>
      </w:r>
      <w:r w:rsidRPr="000C010E">
        <w:t xml:space="preserve"> that the refund may be paid in Australian currency or if the amount was paid in another currency, in that other currency.</w:t>
      </w:r>
    </w:p>
    <w:p w14:paraId="75788D98" w14:textId="77777777" w:rsidR="000C010E" w:rsidRPr="000C010E" w:rsidRDefault="000C010E" w:rsidP="00E92F8E">
      <w:pPr>
        <w:pStyle w:val="ESclnotetext"/>
      </w:pPr>
    </w:p>
    <w:p w14:paraId="2CDCF795" w14:textId="0BC73AE6" w:rsidR="000C010E" w:rsidRPr="000C010E" w:rsidRDefault="000C010E" w:rsidP="00E92F8E">
      <w:pPr>
        <w:pStyle w:val="ESclnotetext"/>
      </w:pPr>
      <w:proofErr w:type="spellStart"/>
      <w:r>
        <w:t>S</w:t>
      </w:r>
      <w:r w:rsidRPr="000C010E">
        <w:t>ubregulation</w:t>
      </w:r>
      <w:proofErr w:type="spellEnd"/>
      <w:r w:rsidRPr="000C010E">
        <w:t> </w:t>
      </w:r>
      <w:proofErr w:type="gramStart"/>
      <w:r w:rsidRPr="000C010E">
        <w:t>2.12FA(</w:t>
      </w:r>
      <w:proofErr w:type="gramEnd"/>
      <w:r w:rsidRPr="000C010E">
        <w:t>7) provide</w:t>
      </w:r>
      <w:r w:rsidR="00323E17">
        <w:t>s</w:t>
      </w:r>
      <w:r w:rsidRPr="000C010E">
        <w:t xml:space="preserve"> that, in this regulation, </w:t>
      </w:r>
      <w:r w:rsidRPr="000C010E">
        <w:rPr>
          <w:i/>
        </w:rPr>
        <w:t>specified country</w:t>
      </w:r>
      <w:r w:rsidRPr="000C010E">
        <w:t xml:space="preserve"> means:</w:t>
      </w:r>
    </w:p>
    <w:p w14:paraId="50CBAE71" w14:textId="5D0639B9" w:rsidR="000C010E" w:rsidRDefault="000C010E" w:rsidP="00E92F8E">
      <w:pPr>
        <w:pStyle w:val="EStext-bullet"/>
        <w:rPr>
          <w:lang w:val="en-AU"/>
        </w:rPr>
      </w:pPr>
      <w:r w:rsidRPr="000C010E">
        <w:rPr>
          <w:lang w:val="en-AU"/>
        </w:rPr>
        <w:t>Federated States of Micronesia;</w:t>
      </w:r>
    </w:p>
    <w:p w14:paraId="52E1553C" w14:textId="02AF912E" w:rsidR="00E92F8E" w:rsidRPr="000C010E" w:rsidRDefault="00E92F8E" w:rsidP="00E92F8E">
      <w:pPr>
        <w:pStyle w:val="EStext-bullet"/>
        <w:rPr>
          <w:lang w:val="en-AU"/>
        </w:rPr>
      </w:pPr>
      <w:r>
        <w:rPr>
          <w:lang w:val="en-AU"/>
        </w:rPr>
        <w:t>Fiji;</w:t>
      </w:r>
    </w:p>
    <w:p w14:paraId="30F00FAD" w14:textId="77777777" w:rsidR="000C010E" w:rsidRPr="000C010E" w:rsidRDefault="000C010E" w:rsidP="00E92F8E">
      <w:pPr>
        <w:pStyle w:val="EStext-bullet"/>
        <w:rPr>
          <w:lang w:val="en-AU"/>
        </w:rPr>
      </w:pPr>
      <w:r w:rsidRPr="000C010E">
        <w:rPr>
          <w:lang w:val="en-AU"/>
        </w:rPr>
        <w:t>Kiribati;</w:t>
      </w:r>
    </w:p>
    <w:p w14:paraId="04962589" w14:textId="77777777" w:rsidR="000C010E" w:rsidRPr="000C010E" w:rsidRDefault="000C010E" w:rsidP="00E92F8E">
      <w:pPr>
        <w:pStyle w:val="EStext-bullet"/>
        <w:rPr>
          <w:lang w:val="en-AU"/>
        </w:rPr>
      </w:pPr>
      <w:r w:rsidRPr="000C010E">
        <w:rPr>
          <w:lang w:val="en-AU"/>
        </w:rPr>
        <w:t>Nauru;</w:t>
      </w:r>
    </w:p>
    <w:p w14:paraId="0F2AA967" w14:textId="77777777" w:rsidR="000C010E" w:rsidRPr="000C010E" w:rsidRDefault="000C010E" w:rsidP="00E92F8E">
      <w:pPr>
        <w:pStyle w:val="EStext-bullet"/>
        <w:rPr>
          <w:lang w:val="en-AU"/>
        </w:rPr>
      </w:pPr>
      <w:r w:rsidRPr="000C010E">
        <w:rPr>
          <w:lang w:val="en-AU"/>
        </w:rPr>
        <w:t>Palau;</w:t>
      </w:r>
    </w:p>
    <w:p w14:paraId="72B18378" w14:textId="77777777" w:rsidR="000C010E" w:rsidRPr="000C010E" w:rsidRDefault="000C010E" w:rsidP="00E92F8E">
      <w:pPr>
        <w:pStyle w:val="EStext-bullet"/>
        <w:rPr>
          <w:lang w:val="en-AU"/>
        </w:rPr>
      </w:pPr>
      <w:r w:rsidRPr="000C010E">
        <w:rPr>
          <w:lang w:val="en-AU"/>
        </w:rPr>
        <w:t>Papua New Guinea;</w:t>
      </w:r>
    </w:p>
    <w:p w14:paraId="1F0D957F" w14:textId="77777777" w:rsidR="000C010E" w:rsidRPr="000C010E" w:rsidRDefault="000C010E" w:rsidP="00E92F8E">
      <w:pPr>
        <w:pStyle w:val="EStext-bullet"/>
        <w:rPr>
          <w:lang w:val="en-AU"/>
        </w:rPr>
      </w:pPr>
      <w:r w:rsidRPr="000C010E">
        <w:rPr>
          <w:lang w:val="en-AU"/>
        </w:rPr>
        <w:t>Republic of the Marshall Islands</w:t>
      </w:r>
    </w:p>
    <w:p w14:paraId="672CE933" w14:textId="77777777" w:rsidR="000C010E" w:rsidRPr="000C010E" w:rsidRDefault="000C010E" w:rsidP="00E92F8E">
      <w:pPr>
        <w:pStyle w:val="EStext-bullet"/>
        <w:rPr>
          <w:lang w:val="en-AU"/>
        </w:rPr>
      </w:pPr>
      <w:r w:rsidRPr="000C010E">
        <w:rPr>
          <w:lang w:val="en-AU"/>
        </w:rPr>
        <w:t>Samoa;</w:t>
      </w:r>
    </w:p>
    <w:p w14:paraId="40FB2EFB" w14:textId="77777777" w:rsidR="000C010E" w:rsidRPr="000C010E" w:rsidRDefault="000C010E" w:rsidP="00E92F8E">
      <w:pPr>
        <w:pStyle w:val="EStext-bullet"/>
        <w:rPr>
          <w:lang w:val="en-AU"/>
        </w:rPr>
      </w:pPr>
      <w:r w:rsidRPr="000C010E">
        <w:rPr>
          <w:lang w:val="en-AU"/>
        </w:rPr>
        <w:t>Solomon Islands;</w:t>
      </w:r>
    </w:p>
    <w:p w14:paraId="7F462AC5" w14:textId="752B4D36" w:rsidR="000C010E" w:rsidRPr="000C010E" w:rsidRDefault="000C010E" w:rsidP="00E92F8E">
      <w:pPr>
        <w:pStyle w:val="EStext-bullet"/>
        <w:rPr>
          <w:lang w:val="en-AU"/>
        </w:rPr>
      </w:pPr>
      <w:r w:rsidRPr="000C010E">
        <w:rPr>
          <w:lang w:val="en-AU"/>
        </w:rPr>
        <w:t>Timor</w:t>
      </w:r>
      <w:r w:rsidR="0098571D">
        <w:rPr>
          <w:lang w:val="en-AU"/>
        </w:rPr>
        <w:noBreakHyphen/>
      </w:r>
      <w:r w:rsidRPr="000C010E">
        <w:rPr>
          <w:lang w:val="en-AU"/>
        </w:rPr>
        <w:t>Leste;</w:t>
      </w:r>
    </w:p>
    <w:p w14:paraId="41E3D4BB" w14:textId="77777777" w:rsidR="000C010E" w:rsidRPr="000C010E" w:rsidRDefault="000C010E" w:rsidP="00E92F8E">
      <w:pPr>
        <w:pStyle w:val="EStext-bullet"/>
        <w:rPr>
          <w:lang w:val="en-AU"/>
        </w:rPr>
      </w:pPr>
      <w:r w:rsidRPr="000C010E">
        <w:rPr>
          <w:lang w:val="en-AU"/>
        </w:rPr>
        <w:t>Tonga;</w:t>
      </w:r>
    </w:p>
    <w:p w14:paraId="5C64EBDD" w14:textId="77777777" w:rsidR="000C010E" w:rsidRPr="000C010E" w:rsidRDefault="000C010E" w:rsidP="00E92F8E">
      <w:pPr>
        <w:pStyle w:val="EStext-bullet"/>
        <w:rPr>
          <w:lang w:val="en-AU"/>
        </w:rPr>
      </w:pPr>
      <w:r w:rsidRPr="000C010E">
        <w:rPr>
          <w:lang w:val="en-AU"/>
        </w:rPr>
        <w:t>Tuvalu;</w:t>
      </w:r>
    </w:p>
    <w:p w14:paraId="26B966A3" w14:textId="77777777" w:rsidR="000C010E" w:rsidRPr="000C010E" w:rsidRDefault="000C010E" w:rsidP="00E92F8E">
      <w:pPr>
        <w:pStyle w:val="EStext-bullet"/>
        <w:rPr>
          <w:lang w:val="en-AU"/>
        </w:rPr>
      </w:pPr>
      <w:r w:rsidRPr="000C010E">
        <w:rPr>
          <w:lang w:val="en-AU"/>
        </w:rPr>
        <w:t>Vanuatu.</w:t>
      </w:r>
    </w:p>
    <w:p w14:paraId="31A33D87" w14:textId="58D4C5BD" w:rsidR="000C010E" w:rsidRDefault="00E01581" w:rsidP="00E01581">
      <w:pPr>
        <w:pStyle w:val="ESclnotetext"/>
      </w:pPr>
      <w:r>
        <w:t>Paragraph 2.12FA(1)(e) relevantly provides that one of the requirements for a partial refund to be payable under regulation 2.12FA is that the Minister is satisfied that, at the time a refund request is made, the primary applicant for the Student visa (or the primary visa holder) holds a passport issued by a specified country.</w:t>
      </w:r>
    </w:p>
    <w:p w14:paraId="37C2B925" w14:textId="77777777" w:rsidR="00E01581" w:rsidRPr="000C010E" w:rsidRDefault="00E01581" w:rsidP="00E01581">
      <w:pPr>
        <w:pStyle w:val="ESclnotetext"/>
      </w:pPr>
    </w:p>
    <w:p w14:paraId="5E7C345D" w14:textId="77777777" w:rsidR="000C010E" w:rsidRPr="000C010E" w:rsidRDefault="000C010E" w:rsidP="000C010E">
      <w:pPr>
        <w:tabs>
          <w:tab w:val="left" w:pos="345"/>
        </w:tabs>
        <w:spacing w:after="0" w:line="240" w:lineRule="auto"/>
        <w:ind w:right="662"/>
        <w:rPr>
          <w:rFonts w:ascii="Times New Roman" w:hAnsi="Times New Roman" w:cs="Times New Roman"/>
          <w:b/>
          <w:bCs/>
          <w:sz w:val="24"/>
          <w:szCs w:val="24"/>
          <w:lang w:val="en-AU"/>
        </w:rPr>
      </w:pPr>
      <w:r w:rsidRPr="000C010E">
        <w:rPr>
          <w:rFonts w:ascii="Times New Roman" w:hAnsi="Times New Roman" w:cs="Times New Roman"/>
          <w:b/>
          <w:bCs/>
          <w:sz w:val="24"/>
          <w:szCs w:val="24"/>
          <w:lang w:val="en-AU"/>
        </w:rPr>
        <w:t>Item [3] – Regulations 2.12K and 2.12L</w:t>
      </w:r>
    </w:p>
    <w:p w14:paraId="5DF1C932" w14:textId="77777777" w:rsidR="000C010E" w:rsidRPr="000C010E" w:rsidRDefault="000C010E" w:rsidP="00E92F8E">
      <w:pPr>
        <w:pStyle w:val="ESclnotetext"/>
      </w:pPr>
    </w:p>
    <w:p w14:paraId="1FC07535" w14:textId="7D37B8AF" w:rsidR="000C010E" w:rsidRPr="000C010E" w:rsidRDefault="000C010E" w:rsidP="00E92F8E">
      <w:pPr>
        <w:pStyle w:val="ESclnotetext"/>
      </w:pPr>
      <w:r w:rsidRPr="000C010E">
        <w:t>This item insert</w:t>
      </w:r>
      <w:r w:rsidR="00323E17">
        <w:t>s</w:t>
      </w:r>
      <w:r w:rsidRPr="000C010E">
        <w:t xml:space="preserve"> references to regulation 2.12FA into regulations 2.12K and 2.12L of the Migration Regulations.</w:t>
      </w:r>
    </w:p>
    <w:p w14:paraId="355D3744" w14:textId="77777777" w:rsidR="000C010E" w:rsidRPr="000C010E" w:rsidRDefault="000C010E" w:rsidP="00E92F8E">
      <w:pPr>
        <w:pStyle w:val="ESclnotetext"/>
      </w:pPr>
    </w:p>
    <w:p w14:paraId="541DEA58" w14:textId="77777777" w:rsidR="000C010E" w:rsidRPr="000C010E" w:rsidRDefault="000C010E" w:rsidP="00E92F8E">
      <w:pPr>
        <w:pStyle w:val="ESclnotetext"/>
      </w:pPr>
      <w:r w:rsidRPr="000C010E">
        <w:t>Regulation 2.12K provides the situations in which a person is taken to have paid an instalment of the VAC for the purposes of determining whether a VAC refund may or must be paid to that person.</w:t>
      </w:r>
    </w:p>
    <w:p w14:paraId="1AB4061E" w14:textId="77777777" w:rsidR="000C010E" w:rsidRPr="000C010E" w:rsidRDefault="000C010E" w:rsidP="00E92F8E">
      <w:pPr>
        <w:pStyle w:val="ESclnotetext"/>
      </w:pPr>
    </w:p>
    <w:p w14:paraId="47542F09" w14:textId="75CB0964" w:rsidR="002753C5" w:rsidRPr="000C010E" w:rsidRDefault="000C010E" w:rsidP="00E92F8E">
      <w:pPr>
        <w:pStyle w:val="ESclnotetext"/>
      </w:pPr>
      <w:r w:rsidRPr="000C010E">
        <w:t>Regulation 2.12L requires a legal representative to give satisfactory evidence, for the purposes of regulations 2.12F and 2.12H, that they are the legal representative of the payer.</w:t>
      </w:r>
      <w:r w:rsidR="00E01581">
        <w:t xml:space="preserve"> </w:t>
      </w:r>
      <w:r w:rsidRPr="000C010E">
        <w:t>As amended, regulation</w:t>
      </w:r>
      <w:r w:rsidR="00323E17">
        <w:t>s 2.12K and</w:t>
      </w:r>
      <w:r w:rsidRPr="000C010E">
        <w:t xml:space="preserve"> 2.12L also operate for the purposes of regulation 2.12FA.</w:t>
      </w:r>
    </w:p>
    <w:sectPr w:rsidR="002753C5" w:rsidRPr="000C010E" w:rsidSect="00DA5A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79214" w14:textId="77777777" w:rsidR="004D5AB6" w:rsidRDefault="004D5AB6" w:rsidP="00610A12">
      <w:pPr>
        <w:spacing w:after="0" w:line="240" w:lineRule="auto"/>
      </w:pPr>
      <w:r>
        <w:separator/>
      </w:r>
    </w:p>
  </w:endnote>
  <w:endnote w:type="continuationSeparator" w:id="0">
    <w:p w14:paraId="0B0E1A90" w14:textId="77777777" w:rsidR="004D5AB6" w:rsidRDefault="004D5AB6" w:rsidP="00610A12">
      <w:pPr>
        <w:spacing w:after="0" w:line="240" w:lineRule="auto"/>
      </w:pPr>
      <w:r>
        <w:continuationSeparator/>
      </w:r>
    </w:p>
  </w:endnote>
  <w:endnote w:type="continuationNotice" w:id="1">
    <w:p w14:paraId="099895A1" w14:textId="77777777" w:rsidR="004D5AB6" w:rsidRDefault="004D5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6B8C" w14:textId="77777777" w:rsidR="00722CFD" w:rsidRDefault="00722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77A3" w14:textId="7794EB02" w:rsidR="005259C2" w:rsidRPr="00047422" w:rsidRDefault="005259C2" w:rsidP="00047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4D3A" w14:textId="77777777" w:rsidR="0098033C" w:rsidRPr="00047422" w:rsidRDefault="0098033C" w:rsidP="00047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554E6" w14:textId="77777777" w:rsidR="004D5AB6" w:rsidRDefault="004D5AB6" w:rsidP="00610A12">
      <w:pPr>
        <w:spacing w:after="0" w:line="240" w:lineRule="auto"/>
      </w:pPr>
      <w:r>
        <w:separator/>
      </w:r>
    </w:p>
  </w:footnote>
  <w:footnote w:type="continuationSeparator" w:id="0">
    <w:p w14:paraId="74BC6F48" w14:textId="77777777" w:rsidR="004D5AB6" w:rsidRDefault="004D5AB6" w:rsidP="00610A12">
      <w:pPr>
        <w:spacing w:after="0" w:line="240" w:lineRule="auto"/>
      </w:pPr>
      <w:r>
        <w:continuationSeparator/>
      </w:r>
    </w:p>
  </w:footnote>
  <w:footnote w:type="continuationNotice" w:id="1">
    <w:p w14:paraId="114AE80D" w14:textId="77777777" w:rsidR="004D5AB6" w:rsidRDefault="004D5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965E" w14:textId="77777777" w:rsidR="00722CFD" w:rsidRDefault="00722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FD81" w14:textId="77777777" w:rsidR="00722CFD" w:rsidRDefault="00722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6B8E" w14:textId="77777777" w:rsidR="00722CFD" w:rsidRDefault="00722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740"/>
    <w:multiLevelType w:val="hybridMultilevel"/>
    <w:tmpl w:val="836AE2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54D1AA8"/>
    <w:multiLevelType w:val="hybridMultilevel"/>
    <w:tmpl w:val="A340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F1144"/>
    <w:multiLevelType w:val="hybridMultilevel"/>
    <w:tmpl w:val="3396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76F02"/>
    <w:multiLevelType w:val="multilevel"/>
    <w:tmpl w:val="C95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E5778"/>
    <w:multiLevelType w:val="hybridMultilevel"/>
    <w:tmpl w:val="A5E6FF0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12697489"/>
    <w:multiLevelType w:val="multilevel"/>
    <w:tmpl w:val="FD0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7"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547B31"/>
    <w:multiLevelType w:val="hybridMultilevel"/>
    <w:tmpl w:val="C644BE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9447681"/>
    <w:multiLevelType w:val="hybridMultilevel"/>
    <w:tmpl w:val="A17E05E4"/>
    <w:lvl w:ilvl="0" w:tplc="17FE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5B3090"/>
    <w:multiLevelType w:val="hybridMultilevel"/>
    <w:tmpl w:val="C8223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15C7268"/>
    <w:multiLevelType w:val="hybridMultilevel"/>
    <w:tmpl w:val="7730D9CA"/>
    <w:lvl w:ilvl="0" w:tplc="05B44BD6">
      <w:start w:val="2"/>
      <w:numFmt w:val="bullet"/>
      <w:lvlText w:val=""/>
      <w:lvlJc w:val="left"/>
      <w:pPr>
        <w:ind w:left="720" w:hanging="360"/>
      </w:pPr>
      <w:rPr>
        <w:rFonts w:ascii="Symbol" w:eastAsia="Times New Roman" w:hAnsi="Symbol"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9C054C"/>
    <w:multiLevelType w:val="hybridMultilevel"/>
    <w:tmpl w:val="ECE0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66A86"/>
    <w:multiLevelType w:val="hybridMultilevel"/>
    <w:tmpl w:val="7AFEC6D4"/>
    <w:lvl w:ilvl="0" w:tplc="BCC0C456">
      <w:start w:val="4"/>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7C736F"/>
    <w:multiLevelType w:val="hybridMultilevel"/>
    <w:tmpl w:val="CE4E3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25D3C"/>
    <w:multiLevelType w:val="hybridMultilevel"/>
    <w:tmpl w:val="2B26D81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82A0BFE"/>
    <w:multiLevelType w:val="hybridMultilevel"/>
    <w:tmpl w:val="978E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7D7487"/>
    <w:multiLevelType w:val="hybridMultilevel"/>
    <w:tmpl w:val="BAE21F98"/>
    <w:lvl w:ilvl="0" w:tplc="85188D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E963B2"/>
    <w:multiLevelType w:val="hybridMultilevel"/>
    <w:tmpl w:val="EECCCAF8"/>
    <w:lvl w:ilvl="0" w:tplc="24F65816">
      <w:start w:val="1"/>
      <w:numFmt w:val="decimal"/>
      <w:lvlText w:val="%1."/>
      <w:lvlJc w:val="left"/>
      <w:pPr>
        <w:ind w:left="502"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6AE6CE7"/>
    <w:multiLevelType w:val="hybridMultilevel"/>
    <w:tmpl w:val="5CAA7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0D787B"/>
    <w:multiLevelType w:val="hybridMultilevel"/>
    <w:tmpl w:val="43D0E19C"/>
    <w:lvl w:ilvl="0" w:tplc="BCC0C456">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30728A"/>
    <w:multiLevelType w:val="hybridMultilevel"/>
    <w:tmpl w:val="7D408F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A67D69"/>
    <w:multiLevelType w:val="hybridMultilevel"/>
    <w:tmpl w:val="E3AA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934BBB"/>
    <w:multiLevelType w:val="hybridMultilevel"/>
    <w:tmpl w:val="E916A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55A557B"/>
    <w:multiLevelType w:val="hybridMultilevel"/>
    <w:tmpl w:val="01DCA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C518D0"/>
    <w:multiLevelType w:val="hybridMultilevel"/>
    <w:tmpl w:val="820A5AFA"/>
    <w:lvl w:ilvl="0" w:tplc="79B8FF8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9312A62"/>
    <w:multiLevelType w:val="hybridMultilevel"/>
    <w:tmpl w:val="4E30F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72431B"/>
    <w:multiLevelType w:val="hybridMultilevel"/>
    <w:tmpl w:val="0A78ED0E"/>
    <w:lvl w:ilvl="0" w:tplc="EAA0B662">
      <w:start w:val="1"/>
      <w:numFmt w:val="bullet"/>
      <w:pStyle w:val="EStext-bullet"/>
      <w:lvlText w:val=""/>
      <w:lvlJc w:val="left"/>
      <w:pPr>
        <w:tabs>
          <w:tab w:val="num" w:pos="-354"/>
        </w:tabs>
        <w:ind w:left="-354" w:hanging="360"/>
      </w:pPr>
      <w:rPr>
        <w:rFonts w:ascii="Symbol" w:hAnsi="Symbol" w:hint="default"/>
      </w:rPr>
    </w:lvl>
    <w:lvl w:ilvl="1" w:tplc="0C090003">
      <w:start w:val="1"/>
      <w:numFmt w:val="bullet"/>
      <w:lvlText w:val="o"/>
      <w:lvlJc w:val="left"/>
      <w:pPr>
        <w:tabs>
          <w:tab w:val="num" w:pos="726"/>
        </w:tabs>
        <w:ind w:left="726" w:hanging="360"/>
      </w:pPr>
      <w:rPr>
        <w:rFonts w:ascii="Courier New" w:hAnsi="Courier New" w:cs="Times New Roman" w:hint="default"/>
      </w:rPr>
    </w:lvl>
    <w:lvl w:ilvl="2" w:tplc="0C090005">
      <w:start w:val="1"/>
      <w:numFmt w:val="bullet"/>
      <w:lvlText w:val=""/>
      <w:lvlJc w:val="left"/>
      <w:pPr>
        <w:tabs>
          <w:tab w:val="num" w:pos="1446"/>
        </w:tabs>
        <w:ind w:left="1446" w:hanging="360"/>
      </w:pPr>
      <w:rPr>
        <w:rFonts w:ascii="Wingdings" w:hAnsi="Wingdings" w:hint="default"/>
      </w:rPr>
    </w:lvl>
    <w:lvl w:ilvl="3" w:tplc="0C090001">
      <w:start w:val="1"/>
      <w:numFmt w:val="bullet"/>
      <w:lvlText w:val=""/>
      <w:lvlJc w:val="left"/>
      <w:pPr>
        <w:tabs>
          <w:tab w:val="num" w:pos="2166"/>
        </w:tabs>
        <w:ind w:left="2166" w:hanging="360"/>
      </w:pPr>
      <w:rPr>
        <w:rFonts w:ascii="Symbol" w:hAnsi="Symbol" w:hint="default"/>
      </w:rPr>
    </w:lvl>
    <w:lvl w:ilvl="4" w:tplc="0C090003">
      <w:start w:val="1"/>
      <w:numFmt w:val="bullet"/>
      <w:lvlText w:val="o"/>
      <w:lvlJc w:val="left"/>
      <w:pPr>
        <w:tabs>
          <w:tab w:val="num" w:pos="2886"/>
        </w:tabs>
        <w:ind w:left="2886" w:hanging="360"/>
      </w:pPr>
      <w:rPr>
        <w:rFonts w:ascii="Courier New" w:hAnsi="Courier New" w:cs="Times New Roman" w:hint="default"/>
      </w:rPr>
    </w:lvl>
    <w:lvl w:ilvl="5" w:tplc="0C090005">
      <w:start w:val="1"/>
      <w:numFmt w:val="bullet"/>
      <w:lvlText w:val=""/>
      <w:lvlJc w:val="left"/>
      <w:pPr>
        <w:tabs>
          <w:tab w:val="num" w:pos="3606"/>
        </w:tabs>
        <w:ind w:left="3606" w:hanging="360"/>
      </w:pPr>
      <w:rPr>
        <w:rFonts w:ascii="Wingdings" w:hAnsi="Wingdings" w:hint="default"/>
      </w:rPr>
    </w:lvl>
    <w:lvl w:ilvl="6" w:tplc="0C090001">
      <w:start w:val="1"/>
      <w:numFmt w:val="bullet"/>
      <w:lvlText w:val=""/>
      <w:lvlJc w:val="left"/>
      <w:pPr>
        <w:tabs>
          <w:tab w:val="num" w:pos="4326"/>
        </w:tabs>
        <w:ind w:left="4326" w:hanging="360"/>
      </w:pPr>
      <w:rPr>
        <w:rFonts w:ascii="Symbol" w:hAnsi="Symbol" w:hint="default"/>
      </w:rPr>
    </w:lvl>
    <w:lvl w:ilvl="7" w:tplc="0C090003">
      <w:start w:val="1"/>
      <w:numFmt w:val="bullet"/>
      <w:lvlText w:val="o"/>
      <w:lvlJc w:val="left"/>
      <w:pPr>
        <w:tabs>
          <w:tab w:val="num" w:pos="5046"/>
        </w:tabs>
        <w:ind w:left="5046" w:hanging="360"/>
      </w:pPr>
      <w:rPr>
        <w:rFonts w:ascii="Courier New" w:hAnsi="Courier New" w:cs="Times New Roman" w:hint="default"/>
      </w:rPr>
    </w:lvl>
    <w:lvl w:ilvl="8" w:tplc="0C090005">
      <w:start w:val="1"/>
      <w:numFmt w:val="bullet"/>
      <w:lvlText w:val=""/>
      <w:lvlJc w:val="left"/>
      <w:pPr>
        <w:tabs>
          <w:tab w:val="num" w:pos="5766"/>
        </w:tabs>
        <w:ind w:left="5766" w:hanging="360"/>
      </w:pPr>
      <w:rPr>
        <w:rFonts w:ascii="Wingdings" w:hAnsi="Wingdings" w:hint="default"/>
      </w:rPr>
    </w:lvl>
  </w:abstractNum>
  <w:abstractNum w:abstractNumId="28" w15:restartNumberingAfterBreak="0">
    <w:nsid w:val="58B260BB"/>
    <w:multiLevelType w:val="hybridMultilevel"/>
    <w:tmpl w:val="D9A87AB8"/>
    <w:lvl w:ilvl="0" w:tplc="65865B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345A84"/>
    <w:multiLevelType w:val="hybridMultilevel"/>
    <w:tmpl w:val="7FF44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0FC4EF6"/>
    <w:multiLevelType w:val="hybridMultilevel"/>
    <w:tmpl w:val="17B0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3" w15:restartNumberingAfterBreak="0">
    <w:nsid w:val="738627C9"/>
    <w:multiLevelType w:val="hybridMultilevel"/>
    <w:tmpl w:val="A612A3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67700CA"/>
    <w:multiLevelType w:val="hybridMultilevel"/>
    <w:tmpl w:val="8C46C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071DB0"/>
    <w:multiLevelType w:val="hybridMultilevel"/>
    <w:tmpl w:val="3E327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AB41BBA"/>
    <w:multiLevelType w:val="hybridMultilevel"/>
    <w:tmpl w:val="6364577C"/>
    <w:lvl w:ilvl="0" w:tplc="B2645B6A">
      <w:start w:val="1"/>
      <w:numFmt w:val="lowerLetter"/>
      <w:lvlText w:val="%1)"/>
      <w:lvlJc w:val="left"/>
      <w:pPr>
        <w:ind w:left="774" w:hanging="360"/>
      </w:pPr>
      <w:rPr>
        <w:color w:val="auto"/>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7" w15:restartNumberingAfterBreak="0">
    <w:nsid w:val="7C5A53B3"/>
    <w:multiLevelType w:val="hybridMultilevel"/>
    <w:tmpl w:val="C3784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D84361"/>
    <w:multiLevelType w:val="hybridMultilevel"/>
    <w:tmpl w:val="281408D6"/>
    <w:lvl w:ilvl="0" w:tplc="39D4F964">
      <w:start w:val="2"/>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27"/>
  </w:num>
  <w:num w:numId="4">
    <w:abstractNumId w:val="23"/>
  </w:num>
  <w:num w:numId="5">
    <w:abstractNumId w:val="22"/>
  </w:num>
  <w:num w:numId="6">
    <w:abstractNumId w:val="2"/>
  </w:num>
  <w:num w:numId="7">
    <w:abstractNumId w:val="13"/>
  </w:num>
  <w:num w:numId="8">
    <w:abstractNumId w:val="20"/>
  </w:num>
  <w:num w:numId="9">
    <w:abstractNumId w:val="26"/>
  </w:num>
  <w:num w:numId="10">
    <w:abstractNumId w:val="16"/>
  </w:num>
  <w:num w:numId="11">
    <w:abstractNumId w:val="4"/>
  </w:num>
  <w:num w:numId="12">
    <w:abstractNumId w:val="7"/>
  </w:num>
  <w:num w:numId="13">
    <w:abstractNumId w:val="21"/>
  </w:num>
  <w:num w:numId="14">
    <w:abstractNumId w:val="9"/>
  </w:num>
  <w:num w:numId="15">
    <w:abstractNumId w:val="1"/>
  </w:num>
  <w:num w:numId="16">
    <w:abstractNumId w:val="27"/>
  </w:num>
  <w:num w:numId="17">
    <w:abstractNumId w:val="0"/>
  </w:num>
  <w:num w:numId="18">
    <w:abstractNumId w:val="12"/>
  </w:num>
  <w:num w:numId="19">
    <w:abstractNumId w:val="38"/>
  </w:num>
  <w:num w:numId="20">
    <w:abstractNumId w:val="28"/>
  </w:num>
  <w:num w:numId="21">
    <w:abstractNumId w:val="11"/>
  </w:num>
  <w:num w:numId="22">
    <w:abstractNumId w:val="5"/>
  </w:num>
  <w:num w:numId="23">
    <w:abstractNumId w:val="24"/>
  </w:num>
  <w:num w:numId="24">
    <w:abstractNumId w:val="33"/>
  </w:num>
  <w:num w:numId="25">
    <w:abstractNumId w:val="36"/>
  </w:num>
  <w:num w:numId="26">
    <w:abstractNumId w:val="6"/>
    <w:lvlOverride w:ilvl="0">
      <w:startOverride w:val="1"/>
    </w:lvlOverride>
  </w:num>
  <w:num w:numId="27">
    <w:abstractNumId w:val="10"/>
  </w:num>
  <w:num w:numId="28">
    <w:abstractNumId w:val="25"/>
  </w:num>
  <w:num w:numId="29">
    <w:abstractNumId w:val="3"/>
  </w:num>
  <w:num w:numId="30">
    <w:abstractNumId w:val="29"/>
  </w:num>
  <w:num w:numId="31">
    <w:abstractNumId w:val="17"/>
  </w:num>
  <w:num w:numId="32">
    <w:abstractNumId w:val="18"/>
  </w:num>
  <w:num w:numId="33">
    <w:abstractNumId w:val="8"/>
  </w:num>
  <w:num w:numId="34">
    <w:abstractNumId w:val="14"/>
  </w:num>
  <w:num w:numId="35">
    <w:abstractNumId w:val="19"/>
  </w:num>
  <w:num w:numId="36">
    <w:abstractNumId w:val="37"/>
  </w:num>
  <w:num w:numId="37">
    <w:abstractNumId w:val="34"/>
  </w:num>
  <w:num w:numId="38">
    <w:abstractNumId w:val="32"/>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1"/>
    <w:rsid w:val="00016F6D"/>
    <w:rsid w:val="00017439"/>
    <w:rsid w:val="00026609"/>
    <w:rsid w:val="0003663A"/>
    <w:rsid w:val="00041462"/>
    <w:rsid w:val="00047422"/>
    <w:rsid w:val="0005731A"/>
    <w:rsid w:val="000605E1"/>
    <w:rsid w:val="000700A8"/>
    <w:rsid w:val="00077DCF"/>
    <w:rsid w:val="00083CA4"/>
    <w:rsid w:val="000930C6"/>
    <w:rsid w:val="000B0DB5"/>
    <w:rsid w:val="000B3BBF"/>
    <w:rsid w:val="000C010E"/>
    <w:rsid w:val="000E4B35"/>
    <w:rsid w:val="00104FBD"/>
    <w:rsid w:val="001054AF"/>
    <w:rsid w:val="00110D58"/>
    <w:rsid w:val="00112CD0"/>
    <w:rsid w:val="001171CB"/>
    <w:rsid w:val="00126305"/>
    <w:rsid w:val="00135BD6"/>
    <w:rsid w:val="00140C45"/>
    <w:rsid w:val="00147297"/>
    <w:rsid w:val="0015480B"/>
    <w:rsid w:val="00165F65"/>
    <w:rsid w:val="0017233B"/>
    <w:rsid w:val="00175653"/>
    <w:rsid w:val="001857C3"/>
    <w:rsid w:val="0018773A"/>
    <w:rsid w:val="00187CA3"/>
    <w:rsid w:val="001939DF"/>
    <w:rsid w:val="001A2FDC"/>
    <w:rsid w:val="001A4FC3"/>
    <w:rsid w:val="001A6CAC"/>
    <w:rsid w:val="001B7F33"/>
    <w:rsid w:val="001C2484"/>
    <w:rsid w:val="001C514B"/>
    <w:rsid w:val="001D2B2F"/>
    <w:rsid w:val="001D2C80"/>
    <w:rsid w:val="001E63F8"/>
    <w:rsid w:val="00202FCC"/>
    <w:rsid w:val="00206C6B"/>
    <w:rsid w:val="00211E5A"/>
    <w:rsid w:val="0021257B"/>
    <w:rsid w:val="00212F19"/>
    <w:rsid w:val="00213D9B"/>
    <w:rsid w:val="0022727C"/>
    <w:rsid w:val="00227B05"/>
    <w:rsid w:val="00260C8B"/>
    <w:rsid w:val="00265040"/>
    <w:rsid w:val="00272A17"/>
    <w:rsid w:val="00272BA6"/>
    <w:rsid w:val="002753C5"/>
    <w:rsid w:val="00276E83"/>
    <w:rsid w:val="0028688B"/>
    <w:rsid w:val="0029650A"/>
    <w:rsid w:val="002A069C"/>
    <w:rsid w:val="002A1E8B"/>
    <w:rsid w:val="002A58E5"/>
    <w:rsid w:val="002A5CCE"/>
    <w:rsid w:val="002A66EC"/>
    <w:rsid w:val="002B370B"/>
    <w:rsid w:val="002B388C"/>
    <w:rsid w:val="002B6C0F"/>
    <w:rsid w:val="002B705A"/>
    <w:rsid w:val="002C3719"/>
    <w:rsid w:val="002C5865"/>
    <w:rsid w:val="002C66CB"/>
    <w:rsid w:val="002D1F6E"/>
    <w:rsid w:val="002D2EDE"/>
    <w:rsid w:val="002E3E0B"/>
    <w:rsid w:val="002F02DD"/>
    <w:rsid w:val="002F28D2"/>
    <w:rsid w:val="002F6C16"/>
    <w:rsid w:val="0030032F"/>
    <w:rsid w:val="0030796D"/>
    <w:rsid w:val="00322828"/>
    <w:rsid w:val="00323E17"/>
    <w:rsid w:val="00326741"/>
    <w:rsid w:val="0032708A"/>
    <w:rsid w:val="00331D3B"/>
    <w:rsid w:val="003438F5"/>
    <w:rsid w:val="00347AF2"/>
    <w:rsid w:val="00352FA5"/>
    <w:rsid w:val="00371481"/>
    <w:rsid w:val="003822F0"/>
    <w:rsid w:val="00386C5F"/>
    <w:rsid w:val="00392350"/>
    <w:rsid w:val="0039268C"/>
    <w:rsid w:val="003929D9"/>
    <w:rsid w:val="00394127"/>
    <w:rsid w:val="0039620A"/>
    <w:rsid w:val="003A25B4"/>
    <w:rsid w:val="003B02DA"/>
    <w:rsid w:val="003B36D4"/>
    <w:rsid w:val="003C0EB5"/>
    <w:rsid w:val="003C107F"/>
    <w:rsid w:val="003C30F6"/>
    <w:rsid w:val="003E0B83"/>
    <w:rsid w:val="003E254F"/>
    <w:rsid w:val="003F3790"/>
    <w:rsid w:val="004045BF"/>
    <w:rsid w:val="00405C04"/>
    <w:rsid w:val="00411FB7"/>
    <w:rsid w:val="00417559"/>
    <w:rsid w:val="00417D6D"/>
    <w:rsid w:val="00420583"/>
    <w:rsid w:val="004217AE"/>
    <w:rsid w:val="00427850"/>
    <w:rsid w:val="00433AE3"/>
    <w:rsid w:val="00445B20"/>
    <w:rsid w:val="0045272B"/>
    <w:rsid w:val="0046108B"/>
    <w:rsid w:val="00467353"/>
    <w:rsid w:val="00471E72"/>
    <w:rsid w:val="00474081"/>
    <w:rsid w:val="004801EE"/>
    <w:rsid w:val="00494228"/>
    <w:rsid w:val="00496F86"/>
    <w:rsid w:val="004B48EC"/>
    <w:rsid w:val="004B5831"/>
    <w:rsid w:val="004C5AAC"/>
    <w:rsid w:val="004D0C97"/>
    <w:rsid w:val="004D1319"/>
    <w:rsid w:val="004D5394"/>
    <w:rsid w:val="004D5AB6"/>
    <w:rsid w:val="004D7BE7"/>
    <w:rsid w:val="004E4F1D"/>
    <w:rsid w:val="004E72C4"/>
    <w:rsid w:val="004E7DBE"/>
    <w:rsid w:val="004E7FC8"/>
    <w:rsid w:val="00504A96"/>
    <w:rsid w:val="0051446D"/>
    <w:rsid w:val="005218AB"/>
    <w:rsid w:val="005259C2"/>
    <w:rsid w:val="00526EBB"/>
    <w:rsid w:val="00540D9B"/>
    <w:rsid w:val="00540DAE"/>
    <w:rsid w:val="005457E2"/>
    <w:rsid w:val="00553666"/>
    <w:rsid w:val="0056172E"/>
    <w:rsid w:val="005618C5"/>
    <w:rsid w:val="00563E48"/>
    <w:rsid w:val="00565127"/>
    <w:rsid w:val="005732A4"/>
    <w:rsid w:val="00575E90"/>
    <w:rsid w:val="00591655"/>
    <w:rsid w:val="005A0C33"/>
    <w:rsid w:val="005A1089"/>
    <w:rsid w:val="005A27E8"/>
    <w:rsid w:val="005B1BE5"/>
    <w:rsid w:val="005C255C"/>
    <w:rsid w:val="005D35F1"/>
    <w:rsid w:val="005E24DD"/>
    <w:rsid w:val="00610A12"/>
    <w:rsid w:val="00613DFD"/>
    <w:rsid w:val="00614F7F"/>
    <w:rsid w:val="00623DA4"/>
    <w:rsid w:val="00633EA8"/>
    <w:rsid w:val="006409E8"/>
    <w:rsid w:val="0066122B"/>
    <w:rsid w:val="00662AE2"/>
    <w:rsid w:val="00666C66"/>
    <w:rsid w:val="00675E2F"/>
    <w:rsid w:val="00676095"/>
    <w:rsid w:val="00692818"/>
    <w:rsid w:val="006A2FDA"/>
    <w:rsid w:val="006B042D"/>
    <w:rsid w:val="006B13ED"/>
    <w:rsid w:val="006B3A25"/>
    <w:rsid w:val="006C034D"/>
    <w:rsid w:val="006C3C73"/>
    <w:rsid w:val="006D63A5"/>
    <w:rsid w:val="006E5815"/>
    <w:rsid w:val="006F291C"/>
    <w:rsid w:val="00701B55"/>
    <w:rsid w:val="007039EE"/>
    <w:rsid w:val="00704CF9"/>
    <w:rsid w:val="00704F95"/>
    <w:rsid w:val="00707C7E"/>
    <w:rsid w:val="00710B53"/>
    <w:rsid w:val="007156D5"/>
    <w:rsid w:val="00716043"/>
    <w:rsid w:val="007173E9"/>
    <w:rsid w:val="00722CFD"/>
    <w:rsid w:val="00723A0C"/>
    <w:rsid w:val="007372B6"/>
    <w:rsid w:val="0074491E"/>
    <w:rsid w:val="007610E9"/>
    <w:rsid w:val="00767BA3"/>
    <w:rsid w:val="00774AF4"/>
    <w:rsid w:val="0079157D"/>
    <w:rsid w:val="00791792"/>
    <w:rsid w:val="00791E78"/>
    <w:rsid w:val="00793EBC"/>
    <w:rsid w:val="007C5293"/>
    <w:rsid w:val="007E49C4"/>
    <w:rsid w:val="007E77AA"/>
    <w:rsid w:val="007F2D22"/>
    <w:rsid w:val="007F3BDC"/>
    <w:rsid w:val="00803DD9"/>
    <w:rsid w:val="00806073"/>
    <w:rsid w:val="00806BC1"/>
    <w:rsid w:val="00815401"/>
    <w:rsid w:val="008227D3"/>
    <w:rsid w:val="00832CA3"/>
    <w:rsid w:val="00840CC1"/>
    <w:rsid w:val="0085036A"/>
    <w:rsid w:val="00852A3F"/>
    <w:rsid w:val="00871E10"/>
    <w:rsid w:val="0087482F"/>
    <w:rsid w:val="00882883"/>
    <w:rsid w:val="00890AC3"/>
    <w:rsid w:val="00891F6B"/>
    <w:rsid w:val="00893306"/>
    <w:rsid w:val="00895C3D"/>
    <w:rsid w:val="008A036D"/>
    <w:rsid w:val="008C064B"/>
    <w:rsid w:val="008E059A"/>
    <w:rsid w:val="008E3727"/>
    <w:rsid w:val="008E5B30"/>
    <w:rsid w:val="00903855"/>
    <w:rsid w:val="00906427"/>
    <w:rsid w:val="009127B2"/>
    <w:rsid w:val="00916C6C"/>
    <w:rsid w:val="0091701B"/>
    <w:rsid w:val="009207BF"/>
    <w:rsid w:val="00923C3F"/>
    <w:rsid w:val="00924166"/>
    <w:rsid w:val="00926C8D"/>
    <w:rsid w:val="0093455D"/>
    <w:rsid w:val="00934AB0"/>
    <w:rsid w:val="0093557B"/>
    <w:rsid w:val="00937544"/>
    <w:rsid w:val="00940474"/>
    <w:rsid w:val="00941B43"/>
    <w:rsid w:val="00944E82"/>
    <w:rsid w:val="00946632"/>
    <w:rsid w:val="00952262"/>
    <w:rsid w:val="0095553C"/>
    <w:rsid w:val="00963906"/>
    <w:rsid w:val="009763E5"/>
    <w:rsid w:val="00976FED"/>
    <w:rsid w:val="009776EA"/>
    <w:rsid w:val="0098033C"/>
    <w:rsid w:val="009820D5"/>
    <w:rsid w:val="0098243A"/>
    <w:rsid w:val="0098571D"/>
    <w:rsid w:val="009A008A"/>
    <w:rsid w:val="009A0DD4"/>
    <w:rsid w:val="009A5676"/>
    <w:rsid w:val="009B38B8"/>
    <w:rsid w:val="009C4C9F"/>
    <w:rsid w:val="009D3A3E"/>
    <w:rsid w:val="009E3C64"/>
    <w:rsid w:val="009E4818"/>
    <w:rsid w:val="00A01712"/>
    <w:rsid w:val="00A230BB"/>
    <w:rsid w:val="00A23A76"/>
    <w:rsid w:val="00A2654A"/>
    <w:rsid w:val="00A35CB5"/>
    <w:rsid w:val="00A4431F"/>
    <w:rsid w:val="00A50764"/>
    <w:rsid w:val="00A52638"/>
    <w:rsid w:val="00A618B8"/>
    <w:rsid w:val="00A723F7"/>
    <w:rsid w:val="00A73390"/>
    <w:rsid w:val="00A763F0"/>
    <w:rsid w:val="00A7716D"/>
    <w:rsid w:val="00A80501"/>
    <w:rsid w:val="00A90B2B"/>
    <w:rsid w:val="00A96F62"/>
    <w:rsid w:val="00A97916"/>
    <w:rsid w:val="00AB015A"/>
    <w:rsid w:val="00AB4058"/>
    <w:rsid w:val="00AC70BF"/>
    <w:rsid w:val="00AE3400"/>
    <w:rsid w:val="00AE66C7"/>
    <w:rsid w:val="00AF066A"/>
    <w:rsid w:val="00AF1273"/>
    <w:rsid w:val="00AF2A84"/>
    <w:rsid w:val="00B02791"/>
    <w:rsid w:val="00B035C2"/>
    <w:rsid w:val="00B04494"/>
    <w:rsid w:val="00B13BB0"/>
    <w:rsid w:val="00B143CF"/>
    <w:rsid w:val="00B16F19"/>
    <w:rsid w:val="00B27599"/>
    <w:rsid w:val="00B27E89"/>
    <w:rsid w:val="00B347E0"/>
    <w:rsid w:val="00B36DDE"/>
    <w:rsid w:val="00B45E88"/>
    <w:rsid w:val="00B47FF9"/>
    <w:rsid w:val="00B51AC6"/>
    <w:rsid w:val="00B52775"/>
    <w:rsid w:val="00B54ED1"/>
    <w:rsid w:val="00B66E13"/>
    <w:rsid w:val="00B720BA"/>
    <w:rsid w:val="00B7365F"/>
    <w:rsid w:val="00B908E1"/>
    <w:rsid w:val="00B909B5"/>
    <w:rsid w:val="00B93315"/>
    <w:rsid w:val="00BA6F3F"/>
    <w:rsid w:val="00BB3850"/>
    <w:rsid w:val="00BD5D49"/>
    <w:rsid w:val="00BF156A"/>
    <w:rsid w:val="00BF2E79"/>
    <w:rsid w:val="00C05B9E"/>
    <w:rsid w:val="00C06A99"/>
    <w:rsid w:val="00C06DD6"/>
    <w:rsid w:val="00C263B3"/>
    <w:rsid w:val="00C3511D"/>
    <w:rsid w:val="00C35219"/>
    <w:rsid w:val="00C373B6"/>
    <w:rsid w:val="00C47406"/>
    <w:rsid w:val="00C478BA"/>
    <w:rsid w:val="00C7282E"/>
    <w:rsid w:val="00C74F44"/>
    <w:rsid w:val="00C76285"/>
    <w:rsid w:val="00C76FA8"/>
    <w:rsid w:val="00C80675"/>
    <w:rsid w:val="00C93D46"/>
    <w:rsid w:val="00C97892"/>
    <w:rsid w:val="00CA03EC"/>
    <w:rsid w:val="00CB038B"/>
    <w:rsid w:val="00CC0CD2"/>
    <w:rsid w:val="00CC760E"/>
    <w:rsid w:val="00CD1E04"/>
    <w:rsid w:val="00CD1E62"/>
    <w:rsid w:val="00CD5389"/>
    <w:rsid w:val="00CD5A08"/>
    <w:rsid w:val="00D009F7"/>
    <w:rsid w:val="00D040D1"/>
    <w:rsid w:val="00D1492B"/>
    <w:rsid w:val="00D15EEE"/>
    <w:rsid w:val="00D24AA0"/>
    <w:rsid w:val="00D33D60"/>
    <w:rsid w:val="00D509B8"/>
    <w:rsid w:val="00D561B7"/>
    <w:rsid w:val="00D622A0"/>
    <w:rsid w:val="00D72348"/>
    <w:rsid w:val="00D82908"/>
    <w:rsid w:val="00D832AD"/>
    <w:rsid w:val="00D840F4"/>
    <w:rsid w:val="00D95F05"/>
    <w:rsid w:val="00DA5A0F"/>
    <w:rsid w:val="00DA5F25"/>
    <w:rsid w:val="00DB7F27"/>
    <w:rsid w:val="00DD21F5"/>
    <w:rsid w:val="00DE3690"/>
    <w:rsid w:val="00DF2CAB"/>
    <w:rsid w:val="00DF7359"/>
    <w:rsid w:val="00E01581"/>
    <w:rsid w:val="00E01A8D"/>
    <w:rsid w:val="00E07ACD"/>
    <w:rsid w:val="00E12908"/>
    <w:rsid w:val="00E15E4A"/>
    <w:rsid w:val="00E16BBD"/>
    <w:rsid w:val="00E25768"/>
    <w:rsid w:val="00E36A38"/>
    <w:rsid w:val="00E4620D"/>
    <w:rsid w:val="00E52F6E"/>
    <w:rsid w:val="00E62DB0"/>
    <w:rsid w:val="00E641CF"/>
    <w:rsid w:val="00E64DA9"/>
    <w:rsid w:val="00E7239B"/>
    <w:rsid w:val="00E92F8E"/>
    <w:rsid w:val="00E93AED"/>
    <w:rsid w:val="00E97FF9"/>
    <w:rsid w:val="00EA26C6"/>
    <w:rsid w:val="00EC5AD5"/>
    <w:rsid w:val="00EE1C8E"/>
    <w:rsid w:val="00F02A81"/>
    <w:rsid w:val="00F05AF7"/>
    <w:rsid w:val="00F15020"/>
    <w:rsid w:val="00F24248"/>
    <w:rsid w:val="00F25839"/>
    <w:rsid w:val="00F27630"/>
    <w:rsid w:val="00F30263"/>
    <w:rsid w:val="00F30300"/>
    <w:rsid w:val="00F306CA"/>
    <w:rsid w:val="00F313D5"/>
    <w:rsid w:val="00F33D82"/>
    <w:rsid w:val="00F40397"/>
    <w:rsid w:val="00F43157"/>
    <w:rsid w:val="00F503B5"/>
    <w:rsid w:val="00F52AB7"/>
    <w:rsid w:val="00F5674F"/>
    <w:rsid w:val="00F61025"/>
    <w:rsid w:val="00F6347D"/>
    <w:rsid w:val="00F63AE6"/>
    <w:rsid w:val="00F64111"/>
    <w:rsid w:val="00F66430"/>
    <w:rsid w:val="00F74FD1"/>
    <w:rsid w:val="00F77137"/>
    <w:rsid w:val="00F82470"/>
    <w:rsid w:val="00F90D4D"/>
    <w:rsid w:val="00F96DE4"/>
    <w:rsid w:val="00F96DF9"/>
    <w:rsid w:val="00FA0385"/>
    <w:rsid w:val="00FA2A98"/>
    <w:rsid w:val="00FA484C"/>
    <w:rsid w:val="00FA661F"/>
    <w:rsid w:val="00FA6BEE"/>
    <w:rsid w:val="00FB3FDC"/>
    <w:rsid w:val="00FB6887"/>
    <w:rsid w:val="00FC28C6"/>
    <w:rsid w:val="00FC30EF"/>
    <w:rsid w:val="00FC6083"/>
    <w:rsid w:val="00FD396F"/>
    <w:rsid w:val="00FE04E3"/>
    <w:rsid w:val="00FF277E"/>
    <w:rsid w:val="00FF4714"/>
    <w:rsid w:val="00FF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1BE9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081"/>
    <w:pPr>
      <w:spacing w:line="256" w:lineRule="auto"/>
    </w:pPr>
  </w:style>
  <w:style w:type="paragraph" w:styleId="Heading1">
    <w:name w:val="heading 1"/>
    <w:basedOn w:val="Normal"/>
    <w:next w:val="Normal"/>
    <w:link w:val="Heading1Char"/>
    <w:uiPriority w:val="9"/>
    <w:qFormat/>
    <w:rsid w:val="00B54E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555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2883"/>
    <w:pPr>
      <w:spacing w:before="120" w:after="120" w:line="240" w:lineRule="auto"/>
      <w:jc w:val="both"/>
      <w:outlineLvl w:val="2"/>
    </w:pPr>
    <w:rPr>
      <w:rFonts w:ascii="Times New Roman" w:hAnsi="Times New Roman"/>
      <w:b/>
      <w:sz w:val="24"/>
      <w:szCs w:val="24"/>
      <w:lang w:val="en-AU"/>
    </w:rPr>
  </w:style>
  <w:style w:type="paragraph" w:styleId="Heading5">
    <w:name w:val="heading 5"/>
    <w:basedOn w:val="Normal"/>
    <w:next w:val="Normal"/>
    <w:link w:val="Heading5Char"/>
    <w:uiPriority w:val="9"/>
    <w:semiHidden/>
    <w:unhideWhenUsed/>
    <w:qFormat/>
    <w:rsid w:val="001D2B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016F6D"/>
    <w:pPr>
      <w:ind w:left="720"/>
      <w:contextualSpacing/>
    </w:pPr>
  </w:style>
  <w:style w:type="paragraph" w:customStyle="1" w:styleId="Default">
    <w:name w:val="Default"/>
    <w:rsid w:val="004D7BE7"/>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CommentReference">
    <w:name w:val="annotation reference"/>
    <w:basedOn w:val="DefaultParagraphFont"/>
    <w:uiPriority w:val="99"/>
    <w:semiHidden/>
    <w:unhideWhenUsed/>
    <w:rsid w:val="003929D9"/>
    <w:rPr>
      <w:sz w:val="16"/>
      <w:szCs w:val="16"/>
    </w:rPr>
  </w:style>
  <w:style w:type="paragraph" w:styleId="CommentText">
    <w:name w:val="annotation text"/>
    <w:basedOn w:val="Normal"/>
    <w:link w:val="CommentTextChar"/>
    <w:uiPriority w:val="99"/>
    <w:unhideWhenUsed/>
    <w:rsid w:val="003929D9"/>
    <w:pPr>
      <w:spacing w:line="240" w:lineRule="auto"/>
    </w:pPr>
    <w:rPr>
      <w:sz w:val="20"/>
      <w:szCs w:val="20"/>
    </w:rPr>
  </w:style>
  <w:style w:type="character" w:customStyle="1" w:styleId="CommentTextChar">
    <w:name w:val="Comment Text Char"/>
    <w:basedOn w:val="DefaultParagraphFont"/>
    <w:link w:val="CommentText"/>
    <w:uiPriority w:val="99"/>
    <w:rsid w:val="003929D9"/>
    <w:rPr>
      <w:sz w:val="20"/>
      <w:szCs w:val="20"/>
    </w:rPr>
  </w:style>
  <w:style w:type="paragraph" w:styleId="BalloonText">
    <w:name w:val="Balloon Text"/>
    <w:basedOn w:val="Normal"/>
    <w:link w:val="BalloonTextChar"/>
    <w:uiPriority w:val="99"/>
    <w:semiHidden/>
    <w:unhideWhenUsed/>
    <w:rsid w:val="00392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4A96"/>
    <w:rPr>
      <w:b/>
      <w:bCs/>
    </w:rPr>
  </w:style>
  <w:style w:type="character" w:customStyle="1" w:styleId="CommentSubjectChar">
    <w:name w:val="Comment Subject Char"/>
    <w:basedOn w:val="CommentTextChar"/>
    <w:link w:val="CommentSubject"/>
    <w:uiPriority w:val="99"/>
    <w:semiHidden/>
    <w:rsid w:val="00504A96"/>
    <w:rPr>
      <w:b/>
      <w:bCs/>
      <w:sz w:val="20"/>
      <w:szCs w:val="20"/>
    </w:rPr>
  </w:style>
  <w:style w:type="character" w:customStyle="1" w:styleId="Heading3Char">
    <w:name w:val="Heading 3 Char"/>
    <w:basedOn w:val="DefaultParagraphFont"/>
    <w:link w:val="Heading3"/>
    <w:uiPriority w:val="9"/>
    <w:rsid w:val="00882883"/>
    <w:rPr>
      <w:rFonts w:ascii="Times New Roman" w:hAnsi="Times New Roman"/>
      <w:b/>
      <w:sz w:val="24"/>
      <w:szCs w:val="24"/>
      <w:lang w:val="en-AU"/>
    </w:rPr>
  </w:style>
  <w:style w:type="paragraph" w:styleId="Header">
    <w:name w:val="header"/>
    <w:basedOn w:val="Normal"/>
    <w:link w:val="HeaderChar"/>
    <w:uiPriority w:val="47"/>
    <w:unhideWhenUsed/>
    <w:rsid w:val="00A618B8"/>
    <w:pPr>
      <w:tabs>
        <w:tab w:val="center" w:pos="4513"/>
        <w:tab w:val="right" w:pos="9026"/>
      </w:tabs>
      <w:spacing w:after="200" w:line="276" w:lineRule="auto"/>
    </w:pPr>
    <w:rPr>
      <w:rFonts w:ascii="Calibri" w:eastAsia="Calibri" w:hAnsi="Calibri" w:cs="Times New Roman"/>
      <w:lang w:val="en-AU"/>
    </w:rPr>
  </w:style>
  <w:style w:type="character" w:customStyle="1" w:styleId="HeaderChar">
    <w:name w:val="Header Char"/>
    <w:basedOn w:val="DefaultParagraphFont"/>
    <w:link w:val="Header"/>
    <w:uiPriority w:val="47"/>
    <w:rsid w:val="00A618B8"/>
    <w:rPr>
      <w:rFonts w:ascii="Calibri" w:eastAsia="Calibri" w:hAnsi="Calibri" w:cs="Times New Roman"/>
      <w:lang w:val="en-AU"/>
    </w:rPr>
  </w:style>
  <w:style w:type="paragraph" w:customStyle="1" w:styleId="ItemHead">
    <w:name w:val="ItemHead"/>
    <w:aliases w:val="ih"/>
    <w:basedOn w:val="Normal"/>
    <w:next w:val="Normal"/>
    <w:rsid w:val="00AF2A84"/>
    <w:pPr>
      <w:keepNext/>
      <w:keepLines/>
      <w:spacing w:before="220" w:after="0" w:line="240" w:lineRule="auto"/>
      <w:ind w:left="709" w:hanging="709"/>
    </w:pPr>
    <w:rPr>
      <w:rFonts w:ascii="Arial" w:eastAsiaTheme="minorEastAsia" w:hAnsi="Arial" w:cs="Arial"/>
      <w:b/>
      <w:bCs/>
      <w:kern w:val="28"/>
      <w:sz w:val="24"/>
      <w:szCs w:val="24"/>
      <w:lang w:val="en-AU" w:eastAsia="en-AU"/>
    </w:rPr>
  </w:style>
  <w:style w:type="character" w:customStyle="1" w:styleId="Heading2Char">
    <w:name w:val="Heading 2 Char"/>
    <w:basedOn w:val="DefaultParagraphFont"/>
    <w:link w:val="Heading2"/>
    <w:uiPriority w:val="9"/>
    <w:semiHidden/>
    <w:rsid w:val="0095553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95553C"/>
  </w:style>
  <w:style w:type="character" w:styleId="Hyperlink">
    <w:name w:val="Hyperlink"/>
    <w:basedOn w:val="DefaultParagraphFont"/>
    <w:uiPriority w:val="99"/>
    <w:semiHidden/>
    <w:unhideWhenUsed/>
    <w:rsid w:val="00083CA4"/>
    <w:rPr>
      <w:color w:val="0000FF"/>
      <w:u w:val="single"/>
    </w:rPr>
  </w:style>
  <w:style w:type="paragraph" w:styleId="Footer">
    <w:name w:val="footer"/>
    <w:basedOn w:val="Normal"/>
    <w:link w:val="FooterChar"/>
    <w:uiPriority w:val="99"/>
    <w:unhideWhenUsed/>
    <w:rsid w:val="00610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A12"/>
  </w:style>
  <w:style w:type="paragraph" w:customStyle="1" w:styleId="embullet">
    <w:name w:val="embullet"/>
    <w:basedOn w:val="Normal"/>
    <w:uiPriority w:val="99"/>
    <w:rsid w:val="00405C04"/>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525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9C2"/>
    <w:rPr>
      <w:sz w:val="20"/>
      <w:szCs w:val="20"/>
    </w:rPr>
  </w:style>
  <w:style w:type="character" w:styleId="FootnoteReference">
    <w:name w:val="footnote reference"/>
    <w:basedOn w:val="DefaultParagraphFont"/>
    <w:uiPriority w:val="99"/>
    <w:semiHidden/>
    <w:unhideWhenUsed/>
    <w:rsid w:val="005259C2"/>
    <w:rPr>
      <w:vertAlign w:val="superscript"/>
    </w:rPr>
  </w:style>
  <w:style w:type="paragraph" w:styleId="BodyText">
    <w:name w:val="Body Text"/>
    <w:basedOn w:val="Normal"/>
    <w:link w:val="BodyTextChar"/>
    <w:uiPriority w:val="1"/>
    <w:qFormat/>
    <w:rsid w:val="00260C8B"/>
    <w:pPr>
      <w:spacing w:before="120" w:after="120" w:line="264" w:lineRule="auto"/>
    </w:pPr>
    <w:rPr>
      <w:rFonts w:eastAsia="Times New Roman" w:cs="Times New Roman"/>
      <w:sz w:val="20"/>
      <w:szCs w:val="24"/>
      <w:lang w:val="en-AU" w:eastAsia="en-AU"/>
    </w:rPr>
  </w:style>
  <w:style w:type="character" w:customStyle="1" w:styleId="BodyTextChar">
    <w:name w:val="Body Text Char"/>
    <w:basedOn w:val="DefaultParagraphFont"/>
    <w:link w:val="BodyText"/>
    <w:uiPriority w:val="1"/>
    <w:rsid w:val="00260C8B"/>
    <w:rPr>
      <w:rFonts w:eastAsia="Times New Roman" w:cs="Times New Roman"/>
      <w:sz w:val="20"/>
      <w:szCs w:val="24"/>
      <w:lang w:val="en-AU" w:eastAsia="en-AU"/>
    </w:rPr>
  </w:style>
  <w:style w:type="character" w:styleId="PlaceholderText">
    <w:name w:val="Placeholder Text"/>
    <w:basedOn w:val="DefaultParagraphFont"/>
    <w:uiPriority w:val="99"/>
    <w:semiHidden/>
    <w:rsid w:val="00B54ED1"/>
    <w:rPr>
      <w:color w:val="808080"/>
    </w:rPr>
  </w:style>
  <w:style w:type="paragraph" w:styleId="Title">
    <w:name w:val="Title"/>
    <w:basedOn w:val="Heading1"/>
    <w:next w:val="BodyText"/>
    <w:link w:val="TitleChar"/>
    <w:qFormat/>
    <w:rsid w:val="00B54ED1"/>
    <w:pPr>
      <w:widowControl w:val="0"/>
      <w:spacing w:before="0" w:after="360" w:line="264" w:lineRule="auto"/>
    </w:pPr>
    <w:rPr>
      <w:rFonts w:eastAsia="Times New Roman" w:cs="Arial"/>
      <w:b/>
      <w:bCs/>
      <w:color w:val="5B9BD5" w:themeColor="accent1"/>
      <w:sz w:val="52"/>
      <w:szCs w:val="40"/>
      <w:lang w:val="en-AU" w:eastAsia="en-AU"/>
    </w:rPr>
  </w:style>
  <w:style w:type="character" w:customStyle="1" w:styleId="TitleChar">
    <w:name w:val="Title Char"/>
    <w:basedOn w:val="DefaultParagraphFont"/>
    <w:link w:val="Title"/>
    <w:rsid w:val="00B54ED1"/>
    <w:rPr>
      <w:rFonts w:asciiTheme="majorHAnsi" w:eastAsia="Times New Roman" w:hAnsiTheme="majorHAnsi" w:cs="Arial"/>
      <w:b/>
      <w:bCs/>
      <w:color w:val="5B9BD5" w:themeColor="accent1"/>
      <w:sz w:val="52"/>
      <w:szCs w:val="40"/>
      <w:lang w:val="en-AU" w:eastAsia="en-AU"/>
    </w:rPr>
  </w:style>
  <w:style w:type="table" w:styleId="TableGridLight">
    <w:name w:val="Grid Table Light"/>
    <w:basedOn w:val="TableNormal"/>
    <w:uiPriority w:val="40"/>
    <w:rsid w:val="00B54ED1"/>
    <w:pPr>
      <w:spacing w:before="80" w:after="0" w:line="240" w:lineRule="auto"/>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B54ED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D509B8"/>
    <w:rPr>
      <w:rFonts w:cs="Times New Roman"/>
      <w:b/>
      <w:bCs/>
    </w:rPr>
  </w:style>
  <w:style w:type="paragraph" w:customStyle="1" w:styleId="ActHead7">
    <w:name w:val="ActHead 7"/>
    <w:aliases w:val="ap"/>
    <w:basedOn w:val="Normal"/>
    <w:next w:val="ItemHead"/>
    <w:qFormat/>
    <w:rsid w:val="00D509B8"/>
    <w:pPr>
      <w:keepNext/>
      <w:keepLines/>
      <w:spacing w:before="280" w:after="0" w:line="240" w:lineRule="auto"/>
      <w:ind w:left="1134" w:hanging="1134"/>
      <w:outlineLvl w:val="6"/>
    </w:pPr>
    <w:rPr>
      <w:rFonts w:ascii="Arial" w:eastAsiaTheme="minorEastAsia" w:hAnsi="Arial" w:cs="Arial"/>
      <w:b/>
      <w:bCs/>
      <w:kern w:val="28"/>
      <w:sz w:val="28"/>
      <w:szCs w:val="28"/>
      <w:lang w:val="en-AU" w:eastAsia="en-AU"/>
    </w:rPr>
  </w:style>
  <w:style w:type="character" w:customStyle="1" w:styleId="CharAmPartNo">
    <w:name w:val="CharAmPartNo"/>
    <w:basedOn w:val="DefaultParagraphFont"/>
    <w:qFormat/>
    <w:rsid w:val="00D509B8"/>
    <w:rPr>
      <w:rFonts w:ascii="Times New Roman" w:hAnsi="Times New Roman" w:cs="Times New Roman"/>
    </w:rPr>
  </w:style>
  <w:style w:type="paragraph" w:customStyle="1" w:styleId="notedraft">
    <w:name w:val="note(draft)"/>
    <w:aliases w:val="nd"/>
    <w:basedOn w:val="Normal"/>
    <w:rsid w:val="00D509B8"/>
    <w:pPr>
      <w:spacing w:before="240" w:after="0" w:line="240" w:lineRule="auto"/>
      <w:ind w:left="284" w:hanging="284"/>
    </w:pPr>
    <w:rPr>
      <w:rFonts w:ascii="Times New Roman" w:eastAsiaTheme="minorEastAsia" w:hAnsi="Times New Roman" w:cs="Times New Roman"/>
      <w:i/>
      <w:iCs/>
      <w:sz w:val="24"/>
      <w:szCs w:val="24"/>
      <w:lang w:val="en-AU" w:eastAsia="en-AU"/>
    </w:rPr>
  </w:style>
  <w:style w:type="paragraph" w:customStyle="1" w:styleId="paragraph">
    <w:name w:val="paragraph"/>
    <w:aliases w:val="a"/>
    <w:basedOn w:val="Normal"/>
    <w:link w:val="paragraphChar"/>
    <w:rsid w:val="00D509B8"/>
    <w:pPr>
      <w:tabs>
        <w:tab w:val="right" w:pos="1531"/>
      </w:tabs>
      <w:spacing w:before="40" w:after="0" w:line="240" w:lineRule="auto"/>
      <w:ind w:left="1644" w:hanging="1644"/>
    </w:pPr>
    <w:rPr>
      <w:rFonts w:ascii="Times New Roman" w:eastAsiaTheme="minorEastAsia" w:hAnsi="Times New Roman" w:cs="Times New Roman"/>
      <w:szCs w:val="20"/>
      <w:lang w:val="en-AU" w:eastAsia="en-AU"/>
    </w:rPr>
  </w:style>
  <w:style w:type="character" w:customStyle="1" w:styleId="paragraphChar">
    <w:name w:val="paragraph Char"/>
    <w:aliases w:val="a Char"/>
    <w:link w:val="paragraph"/>
    <w:rsid w:val="00D509B8"/>
    <w:rPr>
      <w:rFonts w:ascii="Times New Roman" w:eastAsiaTheme="minorEastAsia" w:hAnsi="Times New Roman" w:cs="Times New Roman"/>
      <w:szCs w:val="20"/>
      <w:lang w:val="en-AU" w:eastAsia="en-AU"/>
    </w:rPr>
  </w:style>
  <w:style w:type="character" w:customStyle="1" w:styleId="CharAmPartText">
    <w:name w:val="CharAmPartText"/>
    <w:basedOn w:val="DefaultParagraphFont"/>
    <w:qFormat/>
    <w:rsid w:val="00D509B8"/>
  </w:style>
  <w:style w:type="paragraph" w:customStyle="1" w:styleId="paragraphsub-sub">
    <w:name w:val="paragraph(sub-sub)"/>
    <w:aliases w:val="aaa"/>
    <w:basedOn w:val="Normal"/>
    <w:rsid w:val="00D509B8"/>
    <w:pPr>
      <w:tabs>
        <w:tab w:val="right" w:pos="2722"/>
      </w:tabs>
      <w:spacing w:before="40" w:after="0" w:line="240" w:lineRule="auto"/>
      <w:ind w:left="2835" w:hanging="2835"/>
    </w:pPr>
    <w:rPr>
      <w:rFonts w:ascii="Times New Roman" w:eastAsia="Times New Roman" w:hAnsi="Times New Roman" w:cs="Times New Roman"/>
      <w:szCs w:val="20"/>
      <w:lang w:val="en-AU" w:eastAsia="en-AU"/>
    </w:rPr>
  </w:style>
  <w:style w:type="paragraph" w:customStyle="1" w:styleId="Item">
    <w:name w:val="Item"/>
    <w:aliases w:val="i"/>
    <w:basedOn w:val="Normal"/>
    <w:next w:val="ItemHead"/>
    <w:rsid w:val="00D509B8"/>
    <w:pPr>
      <w:keepLines/>
      <w:spacing w:before="80" w:after="0" w:line="240" w:lineRule="auto"/>
      <w:ind w:left="709"/>
    </w:pPr>
    <w:rPr>
      <w:rFonts w:ascii="Times New Roman" w:eastAsia="Times New Roman" w:hAnsi="Times New Roman" w:cs="Times New Roman"/>
      <w:szCs w:val="20"/>
      <w:lang w:val="en-AU" w:eastAsia="en-AU"/>
    </w:rPr>
  </w:style>
  <w:style w:type="paragraph" w:styleId="NormalWeb">
    <w:name w:val="Normal (Web)"/>
    <w:basedOn w:val="Normal"/>
    <w:uiPriority w:val="99"/>
    <w:semiHidden/>
    <w:unhideWhenUsed/>
    <w:rsid w:val="00FA484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INumberedParagraph">
    <w:name w:val="DI Numbered Paragraph"/>
    <w:basedOn w:val="Normal"/>
    <w:rsid w:val="00BA6F3F"/>
    <w:pPr>
      <w:numPr>
        <w:numId w:val="26"/>
      </w:numPr>
      <w:tabs>
        <w:tab w:val="left" w:pos="567"/>
      </w:tabs>
      <w:spacing w:after="240" w:line="240" w:lineRule="auto"/>
    </w:pPr>
    <w:rPr>
      <w:rFonts w:ascii="Times New Roman" w:eastAsia="Times New Roman" w:hAnsi="Times New Roman" w:cs="Times New Roman"/>
      <w:sz w:val="24"/>
      <w:szCs w:val="20"/>
      <w:lang w:val="en-AU" w:eastAsia="en-AU"/>
    </w:rPr>
  </w:style>
  <w:style w:type="character" w:customStyle="1" w:styleId="Heading5Char">
    <w:name w:val="Heading 5 Char"/>
    <w:basedOn w:val="DefaultParagraphFont"/>
    <w:link w:val="Heading5"/>
    <w:uiPriority w:val="9"/>
    <w:semiHidden/>
    <w:rsid w:val="001D2B2F"/>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563E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ListParagraph"/>
    <w:uiPriority w:val="19"/>
    <w:semiHidden/>
    <w:rsid w:val="00934AB0"/>
    <w:pPr>
      <w:tabs>
        <w:tab w:val="num" w:pos="1134"/>
      </w:tabs>
      <w:spacing w:before="120" w:after="120" w:line="264" w:lineRule="auto"/>
      <w:ind w:left="568"/>
      <w:contextualSpacing w:val="0"/>
    </w:pPr>
    <w:rPr>
      <w:rFonts w:eastAsia="Times New Roman" w:cs="Times New Roman"/>
      <w:sz w:val="20"/>
      <w:szCs w:val="24"/>
      <w:lang w:val="en-AU" w:eastAsia="en-AU"/>
    </w:rPr>
  </w:style>
  <w:style w:type="paragraph" w:customStyle="1" w:styleId="ListParagraph3">
    <w:name w:val="List Paragraph 3"/>
    <w:basedOn w:val="ListParagraph"/>
    <w:uiPriority w:val="19"/>
    <w:semiHidden/>
    <w:rsid w:val="00934AB0"/>
    <w:pPr>
      <w:tabs>
        <w:tab w:val="num" w:pos="1701"/>
      </w:tabs>
      <w:spacing w:before="120" w:after="120" w:line="264" w:lineRule="auto"/>
      <w:ind w:left="852"/>
      <w:contextualSpacing w:val="0"/>
    </w:pPr>
    <w:rPr>
      <w:rFonts w:eastAsia="Times New Roman" w:cs="Times New Roman"/>
      <w:sz w:val="20"/>
      <w:szCs w:val="24"/>
      <w:lang w:val="en-AU" w:eastAsia="en-AU"/>
    </w:rPr>
  </w:style>
  <w:style w:type="paragraph" w:customStyle="1" w:styleId="ListParagraph4">
    <w:name w:val="List Paragraph 4"/>
    <w:basedOn w:val="ListParagraph"/>
    <w:uiPriority w:val="19"/>
    <w:semiHidden/>
    <w:rsid w:val="00934AB0"/>
    <w:pPr>
      <w:tabs>
        <w:tab w:val="num" w:pos="2268"/>
      </w:tabs>
      <w:spacing w:before="120" w:after="120" w:line="264" w:lineRule="auto"/>
      <w:ind w:left="1136"/>
      <w:contextualSpacing w:val="0"/>
    </w:pPr>
    <w:rPr>
      <w:rFonts w:eastAsia="Times New Roman" w:cs="Times New Roman"/>
      <w:sz w:val="20"/>
      <w:szCs w:val="24"/>
      <w:lang w:val="en-AU" w:eastAsia="en-AU"/>
    </w:rPr>
  </w:style>
  <w:style w:type="paragraph" w:customStyle="1" w:styleId="ListParagraph5">
    <w:name w:val="List Paragraph 5"/>
    <w:basedOn w:val="ListParagraph"/>
    <w:uiPriority w:val="19"/>
    <w:semiHidden/>
    <w:rsid w:val="00934AB0"/>
    <w:pPr>
      <w:tabs>
        <w:tab w:val="num" w:pos="2835"/>
      </w:tabs>
      <w:spacing w:before="120" w:after="120" w:line="264" w:lineRule="auto"/>
      <w:ind w:left="1420"/>
      <w:contextualSpacing w:val="0"/>
    </w:pPr>
    <w:rPr>
      <w:rFonts w:eastAsia="Times New Roman" w:cs="Times New Roman"/>
      <w:sz w:val="20"/>
      <w:szCs w:val="24"/>
      <w:lang w:val="en-AU" w:eastAsia="en-AU"/>
    </w:rPr>
  </w:style>
  <w:style w:type="paragraph" w:customStyle="1" w:styleId="ListParagraph6">
    <w:name w:val="List Paragraph 6"/>
    <w:basedOn w:val="ListParagraph"/>
    <w:uiPriority w:val="19"/>
    <w:semiHidden/>
    <w:rsid w:val="00934AB0"/>
    <w:pPr>
      <w:tabs>
        <w:tab w:val="num" w:pos="3402"/>
      </w:tabs>
      <w:spacing w:before="120" w:after="120" w:line="264" w:lineRule="auto"/>
      <w:ind w:left="1704"/>
      <w:contextualSpacing w:val="0"/>
    </w:pPr>
    <w:rPr>
      <w:rFonts w:eastAsia="Times New Roman" w:cs="Times New Roman"/>
      <w:sz w:val="20"/>
      <w:szCs w:val="24"/>
      <w:lang w:val="en-AU" w:eastAsia="en-AU"/>
    </w:rPr>
  </w:style>
  <w:style w:type="paragraph" w:styleId="Revision">
    <w:name w:val="Revision"/>
    <w:hidden/>
    <w:uiPriority w:val="99"/>
    <w:semiHidden/>
    <w:rsid w:val="0098571D"/>
    <w:pPr>
      <w:spacing w:after="0" w:line="240" w:lineRule="auto"/>
    </w:pPr>
  </w:style>
  <w:style w:type="paragraph" w:customStyle="1" w:styleId="EStext-overview">
    <w:name w:val="ES text - overview"/>
    <w:basedOn w:val="Normal"/>
    <w:qFormat/>
    <w:rsid w:val="00A35CB5"/>
    <w:pPr>
      <w:spacing w:after="0" w:line="240" w:lineRule="auto"/>
      <w:ind w:right="42"/>
    </w:pPr>
    <w:rPr>
      <w:rFonts w:ascii="Times New Roman" w:eastAsiaTheme="minorEastAsia" w:hAnsi="Times New Roman" w:cs="Times New Roman"/>
      <w:sz w:val="24"/>
      <w:szCs w:val="24"/>
      <w:lang w:val="en-AU" w:eastAsia="en-AU"/>
    </w:rPr>
  </w:style>
  <w:style w:type="paragraph" w:customStyle="1" w:styleId="EStext-bullet">
    <w:name w:val="ES text - bullet"/>
    <w:basedOn w:val="ListParagraph"/>
    <w:qFormat/>
    <w:rsid w:val="00A35CB5"/>
    <w:pPr>
      <w:numPr>
        <w:numId w:val="3"/>
      </w:numPr>
      <w:tabs>
        <w:tab w:val="num" w:pos="426"/>
      </w:tabs>
      <w:spacing w:before="120" w:after="120" w:line="240" w:lineRule="auto"/>
      <w:ind w:left="426" w:right="91" w:hanging="357"/>
      <w:contextualSpacing w:val="0"/>
    </w:pPr>
    <w:rPr>
      <w:rFonts w:ascii="Times New Roman" w:hAnsi="Times New Roman" w:cs="Times New Roman"/>
      <w:color w:val="000000"/>
      <w:sz w:val="24"/>
      <w:szCs w:val="24"/>
    </w:rPr>
  </w:style>
  <w:style w:type="paragraph" w:customStyle="1" w:styleId="ESclnotetext">
    <w:name w:val="ES cl note text"/>
    <w:basedOn w:val="Normal"/>
    <w:qFormat/>
    <w:rsid w:val="00212F19"/>
    <w:pPr>
      <w:tabs>
        <w:tab w:val="left" w:pos="345"/>
      </w:tabs>
      <w:spacing w:after="0" w:line="240" w:lineRule="auto"/>
      <w:ind w:right="662"/>
    </w:pPr>
    <w:rPr>
      <w:rFonts w:ascii="Times New Roman" w:eastAsiaTheme="minorEastAsia" w:hAnsi="Times New Roman" w:cs="Times New Roman"/>
      <w:bCs/>
      <w:kern w:val="28"/>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7919">
      <w:bodyDiv w:val="1"/>
      <w:marLeft w:val="0"/>
      <w:marRight w:val="0"/>
      <w:marTop w:val="0"/>
      <w:marBottom w:val="0"/>
      <w:divBdr>
        <w:top w:val="none" w:sz="0" w:space="0" w:color="auto"/>
        <w:left w:val="none" w:sz="0" w:space="0" w:color="auto"/>
        <w:bottom w:val="none" w:sz="0" w:space="0" w:color="auto"/>
        <w:right w:val="none" w:sz="0" w:space="0" w:color="auto"/>
      </w:divBdr>
    </w:div>
    <w:div w:id="423965831">
      <w:bodyDiv w:val="1"/>
      <w:marLeft w:val="0"/>
      <w:marRight w:val="0"/>
      <w:marTop w:val="0"/>
      <w:marBottom w:val="0"/>
      <w:divBdr>
        <w:top w:val="none" w:sz="0" w:space="0" w:color="auto"/>
        <w:left w:val="none" w:sz="0" w:space="0" w:color="auto"/>
        <w:bottom w:val="none" w:sz="0" w:space="0" w:color="auto"/>
        <w:right w:val="none" w:sz="0" w:space="0" w:color="auto"/>
      </w:divBdr>
    </w:div>
    <w:div w:id="430049630">
      <w:bodyDiv w:val="1"/>
      <w:marLeft w:val="0"/>
      <w:marRight w:val="0"/>
      <w:marTop w:val="0"/>
      <w:marBottom w:val="0"/>
      <w:divBdr>
        <w:top w:val="none" w:sz="0" w:space="0" w:color="auto"/>
        <w:left w:val="none" w:sz="0" w:space="0" w:color="auto"/>
        <w:bottom w:val="none" w:sz="0" w:space="0" w:color="auto"/>
        <w:right w:val="none" w:sz="0" w:space="0" w:color="auto"/>
      </w:divBdr>
    </w:div>
    <w:div w:id="565644996">
      <w:bodyDiv w:val="1"/>
      <w:marLeft w:val="0"/>
      <w:marRight w:val="0"/>
      <w:marTop w:val="0"/>
      <w:marBottom w:val="0"/>
      <w:divBdr>
        <w:top w:val="none" w:sz="0" w:space="0" w:color="auto"/>
        <w:left w:val="none" w:sz="0" w:space="0" w:color="auto"/>
        <w:bottom w:val="none" w:sz="0" w:space="0" w:color="auto"/>
        <w:right w:val="none" w:sz="0" w:space="0" w:color="auto"/>
      </w:divBdr>
    </w:div>
    <w:div w:id="612906297">
      <w:bodyDiv w:val="1"/>
      <w:marLeft w:val="0"/>
      <w:marRight w:val="0"/>
      <w:marTop w:val="0"/>
      <w:marBottom w:val="0"/>
      <w:divBdr>
        <w:top w:val="none" w:sz="0" w:space="0" w:color="auto"/>
        <w:left w:val="none" w:sz="0" w:space="0" w:color="auto"/>
        <w:bottom w:val="none" w:sz="0" w:space="0" w:color="auto"/>
        <w:right w:val="none" w:sz="0" w:space="0" w:color="auto"/>
      </w:divBdr>
    </w:div>
    <w:div w:id="680664622">
      <w:bodyDiv w:val="1"/>
      <w:marLeft w:val="0"/>
      <w:marRight w:val="0"/>
      <w:marTop w:val="0"/>
      <w:marBottom w:val="0"/>
      <w:divBdr>
        <w:top w:val="none" w:sz="0" w:space="0" w:color="auto"/>
        <w:left w:val="none" w:sz="0" w:space="0" w:color="auto"/>
        <w:bottom w:val="none" w:sz="0" w:space="0" w:color="auto"/>
        <w:right w:val="none" w:sz="0" w:space="0" w:color="auto"/>
      </w:divBdr>
    </w:div>
    <w:div w:id="719551585">
      <w:bodyDiv w:val="1"/>
      <w:marLeft w:val="0"/>
      <w:marRight w:val="0"/>
      <w:marTop w:val="0"/>
      <w:marBottom w:val="0"/>
      <w:divBdr>
        <w:top w:val="none" w:sz="0" w:space="0" w:color="auto"/>
        <w:left w:val="none" w:sz="0" w:space="0" w:color="auto"/>
        <w:bottom w:val="none" w:sz="0" w:space="0" w:color="auto"/>
        <w:right w:val="none" w:sz="0" w:space="0" w:color="auto"/>
      </w:divBdr>
    </w:div>
    <w:div w:id="754285570">
      <w:bodyDiv w:val="1"/>
      <w:marLeft w:val="0"/>
      <w:marRight w:val="0"/>
      <w:marTop w:val="0"/>
      <w:marBottom w:val="0"/>
      <w:divBdr>
        <w:top w:val="none" w:sz="0" w:space="0" w:color="auto"/>
        <w:left w:val="none" w:sz="0" w:space="0" w:color="auto"/>
        <w:bottom w:val="none" w:sz="0" w:space="0" w:color="auto"/>
        <w:right w:val="none" w:sz="0" w:space="0" w:color="auto"/>
      </w:divBdr>
    </w:div>
    <w:div w:id="887375822">
      <w:bodyDiv w:val="1"/>
      <w:marLeft w:val="0"/>
      <w:marRight w:val="0"/>
      <w:marTop w:val="0"/>
      <w:marBottom w:val="0"/>
      <w:divBdr>
        <w:top w:val="none" w:sz="0" w:space="0" w:color="auto"/>
        <w:left w:val="none" w:sz="0" w:space="0" w:color="auto"/>
        <w:bottom w:val="none" w:sz="0" w:space="0" w:color="auto"/>
        <w:right w:val="none" w:sz="0" w:space="0" w:color="auto"/>
      </w:divBdr>
    </w:div>
    <w:div w:id="906770773">
      <w:bodyDiv w:val="1"/>
      <w:marLeft w:val="0"/>
      <w:marRight w:val="0"/>
      <w:marTop w:val="0"/>
      <w:marBottom w:val="0"/>
      <w:divBdr>
        <w:top w:val="none" w:sz="0" w:space="0" w:color="auto"/>
        <w:left w:val="none" w:sz="0" w:space="0" w:color="auto"/>
        <w:bottom w:val="none" w:sz="0" w:space="0" w:color="auto"/>
        <w:right w:val="none" w:sz="0" w:space="0" w:color="auto"/>
      </w:divBdr>
    </w:div>
    <w:div w:id="1061833129">
      <w:bodyDiv w:val="1"/>
      <w:marLeft w:val="0"/>
      <w:marRight w:val="0"/>
      <w:marTop w:val="0"/>
      <w:marBottom w:val="0"/>
      <w:divBdr>
        <w:top w:val="none" w:sz="0" w:space="0" w:color="auto"/>
        <w:left w:val="none" w:sz="0" w:space="0" w:color="auto"/>
        <w:bottom w:val="none" w:sz="0" w:space="0" w:color="auto"/>
        <w:right w:val="none" w:sz="0" w:space="0" w:color="auto"/>
      </w:divBdr>
    </w:div>
    <w:div w:id="1077048881">
      <w:bodyDiv w:val="1"/>
      <w:marLeft w:val="0"/>
      <w:marRight w:val="0"/>
      <w:marTop w:val="0"/>
      <w:marBottom w:val="0"/>
      <w:divBdr>
        <w:top w:val="none" w:sz="0" w:space="0" w:color="auto"/>
        <w:left w:val="none" w:sz="0" w:space="0" w:color="auto"/>
        <w:bottom w:val="none" w:sz="0" w:space="0" w:color="auto"/>
        <w:right w:val="none" w:sz="0" w:space="0" w:color="auto"/>
      </w:divBdr>
    </w:div>
    <w:div w:id="1148127279">
      <w:bodyDiv w:val="1"/>
      <w:marLeft w:val="0"/>
      <w:marRight w:val="0"/>
      <w:marTop w:val="0"/>
      <w:marBottom w:val="0"/>
      <w:divBdr>
        <w:top w:val="none" w:sz="0" w:space="0" w:color="auto"/>
        <w:left w:val="none" w:sz="0" w:space="0" w:color="auto"/>
        <w:bottom w:val="none" w:sz="0" w:space="0" w:color="auto"/>
        <w:right w:val="none" w:sz="0" w:space="0" w:color="auto"/>
      </w:divBdr>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452237215">
      <w:bodyDiv w:val="1"/>
      <w:marLeft w:val="0"/>
      <w:marRight w:val="0"/>
      <w:marTop w:val="0"/>
      <w:marBottom w:val="0"/>
      <w:divBdr>
        <w:top w:val="none" w:sz="0" w:space="0" w:color="auto"/>
        <w:left w:val="none" w:sz="0" w:space="0" w:color="auto"/>
        <w:bottom w:val="none" w:sz="0" w:space="0" w:color="auto"/>
        <w:right w:val="none" w:sz="0" w:space="0" w:color="auto"/>
      </w:divBdr>
    </w:div>
    <w:div w:id="1593858648">
      <w:bodyDiv w:val="1"/>
      <w:marLeft w:val="0"/>
      <w:marRight w:val="0"/>
      <w:marTop w:val="0"/>
      <w:marBottom w:val="0"/>
      <w:divBdr>
        <w:top w:val="none" w:sz="0" w:space="0" w:color="auto"/>
        <w:left w:val="none" w:sz="0" w:space="0" w:color="auto"/>
        <w:bottom w:val="none" w:sz="0" w:space="0" w:color="auto"/>
        <w:right w:val="none" w:sz="0" w:space="0" w:color="auto"/>
      </w:divBdr>
    </w:div>
    <w:div w:id="1639456638">
      <w:bodyDiv w:val="1"/>
      <w:marLeft w:val="0"/>
      <w:marRight w:val="0"/>
      <w:marTop w:val="0"/>
      <w:marBottom w:val="0"/>
      <w:divBdr>
        <w:top w:val="none" w:sz="0" w:space="0" w:color="auto"/>
        <w:left w:val="none" w:sz="0" w:space="0" w:color="auto"/>
        <w:bottom w:val="none" w:sz="0" w:space="0" w:color="auto"/>
        <w:right w:val="none" w:sz="0" w:space="0" w:color="auto"/>
      </w:divBdr>
    </w:div>
    <w:div w:id="1756900049">
      <w:bodyDiv w:val="1"/>
      <w:marLeft w:val="0"/>
      <w:marRight w:val="0"/>
      <w:marTop w:val="0"/>
      <w:marBottom w:val="0"/>
      <w:divBdr>
        <w:top w:val="none" w:sz="0" w:space="0" w:color="auto"/>
        <w:left w:val="none" w:sz="0" w:space="0" w:color="auto"/>
        <w:bottom w:val="none" w:sz="0" w:space="0" w:color="auto"/>
        <w:right w:val="none" w:sz="0" w:space="0" w:color="auto"/>
      </w:divBdr>
    </w:div>
    <w:div w:id="1827356719">
      <w:bodyDiv w:val="1"/>
      <w:marLeft w:val="0"/>
      <w:marRight w:val="0"/>
      <w:marTop w:val="0"/>
      <w:marBottom w:val="0"/>
      <w:divBdr>
        <w:top w:val="none" w:sz="0" w:space="0" w:color="auto"/>
        <w:left w:val="none" w:sz="0" w:space="0" w:color="auto"/>
        <w:bottom w:val="none" w:sz="0" w:space="0" w:color="auto"/>
        <w:right w:val="none" w:sz="0" w:space="0" w:color="auto"/>
      </w:divBdr>
    </w:div>
    <w:div w:id="21413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5F8F3-BA7D-429A-98D1-E92AB339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2024-08-15T00:36:00Z</dcterms:created>
  <dcterms:modified xsi:type="dcterms:W3CDTF">2024-08-15T00:36:00Z</dcterms:modified>
</cp:coreProperties>
</file>