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E96998"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6D24EA08" w14:textId="77777777" w:rsidR="0033616D" w:rsidRDefault="0033616D" w:rsidP="0033616D">
      <w:pPr>
        <w:jc w:val="center"/>
        <w:rPr>
          <w:rFonts w:ascii="Times New Roman" w:hAnsi="Times New Roman" w:cs="Times New Roman"/>
          <w:i/>
          <w:iCs/>
        </w:rPr>
      </w:pPr>
      <w:r w:rsidRPr="1F1180E7">
        <w:rPr>
          <w:rFonts w:ascii="Times New Roman" w:hAnsi="Times New Roman" w:cs="Times New Roman"/>
          <w:i/>
          <w:iCs/>
        </w:rPr>
        <w:t>Australian Communications and Media Authority Act 2005</w:t>
      </w:r>
    </w:p>
    <w:p w14:paraId="4DB11138" w14:textId="7DBDE130" w:rsidR="0033616D" w:rsidRDefault="0033616D" w:rsidP="0033616D">
      <w:pPr>
        <w:jc w:val="center"/>
        <w:rPr>
          <w:rFonts w:ascii="Times New Roman" w:eastAsia="Times New Roman" w:hAnsi="Times New Roman" w:cs="Times New Roman"/>
          <w:b/>
          <w:bCs/>
          <w:i/>
          <w:iCs/>
          <w:color w:val="000000" w:themeColor="text1"/>
        </w:rPr>
      </w:pPr>
      <w:r w:rsidRPr="1F1180E7">
        <w:rPr>
          <w:rFonts w:ascii="Times New Roman" w:eastAsia="Times New Roman" w:hAnsi="Times New Roman" w:cs="Times New Roman"/>
          <w:b/>
          <w:bCs/>
          <w:i/>
          <w:iCs/>
          <w:color w:val="000000" w:themeColor="text1"/>
        </w:rPr>
        <w:t>Radiocommunications (Charges) Amendment Determination 202</w:t>
      </w:r>
      <w:r>
        <w:rPr>
          <w:rFonts w:ascii="Times New Roman" w:eastAsia="Times New Roman" w:hAnsi="Times New Roman" w:cs="Times New Roman"/>
          <w:b/>
          <w:bCs/>
          <w:i/>
          <w:iCs/>
          <w:color w:val="000000" w:themeColor="text1"/>
        </w:rPr>
        <w:t>4</w:t>
      </w:r>
      <w:r w:rsidRPr="1F1180E7">
        <w:rPr>
          <w:rFonts w:ascii="Times New Roman" w:eastAsia="Times New Roman" w:hAnsi="Times New Roman" w:cs="Times New Roman"/>
          <w:b/>
          <w:bCs/>
          <w:i/>
          <w:iCs/>
          <w:color w:val="000000" w:themeColor="text1"/>
        </w:rPr>
        <w:t xml:space="preserve"> (No.1)</w:t>
      </w:r>
    </w:p>
    <w:p w14:paraId="0EFEBE09" w14:textId="77777777" w:rsidR="004D2843" w:rsidRPr="00253FB5" w:rsidRDefault="004D2843" w:rsidP="00AD500F">
      <w:pPr>
        <w:spacing w:before="280"/>
        <w:rPr>
          <w:rFonts w:ascii="Times New Roman" w:hAnsi="Times New Roman" w:cs="Times New Roman"/>
          <w:b/>
          <w:sz w:val="24"/>
          <w:szCs w:val="24"/>
        </w:rPr>
      </w:pPr>
      <w:r w:rsidRPr="00253FB5">
        <w:rPr>
          <w:rFonts w:ascii="Times New Roman" w:hAnsi="Times New Roman" w:cs="Times New Roman"/>
          <w:b/>
          <w:sz w:val="24"/>
          <w:szCs w:val="24"/>
        </w:rPr>
        <w:t>Authority</w:t>
      </w:r>
    </w:p>
    <w:p w14:paraId="0D7BCD0E" w14:textId="46C2FD29" w:rsidR="00B54C45" w:rsidRPr="00B54C45" w:rsidRDefault="00B54C45" w:rsidP="00253FB5">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xml:space="preserve">) has made the </w:t>
      </w:r>
      <w:r w:rsidR="00F637A6" w:rsidRPr="006B6364">
        <w:rPr>
          <w:rFonts w:ascii="Times New Roman" w:hAnsi="Times New Roman" w:cs="Times New Roman"/>
          <w:i/>
          <w:iCs/>
        </w:rPr>
        <w:t>Radiocommunications (Charges) Amendment Determination 202</w:t>
      </w:r>
      <w:r w:rsidR="00DD09BD">
        <w:rPr>
          <w:rFonts w:ascii="Times New Roman" w:hAnsi="Times New Roman" w:cs="Times New Roman"/>
          <w:i/>
          <w:iCs/>
        </w:rPr>
        <w:t>4</w:t>
      </w:r>
      <w:r w:rsidR="00F637A6" w:rsidRPr="006B6364">
        <w:rPr>
          <w:rFonts w:ascii="Times New Roman" w:hAnsi="Times New Roman" w:cs="Times New Roman"/>
          <w:i/>
          <w:iCs/>
        </w:rPr>
        <w:t xml:space="preserve"> (No.1)</w:t>
      </w:r>
      <w:r w:rsidRPr="00B54C45">
        <w:rPr>
          <w:rFonts w:ascii="Times New Roman" w:hAnsi="Times New Roman" w:cs="Times New Roman"/>
        </w:rPr>
        <w:t xml:space="preserve"> (the </w:t>
      </w:r>
      <w:r w:rsidRPr="004409AF">
        <w:rPr>
          <w:rFonts w:ascii="Times New Roman" w:hAnsi="Times New Roman" w:cs="Times New Roman"/>
          <w:b/>
          <w:bCs/>
        </w:rPr>
        <w:t>instrument</w:t>
      </w:r>
      <w:r w:rsidRPr="00B54C45">
        <w:rPr>
          <w:rFonts w:ascii="Times New Roman" w:hAnsi="Times New Roman" w:cs="Times New Roman"/>
        </w:rPr>
        <w:t xml:space="preserve">) under </w:t>
      </w:r>
      <w:r w:rsidR="00F637A6" w:rsidRPr="1F1180E7">
        <w:rPr>
          <w:rFonts w:ascii="Times New Roman" w:hAnsi="Times New Roman" w:cs="Times New Roman"/>
        </w:rPr>
        <w:t xml:space="preserve">subsection 60(1) </w:t>
      </w:r>
      <w:r w:rsidR="00F637A6">
        <w:rPr>
          <w:rFonts w:ascii="Times New Roman" w:hAnsi="Times New Roman" w:cs="Times New Roman"/>
        </w:rPr>
        <w:t xml:space="preserve">of the </w:t>
      </w:r>
      <w:r w:rsidR="00F637A6" w:rsidRPr="006B6364">
        <w:rPr>
          <w:rFonts w:ascii="Times New Roman" w:hAnsi="Times New Roman" w:cs="Times New Roman"/>
          <w:i/>
          <w:iCs/>
        </w:rPr>
        <w:t>Australian Communications and Media Authority Act 2005</w:t>
      </w:r>
      <w:r w:rsidR="00F637A6" w:rsidRPr="1F1180E7">
        <w:rPr>
          <w:rFonts w:ascii="Times New Roman" w:hAnsi="Times New Roman" w:cs="Times New Roman"/>
        </w:rPr>
        <w:t xml:space="preserve"> </w:t>
      </w:r>
      <w:r w:rsidRPr="00B54C45">
        <w:rPr>
          <w:rFonts w:ascii="Times New Roman" w:hAnsi="Times New Roman" w:cs="Times New Roman"/>
        </w:rPr>
        <w:t xml:space="preserve">(the </w:t>
      </w:r>
      <w:r w:rsidRPr="00A31ED3">
        <w:rPr>
          <w:rFonts w:ascii="Times New Roman" w:hAnsi="Times New Roman" w:cs="Times New Roman"/>
          <w:b/>
          <w:bCs/>
        </w:rPr>
        <w:t>Act</w:t>
      </w:r>
      <w:r w:rsidRPr="00B54C45">
        <w:rPr>
          <w:rFonts w:ascii="Times New Roman" w:hAnsi="Times New Roman" w:cs="Times New Roman"/>
        </w:rPr>
        <w:t xml:space="preserve">) and subsection 33(3) of the </w:t>
      </w:r>
      <w:r w:rsidRPr="007C3382">
        <w:rPr>
          <w:rFonts w:ascii="Times New Roman" w:hAnsi="Times New Roman" w:cs="Times New Roman"/>
          <w:i/>
          <w:iCs/>
        </w:rPr>
        <w:t>Acts Interpretation Act 1901</w:t>
      </w:r>
      <w:r w:rsidRPr="00B54C45">
        <w:rPr>
          <w:rFonts w:ascii="Times New Roman" w:hAnsi="Times New Roman" w:cs="Times New Roman"/>
        </w:rPr>
        <w:t xml:space="preserve"> (the </w:t>
      </w:r>
      <w:r w:rsidRPr="007C3382">
        <w:rPr>
          <w:rFonts w:ascii="Times New Roman" w:hAnsi="Times New Roman" w:cs="Times New Roman"/>
          <w:b/>
          <w:bCs/>
        </w:rPr>
        <w:t>AIA</w:t>
      </w:r>
      <w:r w:rsidRPr="00B54C45">
        <w:rPr>
          <w:rFonts w:ascii="Times New Roman" w:hAnsi="Times New Roman" w:cs="Times New Roman"/>
        </w:rPr>
        <w:t>).</w:t>
      </w:r>
    </w:p>
    <w:p w14:paraId="045ECCF1" w14:textId="77777777" w:rsidR="00F637A6" w:rsidRDefault="00F637A6" w:rsidP="00F637A6">
      <w:pPr>
        <w:rPr>
          <w:rFonts w:ascii="Times New Roman" w:hAnsi="Times New Roman" w:cs="Times New Roman"/>
        </w:rPr>
      </w:pPr>
      <w:r w:rsidRPr="1F1180E7">
        <w:rPr>
          <w:rFonts w:ascii="Times New Roman" w:hAnsi="Times New Roman" w:cs="Times New Roman"/>
        </w:rPr>
        <w:t>Subsection 60(1) of the Act provides that the ACMA may, by written instrument, make determinations fixing charges for services provided by the ACMA</w:t>
      </w:r>
      <w:r>
        <w:rPr>
          <w:rFonts w:ascii="Times New Roman" w:hAnsi="Times New Roman" w:cs="Times New Roman"/>
        </w:rPr>
        <w:t>,</w:t>
      </w:r>
      <w:r w:rsidRPr="1F1180E7">
        <w:rPr>
          <w:rFonts w:ascii="Times New Roman" w:hAnsi="Times New Roman" w:cs="Times New Roman"/>
        </w:rPr>
        <w:t xml:space="preserve"> and </w:t>
      </w:r>
      <w:r>
        <w:rPr>
          <w:rFonts w:ascii="Times New Roman" w:hAnsi="Times New Roman" w:cs="Times New Roman"/>
        </w:rPr>
        <w:t>for</w:t>
      </w:r>
      <w:r w:rsidRPr="1F1180E7">
        <w:rPr>
          <w:rFonts w:ascii="Times New Roman" w:hAnsi="Times New Roman" w:cs="Times New Roman"/>
        </w:rPr>
        <w:t xml:space="preserve"> any matter in relation to which expenses are incurred by the ACMA under various Acts (or instruments made under those Acts), including the </w:t>
      </w:r>
      <w:r w:rsidRPr="006B6364">
        <w:rPr>
          <w:rFonts w:ascii="Times New Roman" w:hAnsi="Times New Roman" w:cs="Times New Roman"/>
          <w:i/>
          <w:iCs/>
        </w:rPr>
        <w:t xml:space="preserve">Radiocommunications Act 1992 </w:t>
      </w:r>
      <w:r w:rsidRPr="1F1180E7">
        <w:rPr>
          <w:rFonts w:ascii="Times New Roman" w:hAnsi="Times New Roman" w:cs="Times New Roman"/>
        </w:rPr>
        <w:t>(</w:t>
      </w:r>
      <w:r w:rsidRPr="00BB0D6A">
        <w:rPr>
          <w:rFonts w:ascii="Times New Roman" w:hAnsi="Times New Roman" w:cs="Times New Roman"/>
        </w:rPr>
        <w:t xml:space="preserve">the </w:t>
      </w:r>
      <w:r w:rsidRPr="006B6364">
        <w:rPr>
          <w:rFonts w:ascii="Times New Roman" w:hAnsi="Times New Roman" w:cs="Times New Roman"/>
          <w:b/>
          <w:bCs/>
        </w:rPr>
        <w:t>Radiocommunications Act</w:t>
      </w:r>
      <w:r w:rsidRPr="1F1180E7">
        <w:rPr>
          <w:rFonts w:ascii="Times New Roman" w:hAnsi="Times New Roman" w:cs="Times New Roman"/>
        </w:rPr>
        <w:t>). The charges must not be such as to amount to taxation.</w:t>
      </w:r>
    </w:p>
    <w:p w14:paraId="5B267903" w14:textId="0F91BBDF" w:rsidR="00A6690B" w:rsidRDefault="00B54C45" w:rsidP="00253FB5">
      <w:pPr>
        <w:rPr>
          <w:rFonts w:ascii="Times New Roman" w:hAnsi="Times New Roman" w:cs="Times New Roman"/>
        </w:rPr>
      </w:pPr>
      <w:r w:rsidRPr="00B54C45">
        <w:rPr>
          <w:rFonts w:ascii="Times New Roman" w:hAnsi="Times New Roman" w:cs="Times New Roman"/>
        </w:rPr>
        <w:t>Subsection 33(3) of the AIA relevantly provides that where an Act confers a power to make a</w:t>
      </w:r>
      <w:r w:rsidR="00AC7346">
        <w:rPr>
          <w:rFonts w:ascii="Times New Roman" w:hAnsi="Times New Roman" w:cs="Times New Roman"/>
        </w:rPr>
        <w:t>n</w:t>
      </w:r>
      <w:r w:rsidRPr="00B54C45">
        <w:rPr>
          <w:rFonts w:ascii="Times New Roman" w:hAnsi="Times New Roman" w:cs="Times New Roman"/>
        </w:rPr>
        <w:t xml:space="preserve"> instrument, the power shall be construed as including a power exercisable in the like manner and subject to the like conditions (if any) to repeal, rescind, revoke, amend, or vary any such instrument.</w:t>
      </w:r>
    </w:p>
    <w:p w14:paraId="329F9F28" w14:textId="57039C5A" w:rsidR="00C57E29" w:rsidRPr="00253FB5" w:rsidRDefault="00C57E29" w:rsidP="004D2843">
      <w:pPr>
        <w:rPr>
          <w:rFonts w:ascii="Times New Roman" w:hAnsi="Times New Roman" w:cs="Times New Roman"/>
          <w:b/>
          <w:sz w:val="24"/>
          <w:szCs w:val="24"/>
        </w:rPr>
      </w:pPr>
      <w:r w:rsidRPr="00253FB5">
        <w:rPr>
          <w:rFonts w:ascii="Times New Roman" w:hAnsi="Times New Roman" w:cs="Times New Roman"/>
          <w:b/>
          <w:sz w:val="24"/>
          <w:szCs w:val="24"/>
        </w:rPr>
        <w:t xml:space="preserve">Purpose </w:t>
      </w:r>
      <w:r w:rsidR="00185BDC" w:rsidRPr="00253FB5">
        <w:rPr>
          <w:rFonts w:ascii="Times New Roman" w:hAnsi="Times New Roman" w:cs="Times New Roman"/>
          <w:b/>
          <w:sz w:val="24"/>
          <w:szCs w:val="24"/>
        </w:rPr>
        <w:t xml:space="preserve">and operation </w:t>
      </w:r>
      <w:r w:rsidRPr="00253FB5">
        <w:rPr>
          <w:rFonts w:ascii="Times New Roman" w:hAnsi="Times New Roman" w:cs="Times New Roman"/>
          <w:b/>
          <w:sz w:val="24"/>
          <w:szCs w:val="24"/>
        </w:rPr>
        <w:t>of the instrument</w:t>
      </w:r>
    </w:p>
    <w:p w14:paraId="7EFCBACC" w14:textId="77777777" w:rsidR="0033616D" w:rsidRDefault="0033616D" w:rsidP="0033616D">
      <w:pPr>
        <w:spacing w:line="257" w:lineRule="auto"/>
        <w:rPr>
          <w:rFonts w:ascii="Times New Roman" w:hAnsi="Times New Roman" w:cs="Times New Roman"/>
        </w:rPr>
      </w:pPr>
      <w:r w:rsidRPr="005A0C06">
        <w:rPr>
          <w:rFonts w:ascii="Times New Roman" w:hAnsi="Times New Roman" w:cs="Times New Roman"/>
        </w:rPr>
        <w:t xml:space="preserve">The instrument </w:t>
      </w:r>
      <w:r>
        <w:rPr>
          <w:rFonts w:ascii="Times New Roman" w:hAnsi="Times New Roman" w:cs="Times New Roman"/>
        </w:rPr>
        <w:t xml:space="preserve">amends </w:t>
      </w:r>
      <w:r w:rsidRPr="005A0C06">
        <w:rPr>
          <w:rFonts w:ascii="Times New Roman" w:hAnsi="Times New Roman" w:cs="Times New Roman"/>
        </w:rPr>
        <w:t>the</w:t>
      </w:r>
      <w:r w:rsidRPr="006B6364">
        <w:rPr>
          <w:rFonts w:ascii="Times New Roman" w:hAnsi="Times New Roman" w:cs="Times New Roman"/>
          <w:i/>
          <w:iCs/>
        </w:rPr>
        <w:t xml:space="preserve"> Radiocommunications (Charges) Determination 2022</w:t>
      </w:r>
      <w:r w:rsidRPr="1F1180E7">
        <w:rPr>
          <w:rFonts w:ascii="Times New Roman" w:hAnsi="Times New Roman" w:cs="Times New Roman"/>
        </w:rPr>
        <w:t xml:space="preserve"> (</w:t>
      </w:r>
      <w:r w:rsidRPr="00253FB5">
        <w:rPr>
          <w:rFonts w:ascii="Times New Roman" w:hAnsi="Times New Roman" w:cs="Times New Roman"/>
        </w:rPr>
        <w:t xml:space="preserve">the </w:t>
      </w:r>
      <w:r w:rsidRPr="00DB6178">
        <w:rPr>
          <w:rFonts w:ascii="Times New Roman" w:hAnsi="Times New Roman" w:cs="Times New Roman"/>
          <w:b/>
          <w:bCs/>
        </w:rPr>
        <w:t>2022 Determination</w:t>
      </w:r>
      <w:r w:rsidRPr="1F1180E7">
        <w:rPr>
          <w:rFonts w:ascii="Times New Roman" w:hAnsi="Times New Roman" w:cs="Times New Roman"/>
        </w:rPr>
        <w:t>).</w:t>
      </w:r>
      <w:r>
        <w:rPr>
          <w:rFonts w:ascii="Times New Roman" w:hAnsi="Times New Roman" w:cs="Times New Roman"/>
        </w:rPr>
        <w:t xml:space="preserve"> </w:t>
      </w:r>
      <w:r w:rsidRPr="1F1180E7">
        <w:rPr>
          <w:rFonts w:ascii="Times New Roman" w:hAnsi="Times New Roman" w:cs="Times New Roman"/>
        </w:rPr>
        <w:t xml:space="preserve">The </w:t>
      </w:r>
      <w:r>
        <w:rPr>
          <w:rFonts w:ascii="Times New Roman" w:hAnsi="Times New Roman" w:cs="Times New Roman"/>
        </w:rPr>
        <w:t>2022 Determination</w:t>
      </w:r>
      <w:r w:rsidRPr="00224BF3">
        <w:rPr>
          <w:rFonts w:ascii="Times New Roman" w:hAnsi="Times New Roman" w:cs="Times New Roman"/>
        </w:rPr>
        <w:t xml:space="preserve"> </w:t>
      </w:r>
      <w:r w:rsidRPr="1F1180E7">
        <w:rPr>
          <w:rFonts w:ascii="Times New Roman" w:hAnsi="Times New Roman" w:cs="Times New Roman"/>
        </w:rPr>
        <w:t>specifies the charges payable to the ACMA for considering and processing applications for the issue and renewal of a range of licences</w:t>
      </w:r>
      <w:r>
        <w:rPr>
          <w:rFonts w:ascii="Times New Roman" w:hAnsi="Times New Roman" w:cs="Times New Roman"/>
        </w:rPr>
        <w:t xml:space="preserve"> issued under the Radiocommunications Act,</w:t>
      </w:r>
      <w:r w:rsidRPr="1F1180E7">
        <w:rPr>
          <w:rFonts w:ascii="Times New Roman" w:hAnsi="Times New Roman" w:cs="Times New Roman"/>
        </w:rPr>
        <w:t xml:space="preserve"> as well as charges payable for other services provided by the ACMA, or for expenses incurred by the ACMA, under the Radiocommunications Act and instruments made under the Radiocommunications Act.</w:t>
      </w:r>
    </w:p>
    <w:p w14:paraId="409727D5" w14:textId="02E33303" w:rsidR="0033616D" w:rsidRDefault="0033616D" w:rsidP="0033616D">
      <w:pPr>
        <w:spacing w:line="257" w:lineRule="auto"/>
        <w:rPr>
          <w:rFonts w:ascii="Times New Roman" w:hAnsi="Times New Roman" w:cs="Times New Roman"/>
        </w:rPr>
      </w:pPr>
      <w:r w:rsidRPr="00542F95">
        <w:rPr>
          <w:rFonts w:ascii="Times New Roman" w:hAnsi="Times New Roman" w:cs="Times New Roman"/>
        </w:rPr>
        <w:t xml:space="preserve">The instrument amends </w:t>
      </w:r>
      <w:r w:rsidR="0028069C">
        <w:rPr>
          <w:rFonts w:ascii="Times New Roman" w:hAnsi="Times New Roman" w:cs="Times New Roman"/>
        </w:rPr>
        <w:t xml:space="preserve">or removes </w:t>
      </w:r>
      <w:r>
        <w:rPr>
          <w:rFonts w:ascii="Times New Roman" w:hAnsi="Times New Roman" w:cs="Times New Roman"/>
        </w:rPr>
        <w:t>some</w:t>
      </w:r>
      <w:r w:rsidRPr="00542F95">
        <w:rPr>
          <w:rFonts w:ascii="Times New Roman" w:hAnsi="Times New Roman" w:cs="Times New Roman"/>
        </w:rPr>
        <w:t xml:space="preserve"> of the </w:t>
      </w:r>
      <w:r>
        <w:rPr>
          <w:rFonts w:ascii="Times New Roman" w:hAnsi="Times New Roman" w:cs="Times New Roman"/>
        </w:rPr>
        <w:t xml:space="preserve">existing </w:t>
      </w:r>
      <w:r w:rsidRPr="00542F95">
        <w:rPr>
          <w:rFonts w:ascii="Times New Roman" w:hAnsi="Times New Roman" w:cs="Times New Roman"/>
        </w:rPr>
        <w:t xml:space="preserve">charges specified in the </w:t>
      </w:r>
      <w:r>
        <w:rPr>
          <w:rFonts w:ascii="Times New Roman" w:hAnsi="Times New Roman" w:cs="Times New Roman"/>
        </w:rPr>
        <w:t xml:space="preserve">2022 </w:t>
      </w:r>
      <w:r w:rsidR="00E96998" w:rsidRPr="00542F95">
        <w:rPr>
          <w:rFonts w:ascii="Times New Roman" w:hAnsi="Times New Roman" w:cs="Times New Roman"/>
        </w:rPr>
        <w:t>Determination</w:t>
      </w:r>
      <w:r w:rsidR="00E96998">
        <w:rPr>
          <w:rFonts w:ascii="Times New Roman" w:hAnsi="Times New Roman" w:cs="Times New Roman"/>
        </w:rPr>
        <w:t xml:space="preserve"> and</w:t>
      </w:r>
      <w:r>
        <w:rPr>
          <w:rFonts w:ascii="Times New Roman" w:hAnsi="Times New Roman" w:cs="Times New Roman"/>
        </w:rPr>
        <w:t xml:space="preserve"> introduces</w:t>
      </w:r>
      <w:r w:rsidR="009C76E2">
        <w:rPr>
          <w:rFonts w:ascii="Times New Roman" w:hAnsi="Times New Roman" w:cs="Times New Roman"/>
        </w:rPr>
        <w:t xml:space="preserve"> some</w:t>
      </w:r>
      <w:r>
        <w:rPr>
          <w:rFonts w:ascii="Times New Roman" w:hAnsi="Times New Roman" w:cs="Times New Roman"/>
        </w:rPr>
        <w:t xml:space="preserve"> new charges. </w:t>
      </w:r>
      <w:r w:rsidR="00077D95">
        <w:rPr>
          <w:rFonts w:ascii="Times New Roman" w:hAnsi="Times New Roman" w:cs="Times New Roman"/>
        </w:rPr>
        <w:t>In particular, the changes include</w:t>
      </w:r>
      <w:r>
        <w:rPr>
          <w:rFonts w:ascii="Times New Roman" w:hAnsi="Times New Roman" w:cs="Times New Roman"/>
        </w:rPr>
        <w:t>:</w:t>
      </w:r>
    </w:p>
    <w:p w14:paraId="6E5012AB" w14:textId="4A0471E2" w:rsidR="00CB2D09" w:rsidRDefault="00CB2D09" w:rsidP="00253FB5">
      <w:pPr>
        <w:pStyle w:val="Paragraph"/>
        <w:numPr>
          <w:ilvl w:val="0"/>
          <w:numId w:val="17"/>
        </w:numPr>
        <w:spacing w:after="6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C</w:t>
      </w:r>
      <w:r w:rsidR="00077D95">
        <w:rPr>
          <w:rFonts w:ascii="Times New Roman" w:eastAsiaTheme="minorHAnsi" w:hAnsi="Times New Roman" w:cs="Times New Roman"/>
          <w:sz w:val="22"/>
          <w:szCs w:val="22"/>
          <w:lang w:eastAsia="en-US"/>
        </w:rPr>
        <w:t xml:space="preserve">hanges to </w:t>
      </w:r>
      <w:r w:rsidR="00111D89">
        <w:rPr>
          <w:rFonts w:ascii="Times New Roman" w:eastAsiaTheme="minorHAnsi" w:hAnsi="Times New Roman" w:cs="Times New Roman"/>
          <w:sz w:val="22"/>
          <w:szCs w:val="22"/>
          <w:lang w:eastAsia="en-US"/>
        </w:rPr>
        <w:t xml:space="preserve">charge amounts for some </w:t>
      </w:r>
      <w:r w:rsidR="007015F5">
        <w:rPr>
          <w:rFonts w:ascii="Times New Roman" w:eastAsiaTheme="minorHAnsi" w:hAnsi="Times New Roman" w:cs="Times New Roman"/>
          <w:sz w:val="22"/>
          <w:szCs w:val="22"/>
          <w:lang w:eastAsia="en-US"/>
        </w:rPr>
        <w:t>activities</w:t>
      </w:r>
      <w:r w:rsidR="003C5A54">
        <w:rPr>
          <w:rFonts w:ascii="Times New Roman" w:eastAsiaTheme="minorHAnsi" w:hAnsi="Times New Roman" w:cs="Times New Roman"/>
          <w:sz w:val="22"/>
          <w:szCs w:val="22"/>
          <w:lang w:eastAsia="en-US"/>
        </w:rPr>
        <w:t>,</w:t>
      </w:r>
      <w:r w:rsidR="00A8660A">
        <w:rPr>
          <w:rFonts w:ascii="Times New Roman" w:eastAsiaTheme="minorHAnsi" w:hAnsi="Times New Roman" w:cs="Times New Roman"/>
          <w:sz w:val="22"/>
          <w:szCs w:val="22"/>
          <w:lang w:eastAsia="en-US"/>
        </w:rPr>
        <w:t xml:space="preserve"> </w:t>
      </w:r>
      <w:r w:rsidR="00111D89">
        <w:rPr>
          <w:rFonts w:ascii="Times New Roman" w:eastAsiaTheme="minorHAnsi" w:hAnsi="Times New Roman" w:cs="Times New Roman"/>
          <w:sz w:val="22"/>
          <w:szCs w:val="22"/>
          <w:lang w:eastAsia="en-US"/>
        </w:rPr>
        <w:t xml:space="preserve">following </w:t>
      </w:r>
      <w:r w:rsidR="00495C31" w:rsidRPr="00495C31">
        <w:rPr>
          <w:rFonts w:ascii="Times New Roman" w:eastAsiaTheme="minorHAnsi" w:hAnsi="Times New Roman" w:cs="Times New Roman"/>
          <w:sz w:val="22"/>
          <w:szCs w:val="22"/>
          <w:lang w:eastAsia="en-US"/>
        </w:rPr>
        <w:t xml:space="preserve">a comprehensive review </w:t>
      </w:r>
      <w:r w:rsidR="00111D89">
        <w:rPr>
          <w:rFonts w:ascii="Times New Roman" w:eastAsiaTheme="minorHAnsi" w:hAnsi="Times New Roman" w:cs="Times New Roman"/>
          <w:sz w:val="22"/>
          <w:szCs w:val="22"/>
          <w:lang w:eastAsia="en-US"/>
        </w:rPr>
        <w:t xml:space="preserve">by the ACMA </w:t>
      </w:r>
      <w:r w:rsidR="00495C31" w:rsidRPr="00495C31">
        <w:rPr>
          <w:rFonts w:ascii="Times New Roman" w:eastAsiaTheme="minorHAnsi" w:hAnsi="Times New Roman" w:cs="Times New Roman"/>
          <w:sz w:val="22"/>
          <w:szCs w:val="22"/>
          <w:lang w:eastAsia="en-US"/>
        </w:rPr>
        <w:t xml:space="preserve">of all existing </w:t>
      </w:r>
      <w:r w:rsidR="002D39D6">
        <w:rPr>
          <w:rFonts w:ascii="Times New Roman" w:eastAsiaTheme="minorHAnsi" w:hAnsi="Times New Roman" w:cs="Times New Roman"/>
          <w:sz w:val="22"/>
          <w:szCs w:val="22"/>
          <w:lang w:eastAsia="en-US"/>
        </w:rPr>
        <w:t xml:space="preserve">charges </w:t>
      </w:r>
      <w:r w:rsidR="00495C31" w:rsidRPr="00495C31">
        <w:rPr>
          <w:rFonts w:ascii="Times New Roman" w:eastAsiaTheme="minorHAnsi" w:hAnsi="Times New Roman" w:cs="Times New Roman"/>
          <w:sz w:val="22"/>
          <w:szCs w:val="22"/>
          <w:lang w:eastAsia="en-US"/>
        </w:rPr>
        <w:t xml:space="preserve">for radiocommunications, telecommunications and broadcasting </w:t>
      </w:r>
      <w:r w:rsidR="007015F5">
        <w:rPr>
          <w:rFonts w:ascii="Times New Roman" w:eastAsiaTheme="minorHAnsi" w:hAnsi="Times New Roman" w:cs="Times New Roman"/>
          <w:sz w:val="22"/>
          <w:szCs w:val="22"/>
          <w:lang w:eastAsia="en-US"/>
        </w:rPr>
        <w:t>activities</w:t>
      </w:r>
      <w:r w:rsidR="00111D89">
        <w:rPr>
          <w:rFonts w:ascii="Times New Roman" w:eastAsiaTheme="minorHAnsi" w:hAnsi="Times New Roman" w:cs="Times New Roman"/>
          <w:sz w:val="22"/>
          <w:szCs w:val="22"/>
          <w:lang w:eastAsia="en-US"/>
        </w:rPr>
        <w:t>.  The review was undertaken</w:t>
      </w:r>
      <w:r w:rsidR="00495C31" w:rsidRPr="00495C31">
        <w:rPr>
          <w:rFonts w:ascii="Times New Roman" w:eastAsiaTheme="minorHAnsi" w:hAnsi="Times New Roman" w:cs="Times New Roman"/>
          <w:sz w:val="22"/>
          <w:szCs w:val="22"/>
          <w:lang w:eastAsia="en-US"/>
        </w:rPr>
        <w:t xml:space="preserve"> to ensure the cost recovery fees and the methodology used to calculate them continue to remain relevant.</w:t>
      </w:r>
      <w:r w:rsidR="009D1E7C">
        <w:rPr>
          <w:rFonts w:ascii="Times New Roman" w:eastAsiaTheme="minorHAnsi" w:hAnsi="Times New Roman" w:cs="Times New Roman"/>
          <w:sz w:val="22"/>
          <w:szCs w:val="22"/>
          <w:lang w:eastAsia="en-US"/>
        </w:rPr>
        <w:t xml:space="preserve"> </w:t>
      </w:r>
      <w:r w:rsidR="009D1E7C" w:rsidRPr="009D1E7C">
        <w:rPr>
          <w:rFonts w:ascii="Times New Roman" w:eastAsiaTheme="minorHAnsi" w:hAnsi="Times New Roman" w:cs="Times New Roman"/>
          <w:sz w:val="22"/>
          <w:szCs w:val="22"/>
          <w:lang w:eastAsia="en-US"/>
        </w:rPr>
        <w:t>Following th</w:t>
      </w:r>
      <w:r w:rsidR="00FA50FB">
        <w:rPr>
          <w:rFonts w:ascii="Times New Roman" w:eastAsiaTheme="minorHAnsi" w:hAnsi="Times New Roman" w:cs="Times New Roman"/>
          <w:sz w:val="22"/>
          <w:szCs w:val="22"/>
          <w:lang w:eastAsia="en-US"/>
        </w:rPr>
        <w:t>e</w:t>
      </w:r>
      <w:r w:rsidR="009D1E7C" w:rsidRPr="009D1E7C">
        <w:rPr>
          <w:rFonts w:ascii="Times New Roman" w:eastAsiaTheme="minorHAnsi" w:hAnsi="Times New Roman" w:cs="Times New Roman"/>
          <w:sz w:val="22"/>
          <w:szCs w:val="22"/>
          <w:lang w:eastAsia="en-US"/>
        </w:rPr>
        <w:t xml:space="preserve"> review</w:t>
      </w:r>
      <w:r w:rsidR="00881878">
        <w:rPr>
          <w:rFonts w:ascii="Times New Roman" w:eastAsiaTheme="minorHAnsi" w:hAnsi="Times New Roman" w:cs="Times New Roman"/>
          <w:sz w:val="22"/>
          <w:szCs w:val="22"/>
          <w:lang w:eastAsia="en-US"/>
        </w:rPr>
        <w:t>,</w:t>
      </w:r>
      <w:r w:rsidR="002C3DEF">
        <w:rPr>
          <w:rFonts w:ascii="Times New Roman" w:eastAsiaTheme="minorHAnsi" w:hAnsi="Times New Roman" w:cs="Times New Roman"/>
          <w:sz w:val="22"/>
          <w:szCs w:val="22"/>
          <w:lang w:eastAsia="en-US"/>
        </w:rPr>
        <w:t xml:space="preserve"> </w:t>
      </w:r>
      <w:r w:rsidR="009D1E7C" w:rsidRPr="009D1E7C">
        <w:rPr>
          <w:rFonts w:ascii="Times New Roman" w:eastAsiaTheme="minorHAnsi" w:hAnsi="Times New Roman" w:cs="Times New Roman"/>
          <w:sz w:val="22"/>
          <w:szCs w:val="22"/>
          <w:lang w:eastAsia="en-US"/>
        </w:rPr>
        <w:t xml:space="preserve">some of the existing radiocommunications charges </w:t>
      </w:r>
      <w:r w:rsidR="004E2A81">
        <w:rPr>
          <w:rFonts w:ascii="Times New Roman" w:eastAsiaTheme="minorHAnsi" w:hAnsi="Times New Roman" w:cs="Times New Roman"/>
          <w:sz w:val="22"/>
          <w:szCs w:val="22"/>
          <w:lang w:eastAsia="en-US"/>
        </w:rPr>
        <w:t xml:space="preserve">were amended (to either increase or decrease) </w:t>
      </w:r>
      <w:r w:rsidR="009D1E7C" w:rsidRPr="009D1E7C">
        <w:rPr>
          <w:rFonts w:ascii="Times New Roman" w:eastAsiaTheme="minorHAnsi" w:hAnsi="Times New Roman" w:cs="Times New Roman"/>
          <w:sz w:val="22"/>
          <w:szCs w:val="22"/>
          <w:lang w:eastAsia="en-US"/>
        </w:rPr>
        <w:t>due to a revision of the underlying business processes and corresponding ACMA staffing effort required to provide th</w:t>
      </w:r>
      <w:r w:rsidR="00EA4A71">
        <w:rPr>
          <w:rFonts w:ascii="Times New Roman" w:eastAsiaTheme="minorHAnsi" w:hAnsi="Times New Roman" w:cs="Times New Roman"/>
          <w:sz w:val="22"/>
          <w:szCs w:val="22"/>
          <w:lang w:eastAsia="en-US"/>
        </w:rPr>
        <w:t>os</w:t>
      </w:r>
      <w:r w:rsidR="009D1E7C" w:rsidRPr="009D1E7C">
        <w:rPr>
          <w:rFonts w:ascii="Times New Roman" w:eastAsiaTheme="minorHAnsi" w:hAnsi="Times New Roman" w:cs="Times New Roman"/>
          <w:sz w:val="22"/>
          <w:szCs w:val="22"/>
          <w:lang w:eastAsia="en-US"/>
        </w:rPr>
        <w:t>e service</w:t>
      </w:r>
      <w:r w:rsidR="00C75C82">
        <w:rPr>
          <w:rFonts w:ascii="Times New Roman" w:eastAsiaTheme="minorHAnsi" w:hAnsi="Times New Roman" w:cs="Times New Roman"/>
          <w:sz w:val="22"/>
          <w:szCs w:val="22"/>
          <w:lang w:eastAsia="en-US"/>
        </w:rPr>
        <w:t>s</w:t>
      </w:r>
      <w:r w:rsidR="009D1E7C" w:rsidRPr="009D1E7C">
        <w:rPr>
          <w:rFonts w:ascii="Times New Roman" w:eastAsiaTheme="minorHAnsi" w:hAnsi="Times New Roman" w:cs="Times New Roman"/>
          <w:sz w:val="22"/>
          <w:szCs w:val="22"/>
          <w:lang w:eastAsia="en-US"/>
        </w:rPr>
        <w:t>.</w:t>
      </w:r>
      <w:r w:rsidR="00671DE3">
        <w:rPr>
          <w:rFonts w:ascii="Times New Roman" w:eastAsiaTheme="minorHAnsi" w:hAnsi="Times New Roman" w:cs="Times New Roman"/>
          <w:sz w:val="22"/>
          <w:szCs w:val="22"/>
          <w:lang w:eastAsia="en-US"/>
        </w:rPr>
        <w:t xml:space="preserve"> </w:t>
      </w:r>
    </w:p>
    <w:p w14:paraId="40CBA62D" w14:textId="2791D427" w:rsidR="005477B6" w:rsidRDefault="00CB2D09" w:rsidP="00253FB5">
      <w:pPr>
        <w:pStyle w:val="Paragraph"/>
        <w:numPr>
          <w:ilvl w:val="0"/>
          <w:numId w:val="17"/>
        </w:numPr>
        <w:spacing w:after="6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The removal of </w:t>
      </w:r>
      <w:r w:rsidR="00671DE3" w:rsidRPr="00671DE3">
        <w:rPr>
          <w:rFonts w:ascii="Times New Roman" w:eastAsiaTheme="minorHAnsi" w:hAnsi="Times New Roman" w:cs="Times New Roman"/>
          <w:sz w:val="22"/>
          <w:szCs w:val="22"/>
          <w:lang w:eastAsia="en-US"/>
        </w:rPr>
        <w:t>some charges due to changes in the services provided by the ACMA</w:t>
      </w:r>
      <w:r>
        <w:rPr>
          <w:rFonts w:ascii="Times New Roman" w:eastAsiaTheme="minorHAnsi" w:hAnsi="Times New Roman" w:cs="Times New Roman"/>
          <w:sz w:val="22"/>
          <w:szCs w:val="22"/>
          <w:lang w:eastAsia="en-US"/>
        </w:rPr>
        <w:t xml:space="preserve">, including changes that have resulted in some </w:t>
      </w:r>
      <w:r w:rsidR="00881878">
        <w:rPr>
          <w:rFonts w:ascii="Times New Roman" w:eastAsiaTheme="minorHAnsi" w:hAnsi="Times New Roman" w:cs="Times New Roman"/>
          <w:sz w:val="22"/>
          <w:szCs w:val="22"/>
          <w:lang w:eastAsia="en-US"/>
        </w:rPr>
        <w:t xml:space="preserve">apparatus </w:t>
      </w:r>
      <w:r>
        <w:rPr>
          <w:rFonts w:ascii="Times New Roman" w:eastAsiaTheme="minorHAnsi" w:hAnsi="Times New Roman" w:cs="Times New Roman"/>
          <w:sz w:val="22"/>
          <w:szCs w:val="22"/>
          <w:lang w:eastAsia="en-US"/>
        </w:rPr>
        <w:t>licence type</w:t>
      </w:r>
      <w:r w:rsidR="00881878">
        <w:rPr>
          <w:rFonts w:ascii="Times New Roman" w:eastAsiaTheme="minorHAnsi" w:hAnsi="Times New Roman" w:cs="Times New Roman"/>
          <w:sz w:val="22"/>
          <w:szCs w:val="22"/>
          <w:lang w:eastAsia="en-US"/>
        </w:rPr>
        <w:t>s</w:t>
      </w:r>
      <w:r>
        <w:rPr>
          <w:rFonts w:ascii="Times New Roman" w:eastAsiaTheme="minorHAnsi" w:hAnsi="Times New Roman" w:cs="Times New Roman"/>
          <w:sz w:val="22"/>
          <w:szCs w:val="22"/>
          <w:lang w:eastAsia="en-US"/>
        </w:rPr>
        <w:t xml:space="preserve"> being </w:t>
      </w:r>
      <w:r w:rsidR="00881878">
        <w:rPr>
          <w:rFonts w:ascii="Times New Roman" w:eastAsiaTheme="minorHAnsi" w:hAnsi="Times New Roman" w:cs="Times New Roman"/>
          <w:sz w:val="22"/>
          <w:szCs w:val="22"/>
          <w:lang w:eastAsia="en-US"/>
        </w:rPr>
        <w:t xml:space="preserve">replaced by </w:t>
      </w:r>
      <w:r>
        <w:rPr>
          <w:rFonts w:ascii="Times New Roman" w:eastAsiaTheme="minorHAnsi" w:hAnsi="Times New Roman" w:cs="Times New Roman"/>
          <w:sz w:val="22"/>
          <w:szCs w:val="22"/>
          <w:lang w:eastAsia="en-US"/>
        </w:rPr>
        <w:t>class licen</w:t>
      </w:r>
      <w:r w:rsidR="00881878">
        <w:rPr>
          <w:rFonts w:ascii="Times New Roman" w:eastAsiaTheme="minorHAnsi" w:hAnsi="Times New Roman" w:cs="Times New Roman"/>
          <w:sz w:val="22"/>
          <w:szCs w:val="22"/>
          <w:lang w:eastAsia="en-US"/>
        </w:rPr>
        <w:t>ces,</w:t>
      </w:r>
      <w:r>
        <w:rPr>
          <w:rFonts w:ascii="Times New Roman" w:eastAsiaTheme="minorHAnsi" w:hAnsi="Times New Roman" w:cs="Times New Roman"/>
          <w:sz w:val="22"/>
          <w:szCs w:val="22"/>
          <w:lang w:eastAsia="en-US"/>
        </w:rPr>
        <w:t xml:space="preserve"> and no longer </w:t>
      </w:r>
      <w:r w:rsidR="00881878">
        <w:rPr>
          <w:rFonts w:ascii="Times New Roman" w:eastAsiaTheme="minorHAnsi" w:hAnsi="Times New Roman" w:cs="Times New Roman"/>
          <w:sz w:val="22"/>
          <w:szCs w:val="22"/>
          <w:lang w:eastAsia="en-US"/>
        </w:rPr>
        <w:t xml:space="preserve">being </w:t>
      </w:r>
      <w:r>
        <w:rPr>
          <w:rFonts w:ascii="Times New Roman" w:eastAsiaTheme="minorHAnsi" w:hAnsi="Times New Roman" w:cs="Times New Roman"/>
          <w:sz w:val="22"/>
          <w:szCs w:val="22"/>
          <w:lang w:eastAsia="en-US"/>
        </w:rPr>
        <w:t>issued by the ACMA</w:t>
      </w:r>
      <w:r w:rsidR="00671DE3" w:rsidRPr="00671DE3">
        <w:rPr>
          <w:rFonts w:ascii="Times New Roman" w:eastAsiaTheme="minorHAnsi" w:hAnsi="Times New Roman" w:cs="Times New Roman"/>
          <w:sz w:val="22"/>
          <w:szCs w:val="22"/>
          <w:lang w:eastAsia="en-US"/>
        </w:rPr>
        <w:t>.</w:t>
      </w:r>
    </w:p>
    <w:p w14:paraId="242B78FA" w14:textId="221F42FB" w:rsidR="00027BFE" w:rsidRPr="00253FB5" w:rsidRDefault="00CB2D09" w:rsidP="00253FB5">
      <w:pPr>
        <w:pStyle w:val="Paragraph"/>
        <w:numPr>
          <w:ilvl w:val="0"/>
          <w:numId w:val="17"/>
        </w:numPr>
        <w:spacing w:after="6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T</w:t>
      </w:r>
      <w:r w:rsidR="00EA4A71">
        <w:rPr>
          <w:rFonts w:ascii="Times New Roman" w:eastAsiaTheme="minorHAnsi" w:hAnsi="Times New Roman" w:cs="Times New Roman"/>
          <w:sz w:val="22"/>
          <w:szCs w:val="22"/>
          <w:lang w:eastAsia="en-US"/>
        </w:rPr>
        <w:t>he insertion of n</w:t>
      </w:r>
      <w:r w:rsidR="001A4335">
        <w:rPr>
          <w:rFonts w:ascii="Times New Roman" w:eastAsiaTheme="minorHAnsi" w:hAnsi="Times New Roman" w:cs="Times New Roman"/>
          <w:sz w:val="22"/>
          <w:szCs w:val="22"/>
          <w:lang w:eastAsia="en-US"/>
        </w:rPr>
        <w:t>ew charges relating to t</w:t>
      </w:r>
      <w:r w:rsidR="00027BFE" w:rsidRPr="00253FB5">
        <w:rPr>
          <w:rFonts w:ascii="Times New Roman" w:eastAsiaTheme="minorHAnsi" w:hAnsi="Times New Roman" w:cs="Times New Roman"/>
          <w:sz w:val="22"/>
          <w:szCs w:val="22"/>
          <w:lang w:eastAsia="en-US"/>
        </w:rPr>
        <w:t>he ACMA’s innovation and industry development exemption framework (</w:t>
      </w:r>
      <w:r w:rsidR="00881878">
        <w:rPr>
          <w:rFonts w:ascii="Times New Roman" w:eastAsiaTheme="minorHAnsi" w:hAnsi="Times New Roman" w:cs="Times New Roman"/>
          <w:sz w:val="22"/>
          <w:szCs w:val="22"/>
          <w:lang w:eastAsia="en-US"/>
        </w:rPr>
        <w:t xml:space="preserve">the </w:t>
      </w:r>
      <w:r w:rsidR="00027BFE" w:rsidRPr="00BB0D6A">
        <w:rPr>
          <w:rFonts w:ascii="Times New Roman" w:eastAsiaTheme="minorHAnsi" w:hAnsi="Times New Roman" w:cs="Times New Roman"/>
          <w:b/>
          <w:bCs/>
          <w:sz w:val="22"/>
          <w:szCs w:val="22"/>
          <w:lang w:eastAsia="en-US"/>
        </w:rPr>
        <w:t>IIDF</w:t>
      </w:r>
      <w:r w:rsidR="00027BFE" w:rsidRPr="00253FB5">
        <w:rPr>
          <w:rFonts w:ascii="Times New Roman" w:eastAsiaTheme="minorHAnsi" w:hAnsi="Times New Roman" w:cs="Times New Roman"/>
          <w:sz w:val="22"/>
          <w:szCs w:val="22"/>
          <w:lang w:eastAsia="en-US"/>
        </w:rPr>
        <w:t xml:space="preserve">). The charges relate to </w:t>
      </w:r>
      <w:r w:rsidR="001B6191">
        <w:rPr>
          <w:rFonts w:ascii="Times New Roman" w:eastAsiaTheme="minorHAnsi" w:hAnsi="Times New Roman" w:cs="Times New Roman"/>
          <w:sz w:val="22"/>
          <w:szCs w:val="22"/>
          <w:lang w:eastAsia="en-US"/>
        </w:rPr>
        <w:t>the ACMA</w:t>
      </w:r>
      <w:r w:rsidR="00027BFE" w:rsidRPr="00253FB5">
        <w:rPr>
          <w:rFonts w:ascii="Times New Roman" w:eastAsiaTheme="minorHAnsi" w:hAnsi="Times New Roman" w:cs="Times New Roman"/>
          <w:sz w:val="22"/>
          <w:szCs w:val="22"/>
          <w:lang w:eastAsia="en-US"/>
        </w:rPr>
        <w:t xml:space="preserve"> considering whether to give written permission to a person under section 193 of the Radiocommunications Act. That permission allows a person to operate a radiocommunications transmitter in a way that they know is likely to interfere substantially with certain radiocommunications. Operating a radiocommunications transmitter in such a way without that permission is an offence under the Radiocommunications Act.</w:t>
      </w:r>
    </w:p>
    <w:p w14:paraId="32CCE07E" w14:textId="365F24DA" w:rsidR="00027BFE" w:rsidRPr="00CA7D2F" w:rsidRDefault="00CB2D09" w:rsidP="00253FB5">
      <w:pPr>
        <w:pStyle w:val="FootnoteText"/>
        <w:numPr>
          <w:ilvl w:val="0"/>
          <w:numId w:val="17"/>
        </w:numPr>
        <w:spacing w:after="60"/>
        <w:rPr>
          <w:rFonts w:ascii="Times New Roman" w:hAnsi="Times New Roman"/>
          <w:i/>
          <w:iCs/>
        </w:rPr>
      </w:pPr>
      <w:r>
        <w:rPr>
          <w:rFonts w:ascii="Times New Roman" w:eastAsiaTheme="minorHAnsi" w:hAnsi="Times New Roman"/>
          <w:sz w:val="22"/>
          <w:szCs w:val="22"/>
          <w:lang w:eastAsia="en-US"/>
        </w:rPr>
        <w:lastRenderedPageBreak/>
        <w:t>T</w:t>
      </w:r>
      <w:r w:rsidR="001B6191">
        <w:rPr>
          <w:rFonts w:ascii="Times New Roman" w:eastAsiaTheme="minorHAnsi" w:hAnsi="Times New Roman"/>
          <w:sz w:val="22"/>
          <w:szCs w:val="22"/>
          <w:lang w:eastAsia="en-US"/>
        </w:rPr>
        <w:t>he insertion of n</w:t>
      </w:r>
      <w:r w:rsidR="00B076CF">
        <w:rPr>
          <w:rFonts w:ascii="Times New Roman" w:eastAsiaTheme="minorHAnsi" w:hAnsi="Times New Roman"/>
          <w:sz w:val="22"/>
          <w:szCs w:val="22"/>
          <w:lang w:eastAsia="en-US"/>
        </w:rPr>
        <w:t xml:space="preserve">ew charges </w:t>
      </w:r>
      <w:r w:rsidR="00027BFE" w:rsidRPr="00253FB5">
        <w:rPr>
          <w:rFonts w:ascii="Times New Roman" w:eastAsiaTheme="minorHAnsi" w:hAnsi="Times New Roman"/>
          <w:sz w:val="22"/>
          <w:szCs w:val="22"/>
          <w:lang w:eastAsia="en-US"/>
        </w:rPr>
        <w:t>for</w:t>
      </w:r>
      <w:r w:rsidR="00B8584C">
        <w:rPr>
          <w:rFonts w:ascii="Times New Roman" w:eastAsiaTheme="minorHAnsi" w:hAnsi="Times New Roman"/>
          <w:sz w:val="22"/>
          <w:szCs w:val="22"/>
          <w:lang w:eastAsia="en-US"/>
        </w:rPr>
        <w:t xml:space="preserve"> applications for</w:t>
      </w:r>
      <w:r w:rsidR="00027BFE" w:rsidRPr="00253FB5">
        <w:rPr>
          <w:rFonts w:ascii="Times New Roman" w:eastAsiaTheme="minorHAnsi" w:hAnsi="Times New Roman"/>
          <w:sz w:val="22"/>
          <w:szCs w:val="22"/>
          <w:lang w:eastAsia="en-US"/>
        </w:rPr>
        <w:t xml:space="preserve"> the re</w:t>
      </w:r>
      <w:r w:rsidR="00027BFE" w:rsidRPr="00253FB5">
        <w:rPr>
          <w:rFonts w:ascii="Times New Roman" w:eastAsiaTheme="minorHAnsi" w:hAnsi="Times New Roman"/>
          <w:sz w:val="22"/>
          <w:szCs w:val="22"/>
          <w:lang w:eastAsia="en-US"/>
        </w:rPr>
        <w:noBreakHyphen/>
        <w:t>assignment of certain call signs that have only been assigned for a limited period, as well as the</w:t>
      </w:r>
      <w:r w:rsidR="00176D66">
        <w:rPr>
          <w:rFonts w:ascii="Times New Roman" w:eastAsiaTheme="minorHAnsi" w:hAnsi="Times New Roman"/>
          <w:sz w:val="22"/>
          <w:szCs w:val="22"/>
          <w:lang w:eastAsia="en-US"/>
        </w:rPr>
        <w:t xml:space="preserve"> cancellation</w:t>
      </w:r>
      <w:r w:rsidR="00027BFE" w:rsidRPr="00253FB5">
        <w:rPr>
          <w:rFonts w:ascii="Times New Roman" w:eastAsiaTheme="minorHAnsi" w:hAnsi="Times New Roman"/>
          <w:sz w:val="22"/>
          <w:szCs w:val="22"/>
          <w:lang w:eastAsia="en-US"/>
        </w:rPr>
        <w:t xml:space="preserve"> of </w:t>
      </w:r>
      <w:r w:rsidR="00B83E47">
        <w:rPr>
          <w:rFonts w:ascii="Times New Roman" w:eastAsiaTheme="minorHAnsi" w:hAnsi="Times New Roman"/>
          <w:sz w:val="22"/>
          <w:szCs w:val="22"/>
          <w:lang w:eastAsia="en-US"/>
        </w:rPr>
        <w:t xml:space="preserve">a </w:t>
      </w:r>
      <w:r w:rsidR="00027BFE" w:rsidRPr="00253FB5">
        <w:rPr>
          <w:rFonts w:ascii="Times New Roman" w:eastAsiaTheme="minorHAnsi" w:hAnsi="Times New Roman"/>
          <w:sz w:val="22"/>
          <w:szCs w:val="22"/>
          <w:lang w:eastAsia="en-US"/>
        </w:rPr>
        <w:t>call sign</w:t>
      </w:r>
      <w:r w:rsidR="00B83E47">
        <w:rPr>
          <w:rFonts w:ascii="Times New Roman" w:eastAsiaTheme="minorHAnsi" w:hAnsi="Times New Roman"/>
          <w:sz w:val="22"/>
          <w:szCs w:val="22"/>
          <w:lang w:eastAsia="en-US"/>
        </w:rPr>
        <w:t xml:space="preserve"> and its assignment to another person (i.e., to ‘transfer’ the call sign).</w:t>
      </w:r>
      <w:r w:rsidR="00027BFE" w:rsidRPr="00253FB5">
        <w:rPr>
          <w:rFonts w:ascii="Times New Roman" w:eastAsiaTheme="minorHAnsi" w:hAnsi="Times New Roman"/>
          <w:sz w:val="22"/>
          <w:szCs w:val="22"/>
          <w:lang w:eastAsia="en-US"/>
        </w:rPr>
        <w:t xml:space="preserve"> These are to support the call sign arrangements prescribed in the </w:t>
      </w:r>
      <w:r w:rsidR="00027BFE" w:rsidRPr="00CA7D2F">
        <w:rPr>
          <w:rFonts w:ascii="Times New Roman" w:eastAsiaTheme="minorHAnsi" w:hAnsi="Times New Roman"/>
          <w:i/>
          <w:iCs/>
          <w:sz w:val="22"/>
          <w:szCs w:val="22"/>
          <w:lang w:eastAsia="en-US"/>
        </w:rPr>
        <w:t>Radiocommunications (Amateur Stations) Class Licence 2023</w:t>
      </w:r>
      <w:r w:rsidR="00313DE8">
        <w:rPr>
          <w:rFonts w:ascii="Times New Roman" w:eastAsiaTheme="minorHAnsi" w:hAnsi="Times New Roman"/>
          <w:i/>
          <w:iCs/>
          <w:sz w:val="22"/>
          <w:szCs w:val="22"/>
          <w:lang w:eastAsia="en-US"/>
        </w:rPr>
        <w:t xml:space="preserve"> </w:t>
      </w:r>
      <w:r w:rsidR="00313DE8">
        <w:rPr>
          <w:rFonts w:ascii="Times New Roman" w:eastAsiaTheme="minorHAnsi" w:hAnsi="Times New Roman"/>
          <w:sz w:val="22"/>
          <w:szCs w:val="22"/>
          <w:lang w:eastAsia="en-US"/>
        </w:rPr>
        <w:t xml:space="preserve">(the </w:t>
      </w:r>
      <w:r w:rsidR="00313DE8">
        <w:rPr>
          <w:rFonts w:ascii="Times New Roman" w:eastAsiaTheme="minorHAnsi" w:hAnsi="Times New Roman"/>
          <w:b/>
          <w:bCs/>
          <w:sz w:val="22"/>
          <w:szCs w:val="22"/>
          <w:lang w:eastAsia="en-US"/>
        </w:rPr>
        <w:t>Amateur Class Licence</w:t>
      </w:r>
      <w:r w:rsidR="00313DE8">
        <w:rPr>
          <w:rFonts w:ascii="Times New Roman" w:eastAsiaTheme="minorHAnsi" w:hAnsi="Times New Roman"/>
          <w:sz w:val="22"/>
          <w:szCs w:val="22"/>
          <w:lang w:eastAsia="en-US"/>
        </w:rPr>
        <w:t>).</w:t>
      </w:r>
    </w:p>
    <w:p w14:paraId="52FEFE7A" w14:textId="47C9F810" w:rsidR="0033616D" w:rsidRDefault="0033616D" w:rsidP="0033616D">
      <w:pPr>
        <w:spacing w:line="257" w:lineRule="auto"/>
        <w:rPr>
          <w:rFonts w:ascii="Times New Roman" w:hAnsi="Times New Roman" w:cs="Times New Roman"/>
        </w:rPr>
      </w:pPr>
      <w:r>
        <w:rPr>
          <w:rFonts w:ascii="Times New Roman" w:hAnsi="Times New Roman" w:cs="Times New Roman"/>
        </w:rPr>
        <w:t xml:space="preserve">The instrument is a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proofErr w:type="gramStart"/>
      <w:r>
        <w:rPr>
          <w:rFonts w:ascii="Times New Roman" w:hAnsi="Times New Roman" w:cs="Times New Roman"/>
        </w:rPr>
        <w:t>)</w:t>
      </w:r>
      <w:r w:rsidR="007C797F">
        <w:rPr>
          <w:rFonts w:ascii="Times New Roman" w:hAnsi="Times New Roman" w:cs="Times New Roman"/>
        </w:rPr>
        <w:t>, and</w:t>
      </w:r>
      <w:proofErr w:type="gramEnd"/>
      <w:r w:rsidR="007C797F">
        <w:rPr>
          <w:rFonts w:ascii="Times New Roman" w:hAnsi="Times New Roman" w:cs="Times New Roman"/>
        </w:rPr>
        <w:t xml:space="preserve"> is disallowable</w:t>
      </w:r>
      <w:r>
        <w:rPr>
          <w:rFonts w:ascii="Times New Roman" w:hAnsi="Times New Roman" w:cs="Times New Roman"/>
        </w:rPr>
        <w:t xml:space="preserve">. The 2022 Determination is subject to the sunsetting provisions </w:t>
      </w:r>
      <w:r w:rsidR="007C797F">
        <w:rPr>
          <w:rFonts w:ascii="Times New Roman" w:hAnsi="Times New Roman" w:cs="Times New Roman"/>
        </w:rPr>
        <w:t xml:space="preserve">in Part 4 of Chapter 3 </w:t>
      </w:r>
      <w:r>
        <w:rPr>
          <w:rFonts w:ascii="Times New Roman" w:hAnsi="Times New Roman" w:cs="Times New Roman"/>
        </w:rPr>
        <w:t>of the LA.</w:t>
      </w:r>
    </w:p>
    <w:p w14:paraId="1B7565C1" w14:textId="77777777" w:rsidR="0033616D" w:rsidRDefault="0033616D" w:rsidP="0033616D">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6A2E8396" w14:textId="41A34CCB" w:rsidR="00BB076E" w:rsidRPr="00253FB5" w:rsidRDefault="00BB076E" w:rsidP="004D2843">
      <w:pPr>
        <w:rPr>
          <w:rFonts w:ascii="Times New Roman" w:hAnsi="Times New Roman" w:cs="Times New Roman"/>
          <w:b/>
          <w:sz w:val="24"/>
          <w:szCs w:val="24"/>
        </w:rPr>
      </w:pPr>
      <w:r w:rsidRPr="00253FB5">
        <w:rPr>
          <w:rFonts w:ascii="Times New Roman" w:hAnsi="Times New Roman" w:cs="Times New Roman"/>
          <w:b/>
          <w:sz w:val="24"/>
          <w:szCs w:val="24"/>
        </w:rPr>
        <w:t>Documents incorporated by reference</w:t>
      </w:r>
    </w:p>
    <w:p w14:paraId="32B7C29D" w14:textId="4D04FFDA" w:rsidR="000D241D" w:rsidRPr="006B6364" w:rsidRDefault="000D241D" w:rsidP="008758EA">
      <w:pPr>
        <w:shd w:val="clear" w:color="auto" w:fill="FFFFFF"/>
        <w:spacing w:line="233" w:lineRule="atLeast"/>
        <w:jc w:val="both"/>
        <w:rPr>
          <w:rFonts w:ascii="Calibri" w:eastAsia="Times New Roman" w:hAnsi="Calibri" w:cs="Calibri"/>
          <w:color w:val="000000"/>
          <w:lang w:eastAsia="en-AU"/>
        </w:rPr>
      </w:pPr>
      <w:r w:rsidRPr="006B6364">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 xml:space="preserve">instrument </w:t>
      </w:r>
      <w:r w:rsidR="00D8497C">
        <w:rPr>
          <w:rFonts w:ascii="Times New Roman" w:eastAsia="Times New Roman" w:hAnsi="Times New Roman" w:cs="Times New Roman"/>
          <w:color w:val="000000"/>
          <w:lang w:eastAsia="en-AU"/>
        </w:rPr>
        <w:t xml:space="preserve">amends the 2022 Determination to </w:t>
      </w:r>
      <w:r w:rsidR="001274E2">
        <w:rPr>
          <w:rFonts w:ascii="Times New Roman" w:eastAsia="Times New Roman" w:hAnsi="Times New Roman" w:cs="Times New Roman"/>
          <w:color w:val="000000"/>
          <w:lang w:eastAsia="en-AU"/>
        </w:rPr>
        <w:t>incorporate the following Act</w:t>
      </w:r>
      <w:r w:rsidR="00483050">
        <w:rPr>
          <w:rFonts w:ascii="Times New Roman" w:eastAsia="Times New Roman" w:hAnsi="Times New Roman" w:cs="Times New Roman"/>
          <w:color w:val="000000"/>
          <w:lang w:eastAsia="en-AU"/>
        </w:rPr>
        <w:t xml:space="preserve"> and legislative instruments</w:t>
      </w:r>
      <w:r w:rsidR="001274E2">
        <w:rPr>
          <w:rFonts w:ascii="Times New Roman" w:eastAsia="Times New Roman" w:hAnsi="Times New Roman" w:cs="Times New Roman"/>
          <w:color w:val="000000"/>
          <w:lang w:eastAsia="en-AU"/>
        </w:rPr>
        <w:t xml:space="preserve"> (including by </w:t>
      </w:r>
      <w:r w:rsidR="006D238D">
        <w:rPr>
          <w:rFonts w:ascii="Times New Roman" w:eastAsia="Times New Roman" w:hAnsi="Times New Roman" w:cs="Times New Roman"/>
          <w:color w:val="000000"/>
          <w:lang w:eastAsia="en-AU"/>
        </w:rPr>
        <w:t xml:space="preserve">the </w:t>
      </w:r>
      <w:r w:rsidR="001274E2">
        <w:rPr>
          <w:rFonts w:ascii="Times New Roman" w:eastAsia="Times New Roman" w:hAnsi="Times New Roman" w:cs="Times New Roman"/>
          <w:color w:val="000000"/>
          <w:lang w:eastAsia="en-AU"/>
        </w:rPr>
        <w:t>adoption of definitions), or o</w:t>
      </w:r>
      <w:r w:rsidR="008758EA">
        <w:rPr>
          <w:rFonts w:ascii="Times New Roman" w:eastAsia="Times New Roman" w:hAnsi="Times New Roman" w:cs="Times New Roman"/>
          <w:color w:val="000000"/>
          <w:lang w:eastAsia="en-AU"/>
        </w:rPr>
        <w:t xml:space="preserve">therwise refers to them: </w:t>
      </w:r>
    </w:p>
    <w:p w14:paraId="4EB1C2AC" w14:textId="6E8406AD" w:rsidR="000D241D" w:rsidRDefault="000D241D" w:rsidP="000D241D">
      <w:pPr>
        <w:pStyle w:val="ListParagraph"/>
        <w:numPr>
          <w:ilvl w:val="0"/>
          <w:numId w:val="3"/>
        </w:numPr>
        <w:spacing w:line="256" w:lineRule="auto"/>
        <w:rPr>
          <w:rFonts w:ascii="Times New Roman" w:hAnsi="Times New Roman" w:cs="Times New Roman"/>
        </w:rPr>
      </w:pPr>
      <w:r>
        <w:rPr>
          <w:rFonts w:ascii="Times New Roman" w:hAnsi="Times New Roman" w:cs="Times New Roman"/>
        </w:rPr>
        <w:t xml:space="preserve">the </w:t>
      </w:r>
      <w:r w:rsidR="00313DE8">
        <w:rPr>
          <w:rFonts w:ascii="Times New Roman" w:hAnsi="Times New Roman" w:cs="Times New Roman"/>
        </w:rPr>
        <w:t>Amateur Class Licence</w:t>
      </w:r>
      <w:r>
        <w:rPr>
          <w:rFonts w:ascii="Times New Roman" w:hAnsi="Times New Roman" w:cs="Times New Roman"/>
        </w:rPr>
        <w:t>;</w:t>
      </w:r>
    </w:p>
    <w:p w14:paraId="11DEA65E" w14:textId="77777777" w:rsidR="008C5B59" w:rsidRDefault="000D241D" w:rsidP="000D241D">
      <w:pPr>
        <w:pStyle w:val="ListParagraph"/>
        <w:numPr>
          <w:ilvl w:val="0"/>
          <w:numId w:val="3"/>
        </w:numPr>
        <w:spacing w:line="256" w:lineRule="auto"/>
        <w:rPr>
          <w:rFonts w:ascii="Times New Roman" w:hAnsi="Times New Roman" w:cs="Times New Roman"/>
        </w:rPr>
      </w:pPr>
      <w:r w:rsidRPr="00596259">
        <w:rPr>
          <w:rFonts w:ascii="Times New Roman" w:hAnsi="Times New Roman" w:cs="Times New Roman"/>
        </w:rPr>
        <w:t>the Radiocommunications Act</w:t>
      </w:r>
      <w:r w:rsidR="008C5B59">
        <w:rPr>
          <w:rFonts w:ascii="Times New Roman" w:hAnsi="Times New Roman" w:cs="Times New Roman"/>
        </w:rPr>
        <w:t>;</w:t>
      </w:r>
    </w:p>
    <w:p w14:paraId="0E6B9D15" w14:textId="1F64B924" w:rsidR="00CB389C" w:rsidRDefault="00CB389C" w:rsidP="000D241D">
      <w:pPr>
        <w:pStyle w:val="ListParagraph"/>
        <w:numPr>
          <w:ilvl w:val="0"/>
          <w:numId w:val="3"/>
        </w:numPr>
        <w:spacing w:line="256"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(Allocation of Transmitter Licences – High Powered Open Narrowcasting Licences) Determination 2014</w:t>
      </w:r>
      <w:r w:rsidR="00313DE8">
        <w:rPr>
          <w:rFonts w:ascii="Times New Roman" w:hAnsi="Times New Roman" w:cs="Times New Roman"/>
        </w:rPr>
        <w:t>;</w:t>
      </w:r>
    </w:p>
    <w:p w14:paraId="25DE8711" w14:textId="03584594" w:rsidR="00CB389C" w:rsidRPr="00CB389C" w:rsidRDefault="0054191A" w:rsidP="00CB389C">
      <w:pPr>
        <w:pStyle w:val="ListParagraph"/>
        <w:numPr>
          <w:ilvl w:val="0"/>
          <w:numId w:val="3"/>
        </w:numPr>
        <w:spacing w:line="256" w:lineRule="auto"/>
        <w:rPr>
          <w:rFonts w:ascii="Times New Roman" w:hAnsi="Times New Roman" w:cs="Times New Roman"/>
        </w:rPr>
      </w:pPr>
      <w:r w:rsidRPr="00CB389C">
        <w:rPr>
          <w:rFonts w:ascii="Times New Roman" w:hAnsi="Times New Roman" w:cs="Times New Roman"/>
        </w:rPr>
        <w:t xml:space="preserve">the </w:t>
      </w:r>
      <w:r w:rsidR="008C5B59" w:rsidRPr="00CB389C">
        <w:rPr>
          <w:rFonts w:ascii="Times New Roman" w:hAnsi="Times New Roman" w:cs="Times New Roman"/>
          <w:i/>
          <w:iCs/>
        </w:rPr>
        <w:t>Radiocommunications (Exemption) Determination 202</w:t>
      </w:r>
      <w:r w:rsidR="00526C3E">
        <w:rPr>
          <w:rFonts w:ascii="Times New Roman" w:hAnsi="Times New Roman" w:cs="Times New Roman"/>
          <w:i/>
          <w:iCs/>
        </w:rPr>
        <w:t>4</w:t>
      </w:r>
      <w:r w:rsidR="008C5B59" w:rsidRPr="00CB389C">
        <w:rPr>
          <w:rFonts w:ascii="Times New Roman" w:hAnsi="Times New Roman" w:cs="Times New Roman"/>
        </w:rPr>
        <w:t>;</w:t>
      </w:r>
    </w:p>
    <w:p w14:paraId="14861ED2" w14:textId="2E1E8D26" w:rsidR="000D241D" w:rsidRPr="00BF07BC" w:rsidRDefault="0054191A" w:rsidP="00BF07BC">
      <w:pPr>
        <w:pStyle w:val="ListParagraph"/>
        <w:numPr>
          <w:ilvl w:val="0"/>
          <w:numId w:val="3"/>
        </w:numPr>
        <w:spacing w:line="256" w:lineRule="auto"/>
        <w:rPr>
          <w:rFonts w:ascii="Times New Roman" w:hAnsi="Times New Roman" w:cs="Times New Roman"/>
        </w:rPr>
      </w:pPr>
      <w:r w:rsidRPr="00BF07BC">
        <w:rPr>
          <w:rFonts w:ascii="Times New Roman" w:hAnsi="Times New Roman" w:cs="Times New Roman"/>
        </w:rPr>
        <w:t xml:space="preserve">the </w:t>
      </w:r>
      <w:r w:rsidRPr="00BF07BC">
        <w:rPr>
          <w:rFonts w:ascii="Times New Roman" w:hAnsi="Times New Roman" w:cs="Times New Roman"/>
          <w:i/>
          <w:iCs/>
        </w:rPr>
        <w:t>Radiocommunications Licence Conditions (PTS Licence) Determination</w:t>
      </w:r>
      <w:r w:rsidRPr="00BF07BC">
        <w:rPr>
          <w:rFonts w:ascii="Times New Roman" w:hAnsi="Times New Roman" w:cs="Times New Roman"/>
        </w:rPr>
        <w:t xml:space="preserve"> </w:t>
      </w:r>
      <w:r w:rsidRPr="00BF07BC">
        <w:rPr>
          <w:rFonts w:ascii="Times New Roman" w:hAnsi="Times New Roman" w:cs="Times New Roman"/>
          <w:i/>
          <w:iCs/>
        </w:rPr>
        <w:t>2024</w:t>
      </w:r>
      <w:r w:rsidR="000D241D" w:rsidRPr="00BF07BC">
        <w:rPr>
          <w:rFonts w:ascii="Times New Roman" w:hAnsi="Times New Roman" w:cs="Times New Roman"/>
        </w:rPr>
        <w:t>.</w:t>
      </w:r>
    </w:p>
    <w:p w14:paraId="78592C10" w14:textId="174068F3" w:rsidR="000D241D" w:rsidRDefault="000D241D" w:rsidP="000D241D">
      <w:r w:rsidRPr="006B6364">
        <w:rPr>
          <w:rFonts w:ascii="Times New Roman" w:hAnsi="Times New Roman" w:cs="Times New Roman"/>
        </w:rPr>
        <w:t>The Act and legislative instrument</w:t>
      </w:r>
      <w:r w:rsidR="0082134B">
        <w:rPr>
          <w:rFonts w:ascii="Times New Roman" w:hAnsi="Times New Roman" w:cs="Times New Roman"/>
        </w:rPr>
        <w:t>s</w:t>
      </w:r>
      <w:r w:rsidRPr="006B6364">
        <w:rPr>
          <w:rFonts w:ascii="Times New Roman" w:hAnsi="Times New Roman" w:cs="Times New Roman"/>
        </w:rPr>
        <w:t xml:space="preserve"> listed above may be obtained, free of charge, from the Federal Register of Legislation (</w:t>
      </w:r>
      <w:hyperlink r:id="rId11" w:history="1">
        <w:r w:rsidRPr="006B6364">
          <w:rPr>
            <w:rStyle w:val="Hyperlink"/>
            <w:rFonts w:ascii="Times New Roman" w:hAnsi="Times New Roman" w:cs="Times New Roman"/>
          </w:rPr>
          <w:t>www.legislation.gov.au</w:t>
        </w:r>
      </w:hyperlink>
      <w:r w:rsidRPr="006B6364">
        <w:rPr>
          <w:rFonts w:ascii="Times New Roman" w:hAnsi="Times New Roman" w:cs="Times New Roman"/>
        </w:rPr>
        <w:t>).</w:t>
      </w:r>
      <w:r w:rsidR="00226A77">
        <w:rPr>
          <w:rFonts w:ascii="Times New Roman" w:hAnsi="Times New Roman" w:cs="Times New Roman"/>
        </w:rPr>
        <w:t xml:space="preserve"> The Act and legislative instruments listed above are incorporated as in force from time to time, in accordance with </w:t>
      </w:r>
      <w:r w:rsidR="00FD44F7">
        <w:rPr>
          <w:rFonts w:ascii="Times New Roman" w:hAnsi="Times New Roman" w:cs="Times New Roman"/>
        </w:rPr>
        <w:t xml:space="preserve">section 10 of the </w:t>
      </w:r>
      <w:r w:rsidR="00BF07BC">
        <w:rPr>
          <w:rFonts w:ascii="Times New Roman" w:hAnsi="Times New Roman" w:cs="Times New Roman"/>
        </w:rPr>
        <w:t>AIA</w:t>
      </w:r>
      <w:r w:rsidR="00FD44F7">
        <w:rPr>
          <w:rFonts w:ascii="Times New Roman" w:hAnsi="Times New Roman" w:cs="Times New Roman"/>
        </w:rPr>
        <w:t xml:space="preserve"> and subsection 13(1) of the LA.</w:t>
      </w:r>
    </w:p>
    <w:p w14:paraId="28832377" w14:textId="77777777" w:rsidR="00BB076E" w:rsidRPr="00253FB5" w:rsidRDefault="00BB076E" w:rsidP="004D2843">
      <w:pPr>
        <w:rPr>
          <w:rFonts w:ascii="Times New Roman" w:hAnsi="Times New Roman" w:cs="Times New Roman"/>
          <w:b/>
          <w:sz w:val="24"/>
          <w:szCs w:val="24"/>
        </w:rPr>
      </w:pPr>
      <w:r w:rsidRPr="00253FB5">
        <w:rPr>
          <w:rFonts w:ascii="Times New Roman" w:hAnsi="Times New Roman" w:cs="Times New Roman"/>
          <w:b/>
          <w:sz w:val="24"/>
          <w:szCs w:val="24"/>
        </w:rPr>
        <w:t>Consultation</w:t>
      </w:r>
    </w:p>
    <w:p w14:paraId="604F331D" w14:textId="77777777" w:rsidR="000D241D" w:rsidRPr="00B50414" w:rsidRDefault="000D241D" w:rsidP="000D241D">
      <w:pPr>
        <w:rPr>
          <w:rFonts w:ascii="Times New Roman" w:hAnsi="Times New Roman" w:cs="Times New Roman"/>
        </w:rPr>
      </w:pPr>
      <w:r w:rsidRPr="00B50414">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5968C92F" w14:textId="60D11324" w:rsidR="000D241D" w:rsidRPr="00B50414" w:rsidRDefault="000D241D" w:rsidP="000D241D">
      <w:pPr>
        <w:rPr>
          <w:rFonts w:ascii="Times New Roman" w:hAnsi="Times New Roman" w:cs="Times New Roman"/>
        </w:rPr>
      </w:pPr>
      <w:r w:rsidRPr="00B50414">
        <w:rPr>
          <w:rFonts w:ascii="Times New Roman" w:hAnsi="Times New Roman" w:cs="Times New Roman"/>
        </w:rPr>
        <w:t xml:space="preserve">Between </w:t>
      </w:r>
      <w:r>
        <w:rPr>
          <w:rFonts w:ascii="Times New Roman" w:hAnsi="Times New Roman" w:cs="Times New Roman"/>
        </w:rPr>
        <w:t>3 May</w:t>
      </w:r>
      <w:r w:rsidRPr="00B50414">
        <w:rPr>
          <w:rFonts w:ascii="Times New Roman" w:hAnsi="Times New Roman" w:cs="Times New Roman"/>
        </w:rPr>
        <w:t xml:space="preserve"> 202</w:t>
      </w:r>
      <w:r>
        <w:rPr>
          <w:rFonts w:ascii="Times New Roman" w:hAnsi="Times New Roman" w:cs="Times New Roman"/>
        </w:rPr>
        <w:t>4</w:t>
      </w:r>
      <w:r w:rsidRPr="00B50414">
        <w:rPr>
          <w:rFonts w:ascii="Times New Roman" w:hAnsi="Times New Roman" w:cs="Times New Roman"/>
        </w:rPr>
        <w:t xml:space="preserve"> and </w:t>
      </w:r>
      <w:r>
        <w:rPr>
          <w:rFonts w:ascii="Times New Roman" w:hAnsi="Times New Roman" w:cs="Times New Roman"/>
        </w:rPr>
        <w:t xml:space="preserve">31 May </w:t>
      </w:r>
      <w:r w:rsidRPr="00B50414">
        <w:rPr>
          <w:rFonts w:ascii="Times New Roman" w:hAnsi="Times New Roman" w:cs="Times New Roman"/>
        </w:rPr>
        <w:t>202</w:t>
      </w:r>
      <w:r>
        <w:rPr>
          <w:rFonts w:ascii="Times New Roman" w:hAnsi="Times New Roman" w:cs="Times New Roman"/>
        </w:rPr>
        <w:t>4</w:t>
      </w:r>
      <w:r w:rsidRPr="00B50414">
        <w:rPr>
          <w:rFonts w:ascii="Times New Roman" w:hAnsi="Times New Roman" w:cs="Times New Roman"/>
        </w:rPr>
        <w:t>, the ACMA conducted a consultation process</w:t>
      </w:r>
      <w:r>
        <w:rPr>
          <w:rFonts w:ascii="Times New Roman" w:hAnsi="Times New Roman" w:cs="Times New Roman"/>
        </w:rPr>
        <w:t>,</w:t>
      </w:r>
      <w:r w:rsidRPr="00B50414">
        <w:rPr>
          <w:rFonts w:ascii="Times New Roman" w:hAnsi="Times New Roman" w:cs="Times New Roman"/>
        </w:rPr>
        <w:t xml:space="preserve"> inviting submissions on proposed changes to </w:t>
      </w:r>
      <w:r w:rsidR="00291191">
        <w:rPr>
          <w:rFonts w:ascii="Times New Roman" w:hAnsi="Times New Roman" w:cs="Times New Roman"/>
        </w:rPr>
        <w:t xml:space="preserve">the ACMA’s </w:t>
      </w:r>
      <w:r>
        <w:rPr>
          <w:rFonts w:ascii="Times New Roman" w:hAnsi="Times New Roman" w:cs="Times New Roman"/>
        </w:rPr>
        <w:t>charges</w:t>
      </w:r>
      <w:r w:rsidRPr="00B50414">
        <w:rPr>
          <w:rFonts w:ascii="Times New Roman" w:hAnsi="Times New Roman" w:cs="Times New Roman"/>
        </w:rPr>
        <w:t xml:space="preserve"> under cost recovery arrangements. The consultation was facilitated through the release of a consultation package</w:t>
      </w:r>
      <w:r>
        <w:rPr>
          <w:rFonts w:ascii="Times New Roman" w:hAnsi="Times New Roman" w:cs="Times New Roman"/>
        </w:rPr>
        <w:t>,</w:t>
      </w:r>
      <w:r w:rsidRPr="00B50414">
        <w:rPr>
          <w:rFonts w:ascii="Times New Roman" w:hAnsi="Times New Roman" w:cs="Times New Roman"/>
        </w:rPr>
        <w:t xml:space="preserve"> which included a draft Cost Recovery Implementation Statement (</w:t>
      </w:r>
      <w:r w:rsidRPr="003232DB">
        <w:rPr>
          <w:rFonts w:ascii="Times New Roman" w:hAnsi="Times New Roman" w:cs="Times New Roman"/>
          <w:b/>
          <w:bCs/>
        </w:rPr>
        <w:t>CRIS</w:t>
      </w:r>
      <w:r w:rsidRPr="00B50414">
        <w:rPr>
          <w:rFonts w:ascii="Times New Roman" w:hAnsi="Times New Roman" w:cs="Times New Roman"/>
        </w:rPr>
        <w:t xml:space="preserve">) on the ACMA’s website. </w:t>
      </w:r>
    </w:p>
    <w:p w14:paraId="23FAEE43" w14:textId="77777777" w:rsidR="000D241D" w:rsidRPr="00B50414" w:rsidRDefault="000D241D" w:rsidP="000D241D">
      <w:pPr>
        <w:rPr>
          <w:rFonts w:ascii="Times New Roman" w:hAnsi="Times New Roman" w:cs="Times New Roman"/>
        </w:rPr>
      </w:pPr>
      <w:r>
        <w:rPr>
          <w:rFonts w:ascii="Times New Roman" w:hAnsi="Times New Roman" w:cs="Times New Roman"/>
        </w:rPr>
        <w:t xml:space="preserve">A </w:t>
      </w:r>
      <w:r w:rsidRPr="00B50414">
        <w:rPr>
          <w:rFonts w:ascii="Times New Roman" w:hAnsi="Times New Roman" w:cs="Times New Roman"/>
        </w:rPr>
        <w:t xml:space="preserve">consultation </w:t>
      </w:r>
      <w:r>
        <w:rPr>
          <w:rFonts w:ascii="Times New Roman" w:hAnsi="Times New Roman" w:cs="Times New Roman"/>
        </w:rPr>
        <w:t>paper</w:t>
      </w:r>
      <w:r w:rsidRPr="00B50414">
        <w:rPr>
          <w:rFonts w:ascii="Times New Roman" w:hAnsi="Times New Roman" w:cs="Times New Roman"/>
        </w:rPr>
        <w:t xml:space="preserve"> outlined the proposed changes to the </w:t>
      </w:r>
      <w:r>
        <w:rPr>
          <w:rFonts w:ascii="Times New Roman" w:hAnsi="Times New Roman" w:cs="Times New Roman"/>
        </w:rPr>
        <w:t xml:space="preserve">2022 </w:t>
      </w:r>
      <w:r w:rsidRPr="00B50414">
        <w:rPr>
          <w:rFonts w:ascii="Times New Roman" w:hAnsi="Times New Roman" w:cs="Times New Roman"/>
        </w:rPr>
        <w:t xml:space="preserve">Determination. The draft CRIS </w:t>
      </w:r>
      <w:r>
        <w:rPr>
          <w:rFonts w:ascii="Times New Roman" w:hAnsi="Times New Roman" w:cs="Times New Roman"/>
        </w:rPr>
        <w:t xml:space="preserve">outlined </w:t>
      </w:r>
      <w:proofErr w:type="gramStart"/>
      <w:r>
        <w:rPr>
          <w:rFonts w:ascii="Times New Roman" w:hAnsi="Times New Roman" w:cs="Times New Roman"/>
        </w:rPr>
        <w:t>all of</w:t>
      </w:r>
      <w:proofErr w:type="gramEnd"/>
      <w:r>
        <w:rPr>
          <w:rFonts w:ascii="Times New Roman" w:hAnsi="Times New Roman" w:cs="Times New Roman"/>
        </w:rPr>
        <w:t xml:space="preserve"> the proposed charges and </w:t>
      </w:r>
      <w:r w:rsidRPr="00B50414">
        <w:rPr>
          <w:rFonts w:ascii="Times New Roman" w:hAnsi="Times New Roman" w:cs="Times New Roman"/>
        </w:rPr>
        <w:t xml:space="preserve">contained an explanation for the amendments </w:t>
      </w:r>
      <w:r>
        <w:rPr>
          <w:rFonts w:ascii="Times New Roman" w:hAnsi="Times New Roman" w:cs="Times New Roman"/>
        </w:rPr>
        <w:t xml:space="preserve">to be </w:t>
      </w:r>
      <w:r w:rsidRPr="00B50414">
        <w:rPr>
          <w:rFonts w:ascii="Times New Roman" w:hAnsi="Times New Roman" w:cs="Times New Roman"/>
        </w:rPr>
        <w:t xml:space="preserve">made to the </w:t>
      </w:r>
      <w:r>
        <w:rPr>
          <w:rFonts w:ascii="Times New Roman" w:hAnsi="Times New Roman" w:cs="Times New Roman"/>
        </w:rPr>
        <w:t xml:space="preserve">2022 </w:t>
      </w:r>
      <w:r w:rsidRPr="00B50414">
        <w:rPr>
          <w:rFonts w:ascii="Times New Roman" w:hAnsi="Times New Roman" w:cs="Times New Roman"/>
        </w:rPr>
        <w:t xml:space="preserve">Determination. Interested parties were invited to comment on the proposed changes to the </w:t>
      </w:r>
      <w:r>
        <w:rPr>
          <w:rFonts w:ascii="Times New Roman" w:hAnsi="Times New Roman" w:cs="Times New Roman"/>
        </w:rPr>
        <w:t xml:space="preserve">2022 </w:t>
      </w:r>
      <w:r w:rsidRPr="00B50414">
        <w:rPr>
          <w:rFonts w:ascii="Times New Roman" w:hAnsi="Times New Roman" w:cs="Times New Roman"/>
        </w:rPr>
        <w:t>Determination.</w:t>
      </w:r>
    </w:p>
    <w:p w14:paraId="0832D9E0" w14:textId="0B4AB187" w:rsidR="00560A96" w:rsidRPr="00253FB5" w:rsidRDefault="000D241D" w:rsidP="00863EF4">
      <w:pPr>
        <w:rPr>
          <w:rFonts w:ascii="Times New Roman" w:hAnsi="Times New Roman" w:cs="Times New Roman"/>
          <w:highlight w:val="yellow"/>
        </w:rPr>
      </w:pPr>
      <w:r w:rsidRPr="00B50414">
        <w:rPr>
          <w:rFonts w:ascii="Times New Roman" w:hAnsi="Times New Roman" w:cs="Times New Roman"/>
        </w:rPr>
        <w:t xml:space="preserve">The ACMA received </w:t>
      </w:r>
      <w:r w:rsidR="00863EF4">
        <w:rPr>
          <w:rFonts w:ascii="Times New Roman" w:hAnsi="Times New Roman" w:cs="Times New Roman"/>
        </w:rPr>
        <w:t xml:space="preserve">2 </w:t>
      </w:r>
      <w:r w:rsidRPr="00B50414">
        <w:rPr>
          <w:rFonts w:ascii="Times New Roman" w:hAnsi="Times New Roman" w:cs="Times New Roman"/>
        </w:rPr>
        <w:t>submissions in response to the consultation paper</w:t>
      </w:r>
      <w:r w:rsidR="00863EF4" w:rsidRPr="00A8162E">
        <w:rPr>
          <w:rFonts w:ascii="Times New Roman" w:hAnsi="Times New Roman" w:cs="Times New Roman"/>
        </w:rPr>
        <w:t xml:space="preserve"> from Commercial Radio and Audio and Free TV Australia. Both submissions raised concerns about the financial impost an increase to the existing charge for processing an application under section 46 of the </w:t>
      </w:r>
      <w:r w:rsidR="006D238D">
        <w:rPr>
          <w:rFonts w:ascii="Times New Roman" w:hAnsi="Times New Roman" w:cs="Times New Roman"/>
          <w:i/>
          <w:iCs/>
        </w:rPr>
        <w:t xml:space="preserve">Broadcasting Services Act </w:t>
      </w:r>
      <w:r w:rsidR="00F879A2">
        <w:rPr>
          <w:rFonts w:ascii="Times New Roman" w:hAnsi="Times New Roman" w:cs="Times New Roman"/>
          <w:i/>
          <w:iCs/>
        </w:rPr>
        <w:t xml:space="preserve">1992 </w:t>
      </w:r>
      <w:r w:rsidR="00863EF4" w:rsidRPr="00A8162E">
        <w:rPr>
          <w:rFonts w:ascii="Times New Roman" w:hAnsi="Times New Roman" w:cs="Times New Roman"/>
        </w:rPr>
        <w:t>from $202 to $778 would have on industry.  In light of the concerns raised,</w:t>
      </w:r>
      <w:r w:rsidR="007A554C">
        <w:rPr>
          <w:rFonts w:ascii="Times New Roman" w:hAnsi="Times New Roman" w:cs="Times New Roman"/>
        </w:rPr>
        <w:t xml:space="preserve"> the ACMA has </w:t>
      </w:r>
      <w:r w:rsidR="00863EF4" w:rsidRPr="00A8162E">
        <w:rPr>
          <w:rFonts w:ascii="Times New Roman" w:hAnsi="Times New Roman" w:cs="Times New Roman"/>
        </w:rPr>
        <w:t>maintain</w:t>
      </w:r>
      <w:r w:rsidR="007A554C">
        <w:rPr>
          <w:rFonts w:ascii="Times New Roman" w:hAnsi="Times New Roman" w:cs="Times New Roman"/>
        </w:rPr>
        <w:t>ed</w:t>
      </w:r>
      <w:r w:rsidR="00863EF4" w:rsidRPr="00A8162E">
        <w:rPr>
          <w:rFonts w:ascii="Times New Roman" w:hAnsi="Times New Roman" w:cs="Times New Roman"/>
        </w:rPr>
        <w:t xml:space="preserve"> the </w:t>
      </w:r>
      <w:r w:rsidR="005F0FE7">
        <w:rPr>
          <w:rFonts w:ascii="Times New Roman" w:hAnsi="Times New Roman" w:cs="Times New Roman"/>
        </w:rPr>
        <w:t>charge</w:t>
      </w:r>
      <w:r w:rsidR="00863EF4" w:rsidRPr="00A8162E">
        <w:rPr>
          <w:rFonts w:ascii="Times New Roman" w:hAnsi="Times New Roman" w:cs="Times New Roman"/>
        </w:rPr>
        <w:t xml:space="preserve"> at the current </w:t>
      </w:r>
      <w:proofErr w:type="gramStart"/>
      <w:r w:rsidR="00477E39">
        <w:rPr>
          <w:rFonts w:ascii="Times New Roman" w:hAnsi="Times New Roman" w:cs="Times New Roman"/>
        </w:rPr>
        <w:t>amount,</w:t>
      </w:r>
      <w:r w:rsidR="00863EF4" w:rsidRPr="00A8162E">
        <w:rPr>
          <w:rFonts w:ascii="Times New Roman" w:hAnsi="Times New Roman" w:cs="Times New Roman"/>
        </w:rPr>
        <w:t xml:space="preserve"> and</w:t>
      </w:r>
      <w:proofErr w:type="gramEnd"/>
      <w:r w:rsidR="00863EF4" w:rsidRPr="00A8162E">
        <w:rPr>
          <w:rFonts w:ascii="Times New Roman" w:hAnsi="Times New Roman" w:cs="Times New Roman"/>
        </w:rPr>
        <w:t xml:space="preserve"> will undertake further work to streamline processes prior to </w:t>
      </w:r>
      <w:r w:rsidR="007A554C">
        <w:rPr>
          <w:rFonts w:ascii="Times New Roman" w:hAnsi="Times New Roman" w:cs="Times New Roman"/>
        </w:rPr>
        <w:t xml:space="preserve">proposing </w:t>
      </w:r>
      <w:r w:rsidR="00863EF4" w:rsidRPr="00A8162E">
        <w:rPr>
          <w:rFonts w:ascii="Times New Roman" w:hAnsi="Times New Roman" w:cs="Times New Roman"/>
        </w:rPr>
        <w:t>any increase through a future CRIS.</w:t>
      </w:r>
      <w:r w:rsidR="00863EF4">
        <w:rPr>
          <w:rFonts w:ascii="Times New Roman" w:hAnsi="Times New Roman" w:cs="Times New Roman"/>
        </w:rPr>
        <w:t xml:space="preserve"> </w:t>
      </w:r>
      <w:r w:rsidR="00560A96">
        <w:rPr>
          <w:rFonts w:ascii="Times New Roman" w:hAnsi="Times New Roman" w:cs="Times New Roman"/>
        </w:rPr>
        <w:t xml:space="preserve">The submissions </w:t>
      </w:r>
      <w:r w:rsidR="00483D07">
        <w:rPr>
          <w:rFonts w:ascii="Times New Roman" w:hAnsi="Times New Roman" w:cs="Times New Roman"/>
        </w:rPr>
        <w:t xml:space="preserve">received </w:t>
      </w:r>
      <w:r w:rsidR="00560A96">
        <w:rPr>
          <w:rFonts w:ascii="Times New Roman" w:hAnsi="Times New Roman" w:cs="Times New Roman"/>
        </w:rPr>
        <w:t>are available on the ACMA</w:t>
      </w:r>
      <w:r w:rsidR="00483D07">
        <w:rPr>
          <w:rFonts w:ascii="Times New Roman" w:hAnsi="Times New Roman" w:cs="Times New Roman"/>
        </w:rPr>
        <w:t>’s</w:t>
      </w:r>
      <w:r w:rsidR="00560A96">
        <w:rPr>
          <w:rFonts w:ascii="Times New Roman" w:hAnsi="Times New Roman" w:cs="Times New Roman"/>
        </w:rPr>
        <w:t xml:space="preserve"> website.</w:t>
      </w:r>
      <w:r w:rsidR="00863EF4">
        <w:rPr>
          <w:rFonts w:ascii="Times New Roman" w:hAnsi="Times New Roman" w:cs="Times New Roman"/>
        </w:rPr>
        <w:t xml:space="preserve"> </w:t>
      </w:r>
    </w:p>
    <w:p w14:paraId="3DBDAC14" w14:textId="2D5984CE" w:rsidR="0091080B" w:rsidRPr="00253FB5" w:rsidRDefault="00FB4437" w:rsidP="007E0847">
      <w:pPr>
        <w:keepNext/>
        <w:rPr>
          <w:rFonts w:ascii="Times New Roman" w:hAnsi="Times New Roman" w:cs="Times New Roman"/>
          <w:b/>
          <w:sz w:val="24"/>
          <w:szCs w:val="24"/>
        </w:rPr>
      </w:pPr>
      <w:r w:rsidRPr="00253FB5">
        <w:rPr>
          <w:rFonts w:ascii="Times New Roman" w:hAnsi="Times New Roman" w:cs="Times New Roman"/>
          <w:b/>
          <w:sz w:val="24"/>
          <w:szCs w:val="24"/>
        </w:rPr>
        <w:lastRenderedPageBreak/>
        <w:t>Regulatory impact assessment</w:t>
      </w:r>
    </w:p>
    <w:p w14:paraId="7D0E3A41" w14:textId="69A37BA9" w:rsidR="00711CE4" w:rsidRDefault="00794100">
      <w:pPr>
        <w:rPr>
          <w:rFonts w:ascii="Times New Roman" w:hAnsi="Times New Roman" w:cs="Times New Roman"/>
        </w:rPr>
      </w:pPr>
      <w:r w:rsidRPr="00794100">
        <w:rPr>
          <w:rFonts w:ascii="Times New Roman" w:hAnsi="Times New Roman" w:cs="Times New Roman"/>
        </w:rPr>
        <w:t xml:space="preserve">A preliminary assessment of the proposal to make the </w:t>
      </w:r>
      <w:r w:rsidR="00014EC1">
        <w:rPr>
          <w:rFonts w:ascii="Times New Roman" w:hAnsi="Times New Roman" w:cs="Times New Roman"/>
        </w:rPr>
        <w:t xml:space="preserve">amendments contained in the </w:t>
      </w:r>
      <w:r w:rsidRPr="00794100">
        <w:rPr>
          <w:rFonts w:ascii="Times New Roman" w:hAnsi="Times New Roman" w:cs="Times New Roman"/>
        </w:rPr>
        <w:t>instrument 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w:t>
      </w:r>
      <w:r w:rsidR="00014EC1">
        <w:rPr>
          <w:rFonts w:ascii="Times New Roman" w:hAnsi="Times New Roman" w:cs="Times New Roman"/>
        </w:rPr>
        <w:t>n</w:t>
      </w:r>
      <w:r w:rsidRPr="00794100">
        <w:rPr>
          <w:rFonts w:ascii="Times New Roman" w:hAnsi="Times New Roman" w:cs="Times New Roman"/>
        </w:rPr>
        <w:t xml:space="preserve"> </w:t>
      </w:r>
      <w:r w:rsidR="00014EC1">
        <w:rPr>
          <w:rFonts w:ascii="Times New Roman" w:hAnsi="Times New Roman" w:cs="Times New Roman"/>
        </w:rPr>
        <w:t xml:space="preserve">Impact Analysis </w:t>
      </w:r>
      <w:r w:rsidR="00014EC1" w:rsidRPr="007E0847">
        <w:rPr>
          <w:rFonts w:ascii="Times New Roman" w:hAnsi="Times New Roman" w:cs="Times New Roman"/>
        </w:rPr>
        <w:t>(</w:t>
      </w:r>
      <w:r w:rsidR="00014EC1" w:rsidRPr="00A52EDC">
        <w:rPr>
          <w:rFonts w:ascii="Times New Roman" w:hAnsi="Times New Roman" w:cs="Times New Roman"/>
          <w:b/>
          <w:bCs/>
        </w:rPr>
        <w:t>IA</w:t>
      </w:r>
      <w:r w:rsidR="00014EC1" w:rsidRPr="007E0847">
        <w:rPr>
          <w:rFonts w:ascii="Times New Roman" w:hAnsi="Times New Roman" w:cs="Times New Roman"/>
        </w:rPr>
        <w:t>)</w:t>
      </w:r>
      <w:r w:rsidR="00014EC1">
        <w:rPr>
          <w:rFonts w:ascii="Times New Roman" w:hAnsi="Times New Roman" w:cs="Times New Roman"/>
        </w:rPr>
        <w:t xml:space="preserve"> </w:t>
      </w:r>
      <w:r w:rsidRPr="00794100">
        <w:rPr>
          <w:rFonts w:ascii="Times New Roman" w:hAnsi="Times New Roman" w:cs="Times New Roman"/>
        </w:rPr>
        <w:t xml:space="preserve">would be required. OIA </w:t>
      </w:r>
      <w:r w:rsidR="005C0747">
        <w:rPr>
          <w:rFonts w:ascii="Times New Roman" w:hAnsi="Times New Roman" w:cs="Times New Roman"/>
        </w:rPr>
        <w:t xml:space="preserve">advised </w:t>
      </w:r>
      <w:r w:rsidR="009F27EC">
        <w:rPr>
          <w:rFonts w:ascii="Times New Roman" w:hAnsi="Times New Roman" w:cs="Times New Roman"/>
        </w:rPr>
        <w:t xml:space="preserve">that </w:t>
      </w:r>
      <w:r w:rsidR="000B75DD">
        <w:rPr>
          <w:rFonts w:ascii="Times New Roman" w:hAnsi="Times New Roman" w:cs="Times New Roman"/>
        </w:rPr>
        <w:t>the preparation of an IA</w:t>
      </w:r>
      <w:r w:rsidR="003C3A10">
        <w:rPr>
          <w:rFonts w:ascii="Times New Roman" w:hAnsi="Times New Roman" w:cs="Times New Roman"/>
        </w:rPr>
        <w:t xml:space="preserve"> </w:t>
      </w:r>
      <w:r w:rsidR="005C0747">
        <w:rPr>
          <w:rFonts w:ascii="Times New Roman" w:hAnsi="Times New Roman" w:cs="Times New Roman"/>
        </w:rPr>
        <w:t>wa</w:t>
      </w:r>
      <w:r w:rsidR="003C3A10">
        <w:rPr>
          <w:rFonts w:ascii="Times New Roman" w:hAnsi="Times New Roman" w:cs="Times New Roman"/>
        </w:rPr>
        <w:t xml:space="preserve">s not required </w:t>
      </w:r>
      <w:r w:rsidRPr="00794100">
        <w:rPr>
          <w:rFonts w:ascii="Times New Roman" w:hAnsi="Times New Roman" w:cs="Times New Roman"/>
        </w:rPr>
        <w:t>(</w:t>
      </w:r>
      <w:r w:rsidR="00CC7451">
        <w:rPr>
          <w:rFonts w:ascii="Times New Roman" w:hAnsi="Times New Roman" w:cs="Times New Roman"/>
        </w:rPr>
        <w:t xml:space="preserve">see </w:t>
      </w:r>
      <w:r w:rsidRPr="00794100">
        <w:rPr>
          <w:rFonts w:ascii="Times New Roman" w:hAnsi="Times New Roman" w:cs="Times New Roman"/>
        </w:rPr>
        <w:t xml:space="preserve">OIA reference number </w:t>
      </w:r>
      <w:r w:rsidR="000D241D" w:rsidRPr="00253FB5">
        <w:rPr>
          <w:rFonts w:ascii="Times New Roman" w:hAnsi="Times New Roman" w:cs="Times New Roman"/>
        </w:rPr>
        <w:t>OIA24-07415</w:t>
      </w:r>
      <w:r w:rsidRPr="00794100">
        <w:rPr>
          <w:rFonts w:ascii="Times New Roman" w:hAnsi="Times New Roman" w:cs="Times New Roman"/>
        </w:rPr>
        <w:t>)</w:t>
      </w:r>
      <w:r w:rsidR="008A39EF">
        <w:rPr>
          <w:rFonts w:ascii="Times New Roman" w:hAnsi="Times New Roman" w:cs="Times New Roman"/>
        </w:rPr>
        <w:t>.</w:t>
      </w:r>
    </w:p>
    <w:p w14:paraId="24DDE444" w14:textId="77777777" w:rsidR="00C74802" w:rsidRPr="00B11FB1" w:rsidRDefault="00C74802" w:rsidP="00C74802">
      <w:pPr>
        <w:rPr>
          <w:rFonts w:ascii="Times New Roman" w:hAnsi="Times New Roman" w:cs="Times New Roman"/>
          <w:b/>
          <w:sz w:val="24"/>
          <w:szCs w:val="24"/>
        </w:rPr>
      </w:pPr>
      <w:r w:rsidRPr="00B11FB1">
        <w:rPr>
          <w:rFonts w:ascii="Times New Roman" w:hAnsi="Times New Roman" w:cs="Times New Roman"/>
          <w:b/>
          <w:sz w:val="24"/>
          <w:szCs w:val="24"/>
        </w:rPr>
        <w:t>Statement of compatibility with human rights</w:t>
      </w:r>
    </w:p>
    <w:p w14:paraId="6F8AD300" w14:textId="3CC73827" w:rsidR="00C74802" w:rsidRDefault="00C74802" w:rsidP="00C74802">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B07478">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3BCDA016" w14:textId="3FCBF004" w:rsidR="00C74802" w:rsidRDefault="00C74802" w:rsidP="00C74802">
      <w:pPr>
        <w:rPr>
          <w:rFonts w:ascii="Times New Roman" w:hAnsi="Times New Roman" w:cs="Times New Roman"/>
        </w:rPr>
      </w:pPr>
      <w:r>
        <w:rPr>
          <w:rFonts w:ascii="Times New Roman" w:hAnsi="Times New Roman" w:cs="Times New Roman"/>
        </w:rPr>
        <w:t xml:space="preserve">The statement of compatibility set out </w:t>
      </w:r>
      <w:r w:rsidR="008F66C7" w:rsidRPr="00A52EDC">
        <w:rPr>
          <w:rFonts w:ascii="Times New Roman" w:hAnsi="Times New Roman" w:cs="Times New Roman"/>
          <w:bCs/>
          <w:iCs/>
        </w:rPr>
        <w:t>below</w:t>
      </w:r>
      <w:r w:rsidR="008F66C7">
        <w:rPr>
          <w:rFonts w:ascii="Times New Roman" w:hAnsi="Times New Roman" w:cs="Times New Roman"/>
          <w:b/>
          <w:iCs/>
        </w:rPr>
        <w:t xml:space="preserve"> </w:t>
      </w:r>
      <w:r>
        <w:rPr>
          <w:rFonts w:ascii="Times New Roman" w:hAnsi="Times New Roman" w:cs="Times New Roman"/>
        </w:rPr>
        <w:t>has been prepared to meet that requirement.</w:t>
      </w:r>
    </w:p>
    <w:p w14:paraId="52039BE9" w14:textId="77777777" w:rsidR="00E206AF" w:rsidRPr="009F2D0F" w:rsidRDefault="00E206AF" w:rsidP="00E206AF">
      <w:pPr>
        <w:rPr>
          <w:rFonts w:ascii="Times New Roman" w:hAnsi="Times New Roman" w:cs="Times New Roman"/>
          <w:b/>
          <w:i/>
          <w:sz w:val="24"/>
          <w:szCs w:val="24"/>
        </w:rPr>
      </w:pPr>
      <w:r w:rsidRPr="009F2D0F">
        <w:rPr>
          <w:rFonts w:ascii="Times New Roman" w:hAnsi="Times New Roman" w:cs="Times New Roman"/>
          <w:b/>
          <w:i/>
          <w:sz w:val="24"/>
          <w:szCs w:val="24"/>
        </w:rPr>
        <w:t>Overview of the instrument</w:t>
      </w:r>
    </w:p>
    <w:p w14:paraId="6F810D69" w14:textId="77777777" w:rsidR="00E206AF" w:rsidRDefault="00E206AF" w:rsidP="00E206AF">
      <w:pPr>
        <w:spacing w:line="257" w:lineRule="auto"/>
        <w:rPr>
          <w:rFonts w:ascii="Times New Roman" w:hAnsi="Times New Roman" w:cs="Times New Roman"/>
        </w:rPr>
      </w:pPr>
      <w:r w:rsidRPr="005A0C06">
        <w:rPr>
          <w:rFonts w:ascii="Times New Roman" w:hAnsi="Times New Roman" w:cs="Times New Roman"/>
        </w:rPr>
        <w:t xml:space="preserve">The instrument </w:t>
      </w:r>
      <w:r>
        <w:rPr>
          <w:rFonts w:ascii="Times New Roman" w:hAnsi="Times New Roman" w:cs="Times New Roman"/>
        </w:rPr>
        <w:t xml:space="preserve">amends </w:t>
      </w:r>
      <w:r w:rsidRPr="005A0C06">
        <w:rPr>
          <w:rFonts w:ascii="Times New Roman" w:hAnsi="Times New Roman" w:cs="Times New Roman"/>
        </w:rPr>
        <w:t>the</w:t>
      </w:r>
      <w:r>
        <w:rPr>
          <w:rFonts w:ascii="Times New Roman" w:hAnsi="Times New Roman" w:cs="Times New Roman"/>
        </w:rPr>
        <w:t xml:space="preserve"> 2022 Determination</w:t>
      </w:r>
      <w:r w:rsidRPr="00250C19">
        <w:rPr>
          <w:rFonts w:ascii="Times New Roman" w:hAnsi="Times New Roman" w:cs="Times New Roman"/>
        </w:rPr>
        <w:t>, which</w:t>
      </w:r>
      <w:r w:rsidRPr="00224BF3">
        <w:rPr>
          <w:rFonts w:ascii="Times New Roman" w:hAnsi="Times New Roman" w:cs="Times New Roman"/>
        </w:rPr>
        <w:t xml:space="preserve"> </w:t>
      </w:r>
      <w:r w:rsidRPr="1F1180E7">
        <w:rPr>
          <w:rFonts w:ascii="Times New Roman" w:hAnsi="Times New Roman" w:cs="Times New Roman"/>
        </w:rPr>
        <w:t>specifies the charges payable to the ACMA for considering and processing applications for the issue and renewal of a range of licences as well as charges payable for other services provided by the ACMA, or for expenses incurred by the ACMA, under the Radiocommunications Act</w:t>
      </w:r>
      <w:r>
        <w:rPr>
          <w:rFonts w:ascii="Times New Roman" w:hAnsi="Times New Roman" w:cs="Times New Roman"/>
        </w:rPr>
        <w:t>,</w:t>
      </w:r>
      <w:r w:rsidRPr="1F1180E7">
        <w:rPr>
          <w:rFonts w:ascii="Times New Roman" w:hAnsi="Times New Roman" w:cs="Times New Roman"/>
        </w:rPr>
        <w:t xml:space="preserve"> and instruments made under the Radiocommunications Act.</w:t>
      </w:r>
    </w:p>
    <w:p w14:paraId="44EC7832" w14:textId="554734EA" w:rsidR="00E206AF" w:rsidRPr="00A52EDC" w:rsidRDefault="00E206AF" w:rsidP="00A52EDC">
      <w:pPr>
        <w:spacing w:line="257" w:lineRule="auto"/>
        <w:rPr>
          <w:rFonts w:ascii="Times New Roman" w:hAnsi="Times New Roman" w:cs="Times New Roman"/>
        </w:rPr>
      </w:pPr>
      <w:r w:rsidRPr="00A52EDC">
        <w:rPr>
          <w:rFonts w:ascii="Times New Roman" w:hAnsi="Times New Roman" w:cs="Times New Roman"/>
        </w:rPr>
        <w:t xml:space="preserve">The instrument </w:t>
      </w:r>
      <w:r w:rsidR="00A523A2">
        <w:rPr>
          <w:rFonts w:ascii="Times New Roman" w:hAnsi="Times New Roman" w:cs="Times New Roman"/>
        </w:rPr>
        <w:t xml:space="preserve">removes or </w:t>
      </w:r>
      <w:r w:rsidRPr="00A52EDC">
        <w:rPr>
          <w:rFonts w:ascii="Times New Roman" w:hAnsi="Times New Roman" w:cs="Times New Roman"/>
        </w:rPr>
        <w:t xml:space="preserve">amends some of the charges specified in the 2022 </w:t>
      </w:r>
      <w:proofErr w:type="gramStart"/>
      <w:r w:rsidRPr="00A52EDC">
        <w:rPr>
          <w:rFonts w:ascii="Times New Roman" w:hAnsi="Times New Roman" w:cs="Times New Roman"/>
        </w:rPr>
        <w:t>Determination</w:t>
      </w:r>
      <w:r w:rsidR="00A523A2">
        <w:rPr>
          <w:rFonts w:ascii="Times New Roman" w:hAnsi="Times New Roman" w:cs="Times New Roman"/>
        </w:rPr>
        <w:t>,</w:t>
      </w:r>
      <w:r w:rsidRPr="00A52EDC">
        <w:rPr>
          <w:rFonts w:ascii="Times New Roman" w:hAnsi="Times New Roman" w:cs="Times New Roman"/>
        </w:rPr>
        <w:t xml:space="preserve"> and</w:t>
      </w:r>
      <w:proofErr w:type="gramEnd"/>
      <w:r w:rsidRPr="00A52EDC">
        <w:rPr>
          <w:rFonts w:ascii="Times New Roman" w:hAnsi="Times New Roman" w:cs="Times New Roman"/>
        </w:rPr>
        <w:t xml:space="preserve"> introduces </w:t>
      </w:r>
      <w:r w:rsidR="00846966">
        <w:rPr>
          <w:rFonts w:ascii="Times New Roman" w:hAnsi="Times New Roman" w:cs="Times New Roman"/>
        </w:rPr>
        <w:t xml:space="preserve">some </w:t>
      </w:r>
      <w:r w:rsidRPr="00A52EDC">
        <w:rPr>
          <w:rFonts w:ascii="Times New Roman" w:hAnsi="Times New Roman" w:cs="Times New Roman"/>
        </w:rPr>
        <w:t xml:space="preserve">new charges. The changes </w:t>
      </w:r>
      <w:r w:rsidR="00D86E4C">
        <w:rPr>
          <w:rFonts w:ascii="Times New Roman" w:hAnsi="Times New Roman" w:cs="Times New Roman"/>
        </w:rPr>
        <w:t>include</w:t>
      </w:r>
      <w:r w:rsidRPr="00A52EDC">
        <w:rPr>
          <w:rFonts w:ascii="Times New Roman" w:hAnsi="Times New Roman" w:cs="Times New Roman"/>
        </w:rPr>
        <w:t>:</w:t>
      </w:r>
      <w:r w:rsidRPr="00A52EDC" w:rsidDel="006A5D1C">
        <w:rPr>
          <w:rFonts w:ascii="Times New Roman" w:hAnsi="Times New Roman" w:cs="Times New Roman"/>
        </w:rPr>
        <w:t xml:space="preserve"> </w:t>
      </w:r>
    </w:p>
    <w:p w14:paraId="19AAA8A8" w14:textId="27C5CDCD" w:rsidR="009B17B3" w:rsidRDefault="002B5CF0" w:rsidP="00A8162E">
      <w:pPr>
        <w:pStyle w:val="ListParagraph"/>
        <w:numPr>
          <w:ilvl w:val="0"/>
          <w:numId w:val="3"/>
        </w:numPr>
        <w:spacing w:line="256" w:lineRule="auto"/>
        <w:rPr>
          <w:rFonts w:ascii="Times New Roman" w:hAnsi="Times New Roman" w:cs="Times New Roman"/>
        </w:rPr>
      </w:pPr>
      <w:r>
        <w:rPr>
          <w:rFonts w:ascii="Times New Roman" w:hAnsi="Times New Roman" w:cs="Times New Roman"/>
        </w:rPr>
        <w:t xml:space="preserve">an update to some </w:t>
      </w:r>
      <w:r w:rsidR="009B17B3" w:rsidRPr="009B17B3">
        <w:rPr>
          <w:rFonts w:ascii="Times New Roman" w:hAnsi="Times New Roman" w:cs="Times New Roman"/>
        </w:rPr>
        <w:t xml:space="preserve">charges following a review of </w:t>
      </w:r>
      <w:r>
        <w:rPr>
          <w:rFonts w:ascii="Times New Roman" w:hAnsi="Times New Roman" w:cs="Times New Roman"/>
        </w:rPr>
        <w:t xml:space="preserve">all </w:t>
      </w:r>
      <w:r w:rsidR="009B17B3" w:rsidRPr="009B17B3">
        <w:rPr>
          <w:rFonts w:ascii="Times New Roman" w:hAnsi="Times New Roman" w:cs="Times New Roman"/>
        </w:rPr>
        <w:t>charges imposed by the ACMA</w:t>
      </w:r>
      <w:r w:rsidR="00A851A5">
        <w:rPr>
          <w:rFonts w:ascii="Times New Roman" w:hAnsi="Times New Roman" w:cs="Times New Roman"/>
        </w:rPr>
        <w:t>;</w:t>
      </w:r>
    </w:p>
    <w:p w14:paraId="1589F7AF" w14:textId="0237A66F" w:rsidR="00A527AE" w:rsidRDefault="00A527AE" w:rsidP="00A8162E">
      <w:pPr>
        <w:pStyle w:val="ListParagraph"/>
        <w:numPr>
          <w:ilvl w:val="0"/>
          <w:numId w:val="3"/>
        </w:numPr>
        <w:spacing w:line="256" w:lineRule="auto"/>
        <w:rPr>
          <w:rFonts w:ascii="Times New Roman" w:hAnsi="Times New Roman" w:cs="Times New Roman"/>
        </w:rPr>
      </w:pPr>
      <w:r>
        <w:rPr>
          <w:rFonts w:ascii="Times New Roman" w:hAnsi="Times New Roman" w:cs="Times New Roman"/>
        </w:rPr>
        <w:t xml:space="preserve">the removal of charges for services that the ACMA no longer provides, or for </w:t>
      </w:r>
      <w:r w:rsidR="00F94636">
        <w:rPr>
          <w:rFonts w:ascii="Times New Roman" w:hAnsi="Times New Roman" w:cs="Times New Roman"/>
        </w:rPr>
        <w:t xml:space="preserve">apparatus </w:t>
      </w:r>
      <w:r>
        <w:rPr>
          <w:rFonts w:ascii="Times New Roman" w:hAnsi="Times New Roman" w:cs="Times New Roman"/>
        </w:rPr>
        <w:t xml:space="preserve">licence types that </w:t>
      </w:r>
      <w:r w:rsidR="00F94636">
        <w:rPr>
          <w:rFonts w:ascii="Times New Roman" w:hAnsi="Times New Roman" w:cs="Times New Roman"/>
        </w:rPr>
        <w:t>have been replaced by</w:t>
      </w:r>
      <w:r w:rsidR="0028760C">
        <w:rPr>
          <w:rFonts w:ascii="Times New Roman" w:hAnsi="Times New Roman" w:cs="Times New Roman"/>
        </w:rPr>
        <w:t xml:space="preserve"> class licen</w:t>
      </w:r>
      <w:r w:rsidR="00F94636">
        <w:rPr>
          <w:rFonts w:ascii="Times New Roman" w:hAnsi="Times New Roman" w:cs="Times New Roman"/>
        </w:rPr>
        <w:t>ces</w:t>
      </w:r>
      <w:r w:rsidR="0028760C">
        <w:rPr>
          <w:rFonts w:ascii="Times New Roman" w:hAnsi="Times New Roman" w:cs="Times New Roman"/>
        </w:rPr>
        <w:t xml:space="preserve"> and </w:t>
      </w:r>
      <w:r w:rsidR="00F94636">
        <w:rPr>
          <w:rFonts w:ascii="Times New Roman" w:hAnsi="Times New Roman" w:cs="Times New Roman"/>
        </w:rPr>
        <w:t xml:space="preserve">are </w:t>
      </w:r>
      <w:r w:rsidR="0028760C">
        <w:rPr>
          <w:rFonts w:ascii="Times New Roman" w:hAnsi="Times New Roman" w:cs="Times New Roman"/>
        </w:rPr>
        <w:t>no longer issued by the ACMA;</w:t>
      </w:r>
    </w:p>
    <w:p w14:paraId="2C9928C5" w14:textId="4EE75F19" w:rsidR="00A851A5" w:rsidRDefault="002B5CF0" w:rsidP="00A8162E">
      <w:pPr>
        <w:pStyle w:val="ListParagraph"/>
        <w:numPr>
          <w:ilvl w:val="0"/>
          <w:numId w:val="3"/>
        </w:numPr>
        <w:spacing w:line="256" w:lineRule="auto"/>
        <w:rPr>
          <w:rFonts w:ascii="Times New Roman" w:hAnsi="Times New Roman" w:cs="Times New Roman"/>
        </w:rPr>
      </w:pPr>
      <w:r>
        <w:rPr>
          <w:rFonts w:ascii="Times New Roman" w:hAnsi="Times New Roman" w:cs="Times New Roman"/>
        </w:rPr>
        <w:t>the inclusion of n</w:t>
      </w:r>
      <w:r w:rsidR="00A851A5" w:rsidRPr="00A851A5">
        <w:rPr>
          <w:rFonts w:ascii="Times New Roman" w:hAnsi="Times New Roman" w:cs="Times New Roman"/>
        </w:rPr>
        <w:t>ew charges relating to the IIDF</w:t>
      </w:r>
      <w:r w:rsidR="00A851A5">
        <w:rPr>
          <w:rFonts w:ascii="Times New Roman" w:hAnsi="Times New Roman" w:cs="Times New Roman"/>
        </w:rPr>
        <w:t>; and</w:t>
      </w:r>
    </w:p>
    <w:p w14:paraId="7B3FA970" w14:textId="1DBC0C23" w:rsidR="00A851A5" w:rsidRDefault="002B5CF0" w:rsidP="00A8162E">
      <w:pPr>
        <w:pStyle w:val="ListParagraph"/>
        <w:numPr>
          <w:ilvl w:val="0"/>
          <w:numId w:val="3"/>
        </w:numPr>
        <w:spacing w:line="256" w:lineRule="auto"/>
        <w:rPr>
          <w:rFonts w:ascii="Times New Roman" w:hAnsi="Times New Roman" w:cs="Times New Roman"/>
        </w:rPr>
      </w:pPr>
      <w:r>
        <w:rPr>
          <w:rFonts w:ascii="Times New Roman" w:hAnsi="Times New Roman" w:cs="Times New Roman"/>
        </w:rPr>
        <w:t>the inclusion of n</w:t>
      </w:r>
      <w:r w:rsidR="00A851A5" w:rsidRPr="00A851A5">
        <w:rPr>
          <w:rFonts w:ascii="Times New Roman" w:hAnsi="Times New Roman" w:cs="Times New Roman"/>
        </w:rPr>
        <w:t>ew charges for the re</w:t>
      </w:r>
      <w:r w:rsidR="00A851A5">
        <w:rPr>
          <w:rFonts w:ascii="Times New Roman" w:hAnsi="Times New Roman" w:cs="Times New Roman"/>
        </w:rPr>
        <w:t>-</w:t>
      </w:r>
      <w:r w:rsidR="00A851A5" w:rsidRPr="00A851A5">
        <w:rPr>
          <w:rFonts w:ascii="Times New Roman" w:hAnsi="Times New Roman" w:cs="Times New Roman"/>
        </w:rPr>
        <w:t xml:space="preserve">assignment of certain call signs that have only been assigned for a limited period, as well as the </w:t>
      </w:r>
      <w:r w:rsidR="000A2336">
        <w:rPr>
          <w:rFonts w:ascii="Times New Roman" w:hAnsi="Times New Roman" w:cs="Times New Roman"/>
        </w:rPr>
        <w:t>cancellation</w:t>
      </w:r>
      <w:r w:rsidR="00A851A5" w:rsidRPr="00A851A5">
        <w:rPr>
          <w:rFonts w:ascii="Times New Roman" w:hAnsi="Times New Roman" w:cs="Times New Roman"/>
        </w:rPr>
        <w:t xml:space="preserve"> of </w:t>
      </w:r>
      <w:r w:rsidR="000A2336">
        <w:rPr>
          <w:rFonts w:ascii="Times New Roman" w:hAnsi="Times New Roman" w:cs="Times New Roman"/>
        </w:rPr>
        <w:t xml:space="preserve">a </w:t>
      </w:r>
      <w:r w:rsidR="00A851A5" w:rsidRPr="00A851A5">
        <w:rPr>
          <w:rFonts w:ascii="Times New Roman" w:hAnsi="Times New Roman" w:cs="Times New Roman"/>
        </w:rPr>
        <w:t>call sign</w:t>
      </w:r>
      <w:r w:rsidR="000A2336">
        <w:rPr>
          <w:rFonts w:ascii="Times New Roman" w:hAnsi="Times New Roman" w:cs="Times New Roman"/>
        </w:rPr>
        <w:t xml:space="preserve"> and its assignment to another person (i.e., its ‘transfer’)</w:t>
      </w:r>
      <w:r w:rsidR="00A851A5" w:rsidRPr="00A851A5">
        <w:rPr>
          <w:rFonts w:ascii="Times New Roman" w:hAnsi="Times New Roman" w:cs="Times New Roman"/>
        </w:rPr>
        <w:t>.</w:t>
      </w:r>
    </w:p>
    <w:p w14:paraId="73BEBA36" w14:textId="77777777" w:rsidR="00E206AF" w:rsidRPr="007E0847" w:rsidRDefault="00E206AF" w:rsidP="00E206AF">
      <w:pPr>
        <w:rPr>
          <w:rFonts w:ascii="Times New Roman" w:hAnsi="Times New Roman" w:cs="Times New Roman"/>
          <w:b/>
          <w:i/>
          <w:sz w:val="24"/>
          <w:szCs w:val="24"/>
        </w:rPr>
      </w:pPr>
      <w:r w:rsidRPr="007E0847">
        <w:rPr>
          <w:rFonts w:ascii="Times New Roman" w:hAnsi="Times New Roman" w:cs="Times New Roman"/>
          <w:b/>
          <w:i/>
          <w:sz w:val="24"/>
          <w:szCs w:val="24"/>
        </w:rPr>
        <w:t xml:space="preserve">Human rights </w:t>
      </w:r>
      <w:r w:rsidRPr="004A4C21">
        <w:rPr>
          <w:rFonts w:ascii="Times New Roman" w:hAnsi="Times New Roman" w:cs="Times New Roman"/>
          <w:b/>
          <w:i/>
          <w:sz w:val="24"/>
          <w:szCs w:val="24"/>
        </w:rPr>
        <w:t>implications</w:t>
      </w:r>
    </w:p>
    <w:p w14:paraId="76FA96B6" w14:textId="77777777" w:rsidR="00E206AF" w:rsidRDefault="00E206AF" w:rsidP="00E206AF">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as they apply to Australia.</w:t>
      </w:r>
    </w:p>
    <w:p w14:paraId="0674AFF1" w14:textId="77777777" w:rsidR="00E206AF" w:rsidRDefault="00E206AF" w:rsidP="00E206AF">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458E72B6" w14:textId="77777777" w:rsidR="00E206AF" w:rsidRPr="007E0847" w:rsidRDefault="00E206AF" w:rsidP="00E206AF">
      <w:pPr>
        <w:rPr>
          <w:rFonts w:ascii="Times New Roman" w:hAnsi="Times New Roman" w:cs="Times New Roman"/>
          <w:b/>
          <w:i/>
          <w:sz w:val="24"/>
          <w:szCs w:val="24"/>
        </w:rPr>
      </w:pPr>
      <w:r w:rsidRPr="007E0847">
        <w:rPr>
          <w:rFonts w:ascii="Times New Roman" w:hAnsi="Times New Roman" w:cs="Times New Roman"/>
          <w:b/>
          <w:i/>
          <w:sz w:val="24"/>
          <w:szCs w:val="24"/>
        </w:rPr>
        <w:t>Conclusion</w:t>
      </w:r>
    </w:p>
    <w:p w14:paraId="04D398DF" w14:textId="77777777" w:rsidR="00E206AF" w:rsidRPr="00641906" w:rsidRDefault="00E206AF" w:rsidP="00A52EDC">
      <w:pPr>
        <w:rPr>
          <w:rFonts w:ascii="Times New Roman" w:hAnsi="Times New Roman" w:cs="Times New Roman"/>
          <w:b/>
          <w:sz w:val="28"/>
          <w:szCs w:val="28"/>
        </w:rPr>
      </w:pPr>
      <w:r>
        <w:rPr>
          <w:rFonts w:ascii="Times New Roman" w:hAnsi="Times New Roman" w:cs="Times New Roman"/>
        </w:rPr>
        <w:t>The instrument is compatible with human rights as it does not raise any human rights issues.</w:t>
      </w:r>
    </w:p>
    <w:p w14:paraId="70BA1F8C" w14:textId="3E2E92AE" w:rsidR="00A52EDC" w:rsidRDefault="00A52EDC">
      <w:pPr>
        <w:rPr>
          <w:rFonts w:ascii="Times New Roman" w:hAnsi="Times New Roman" w:cs="Times New Roman"/>
        </w:rPr>
      </w:pPr>
      <w:r>
        <w:rPr>
          <w:rFonts w:ascii="Times New Roman" w:hAnsi="Times New Roman" w:cs="Times New Roman"/>
        </w:rPr>
        <w:br w:type="page"/>
      </w:r>
    </w:p>
    <w:p w14:paraId="1BBDFA0D" w14:textId="77777777" w:rsidR="00E206AF" w:rsidRDefault="00E206AF" w:rsidP="00C74802">
      <w:pPr>
        <w:rPr>
          <w:rFonts w:ascii="Times New Roman" w:hAnsi="Times New Roman" w:cs="Times New Roman"/>
        </w:rPr>
      </w:pPr>
    </w:p>
    <w:p w14:paraId="0A465983" w14:textId="6877BE8F" w:rsidR="00025ACE" w:rsidRPr="00641906" w:rsidRDefault="00AD3414" w:rsidP="00A52EDC">
      <w:pPr>
        <w:ind w:left="6480" w:firstLine="720"/>
        <w:rPr>
          <w:rFonts w:ascii="Times New Roman" w:hAnsi="Times New Roman" w:cs="Times New Roman"/>
          <w:b/>
          <w:sz w:val="28"/>
          <w:szCs w:val="28"/>
        </w:rPr>
      </w:pPr>
      <w:r w:rsidRPr="00641906">
        <w:rPr>
          <w:rFonts w:ascii="Times New Roman" w:hAnsi="Times New Roman" w:cs="Times New Roman"/>
          <w:b/>
          <w:sz w:val="28"/>
          <w:szCs w:val="28"/>
        </w:rPr>
        <w:t>Attachment A</w:t>
      </w:r>
    </w:p>
    <w:p w14:paraId="7E9584DD" w14:textId="5C0343B5" w:rsidR="002D3A51" w:rsidRPr="00253FB5" w:rsidRDefault="009734D4" w:rsidP="00253FB5">
      <w:pPr>
        <w:rPr>
          <w:rFonts w:ascii="Times New Roman" w:hAnsi="Times New Roman" w:cs="Times New Roman"/>
          <w:b/>
          <w:sz w:val="26"/>
          <w:szCs w:val="26"/>
        </w:rPr>
      </w:pPr>
      <w:r>
        <w:rPr>
          <w:rFonts w:ascii="Times New Roman" w:hAnsi="Times New Roman" w:cs="Times New Roman"/>
          <w:b/>
          <w:sz w:val="26"/>
          <w:szCs w:val="26"/>
        </w:rPr>
        <w:t xml:space="preserve">Notes to the </w:t>
      </w:r>
      <w:r w:rsidR="002D3A51" w:rsidRPr="00A52EDC">
        <w:rPr>
          <w:rFonts w:ascii="Times New Roman" w:hAnsi="Times New Roman" w:cs="Times New Roman"/>
          <w:b/>
          <w:i/>
          <w:iCs/>
          <w:sz w:val="26"/>
          <w:szCs w:val="26"/>
        </w:rPr>
        <w:t>Radiocommunications (Charges) Amendment Determination 2024 (No.1)</w:t>
      </w:r>
    </w:p>
    <w:p w14:paraId="008456B5" w14:textId="77777777" w:rsidR="00A52EDC" w:rsidRDefault="00A52EDC" w:rsidP="00253FB5">
      <w:pPr>
        <w:rPr>
          <w:rFonts w:ascii="Times New Roman" w:hAnsi="Times New Roman" w:cs="Times New Roman"/>
          <w:b/>
          <w:sz w:val="26"/>
          <w:szCs w:val="26"/>
        </w:rPr>
      </w:pPr>
    </w:p>
    <w:p w14:paraId="4DD57917" w14:textId="6E58EB11" w:rsidR="006940DB" w:rsidRPr="00CA7D2F" w:rsidRDefault="006940DB" w:rsidP="004D2843">
      <w:pPr>
        <w:rPr>
          <w:rFonts w:ascii="Times New Roman" w:hAnsi="Times New Roman" w:cs="Times New Roman"/>
          <w:b/>
          <w:sz w:val="24"/>
          <w:szCs w:val="24"/>
        </w:rPr>
      </w:pPr>
      <w:r w:rsidRPr="00CA7D2F">
        <w:rPr>
          <w:rFonts w:ascii="Times New Roman" w:hAnsi="Times New Roman" w:cs="Times New Roman"/>
          <w:b/>
          <w:sz w:val="24"/>
          <w:szCs w:val="24"/>
        </w:rPr>
        <w:t>Section 1</w:t>
      </w:r>
      <w:r w:rsidRPr="00CA7D2F">
        <w:rPr>
          <w:rFonts w:ascii="Times New Roman" w:hAnsi="Times New Roman" w:cs="Times New Roman"/>
          <w:b/>
          <w:sz w:val="24"/>
          <w:szCs w:val="24"/>
        </w:rPr>
        <w:tab/>
        <w:t>Name</w:t>
      </w:r>
    </w:p>
    <w:p w14:paraId="55AA5211" w14:textId="376DBCBA" w:rsidR="00F43872" w:rsidRDefault="00F43872" w:rsidP="00F43872">
      <w:pPr>
        <w:rPr>
          <w:rFonts w:ascii="Times New Roman" w:hAnsi="Times New Roman" w:cs="Times New Roman"/>
        </w:rPr>
      </w:pPr>
      <w:r>
        <w:rPr>
          <w:rFonts w:ascii="Times New Roman" w:hAnsi="Times New Roman" w:cs="Times New Roman"/>
        </w:rPr>
        <w:t xml:space="preserve">This section provides for the instrument to be cited as the </w:t>
      </w:r>
      <w:r w:rsidRPr="006B6364">
        <w:rPr>
          <w:rFonts w:ascii="Times New Roman" w:hAnsi="Times New Roman" w:cs="Times New Roman"/>
          <w:i/>
          <w:iCs/>
        </w:rPr>
        <w:t>Radiocommunications (Charges) Amendment Determination 202</w:t>
      </w:r>
      <w:r>
        <w:rPr>
          <w:rFonts w:ascii="Times New Roman" w:hAnsi="Times New Roman" w:cs="Times New Roman"/>
          <w:i/>
          <w:iCs/>
        </w:rPr>
        <w:t>4</w:t>
      </w:r>
      <w:r w:rsidRPr="006B6364">
        <w:rPr>
          <w:rFonts w:ascii="Times New Roman" w:hAnsi="Times New Roman" w:cs="Times New Roman"/>
          <w:i/>
          <w:iCs/>
        </w:rPr>
        <w:t xml:space="preserve"> (No.1)</w:t>
      </w:r>
      <w:r>
        <w:rPr>
          <w:rFonts w:ascii="Times New Roman" w:hAnsi="Times New Roman" w:cs="Times New Roman"/>
        </w:rPr>
        <w:t>.</w:t>
      </w:r>
    </w:p>
    <w:p w14:paraId="39A5B6EA" w14:textId="64C1B526" w:rsidR="006940DB" w:rsidRPr="00CA7D2F" w:rsidRDefault="006940DB" w:rsidP="006940DB">
      <w:pPr>
        <w:rPr>
          <w:rFonts w:ascii="Times New Roman" w:hAnsi="Times New Roman" w:cs="Times New Roman"/>
          <w:b/>
          <w:sz w:val="24"/>
          <w:szCs w:val="24"/>
        </w:rPr>
      </w:pPr>
      <w:r w:rsidRPr="00CA7D2F">
        <w:rPr>
          <w:rFonts w:ascii="Times New Roman" w:hAnsi="Times New Roman" w:cs="Times New Roman"/>
          <w:b/>
          <w:sz w:val="24"/>
          <w:szCs w:val="24"/>
        </w:rPr>
        <w:t>Section 2</w:t>
      </w:r>
      <w:r w:rsidRPr="00CA7D2F">
        <w:rPr>
          <w:rFonts w:ascii="Times New Roman" w:hAnsi="Times New Roman" w:cs="Times New Roman"/>
          <w:b/>
          <w:sz w:val="24"/>
          <w:szCs w:val="24"/>
        </w:rPr>
        <w:tab/>
        <w:t>Commencement</w:t>
      </w:r>
    </w:p>
    <w:p w14:paraId="5BC90146" w14:textId="115BC766"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commence </w:t>
      </w:r>
      <w:r w:rsidR="00682B87">
        <w:rPr>
          <w:rFonts w:ascii="Times New Roman" w:hAnsi="Times New Roman" w:cs="Times New Roman"/>
        </w:rPr>
        <w:t>on 1 September 2024</w:t>
      </w:r>
      <w:r w:rsidR="002549FE">
        <w:rPr>
          <w:rFonts w:ascii="Times New Roman" w:hAnsi="Times New Roman" w:cs="Times New Roman"/>
        </w:rPr>
        <w:t>.</w:t>
      </w:r>
    </w:p>
    <w:p w14:paraId="536A04AA" w14:textId="120DC3B7" w:rsidR="006940DB" w:rsidRPr="00CA7D2F" w:rsidRDefault="006940DB" w:rsidP="006940DB">
      <w:pPr>
        <w:rPr>
          <w:rFonts w:ascii="Times New Roman" w:hAnsi="Times New Roman" w:cs="Times New Roman"/>
          <w:b/>
          <w:sz w:val="24"/>
          <w:szCs w:val="24"/>
        </w:rPr>
      </w:pPr>
      <w:r w:rsidRPr="00CA7D2F">
        <w:rPr>
          <w:rFonts w:ascii="Times New Roman" w:hAnsi="Times New Roman" w:cs="Times New Roman"/>
          <w:b/>
          <w:sz w:val="24"/>
          <w:szCs w:val="24"/>
        </w:rPr>
        <w:t>Section 3</w:t>
      </w:r>
      <w:r w:rsidRPr="00CA7D2F">
        <w:rPr>
          <w:rFonts w:ascii="Times New Roman" w:hAnsi="Times New Roman" w:cs="Times New Roman"/>
          <w:b/>
          <w:sz w:val="24"/>
          <w:szCs w:val="24"/>
        </w:rPr>
        <w:tab/>
        <w:t>Authority</w:t>
      </w:r>
    </w:p>
    <w:p w14:paraId="0A770E93" w14:textId="335561E1"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provision</w:t>
      </w:r>
      <w:r>
        <w:rPr>
          <w:rFonts w:ascii="Times New Roman" w:hAnsi="Times New Roman" w:cs="Times New Roman"/>
        </w:rPr>
        <w:t xml:space="preserve"> that authorises the making of the instrument, namely </w:t>
      </w:r>
      <w:r w:rsidR="00CB1CDE" w:rsidRPr="003A47BD">
        <w:rPr>
          <w:rFonts w:ascii="Times New Roman" w:hAnsi="Times New Roman" w:cs="Times New Roman"/>
        </w:rPr>
        <w:t xml:space="preserve">subsection 60(1) </w:t>
      </w:r>
      <w:r w:rsidR="00C14388">
        <w:rPr>
          <w:rFonts w:ascii="Times New Roman" w:hAnsi="Times New Roman" w:cs="Times New Roman"/>
        </w:rPr>
        <w:t xml:space="preserve">of </w:t>
      </w:r>
      <w:r>
        <w:rPr>
          <w:rFonts w:ascii="Times New Roman" w:hAnsi="Times New Roman" w:cs="Times New Roman"/>
        </w:rPr>
        <w:t xml:space="preserve">the </w:t>
      </w:r>
      <w:r w:rsidRPr="00A52EDC">
        <w:rPr>
          <w:rFonts w:ascii="Times New Roman" w:hAnsi="Times New Roman" w:cs="Times New Roman"/>
          <w:bCs/>
        </w:rPr>
        <w:t>Act</w:t>
      </w:r>
      <w:r>
        <w:rPr>
          <w:rFonts w:ascii="Times New Roman" w:hAnsi="Times New Roman" w:cs="Times New Roman"/>
        </w:rPr>
        <w:t>.</w:t>
      </w:r>
    </w:p>
    <w:p w14:paraId="5EB2257E" w14:textId="77777777" w:rsidR="00E56F94" w:rsidRPr="00CA7D2F" w:rsidRDefault="00E56F94" w:rsidP="00E56F94">
      <w:pPr>
        <w:rPr>
          <w:rFonts w:ascii="Times New Roman" w:hAnsi="Times New Roman" w:cs="Times New Roman"/>
          <w:b/>
          <w:sz w:val="24"/>
          <w:szCs w:val="24"/>
        </w:rPr>
      </w:pPr>
      <w:r w:rsidRPr="00CA7D2F">
        <w:rPr>
          <w:rFonts w:ascii="Times New Roman" w:hAnsi="Times New Roman" w:cs="Times New Roman"/>
          <w:b/>
          <w:sz w:val="24"/>
          <w:szCs w:val="24"/>
        </w:rPr>
        <w:t>Section 4</w:t>
      </w:r>
      <w:r w:rsidRPr="00CA7D2F">
        <w:rPr>
          <w:rFonts w:ascii="Times New Roman" w:hAnsi="Times New Roman" w:cs="Times New Roman"/>
          <w:b/>
          <w:sz w:val="24"/>
          <w:szCs w:val="24"/>
        </w:rPr>
        <w:tab/>
        <w:t>Amendments</w:t>
      </w:r>
    </w:p>
    <w:p w14:paraId="73552AD0" w14:textId="5B5CC846" w:rsidR="00E56F94" w:rsidRPr="00CA7D2F" w:rsidRDefault="00E56F94" w:rsidP="00E56F94">
      <w:pPr>
        <w:rPr>
          <w:rFonts w:ascii="Times New Roman" w:hAnsi="Times New Roman" w:cs="Times New Roman"/>
          <w:bCs/>
        </w:rPr>
      </w:pPr>
      <w:r w:rsidRPr="00CA7D2F">
        <w:rPr>
          <w:rFonts w:ascii="Times New Roman" w:hAnsi="Times New Roman" w:cs="Times New Roman"/>
          <w:bCs/>
        </w:rPr>
        <w:t>This section provides that the</w:t>
      </w:r>
      <w:r w:rsidR="00B533EC">
        <w:rPr>
          <w:rFonts w:ascii="Times New Roman" w:hAnsi="Times New Roman" w:cs="Times New Roman"/>
          <w:bCs/>
        </w:rPr>
        <w:t xml:space="preserve"> 2022 Determination </w:t>
      </w:r>
      <w:r w:rsidRPr="00CA7D2F">
        <w:rPr>
          <w:rFonts w:ascii="Times New Roman" w:hAnsi="Times New Roman" w:cs="Times New Roman"/>
          <w:bCs/>
        </w:rPr>
        <w:t xml:space="preserve">is amended as set out in Schedule 1. </w:t>
      </w:r>
    </w:p>
    <w:p w14:paraId="400D82FB" w14:textId="22B797EB" w:rsidR="00AC08D5" w:rsidRPr="00CA7D2F" w:rsidRDefault="00AC08D5" w:rsidP="00AC08D5">
      <w:pPr>
        <w:rPr>
          <w:rFonts w:ascii="Times New Roman" w:hAnsi="Times New Roman" w:cs="Times New Roman"/>
          <w:b/>
          <w:sz w:val="24"/>
          <w:szCs w:val="24"/>
        </w:rPr>
      </w:pPr>
      <w:bookmarkStart w:id="0" w:name="_Toc106960301"/>
      <w:r w:rsidRPr="00CA7D2F">
        <w:rPr>
          <w:rFonts w:ascii="Times New Roman" w:hAnsi="Times New Roman" w:cs="Times New Roman"/>
          <w:b/>
          <w:sz w:val="24"/>
          <w:szCs w:val="24"/>
        </w:rPr>
        <w:t xml:space="preserve">Schedule 1 – </w:t>
      </w:r>
      <w:r w:rsidR="00712862" w:rsidRPr="00CA7D2F">
        <w:rPr>
          <w:rFonts w:ascii="Times New Roman" w:hAnsi="Times New Roman" w:cs="Times New Roman"/>
          <w:b/>
          <w:sz w:val="24"/>
          <w:szCs w:val="24"/>
        </w:rPr>
        <w:t xml:space="preserve">Amendments </w:t>
      </w:r>
    </w:p>
    <w:p w14:paraId="731141A1" w14:textId="7C580800" w:rsidR="00712862" w:rsidRPr="00CA7D2F" w:rsidRDefault="00712862" w:rsidP="00C21EAF">
      <w:pPr>
        <w:rPr>
          <w:rFonts w:ascii="Times New Roman" w:hAnsi="Times New Roman" w:cs="Times New Roman"/>
          <w:b/>
          <w:sz w:val="24"/>
          <w:szCs w:val="24"/>
        </w:rPr>
      </w:pPr>
      <w:r w:rsidRPr="00CA7D2F">
        <w:rPr>
          <w:rFonts w:ascii="Times New Roman" w:hAnsi="Times New Roman" w:cs="Times New Roman"/>
          <w:b/>
          <w:sz w:val="24"/>
          <w:szCs w:val="24"/>
        </w:rPr>
        <w:t>Item</w:t>
      </w:r>
      <w:r w:rsidR="006D6751" w:rsidRPr="00CA7D2F">
        <w:rPr>
          <w:rFonts w:ascii="Times New Roman" w:hAnsi="Times New Roman" w:cs="Times New Roman"/>
          <w:b/>
          <w:sz w:val="24"/>
          <w:szCs w:val="24"/>
        </w:rPr>
        <w:t>s</w:t>
      </w:r>
      <w:r w:rsidRPr="00CA7D2F">
        <w:rPr>
          <w:rFonts w:ascii="Times New Roman" w:hAnsi="Times New Roman" w:cs="Times New Roman"/>
          <w:b/>
          <w:sz w:val="24"/>
          <w:szCs w:val="24"/>
        </w:rPr>
        <w:t xml:space="preserve"> 1</w:t>
      </w:r>
      <w:r w:rsidR="00DC2EA1">
        <w:rPr>
          <w:rFonts w:ascii="Times New Roman" w:hAnsi="Times New Roman" w:cs="Times New Roman"/>
          <w:b/>
          <w:sz w:val="24"/>
          <w:szCs w:val="24"/>
        </w:rPr>
        <w:t xml:space="preserve"> to </w:t>
      </w:r>
      <w:r w:rsidR="006D6751" w:rsidRPr="00CA7D2F">
        <w:rPr>
          <w:rFonts w:ascii="Times New Roman" w:hAnsi="Times New Roman" w:cs="Times New Roman"/>
          <w:b/>
          <w:sz w:val="24"/>
          <w:szCs w:val="24"/>
        </w:rPr>
        <w:t>9</w:t>
      </w:r>
    </w:p>
    <w:p w14:paraId="4C88EA48" w14:textId="1C9D4F4A" w:rsidR="000420DA" w:rsidRDefault="003565D7" w:rsidP="00C21EAF">
      <w:pPr>
        <w:rPr>
          <w:rFonts w:ascii="Times New Roman" w:hAnsi="Times New Roman" w:cs="Times New Roman"/>
          <w:bCs/>
        </w:rPr>
      </w:pPr>
      <w:r>
        <w:rPr>
          <w:rFonts w:ascii="Times New Roman" w:hAnsi="Times New Roman" w:cs="Times New Roman"/>
          <w:bCs/>
        </w:rPr>
        <w:t>I</w:t>
      </w:r>
      <w:r w:rsidRPr="003565D7">
        <w:rPr>
          <w:rFonts w:ascii="Times New Roman" w:hAnsi="Times New Roman" w:cs="Times New Roman"/>
          <w:bCs/>
        </w:rPr>
        <w:t xml:space="preserve">tems 1 to </w:t>
      </w:r>
      <w:r>
        <w:rPr>
          <w:rFonts w:ascii="Times New Roman" w:hAnsi="Times New Roman" w:cs="Times New Roman"/>
          <w:bCs/>
        </w:rPr>
        <w:t xml:space="preserve">9 </w:t>
      </w:r>
      <w:r w:rsidRPr="003565D7">
        <w:rPr>
          <w:rFonts w:ascii="Times New Roman" w:hAnsi="Times New Roman" w:cs="Times New Roman"/>
          <w:bCs/>
        </w:rPr>
        <w:t>amend section 5 of the 2022 Determination</w:t>
      </w:r>
      <w:r w:rsidR="00F54B51">
        <w:rPr>
          <w:rFonts w:ascii="Times New Roman" w:hAnsi="Times New Roman" w:cs="Times New Roman"/>
          <w:bCs/>
        </w:rPr>
        <w:t xml:space="preserve">. Section 5 of the </w:t>
      </w:r>
      <w:r w:rsidR="008C2A25">
        <w:rPr>
          <w:rFonts w:ascii="Times New Roman" w:hAnsi="Times New Roman" w:cs="Times New Roman"/>
          <w:bCs/>
        </w:rPr>
        <w:t xml:space="preserve">2022 </w:t>
      </w:r>
      <w:r w:rsidR="00F54B51">
        <w:rPr>
          <w:rFonts w:ascii="Times New Roman" w:hAnsi="Times New Roman" w:cs="Times New Roman"/>
          <w:bCs/>
        </w:rPr>
        <w:t xml:space="preserve">Determinations sets </w:t>
      </w:r>
      <w:r w:rsidRPr="003565D7">
        <w:rPr>
          <w:rFonts w:ascii="Times New Roman" w:hAnsi="Times New Roman" w:cs="Times New Roman"/>
          <w:bCs/>
        </w:rPr>
        <w:t>out the definition</w:t>
      </w:r>
      <w:r w:rsidR="00F54B51">
        <w:rPr>
          <w:rFonts w:ascii="Times New Roman" w:hAnsi="Times New Roman" w:cs="Times New Roman"/>
          <w:bCs/>
        </w:rPr>
        <w:t xml:space="preserve">s of </w:t>
      </w:r>
      <w:r w:rsidRPr="003565D7">
        <w:rPr>
          <w:rFonts w:ascii="Times New Roman" w:hAnsi="Times New Roman" w:cs="Times New Roman"/>
          <w:bCs/>
        </w:rPr>
        <w:t xml:space="preserve">key terms for the 2022 Determination. The items insert definitions </w:t>
      </w:r>
      <w:r w:rsidR="000420DA">
        <w:rPr>
          <w:rFonts w:ascii="Times New Roman" w:hAnsi="Times New Roman" w:cs="Times New Roman"/>
          <w:bCs/>
        </w:rPr>
        <w:t xml:space="preserve">for the following new terms: </w:t>
      </w:r>
    </w:p>
    <w:p w14:paraId="527FA2FD" w14:textId="44BDCF39" w:rsidR="000420DA" w:rsidRDefault="000420DA" w:rsidP="000420DA">
      <w:pPr>
        <w:pStyle w:val="Definition"/>
        <w:numPr>
          <w:ilvl w:val="0"/>
          <w:numId w:val="26"/>
        </w:numPr>
        <w:rPr>
          <w:bCs/>
        </w:rPr>
      </w:pPr>
      <w:r>
        <w:rPr>
          <w:bCs/>
        </w:rPr>
        <w:t>body scanner</w:t>
      </w:r>
      <w:r w:rsidR="00DD4545">
        <w:rPr>
          <w:bCs/>
        </w:rPr>
        <w:t xml:space="preserve"> (</w:t>
      </w:r>
      <w:r w:rsidR="00CA0EF3">
        <w:rPr>
          <w:bCs/>
        </w:rPr>
        <w:t>it</w:t>
      </w:r>
      <w:r w:rsidR="00DD4545">
        <w:rPr>
          <w:bCs/>
        </w:rPr>
        <w:t>em 1)</w:t>
      </w:r>
      <w:r w:rsidR="007B2614">
        <w:rPr>
          <w:bCs/>
        </w:rPr>
        <w:t>;</w:t>
      </w:r>
    </w:p>
    <w:p w14:paraId="51AE308E" w14:textId="053B3528" w:rsidR="000420DA" w:rsidRDefault="000420DA" w:rsidP="000420DA">
      <w:pPr>
        <w:pStyle w:val="Definition"/>
        <w:numPr>
          <w:ilvl w:val="0"/>
          <w:numId w:val="26"/>
        </w:numPr>
        <w:rPr>
          <w:bCs/>
        </w:rPr>
      </w:pPr>
      <w:r>
        <w:rPr>
          <w:bCs/>
        </w:rPr>
        <w:t>fixed licence (television outside broadcast network)</w:t>
      </w:r>
      <w:r w:rsidR="00DD4545">
        <w:rPr>
          <w:bCs/>
        </w:rPr>
        <w:t xml:space="preserve"> (</w:t>
      </w:r>
      <w:r w:rsidR="00CA0EF3">
        <w:rPr>
          <w:bCs/>
        </w:rPr>
        <w:t>i</w:t>
      </w:r>
      <w:r w:rsidR="00DD4545">
        <w:rPr>
          <w:bCs/>
        </w:rPr>
        <w:t>tem 3)</w:t>
      </w:r>
      <w:r w:rsidR="007B2614">
        <w:rPr>
          <w:bCs/>
        </w:rPr>
        <w:t>;</w:t>
      </w:r>
    </w:p>
    <w:p w14:paraId="5FFA1705" w14:textId="092DA7C4" w:rsidR="000420DA" w:rsidRDefault="00D847DA" w:rsidP="000420DA">
      <w:pPr>
        <w:pStyle w:val="Definition"/>
        <w:numPr>
          <w:ilvl w:val="0"/>
          <w:numId w:val="26"/>
        </w:numPr>
        <w:rPr>
          <w:bCs/>
        </w:rPr>
      </w:pPr>
      <w:r>
        <w:rPr>
          <w:bCs/>
        </w:rPr>
        <w:t>PTS Licence Determination</w:t>
      </w:r>
      <w:r w:rsidR="00DD4545">
        <w:rPr>
          <w:bCs/>
        </w:rPr>
        <w:t xml:space="preserve"> (</w:t>
      </w:r>
      <w:r w:rsidR="00CA0EF3">
        <w:rPr>
          <w:bCs/>
        </w:rPr>
        <w:t>i</w:t>
      </w:r>
      <w:r w:rsidR="00DD4545">
        <w:rPr>
          <w:bCs/>
        </w:rPr>
        <w:t>tem 5)</w:t>
      </w:r>
      <w:r w:rsidR="007B2614">
        <w:rPr>
          <w:bCs/>
        </w:rPr>
        <w:t>;</w:t>
      </w:r>
    </w:p>
    <w:p w14:paraId="5E25FD11" w14:textId="0AAD8AE8" w:rsidR="00D847DA" w:rsidRDefault="00DD4545" w:rsidP="007E0847">
      <w:pPr>
        <w:pStyle w:val="Definition"/>
        <w:numPr>
          <w:ilvl w:val="0"/>
          <w:numId w:val="26"/>
        </w:numPr>
        <w:spacing w:after="240"/>
        <w:ind w:left="357" w:hanging="357"/>
        <w:rPr>
          <w:bCs/>
        </w:rPr>
      </w:pPr>
      <w:r>
        <w:rPr>
          <w:bCs/>
        </w:rPr>
        <w:t>r</w:t>
      </w:r>
      <w:r w:rsidR="00D847DA">
        <w:rPr>
          <w:bCs/>
        </w:rPr>
        <w:t>adiodetermination (body scan licence) licence</w:t>
      </w:r>
      <w:r>
        <w:rPr>
          <w:bCs/>
        </w:rPr>
        <w:t xml:space="preserve"> (</w:t>
      </w:r>
      <w:r w:rsidR="00CA0EF3">
        <w:rPr>
          <w:bCs/>
        </w:rPr>
        <w:t>i</w:t>
      </w:r>
      <w:r>
        <w:rPr>
          <w:bCs/>
        </w:rPr>
        <w:t xml:space="preserve">tem </w:t>
      </w:r>
      <w:r w:rsidR="005604C9">
        <w:rPr>
          <w:bCs/>
        </w:rPr>
        <w:t>7</w:t>
      </w:r>
      <w:r>
        <w:rPr>
          <w:bCs/>
        </w:rPr>
        <w:t>)</w:t>
      </w:r>
      <w:r w:rsidR="007B2614">
        <w:rPr>
          <w:bCs/>
        </w:rPr>
        <w:t xml:space="preserve">. </w:t>
      </w:r>
    </w:p>
    <w:p w14:paraId="4FEB1E15" w14:textId="792FADF1" w:rsidR="00167BDC" w:rsidRDefault="00167BDC" w:rsidP="00C21EAF">
      <w:pPr>
        <w:rPr>
          <w:rFonts w:ascii="Times New Roman" w:hAnsi="Times New Roman" w:cs="Times New Roman"/>
          <w:bCs/>
        </w:rPr>
      </w:pPr>
      <w:r>
        <w:rPr>
          <w:rFonts w:ascii="Times New Roman" w:hAnsi="Times New Roman" w:cs="Times New Roman"/>
          <w:bCs/>
        </w:rPr>
        <w:t xml:space="preserve">Items 4 and </w:t>
      </w:r>
      <w:r w:rsidR="005604C9">
        <w:rPr>
          <w:rFonts w:ascii="Times New Roman" w:hAnsi="Times New Roman" w:cs="Times New Roman"/>
          <w:bCs/>
        </w:rPr>
        <w:t>8</w:t>
      </w:r>
      <w:r>
        <w:rPr>
          <w:rFonts w:ascii="Times New Roman" w:hAnsi="Times New Roman" w:cs="Times New Roman"/>
          <w:bCs/>
        </w:rPr>
        <w:t xml:space="preserve"> repeal terms that are no longer used</w:t>
      </w:r>
      <w:r w:rsidR="000E6BBA">
        <w:rPr>
          <w:rFonts w:ascii="Times New Roman" w:hAnsi="Times New Roman" w:cs="Times New Roman"/>
          <w:bCs/>
        </w:rPr>
        <w:t>,</w:t>
      </w:r>
      <w:r>
        <w:rPr>
          <w:rFonts w:ascii="Times New Roman" w:hAnsi="Times New Roman" w:cs="Times New Roman"/>
          <w:bCs/>
        </w:rPr>
        <w:t xml:space="preserve"> and items </w:t>
      </w:r>
      <w:r w:rsidR="00C23C03">
        <w:rPr>
          <w:rFonts w:ascii="Times New Roman" w:hAnsi="Times New Roman" w:cs="Times New Roman"/>
          <w:bCs/>
        </w:rPr>
        <w:t xml:space="preserve">2 and 6 repeal and substitute terms </w:t>
      </w:r>
      <w:r w:rsidR="00306761">
        <w:rPr>
          <w:rFonts w:ascii="Times New Roman" w:hAnsi="Times New Roman" w:cs="Times New Roman"/>
          <w:bCs/>
        </w:rPr>
        <w:t xml:space="preserve">that </w:t>
      </w:r>
      <w:r w:rsidR="00BA3376">
        <w:rPr>
          <w:rFonts w:ascii="Times New Roman" w:hAnsi="Times New Roman" w:cs="Times New Roman"/>
          <w:bCs/>
        </w:rPr>
        <w:t>rely on</w:t>
      </w:r>
      <w:r w:rsidR="00D558FC">
        <w:rPr>
          <w:rFonts w:ascii="Times New Roman" w:hAnsi="Times New Roman" w:cs="Times New Roman"/>
          <w:bCs/>
        </w:rPr>
        <w:t xml:space="preserve"> </w:t>
      </w:r>
      <w:r w:rsidR="00637B6C">
        <w:rPr>
          <w:rFonts w:ascii="Times New Roman" w:hAnsi="Times New Roman" w:cs="Times New Roman"/>
          <w:bCs/>
        </w:rPr>
        <w:t xml:space="preserve">other legislative instruments that are no longer in force. The substituted definitions </w:t>
      </w:r>
      <w:r w:rsidR="00FE59A7">
        <w:rPr>
          <w:rFonts w:ascii="Times New Roman" w:hAnsi="Times New Roman" w:cs="Times New Roman"/>
          <w:bCs/>
        </w:rPr>
        <w:t xml:space="preserve">ensure that the definitions </w:t>
      </w:r>
      <w:r w:rsidR="00637B6C">
        <w:rPr>
          <w:rFonts w:ascii="Times New Roman" w:hAnsi="Times New Roman" w:cs="Times New Roman"/>
          <w:bCs/>
        </w:rPr>
        <w:t>refer to the</w:t>
      </w:r>
      <w:r w:rsidR="00782FF8">
        <w:rPr>
          <w:rFonts w:ascii="Times New Roman" w:hAnsi="Times New Roman" w:cs="Times New Roman"/>
          <w:bCs/>
        </w:rPr>
        <w:t xml:space="preserve"> legislative instruments</w:t>
      </w:r>
      <w:r w:rsidR="005177AD">
        <w:rPr>
          <w:rFonts w:ascii="Times New Roman" w:hAnsi="Times New Roman" w:cs="Times New Roman"/>
          <w:bCs/>
        </w:rPr>
        <w:t xml:space="preserve"> in force</w:t>
      </w:r>
      <w:r w:rsidR="00782FF8">
        <w:rPr>
          <w:rFonts w:ascii="Times New Roman" w:hAnsi="Times New Roman" w:cs="Times New Roman"/>
          <w:bCs/>
        </w:rPr>
        <w:t xml:space="preserve">.  </w:t>
      </w:r>
    </w:p>
    <w:p w14:paraId="68CFFA65" w14:textId="3530F0AF" w:rsidR="007C76C8" w:rsidRDefault="007C76C8" w:rsidP="00C21EAF">
      <w:pPr>
        <w:rPr>
          <w:rFonts w:ascii="Times New Roman" w:hAnsi="Times New Roman" w:cs="Times New Roman"/>
          <w:bCs/>
        </w:rPr>
      </w:pPr>
      <w:r>
        <w:rPr>
          <w:rFonts w:ascii="Times New Roman" w:hAnsi="Times New Roman" w:cs="Times New Roman"/>
          <w:bCs/>
        </w:rPr>
        <w:t xml:space="preserve">Item 9 adds a term to </w:t>
      </w:r>
      <w:r w:rsidR="007408BC">
        <w:rPr>
          <w:rFonts w:ascii="Times New Roman" w:hAnsi="Times New Roman" w:cs="Times New Roman"/>
          <w:bCs/>
        </w:rPr>
        <w:t>note 2 to section 5, about the terms that may be defined in an instrument made under section 64 of the Act that appl</w:t>
      </w:r>
      <w:r w:rsidR="005177AD">
        <w:rPr>
          <w:rFonts w:ascii="Times New Roman" w:hAnsi="Times New Roman" w:cs="Times New Roman"/>
          <w:bCs/>
        </w:rPr>
        <w:t xml:space="preserve">y </w:t>
      </w:r>
      <w:r w:rsidR="007408BC">
        <w:rPr>
          <w:rFonts w:ascii="Times New Roman" w:hAnsi="Times New Roman" w:cs="Times New Roman"/>
          <w:bCs/>
        </w:rPr>
        <w:t>to the 2022 Determination.</w:t>
      </w:r>
    </w:p>
    <w:p w14:paraId="6D0877EA" w14:textId="09312823" w:rsidR="0021007A" w:rsidRPr="00CA7D2F" w:rsidRDefault="0021007A" w:rsidP="009874E2">
      <w:pPr>
        <w:keepNext/>
        <w:rPr>
          <w:rFonts w:ascii="Times New Roman" w:hAnsi="Times New Roman" w:cs="Times New Roman"/>
          <w:b/>
          <w:sz w:val="24"/>
          <w:szCs w:val="24"/>
        </w:rPr>
      </w:pPr>
      <w:r w:rsidRPr="00CA7D2F">
        <w:rPr>
          <w:rFonts w:ascii="Times New Roman" w:hAnsi="Times New Roman" w:cs="Times New Roman"/>
          <w:b/>
          <w:sz w:val="24"/>
          <w:szCs w:val="24"/>
        </w:rPr>
        <w:t>Items 10</w:t>
      </w:r>
      <w:r w:rsidR="007408BC">
        <w:rPr>
          <w:rFonts w:ascii="Times New Roman" w:hAnsi="Times New Roman" w:cs="Times New Roman"/>
          <w:b/>
          <w:sz w:val="24"/>
          <w:szCs w:val="24"/>
        </w:rPr>
        <w:t xml:space="preserve"> and</w:t>
      </w:r>
      <w:r w:rsidR="00E02EB8">
        <w:rPr>
          <w:rFonts w:ascii="Times New Roman" w:hAnsi="Times New Roman" w:cs="Times New Roman"/>
          <w:b/>
          <w:sz w:val="24"/>
          <w:szCs w:val="24"/>
        </w:rPr>
        <w:t xml:space="preserve"> </w:t>
      </w:r>
      <w:r w:rsidRPr="00CA7D2F">
        <w:rPr>
          <w:rFonts w:ascii="Times New Roman" w:hAnsi="Times New Roman" w:cs="Times New Roman"/>
          <w:b/>
          <w:sz w:val="24"/>
          <w:szCs w:val="24"/>
        </w:rPr>
        <w:t>1</w:t>
      </w:r>
      <w:r w:rsidR="00517E7F" w:rsidRPr="00CA7D2F">
        <w:rPr>
          <w:rFonts w:ascii="Times New Roman" w:hAnsi="Times New Roman" w:cs="Times New Roman"/>
          <w:b/>
          <w:sz w:val="24"/>
          <w:szCs w:val="24"/>
        </w:rPr>
        <w:t>1</w:t>
      </w:r>
    </w:p>
    <w:p w14:paraId="113CCD5D" w14:textId="318E4669" w:rsidR="0021007A" w:rsidRDefault="0021007A" w:rsidP="00C21EAF">
      <w:pPr>
        <w:rPr>
          <w:rFonts w:ascii="Times New Roman" w:hAnsi="Times New Roman" w:cs="Times New Roman"/>
          <w:bCs/>
        </w:rPr>
      </w:pPr>
      <w:r>
        <w:rPr>
          <w:rFonts w:ascii="Times New Roman" w:hAnsi="Times New Roman" w:cs="Times New Roman"/>
          <w:bCs/>
        </w:rPr>
        <w:t>Items 10</w:t>
      </w:r>
      <w:r w:rsidR="007408BC">
        <w:rPr>
          <w:rFonts w:ascii="Times New Roman" w:hAnsi="Times New Roman" w:cs="Times New Roman"/>
          <w:bCs/>
        </w:rPr>
        <w:t xml:space="preserve"> and</w:t>
      </w:r>
      <w:r w:rsidR="002E29FB">
        <w:rPr>
          <w:rFonts w:ascii="Times New Roman" w:hAnsi="Times New Roman" w:cs="Times New Roman"/>
          <w:bCs/>
        </w:rPr>
        <w:t xml:space="preserve"> </w:t>
      </w:r>
      <w:r>
        <w:rPr>
          <w:rFonts w:ascii="Times New Roman" w:hAnsi="Times New Roman" w:cs="Times New Roman"/>
          <w:bCs/>
        </w:rPr>
        <w:t>1</w:t>
      </w:r>
      <w:r w:rsidR="00517E7F">
        <w:rPr>
          <w:rFonts w:ascii="Times New Roman" w:hAnsi="Times New Roman" w:cs="Times New Roman"/>
          <w:bCs/>
        </w:rPr>
        <w:t>1</w:t>
      </w:r>
      <w:r>
        <w:rPr>
          <w:rFonts w:ascii="Times New Roman" w:hAnsi="Times New Roman" w:cs="Times New Roman"/>
          <w:bCs/>
        </w:rPr>
        <w:t xml:space="preserve"> amend </w:t>
      </w:r>
      <w:r w:rsidR="00AF293F">
        <w:rPr>
          <w:rFonts w:ascii="Times New Roman" w:hAnsi="Times New Roman" w:cs="Times New Roman"/>
          <w:bCs/>
        </w:rPr>
        <w:t>sub</w:t>
      </w:r>
      <w:r w:rsidR="003020F6">
        <w:rPr>
          <w:rFonts w:ascii="Times New Roman" w:hAnsi="Times New Roman" w:cs="Times New Roman"/>
          <w:bCs/>
        </w:rPr>
        <w:t>section 9</w:t>
      </w:r>
      <w:r w:rsidR="00AF293F">
        <w:rPr>
          <w:rFonts w:ascii="Times New Roman" w:hAnsi="Times New Roman" w:cs="Times New Roman"/>
          <w:bCs/>
        </w:rPr>
        <w:t>(2)</w:t>
      </w:r>
      <w:r w:rsidR="003020F6">
        <w:rPr>
          <w:rFonts w:ascii="Times New Roman" w:hAnsi="Times New Roman" w:cs="Times New Roman"/>
          <w:bCs/>
        </w:rPr>
        <w:t xml:space="preserve"> of the 2022 Determination</w:t>
      </w:r>
      <w:r w:rsidR="00AF293F">
        <w:rPr>
          <w:rFonts w:ascii="Times New Roman" w:hAnsi="Times New Roman" w:cs="Times New Roman"/>
          <w:bCs/>
        </w:rPr>
        <w:t xml:space="preserve"> to reduce the special hourly rate A from $255 to $241</w:t>
      </w:r>
      <w:r w:rsidR="003020F6">
        <w:rPr>
          <w:rFonts w:ascii="Times New Roman" w:hAnsi="Times New Roman" w:cs="Times New Roman"/>
          <w:bCs/>
        </w:rPr>
        <w:t xml:space="preserve">. </w:t>
      </w:r>
      <w:r w:rsidR="00B642B7">
        <w:rPr>
          <w:rFonts w:ascii="Times New Roman" w:hAnsi="Times New Roman" w:cs="Times New Roman"/>
          <w:bCs/>
        </w:rPr>
        <w:t xml:space="preserve">During the 2022-23 financial year the ACMA found that it incurred lower </w:t>
      </w:r>
      <w:r w:rsidR="00627F3F" w:rsidRPr="00627F3F">
        <w:rPr>
          <w:rFonts w:ascii="Times New Roman" w:hAnsi="Times New Roman" w:cs="Times New Roman"/>
          <w:bCs/>
        </w:rPr>
        <w:t>vehicle and technical equipment costs</w:t>
      </w:r>
      <w:r w:rsidR="002E29FB">
        <w:rPr>
          <w:rFonts w:ascii="Times New Roman" w:hAnsi="Times New Roman" w:cs="Times New Roman"/>
          <w:bCs/>
        </w:rPr>
        <w:t>,</w:t>
      </w:r>
      <w:r w:rsidR="00C81A77">
        <w:rPr>
          <w:rFonts w:ascii="Times New Roman" w:hAnsi="Times New Roman" w:cs="Times New Roman"/>
          <w:bCs/>
        </w:rPr>
        <w:t xml:space="preserve"> which is why it has reduced the special hourly rate A</w:t>
      </w:r>
      <w:r w:rsidR="001D3055">
        <w:rPr>
          <w:rFonts w:ascii="Times New Roman" w:hAnsi="Times New Roman" w:cs="Times New Roman"/>
          <w:bCs/>
        </w:rPr>
        <w:t>.</w:t>
      </w:r>
    </w:p>
    <w:p w14:paraId="37578932" w14:textId="38657D4B" w:rsidR="002C5610" w:rsidRPr="00CA7D2F" w:rsidRDefault="002C5610" w:rsidP="00A8162E">
      <w:pPr>
        <w:keepNext/>
        <w:rPr>
          <w:rFonts w:ascii="Times New Roman" w:hAnsi="Times New Roman" w:cs="Times New Roman"/>
          <w:b/>
          <w:sz w:val="24"/>
          <w:szCs w:val="24"/>
        </w:rPr>
      </w:pPr>
      <w:r w:rsidRPr="00CA7D2F">
        <w:rPr>
          <w:rFonts w:ascii="Times New Roman" w:hAnsi="Times New Roman" w:cs="Times New Roman"/>
          <w:b/>
          <w:sz w:val="24"/>
          <w:szCs w:val="24"/>
        </w:rPr>
        <w:lastRenderedPageBreak/>
        <w:t>Item 12</w:t>
      </w:r>
    </w:p>
    <w:p w14:paraId="226B9B4F" w14:textId="2D19859F" w:rsidR="002C5610" w:rsidRPr="002C5610" w:rsidRDefault="002C5610" w:rsidP="00C21EAF">
      <w:pPr>
        <w:rPr>
          <w:rFonts w:ascii="Times New Roman" w:hAnsi="Times New Roman" w:cs="Times New Roman"/>
          <w:bCs/>
        </w:rPr>
      </w:pPr>
      <w:r>
        <w:rPr>
          <w:rFonts w:ascii="Times New Roman" w:hAnsi="Times New Roman" w:cs="Times New Roman"/>
          <w:bCs/>
        </w:rPr>
        <w:t xml:space="preserve">Item 12 repeals subsection 9(3) of the 2022 Determination. The ACMA no longer </w:t>
      </w:r>
      <w:r w:rsidR="002E29FB">
        <w:rPr>
          <w:rFonts w:ascii="Times New Roman" w:hAnsi="Times New Roman" w:cs="Times New Roman"/>
          <w:bCs/>
        </w:rPr>
        <w:t xml:space="preserve">imposes </w:t>
      </w:r>
      <w:r>
        <w:rPr>
          <w:rFonts w:ascii="Times New Roman" w:hAnsi="Times New Roman" w:cs="Times New Roman"/>
          <w:bCs/>
        </w:rPr>
        <w:t>cha</w:t>
      </w:r>
      <w:r w:rsidR="001663F7">
        <w:rPr>
          <w:rFonts w:ascii="Times New Roman" w:hAnsi="Times New Roman" w:cs="Times New Roman"/>
          <w:bCs/>
        </w:rPr>
        <w:t>r</w:t>
      </w:r>
      <w:r>
        <w:rPr>
          <w:rFonts w:ascii="Times New Roman" w:hAnsi="Times New Roman" w:cs="Times New Roman"/>
          <w:bCs/>
        </w:rPr>
        <w:t xml:space="preserve">ges </w:t>
      </w:r>
      <w:r w:rsidR="002E29FB">
        <w:rPr>
          <w:rFonts w:ascii="Times New Roman" w:hAnsi="Times New Roman" w:cs="Times New Roman"/>
          <w:bCs/>
        </w:rPr>
        <w:t>based on</w:t>
      </w:r>
      <w:r>
        <w:rPr>
          <w:rFonts w:ascii="Times New Roman" w:hAnsi="Times New Roman" w:cs="Times New Roman"/>
          <w:bCs/>
        </w:rPr>
        <w:t xml:space="preserve"> special hourly rate B</w:t>
      </w:r>
      <w:r w:rsidR="002E29FB">
        <w:rPr>
          <w:rFonts w:ascii="Times New Roman" w:hAnsi="Times New Roman" w:cs="Times New Roman"/>
          <w:bCs/>
        </w:rPr>
        <w:t>,</w:t>
      </w:r>
      <w:r>
        <w:rPr>
          <w:rFonts w:ascii="Times New Roman" w:hAnsi="Times New Roman" w:cs="Times New Roman"/>
          <w:bCs/>
        </w:rPr>
        <w:t xml:space="preserve"> so the provision is no longer required.</w:t>
      </w:r>
    </w:p>
    <w:p w14:paraId="7BAB46FE" w14:textId="6E499CB6" w:rsidR="0006617F" w:rsidRPr="00CA7D2F" w:rsidRDefault="0006617F" w:rsidP="00C21EAF">
      <w:pPr>
        <w:rPr>
          <w:rFonts w:ascii="Times New Roman" w:hAnsi="Times New Roman" w:cs="Times New Roman"/>
          <w:b/>
          <w:sz w:val="24"/>
          <w:szCs w:val="24"/>
        </w:rPr>
      </w:pPr>
      <w:r w:rsidRPr="00CA7D2F">
        <w:rPr>
          <w:rFonts w:ascii="Times New Roman" w:hAnsi="Times New Roman" w:cs="Times New Roman"/>
          <w:b/>
          <w:sz w:val="24"/>
          <w:szCs w:val="24"/>
        </w:rPr>
        <w:t xml:space="preserve">Items </w:t>
      </w:r>
      <w:r w:rsidR="006D455C" w:rsidRPr="00CA7D2F">
        <w:rPr>
          <w:rFonts w:ascii="Times New Roman" w:hAnsi="Times New Roman" w:cs="Times New Roman"/>
          <w:b/>
          <w:sz w:val="24"/>
          <w:szCs w:val="24"/>
        </w:rPr>
        <w:t>13</w:t>
      </w:r>
      <w:r w:rsidR="002E29FB">
        <w:rPr>
          <w:rFonts w:ascii="Times New Roman" w:hAnsi="Times New Roman" w:cs="Times New Roman"/>
          <w:b/>
          <w:sz w:val="24"/>
          <w:szCs w:val="24"/>
        </w:rPr>
        <w:t xml:space="preserve"> to </w:t>
      </w:r>
      <w:r w:rsidR="006D455C" w:rsidRPr="00CA7D2F">
        <w:rPr>
          <w:rFonts w:ascii="Times New Roman" w:hAnsi="Times New Roman" w:cs="Times New Roman"/>
          <w:b/>
          <w:sz w:val="24"/>
          <w:szCs w:val="24"/>
        </w:rPr>
        <w:t>1</w:t>
      </w:r>
      <w:r w:rsidR="009874E2">
        <w:rPr>
          <w:rFonts w:ascii="Times New Roman" w:hAnsi="Times New Roman" w:cs="Times New Roman"/>
          <w:b/>
          <w:sz w:val="24"/>
          <w:szCs w:val="24"/>
        </w:rPr>
        <w:t>9</w:t>
      </w:r>
    </w:p>
    <w:p w14:paraId="5429381E" w14:textId="45DDF25E" w:rsidR="006D455C" w:rsidRDefault="006D455C" w:rsidP="00C21EAF">
      <w:pPr>
        <w:rPr>
          <w:rFonts w:ascii="Times New Roman" w:hAnsi="Times New Roman" w:cs="Times New Roman"/>
          <w:bCs/>
        </w:rPr>
      </w:pPr>
      <w:r>
        <w:rPr>
          <w:rFonts w:ascii="Times New Roman" w:hAnsi="Times New Roman" w:cs="Times New Roman"/>
          <w:bCs/>
        </w:rPr>
        <w:t>Items 13 to 1</w:t>
      </w:r>
      <w:r w:rsidR="009874E2">
        <w:rPr>
          <w:rFonts w:ascii="Times New Roman" w:hAnsi="Times New Roman" w:cs="Times New Roman"/>
          <w:bCs/>
        </w:rPr>
        <w:t>9</w:t>
      </w:r>
      <w:r w:rsidR="00163A07">
        <w:rPr>
          <w:rFonts w:ascii="Times New Roman" w:hAnsi="Times New Roman" w:cs="Times New Roman"/>
          <w:bCs/>
        </w:rPr>
        <w:t xml:space="preserve"> amend section 10 of the 2022 Determination. Section 10</w:t>
      </w:r>
      <w:r w:rsidR="003B2A46">
        <w:rPr>
          <w:rFonts w:ascii="Times New Roman" w:hAnsi="Times New Roman" w:cs="Times New Roman"/>
          <w:bCs/>
        </w:rPr>
        <w:t xml:space="preserve"> of the 2022 Determination</w:t>
      </w:r>
      <w:r w:rsidR="00163A07">
        <w:rPr>
          <w:rFonts w:ascii="Times New Roman" w:hAnsi="Times New Roman" w:cs="Times New Roman"/>
          <w:bCs/>
        </w:rPr>
        <w:t xml:space="preserve"> sets out by whom and when charges are payable for a service or matter </w:t>
      </w:r>
      <w:r w:rsidR="00AB1009">
        <w:rPr>
          <w:rFonts w:ascii="Times New Roman" w:hAnsi="Times New Roman" w:cs="Times New Roman"/>
          <w:bCs/>
        </w:rPr>
        <w:t>specified in Schedule 1 to the 2022 Determination</w:t>
      </w:r>
      <w:r w:rsidR="00D534A9">
        <w:rPr>
          <w:rFonts w:ascii="Times New Roman" w:hAnsi="Times New Roman" w:cs="Times New Roman"/>
          <w:bCs/>
        </w:rPr>
        <w:t>.</w:t>
      </w:r>
      <w:r w:rsidR="008C40A8">
        <w:rPr>
          <w:rFonts w:ascii="Times New Roman" w:hAnsi="Times New Roman" w:cs="Times New Roman"/>
          <w:bCs/>
        </w:rPr>
        <w:t xml:space="preserve"> </w:t>
      </w:r>
      <w:r w:rsidR="00D534A9">
        <w:rPr>
          <w:rFonts w:ascii="Times New Roman" w:hAnsi="Times New Roman" w:cs="Times New Roman"/>
          <w:bCs/>
        </w:rPr>
        <w:t xml:space="preserve">Many of the charges </w:t>
      </w:r>
      <w:r w:rsidR="00A6264B">
        <w:rPr>
          <w:rFonts w:ascii="Times New Roman" w:hAnsi="Times New Roman" w:cs="Times New Roman"/>
          <w:bCs/>
        </w:rPr>
        <w:t xml:space="preserve">referred to in section 10 </w:t>
      </w:r>
      <w:r w:rsidR="00D534A9">
        <w:rPr>
          <w:rFonts w:ascii="Times New Roman" w:hAnsi="Times New Roman" w:cs="Times New Roman"/>
          <w:bCs/>
        </w:rPr>
        <w:t xml:space="preserve">have been </w:t>
      </w:r>
      <w:r w:rsidR="00D4046C">
        <w:rPr>
          <w:rFonts w:ascii="Times New Roman" w:hAnsi="Times New Roman" w:cs="Times New Roman"/>
          <w:bCs/>
        </w:rPr>
        <w:t xml:space="preserve">reordered and </w:t>
      </w:r>
      <w:r w:rsidR="00A6264B">
        <w:rPr>
          <w:rFonts w:ascii="Times New Roman" w:hAnsi="Times New Roman" w:cs="Times New Roman"/>
          <w:bCs/>
        </w:rPr>
        <w:t>renumbered</w:t>
      </w:r>
      <w:r w:rsidR="00186895">
        <w:rPr>
          <w:rFonts w:ascii="Times New Roman" w:hAnsi="Times New Roman" w:cs="Times New Roman"/>
          <w:bCs/>
        </w:rPr>
        <w:t xml:space="preserve">. </w:t>
      </w:r>
      <w:r w:rsidR="00D4046C">
        <w:rPr>
          <w:rFonts w:ascii="Times New Roman" w:hAnsi="Times New Roman" w:cs="Times New Roman"/>
          <w:bCs/>
        </w:rPr>
        <w:t xml:space="preserve">The </w:t>
      </w:r>
      <w:r w:rsidR="00D534A9">
        <w:rPr>
          <w:rFonts w:ascii="Times New Roman" w:hAnsi="Times New Roman" w:cs="Times New Roman"/>
          <w:bCs/>
        </w:rPr>
        <w:t>changes proposed at items 13</w:t>
      </w:r>
      <w:r w:rsidR="002E29FB">
        <w:rPr>
          <w:rFonts w:ascii="Times New Roman" w:hAnsi="Times New Roman" w:cs="Times New Roman"/>
          <w:bCs/>
        </w:rPr>
        <w:t xml:space="preserve"> to </w:t>
      </w:r>
      <w:r w:rsidR="00D534A9">
        <w:rPr>
          <w:rFonts w:ascii="Times New Roman" w:hAnsi="Times New Roman" w:cs="Times New Roman"/>
          <w:bCs/>
        </w:rPr>
        <w:t>1</w:t>
      </w:r>
      <w:r w:rsidR="00A91CB0">
        <w:rPr>
          <w:rFonts w:ascii="Times New Roman" w:hAnsi="Times New Roman" w:cs="Times New Roman"/>
          <w:bCs/>
        </w:rPr>
        <w:t>9</w:t>
      </w:r>
      <w:r w:rsidR="00D534A9">
        <w:rPr>
          <w:rFonts w:ascii="Times New Roman" w:hAnsi="Times New Roman" w:cs="Times New Roman"/>
          <w:bCs/>
        </w:rPr>
        <w:t xml:space="preserve"> </w:t>
      </w:r>
      <w:r w:rsidR="00DD0082">
        <w:rPr>
          <w:rFonts w:ascii="Times New Roman" w:hAnsi="Times New Roman" w:cs="Times New Roman"/>
          <w:bCs/>
        </w:rPr>
        <w:t xml:space="preserve">make consequential changes to </w:t>
      </w:r>
      <w:r w:rsidR="00D534A9">
        <w:rPr>
          <w:rFonts w:ascii="Times New Roman" w:hAnsi="Times New Roman" w:cs="Times New Roman"/>
          <w:bCs/>
        </w:rPr>
        <w:t xml:space="preserve">pick up </w:t>
      </w:r>
      <w:r w:rsidR="00735D44">
        <w:rPr>
          <w:rFonts w:ascii="Times New Roman" w:hAnsi="Times New Roman" w:cs="Times New Roman"/>
          <w:bCs/>
        </w:rPr>
        <w:t xml:space="preserve">the new table item references.  </w:t>
      </w:r>
      <w:r w:rsidR="00AB1009">
        <w:rPr>
          <w:rFonts w:ascii="Times New Roman" w:hAnsi="Times New Roman" w:cs="Times New Roman"/>
          <w:bCs/>
        </w:rPr>
        <w:t xml:space="preserve"> </w:t>
      </w:r>
    </w:p>
    <w:p w14:paraId="7CE4BE6E" w14:textId="6133BD29" w:rsidR="00240BEA" w:rsidRPr="00CA7D2F" w:rsidRDefault="00240BEA" w:rsidP="00C21EAF">
      <w:pPr>
        <w:rPr>
          <w:rFonts w:ascii="Times New Roman" w:hAnsi="Times New Roman" w:cs="Times New Roman"/>
          <w:b/>
          <w:sz w:val="24"/>
          <w:szCs w:val="24"/>
        </w:rPr>
      </w:pPr>
      <w:r w:rsidRPr="00CA7D2F">
        <w:rPr>
          <w:rFonts w:ascii="Times New Roman" w:hAnsi="Times New Roman" w:cs="Times New Roman"/>
          <w:b/>
          <w:sz w:val="24"/>
          <w:szCs w:val="24"/>
        </w:rPr>
        <w:t xml:space="preserve">Items </w:t>
      </w:r>
      <w:r w:rsidR="009874E2">
        <w:rPr>
          <w:rFonts w:ascii="Times New Roman" w:hAnsi="Times New Roman" w:cs="Times New Roman"/>
          <w:b/>
          <w:sz w:val="24"/>
          <w:szCs w:val="24"/>
        </w:rPr>
        <w:t>20 and 21</w:t>
      </w:r>
    </w:p>
    <w:p w14:paraId="0C966DBE" w14:textId="5F6348BA" w:rsidR="00D4046C" w:rsidRDefault="00D4046C" w:rsidP="00C21EAF">
      <w:pPr>
        <w:rPr>
          <w:rFonts w:ascii="Times New Roman" w:hAnsi="Times New Roman" w:cs="Times New Roman"/>
          <w:bCs/>
        </w:rPr>
      </w:pPr>
      <w:r>
        <w:rPr>
          <w:rFonts w:ascii="Times New Roman" w:hAnsi="Times New Roman" w:cs="Times New Roman"/>
          <w:bCs/>
        </w:rPr>
        <w:t xml:space="preserve">Items </w:t>
      </w:r>
      <w:r w:rsidR="009874E2">
        <w:rPr>
          <w:rFonts w:ascii="Times New Roman" w:hAnsi="Times New Roman" w:cs="Times New Roman"/>
          <w:bCs/>
        </w:rPr>
        <w:t>20 and 21</w:t>
      </w:r>
      <w:r>
        <w:rPr>
          <w:rFonts w:ascii="Times New Roman" w:hAnsi="Times New Roman" w:cs="Times New Roman"/>
          <w:bCs/>
        </w:rPr>
        <w:t xml:space="preserve"> amend </w:t>
      </w:r>
      <w:r w:rsidR="005177AD">
        <w:rPr>
          <w:rFonts w:ascii="Times New Roman" w:hAnsi="Times New Roman" w:cs="Times New Roman"/>
          <w:bCs/>
        </w:rPr>
        <w:t xml:space="preserve">paragraph </w:t>
      </w:r>
      <w:r>
        <w:rPr>
          <w:rFonts w:ascii="Times New Roman" w:hAnsi="Times New Roman" w:cs="Times New Roman"/>
          <w:bCs/>
        </w:rPr>
        <w:t>13</w:t>
      </w:r>
      <w:r w:rsidR="007E7CBD">
        <w:rPr>
          <w:rFonts w:ascii="Times New Roman" w:hAnsi="Times New Roman" w:cs="Times New Roman"/>
          <w:bCs/>
        </w:rPr>
        <w:t>(1)</w:t>
      </w:r>
      <w:r w:rsidR="005177AD">
        <w:rPr>
          <w:rFonts w:ascii="Times New Roman" w:hAnsi="Times New Roman" w:cs="Times New Roman"/>
          <w:bCs/>
        </w:rPr>
        <w:t>(a)</w:t>
      </w:r>
      <w:r>
        <w:rPr>
          <w:rFonts w:ascii="Times New Roman" w:hAnsi="Times New Roman" w:cs="Times New Roman"/>
          <w:bCs/>
        </w:rPr>
        <w:t xml:space="preserve"> of the 2022 Determination</w:t>
      </w:r>
      <w:r w:rsidR="007E7CBD">
        <w:rPr>
          <w:rFonts w:ascii="Times New Roman" w:hAnsi="Times New Roman" w:cs="Times New Roman"/>
          <w:bCs/>
        </w:rPr>
        <w:t xml:space="preserve"> to make consequential</w:t>
      </w:r>
      <w:r w:rsidR="00464544">
        <w:rPr>
          <w:rFonts w:ascii="Times New Roman" w:hAnsi="Times New Roman" w:cs="Times New Roman"/>
          <w:bCs/>
        </w:rPr>
        <w:t xml:space="preserve"> cross-referencing </w:t>
      </w:r>
      <w:r w:rsidR="007E7CBD">
        <w:rPr>
          <w:rFonts w:ascii="Times New Roman" w:hAnsi="Times New Roman" w:cs="Times New Roman"/>
          <w:bCs/>
        </w:rPr>
        <w:t>changes</w:t>
      </w:r>
      <w:r w:rsidR="00E21F91">
        <w:rPr>
          <w:rFonts w:ascii="Times New Roman" w:hAnsi="Times New Roman" w:cs="Times New Roman"/>
          <w:bCs/>
        </w:rPr>
        <w:t>,</w:t>
      </w:r>
      <w:r w:rsidR="007E7CBD">
        <w:rPr>
          <w:rFonts w:ascii="Times New Roman" w:hAnsi="Times New Roman" w:cs="Times New Roman"/>
          <w:bCs/>
        </w:rPr>
        <w:t xml:space="preserve"> as Table</w:t>
      </w:r>
      <w:r w:rsidR="009A4552">
        <w:rPr>
          <w:rFonts w:ascii="Times New Roman" w:hAnsi="Times New Roman" w:cs="Times New Roman"/>
          <w:bCs/>
        </w:rPr>
        <w:t xml:space="preserve">s </w:t>
      </w:r>
      <w:r w:rsidR="007E7CBD">
        <w:rPr>
          <w:rFonts w:ascii="Times New Roman" w:hAnsi="Times New Roman" w:cs="Times New Roman"/>
          <w:bCs/>
        </w:rPr>
        <w:t>3,</w:t>
      </w:r>
      <w:r w:rsidR="009A4552">
        <w:rPr>
          <w:rFonts w:ascii="Times New Roman" w:hAnsi="Times New Roman" w:cs="Times New Roman"/>
          <w:bCs/>
        </w:rPr>
        <w:t xml:space="preserve"> </w:t>
      </w:r>
      <w:r w:rsidR="007E7CBD">
        <w:rPr>
          <w:rFonts w:ascii="Times New Roman" w:hAnsi="Times New Roman" w:cs="Times New Roman"/>
          <w:bCs/>
        </w:rPr>
        <w:t>4</w:t>
      </w:r>
      <w:r w:rsidR="009A4552">
        <w:rPr>
          <w:rFonts w:ascii="Times New Roman" w:hAnsi="Times New Roman" w:cs="Times New Roman"/>
          <w:bCs/>
        </w:rPr>
        <w:t xml:space="preserve"> and 6 of Part 2 of Schedule 1 </w:t>
      </w:r>
      <w:r w:rsidR="00C42027">
        <w:rPr>
          <w:rFonts w:ascii="Times New Roman" w:hAnsi="Times New Roman" w:cs="Times New Roman"/>
          <w:bCs/>
        </w:rPr>
        <w:t xml:space="preserve">have been </w:t>
      </w:r>
      <w:r w:rsidR="009A4552">
        <w:rPr>
          <w:rFonts w:ascii="Times New Roman" w:hAnsi="Times New Roman" w:cs="Times New Roman"/>
          <w:bCs/>
        </w:rPr>
        <w:t>repealed</w:t>
      </w:r>
      <w:r w:rsidR="00186895">
        <w:rPr>
          <w:rFonts w:ascii="Times New Roman" w:hAnsi="Times New Roman" w:cs="Times New Roman"/>
          <w:bCs/>
        </w:rPr>
        <w:t xml:space="preserve"> (see item 2</w:t>
      </w:r>
      <w:r w:rsidR="00587715">
        <w:rPr>
          <w:rFonts w:ascii="Times New Roman" w:hAnsi="Times New Roman" w:cs="Times New Roman"/>
          <w:bCs/>
        </w:rPr>
        <w:t>9</w:t>
      </w:r>
      <w:r w:rsidR="00186895">
        <w:rPr>
          <w:rFonts w:ascii="Times New Roman" w:hAnsi="Times New Roman" w:cs="Times New Roman"/>
          <w:bCs/>
        </w:rPr>
        <w:t>)</w:t>
      </w:r>
      <w:r w:rsidR="009A4552">
        <w:rPr>
          <w:rFonts w:ascii="Times New Roman" w:hAnsi="Times New Roman" w:cs="Times New Roman"/>
          <w:bCs/>
        </w:rPr>
        <w:t xml:space="preserve">. </w:t>
      </w:r>
      <w:r w:rsidR="001347DA">
        <w:rPr>
          <w:rFonts w:ascii="Times New Roman" w:hAnsi="Times New Roman" w:cs="Times New Roman"/>
          <w:bCs/>
        </w:rPr>
        <w:t>S</w:t>
      </w:r>
      <w:r w:rsidR="00F1493D">
        <w:rPr>
          <w:rFonts w:ascii="Times New Roman" w:hAnsi="Times New Roman" w:cs="Times New Roman"/>
          <w:bCs/>
        </w:rPr>
        <w:t xml:space="preserve">ection 13 sets an amount of charge for </w:t>
      </w:r>
      <w:proofErr w:type="gramStart"/>
      <w:r w:rsidR="00F1493D">
        <w:rPr>
          <w:rFonts w:ascii="Times New Roman" w:hAnsi="Times New Roman" w:cs="Times New Roman"/>
          <w:bCs/>
        </w:rPr>
        <w:t>particular apparatus</w:t>
      </w:r>
      <w:proofErr w:type="gramEnd"/>
      <w:r w:rsidR="00F1493D">
        <w:rPr>
          <w:rFonts w:ascii="Times New Roman" w:hAnsi="Times New Roman" w:cs="Times New Roman"/>
          <w:bCs/>
        </w:rPr>
        <w:t xml:space="preserve"> licences, where the licensee has elected to pay apparatus licence tax annually.</w:t>
      </w:r>
    </w:p>
    <w:p w14:paraId="41FD9FB9" w14:textId="08F3D5B2" w:rsidR="008732FD" w:rsidRPr="00CA7D2F" w:rsidRDefault="00C42027" w:rsidP="00C21EAF">
      <w:pPr>
        <w:rPr>
          <w:rFonts w:ascii="Times New Roman" w:hAnsi="Times New Roman" w:cs="Times New Roman"/>
          <w:b/>
          <w:sz w:val="24"/>
          <w:szCs w:val="24"/>
        </w:rPr>
      </w:pPr>
      <w:r w:rsidRPr="00CA7D2F">
        <w:rPr>
          <w:rFonts w:ascii="Times New Roman" w:hAnsi="Times New Roman" w:cs="Times New Roman"/>
          <w:b/>
          <w:sz w:val="24"/>
          <w:szCs w:val="24"/>
        </w:rPr>
        <w:t>Item</w:t>
      </w:r>
      <w:r w:rsidR="008732FD" w:rsidRPr="00CA7D2F">
        <w:rPr>
          <w:rFonts w:ascii="Times New Roman" w:hAnsi="Times New Roman" w:cs="Times New Roman"/>
          <w:b/>
          <w:sz w:val="24"/>
          <w:szCs w:val="24"/>
        </w:rPr>
        <w:t xml:space="preserve">s </w:t>
      </w:r>
      <w:r w:rsidR="009F2FBA">
        <w:rPr>
          <w:rFonts w:ascii="Times New Roman" w:hAnsi="Times New Roman" w:cs="Times New Roman"/>
          <w:b/>
          <w:sz w:val="24"/>
          <w:szCs w:val="24"/>
        </w:rPr>
        <w:t>22</w:t>
      </w:r>
      <w:r w:rsidR="006A3646">
        <w:rPr>
          <w:rFonts w:ascii="Times New Roman" w:hAnsi="Times New Roman" w:cs="Times New Roman"/>
          <w:b/>
          <w:sz w:val="24"/>
          <w:szCs w:val="24"/>
        </w:rPr>
        <w:t xml:space="preserve"> and </w:t>
      </w:r>
      <w:r w:rsidR="009F2FBA">
        <w:rPr>
          <w:rFonts w:ascii="Times New Roman" w:hAnsi="Times New Roman" w:cs="Times New Roman"/>
          <w:b/>
          <w:sz w:val="24"/>
          <w:szCs w:val="24"/>
        </w:rPr>
        <w:t>23</w:t>
      </w:r>
    </w:p>
    <w:p w14:paraId="56B188CD" w14:textId="253DC4EB" w:rsidR="00C42027" w:rsidRDefault="008732FD" w:rsidP="00C21EAF">
      <w:pPr>
        <w:rPr>
          <w:rFonts w:ascii="Times New Roman" w:hAnsi="Times New Roman" w:cs="Times New Roman"/>
          <w:b/>
        </w:rPr>
      </w:pPr>
      <w:r>
        <w:rPr>
          <w:rFonts w:ascii="Times New Roman" w:hAnsi="Times New Roman" w:cs="Times New Roman"/>
          <w:bCs/>
        </w:rPr>
        <w:t xml:space="preserve">Items </w:t>
      </w:r>
      <w:r w:rsidR="009F2FBA">
        <w:rPr>
          <w:rFonts w:ascii="Times New Roman" w:hAnsi="Times New Roman" w:cs="Times New Roman"/>
          <w:bCs/>
        </w:rPr>
        <w:t>22</w:t>
      </w:r>
      <w:r>
        <w:rPr>
          <w:rFonts w:ascii="Times New Roman" w:hAnsi="Times New Roman" w:cs="Times New Roman"/>
          <w:bCs/>
        </w:rPr>
        <w:t xml:space="preserve"> and </w:t>
      </w:r>
      <w:r w:rsidR="009F2FBA">
        <w:rPr>
          <w:rFonts w:ascii="Times New Roman" w:hAnsi="Times New Roman" w:cs="Times New Roman"/>
          <w:bCs/>
        </w:rPr>
        <w:t>23</w:t>
      </w:r>
      <w:r>
        <w:rPr>
          <w:rFonts w:ascii="Times New Roman" w:hAnsi="Times New Roman" w:cs="Times New Roman"/>
          <w:bCs/>
        </w:rPr>
        <w:t xml:space="preserve"> amend paragraph 14(1)(a) of the 2022 Determination to make consequential </w:t>
      </w:r>
      <w:r w:rsidR="00464544">
        <w:rPr>
          <w:rFonts w:ascii="Times New Roman" w:hAnsi="Times New Roman" w:cs="Times New Roman"/>
          <w:bCs/>
        </w:rPr>
        <w:t xml:space="preserve">cross-referencing </w:t>
      </w:r>
      <w:r>
        <w:rPr>
          <w:rFonts w:ascii="Times New Roman" w:hAnsi="Times New Roman" w:cs="Times New Roman"/>
          <w:bCs/>
        </w:rPr>
        <w:t xml:space="preserve">changes as </w:t>
      </w:r>
      <w:r w:rsidR="00464544">
        <w:rPr>
          <w:rFonts w:ascii="Times New Roman" w:hAnsi="Times New Roman" w:cs="Times New Roman"/>
          <w:bCs/>
        </w:rPr>
        <w:t>Tables 5 and 6 of Part 2 of Schedule 1 have been repealed</w:t>
      </w:r>
      <w:r w:rsidR="00186895">
        <w:rPr>
          <w:rFonts w:ascii="Times New Roman" w:hAnsi="Times New Roman" w:cs="Times New Roman"/>
          <w:bCs/>
        </w:rPr>
        <w:t xml:space="preserve"> (see item </w:t>
      </w:r>
      <w:r w:rsidR="003A6BC3">
        <w:rPr>
          <w:rFonts w:ascii="Times New Roman" w:hAnsi="Times New Roman" w:cs="Times New Roman"/>
          <w:bCs/>
        </w:rPr>
        <w:t>2</w:t>
      </w:r>
      <w:r w:rsidR="00587715">
        <w:rPr>
          <w:rFonts w:ascii="Times New Roman" w:hAnsi="Times New Roman" w:cs="Times New Roman"/>
          <w:bCs/>
        </w:rPr>
        <w:t>9</w:t>
      </w:r>
      <w:r w:rsidR="003A6BC3">
        <w:rPr>
          <w:rFonts w:ascii="Times New Roman" w:hAnsi="Times New Roman" w:cs="Times New Roman"/>
          <w:bCs/>
        </w:rPr>
        <w:t>)</w:t>
      </w:r>
      <w:r w:rsidR="00464544">
        <w:rPr>
          <w:rFonts w:ascii="Times New Roman" w:hAnsi="Times New Roman" w:cs="Times New Roman"/>
          <w:bCs/>
        </w:rPr>
        <w:t>.</w:t>
      </w:r>
      <w:r w:rsidR="00206888">
        <w:rPr>
          <w:rFonts w:ascii="Times New Roman" w:hAnsi="Times New Roman" w:cs="Times New Roman"/>
          <w:bCs/>
        </w:rPr>
        <w:t xml:space="preserve"> Section 14 sets an amount of charge for </w:t>
      </w:r>
      <w:proofErr w:type="gramStart"/>
      <w:r w:rsidR="00206888">
        <w:rPr>
          <w:rFonts w:ascii="Times New Roman" w:hAnsi="Times New Roman" w:cs="Times New Roman"/>
          <w:bCs/>
        </w:rPr>
        <w:t>particular apparatus</w:t>
      </w:r>
      <w:proofErr w:type="gramEnd"/>
      <w:r w:rsidR="00206888">
        <w:rPr>
          <w:rFonts w:ascii="Times New Roman" w:hAnsi="Times New Roman" w:cs="Times New Roman"/>
          <w:bCs/>
        </w:rPr>
        <w:t xml:space="preserve"> licences, where the licensee has elected to pay apparatus licence tax annually.</w:t>
      </w:r>
    </w:p>
    <w:p w14:paraId="71DDAC8A" w14:textId="4DB823CB" w:rsidR="00610260" w:rsidRPr="00CA7D2F" w:rsidRDefault="00610260" w:rsidP="00C21EAF">
      <w:pPr>
        <w:rPr>
          <w:rFonts w:ascii="Times New Roman" w:hAnsi="Times New Roman" w:cs="Times New Roman"/>
          <w:b/>
          <w:sz w:val="24"/>
          <w:szCs w:val="24"/>
        </w:rPr>
      </w:pPr>
      <w:r w:rsidRPr="00CA7D2F">
        <w:rPr>
          <w:rFonts w:ascii="Times New Roman" w:hAnsi="Times New Roman" w:cs="Times New Roman"/>
          <w:b/>
          <w:sz w:val="24"/>
          <w:szCs w:val="24"/>
        </w:rPr>
        <w:t xml:space="preserve">Item </w:t>
      </w:r>
      <w:r w:rsidR="00EA31C9">
        <w:rPr>
          <w:rFonts w:ascii="Times New Roman" w:hAnsi="Times New Roman" w:cs="Times New Roman"/>
          <w:b/>
          <w:sz w:val="24"/>
          <w:szCs w:val="24"/>
        </w:rPr>
        <w:t>24</w:t>
      </w:r>
    </w:p>
    <w:p w14:paraId="50A097EA" w14:textId="79394709" w:rsidR="00610260" w:rsidRDefault="00610260" w:rsidP="00C21EAF">
      <w:pPr>
        <w:rPr>
          <w:rFonts w:ascii="Times New Roman" w:hAnsi="Times New Roman" w:cs="Times New Roman"/>
          <w:bCs/>
        </w:rPr>
      </w:pPr>
      <w:r>
        <w:rPr>
          <w:rFonts w:ascii="Times New Roman" w:hAnsi="Times New Roman" w:cs="Times New Roman"/>
          <w:bCs/>
        </w:rPr>
        <w:t xml:space="preserve">Item </w:t>
      </w:r>
      <w:r w:rsidR="00EA31C9">
        <w:rPr>
          <w:rFonts w:ascii="Times New Roman" w:hAnsi="Times New Roman" w:cs="Times New Roman"/>
          <w:bCs/>
        </w:rPr>
        <w:t>24</w:t>
      </w:r>
      <w:r>
        <w:rPr>
          <w:rFonts w:ascii="Times New Roman" w:hAnsi="Times New Roman" w:cs="Times New Roman"/>
          <w:bCs/>
        </w:rPr>
        <w:t xml:space="preserve"> </w:t>
      </w:r>
      <w:r w:rsidR="00EA31C9">
        <w:rPr>
          <w:rFonts w:ascii="Times New Roman" w:hAnsi="Times New Roman" w:cs="Times New Roman"/>
          <w:bCs/>
        </w:rPr>
        <w:t xml:space="preserve">replaces </w:t>
      </w:r>
      <w:r>
        <w:rPr>
          <w:rFonts w:ascii="Times New Roman" w:hAnsi="Times New Roman" w:cs="Times New Roman"/>
          <w:bCs/>
        </w:rPr>
        <w:t>paragraph (a) of the note</w:t>
      </w:r>
      <w:r w:rsidR="001362BC">
        <w:rPr>
          <w:rFonts w:ascii="Times New Roman" w:hAnsi="Times New Roman" w:cs="Times New Roman"/>
          <w:bCs/>
        </w:rPr>
        <w:t xml:space="preserve"> in section 16 of the 2022 Determination</w:t>
      </w:r>
      <w:r w:rsidR="00EA31C9">
        <w:rPr>
          <w:rFonts w:ascii="Times New Roman" w:hAnsi="Times New Roman" w:cs="Times New Roman"/>
          <w:bCs/>
        </w:rPr>
        <w:t xml:space="preserve">, </w:t>
      </w:r>
      <w:proofErr w:type="gramStart"/>
      <w:r w:rsidR="00EA31C9">
        <w:rPr>
          <w:rFonts w:ascii="Times New Roman" w:hAnsi="Times New Roman" w:cs="Times New Roman"/>
          <w:bCs/>
        </w:rPr>
        <w:t>so as</w:t>
      </w:r>
      <w:r>
        <w:rPr>
          <w:rFonts w:ascii="Times New Roman" w:hAnsi="Times New Roman" w:cs="Times New Roman"/>
          <w:bCs/>
        </w:rPr>
        <w:t xml:space="preserve"> to</w:t>
      </w:r>
      <w:proofErr w:type="gramEnd"/>
      <w:r>
        <w:rPr>
          <w:rFonts w:ascii="Times New Roman" w:hAnsi="Times New Roman" w:cs="Times New Roman"/>
          <w:bCs/>
        </w:rPr>
        <w:t xml:space="preserve"> remove </w:t>
      </w:r>
      <w:r w:rsidR="00885B89">
        <w:rPr>
          <w:rFonts w:ascii="Times New Roman" w:hAnsi="Times New Roman" w:cs="Times New Roman"/>
          <w:bCs/>
        </w:rPr>
        <w:t xml:space="preserve">the reference to paragraph 9(3)(b). </w:t>
      </w:r>
      <w:r w:rsidR="005723EC">
        <w:rPr>
          <w:rFonts w:ascii="Times New Roman" w:hAnsi="Times New Roman" w:cs="Times New Roman"/>
          <w:bCs/>
        </w:rPr>
        <w:t>P</w:t>
      </w:r>
      <w:r w:rsidR="00885B89">
        <w:rPr>
          <w:rFonts w:ascii="Times New Roman" w:hAnsi="Times New Roman" w:cs="Times New Roman"/>
          <w:bCs/>
        </w:rPr>
        <w:t xml:space="preserve">aragraph </w:t>
      </w:r>
      <w:r w:rsidR="00D746A4">
        <w:rPr>
          <w:rFonts w:ascii="Times New Roman" w:hAnsi="Times New Roman" w:cs="Times New Roman"/>
          <w:bCs/>
        </w:rPr>
        <w:t xml:space="preserve">9(3)(b) </w:t>
      </w:r>
      <w:r w:rsidR="00885B89">
        <w:rPr>
          <w:rFonts w:ascii="Times New Roman" w:hAnsi="Times New Roman" w:cs="Times New Roman"/>
          <w:bCs/>
        </w:rPr>
        <w:t xml:space="preserve">has been repealed </w:t>
      </w:r>
      <w:r w:rsidR="00DC6AF0">
        <w:rPr>
          <w:rFonts w:ascii="Times New Roman" w:hAnsi="Times New Roman" w:cs="Times New Roman"/>
          <w:bCs/>
        </w:rPr>
        <w:t xml:space="preserve">by </w:t>
      </w:r>
      <w:r w:rsidR="005723EC">
        <w:rPr>
          <w:rFonts w:ascii="Times New Roman" w:hAnsi="Times New Roman" w:cs="Times New Roman"/>
          <w:bCs/>
        </w:rPr>
        <w:t>i</w:t>
      </w:r>
      <w:r w:rsidR="00DC6AF0">
        <w:rPr>
          <w:rFonts w:ascii="Times New Roman" w:hAnsi="Times New Roman" w:cs="Times New Roman"/>
          <w:bCs/>
        </w:rPr>
        <w:t xml:space="preserve">tem 12. </w:t>
      </w:r>
    </w:p>
    <w:p w14:paraId="4EACAA1E" w14:textId="25670B39" w:rsidR="008E5A8F" w:rsidRPr="00CA7D2F" w:rsidRDefault="008E5A8F" w:rsidP="00C21EAF">
      <w:pPr>
        <w:rPr>
          <w:rFonts w:ascii="Times New Roman" w:hAnsi="Times New Roman" w:cs="Times New Roman"/>
          <w:b/>
          <w:sz w:val="24"/>
          <w:szCs w:val="24"/>
        </w:rPr>
      </w:pPr>
      <w:r w:rsidRPr="00CA7D2F">
        <w:rPr>
          <w:rFonts w:ascii="Times New Roman" w:hAnsi="Times New Roman" w:cs="Times New Roman"/>
          <w:b/>
          <w:sz w:val="24"/>
          <w:szCs w:val="24"/>
        </w:rPr>
        <w:t xml:space="preserve">Item </w:t>
      </w:r>
      <w:r w:rsidR="007F29B5">
        <w:rPr>
          <w:rFonts w:ascii="Times New Roman" w:hAnsi="Times New Roman" w:cs="Times New Roman"/>
          <w:b/>
          <w:sz w:val="24"/>
          <w:szCs w:val="24"/>
        </w:rPr>
        <w:t>25</w:t>
      </w:r>
    </w:p>
    <w:p w14:paraId="18C97330" w14:textId="7D26535C" w:rsidR="008E5A8F" w:rsidRDefault="008E5A8F" w:rsidP="00C21EAF">
      <w:pPr>
        <w:rPr>
          <w:rFonts w:ascii="Times New Roman" w:hAnsi="Times New Roman" w:cs="Times New Roman"/>
          <w:bCs/>
        </w:rPr>
      </w:pPr>
      <w:r>
        <w:rPr>
          <w:rFonts w:ascii="Times New Roman" w:hAnsi="Times New Roman" w:cs="Times New Roman"/>
          <w:bCs/>
        </w:rPr>
        <w:t xml:space="preserve">Item </w:t>
      </w:r>
      <w:r w:rsidR="007F29B5">
        <w:rPr>
          <w:rFonts w:ascii="Times New Roman" w:hAnsi="Times New Roman" w:cs="Times New Roman"/>
          <w:bCs/>
        </w:rPr>
        <w:t>25</w:t>
      </w:r>
      <w:r>
        <w:rPr>
          <w:rFonts w:ascii="Times New Roman" w:hAnsi="Times New Roman" w:cs="Times New Roman"/>
          <w:bCs/>
        </w:rPr>
        <w:t xml:space="preserve"> repeals Part 3 of the 2022 Determination. Part 3 contained transitional provisions which are no longer required.  </w:t>
      </w:r>
    </w:p>
    <w:p w14:paraId="68DE3196" w14:textId="4258DF77" w:rsidR="00A52E60" w:rsidRPr="00CA7D2F" w:rsidRDefault="00A52E60" w:rsidP="00C21EAF">
      <w:pPr>
        <w:rPr>
          <w:rFonts w:ascii="Times New Roman" w:hAnsi="Times New Roman" w:cs="Times New Roman"/>
          <w:b/>
          <w:sz w:val="24"/>
          <w:szCs w:val="24"/>
        </w:rPr>
      </w:pPr>
      <w:r w:rsidRPr="00CA7D2F">
        <w:rPr>
          <w:rFonts w:ascii="Times New Roman" w:hAnsi="Times New Roman" w:cs="Times New Roman"/>
          <w:b/>
          <w:sz w:val="24"/>
          <w:szCs w:val="24"/>
        </w:rPr>
        <w:t xml:space="preserve">Item </w:t>
      </w:r>
      <w:r w:rsidR="007F29B5">
        <w:rPr>
          <w:rFonts w:ascii="Times New Roman" w:hAnsi="Times New Roman" w:cs="Times New Roman"/>
          <w:b/>
          <w:sz w:val="24"/>
          <w:szCs w:val="24"/>
        </w:rPr>
        <w:t>26</w:t>
      </w:r>
    </w:p>
    <w:p w14:paraId="7356A273" w14:textId="238C21D5" w:rsidR="00A52E60" w:rsidRDefault="00A52E60" w:rsidP="00C21EAF">
      <w:pPr>
        <w:rPr>
          <w:rFonts w:ascii="Times New Roman" w:hAnsi="Times New Roman" w:cs="Times New Roman"/>
          <w:bCs/>
        </w:rPr>
      </w:pPr>
      <w:r>
        <w:rPr>
          <w:rFonts w:ascii="Times New Roman" w:hAnsi="Times New Roman" w:cs="Times New Roman"/>
          <w:bCs/>
        </w:rPr>
        <w:t xml:space="preserve">Item </w:t>
      </w:r>
      <w:r w:rsidR="007F29B5">
        <w:rPr>
          <w:rFonts w:ascii="Times New Roman" w:hAnsi="Times New Roman" w:cs="Times New Roman"/>
          <w:bCs/>
        </w:rPr>
        <w:t>26</w:t>
      </w:r>
      <w:r>
        <w:rPr>
          <w:rFonts w:ascii="Times New Roman" w:hAnsi="Times New Roman" w:cs="Times New Roman"/>
          <w:bCs/>
        </w:rPr>
        <w:t xml:space="preserve"> repeals Part 1 of Schedule 1. </w:t>
      </w:r>
      <w:r w:rsidR="00B905E8">
        <w:rPr>
          <w:rFonts w:ascii="Times New Roman" w:hAnsi="Times New Roman" w:cs="Times New Roman"/>
          <w:bCs/>
        </w:rPr>
        <w:t xml:space="preserve">Part 1 </w:t>
      </w:r>
      <w:r w:rsidR="005A5E99">
        <w:rPr>
          <w:rFonts w:ascii="Times New Roman" w:hAnsi="Times New Roman" w:cs="Times New Roman"/>
          <w:bCs/>
        </w:rPr>
        <w:t xml:space="preserve">of Schedule 1 of the 2022 Determination </w:t>
      </w:r>
      <w:r w:rsidR="005177AD">
        <w:rPr>
          <w:rFonts w:ascii="Times New Roman" w:hAnsi="Times New Roman" w:cs="Times New Roman"/>
          <w:bCs/>
        </w:rPr>
        <w:t xml:space="preserve">previously </w:t>
      </w:r>
      <w:r w:rsidR="00B905E8">
        <w:rPr>
          <w:rFonts w:ascii="Times New Roman" w:hAnsi="Times New Roman" w:cs="Times New Roman"/>
          <w:bCs/>
        </w:rPr>
        <w:t xml:space="preserve">set out the charge for </w:t>
      </w:r>
      <w:r w:rsidR="00142063">
        <w:rPr>
          <w:rFonts w:ascii="Times New Roman" w:hAnsi="Times New Roman" w:cs="Times New Roman"/>
          <w:bCs/>
        </w:rPr>
        <w:t>t</w:t>
      </w:r>
      <w:r w:rsidR="00142063" w:rsidRPr="00142063">
        <w:rPr>
          <w:rFonts w:ascii="Times New Roman" w:hAnsi="Times New Roman" w:cs="Times New Roman"/>
          <w:bCs/>
        </w:rPr>
        <w:t xml:space="preserve">esting </w:t>
      </w:r>
      <w:r w:rsidR="00EC5DF3">
        <w:rPr>
          <w:rFonts w:ascii="Times New Roman" w:hAnsi="Times New Roman" w:cs="Times New Roman"/>
          <w:bCs/>
        </w:rPr>
        <w:t xml:space="preserve">of certain </w:t>
      </w:r>
      <w:r w:rsidR="00142063" w:rsidRPr="00142063">
        <w:rPr>
          <w:rFonts w:ascii="Times New Roman" w:hAnsi="Times New Roman" w:cs="Times New Roman"/>
          <w:bCs/>
        </w:rPr>
        <w:t>of radiocommunications devices</w:t>
      </w:r>
      <w:r w:rsidR="00EC5DF3">
        <w:rPr>
          <w:rFonts w:ascii="Times New Roman" w:hAnsi="Times New Roman" w:cs="Times New Roman"/>
          <w:bCs/>
        </w:rPr>
        <w:t xml:space="preserve">. </w:t>
      </w:r>
      <w:r w:rsidR="00142063">
        <w:rPr>
          <w:rFonts w:ascii="Times New Roman" w:hAnsi="Times New Roman" w:cs="Times New Roman"/>
          <w:bCs/>
        </w:rPr>
        <w:t>The ACMA no longer performs this function</w:t>
      </w:r>
      <w:r w:rsidR="00ED0580">
        <w:rPr>
          <w:rFonts w:ascii="Times New Roman" w:hAnsi="Times New Roman" w:cs="Times New Roman"/>
          <w:bCs/>
        </w:rPr>
        <w:t>,</w:t>
      </w:r>
      <w:r w:rsidR="00142063">
        <w:rPr>
          <w:rFonts w:ascii="Times New Roman" w:hAnsi="Times New Roman" w:cs="Times New Roman"/>
          <w:bCs/>
        </w:rPr>
        <w:t xml:space="preserve"> so </w:t>
      </w:r>
      <w:r w:rsidR="001563F8">
        <w:rPr>
          <w:rFonts w:ascii="Times New Roman" w:hAnsi="Times New Roman" w:cs="Times New Roman"/>
          <w:bCs/>
        </w:rPr>
        <w:t xml:space="preserve">a </w:t>
      </w:r>
      <w:r w:rsidR="00142063">
        <w:rPr>
          <w:rFonts w:ascii="Times New Roman" w:hAnsi="Times New Roman" w:cs="Times New Roman"/>
          <w:bCs/>
        </w:rPr>
        <w:t xml:space="preserve">charge is not required.  </w:t>
      </w:r>
    </w:p>
    <w:p w14:paraId="505E3C07" w14:textId="19B8A148" w:rsidR="00DF334E" w:rsidRPr="00CA7D2F" w:rsidRDefault="001563F8" w:rsidP="000455F1">
      <w:pPr>
        <w:rPr>
          <w:rFonts w:ascii="Times New Roman" w:hAnsi="Times New Roman" w:cs="Times New Roman"/>
          <w:b/>
          <w:bCs/>
          <w:sz w:val="24"/>
          <w:szCs w:val="24"/>
        </w:rPr>
      </w:pPr>
      <w:r w:rsidRPr="00CA7D2F">
        <w:rPr>
          <w:rFonts w:ascii="Times New Roman" w:hAnsi="Times New Roman" w:cs="Times New Roman"/>
          <w:b/>
          <w:bCs/>
          <w:sz w:val="24"/>
          <w:szCs w:val="24"/>
        </w:rPr>
        <w:t xml:space="preserve">Item </w:t>
      </w:r>
      <w:r w:rsidR="007F29B5">
        <w:rPr>
          <w:rFonts w:ascii="Times New Roman" w:hAnsi="Times New Roman" w:cs="Times New Roman"/>
          <w:b/>
          <w:bCs/>
          <w:sz w:val="24"/>
          <w:szCs w:val="24"/>
        </w:rPr>
        <w:t>27</w:t>
      </w:r>
    </w:p>
    <w:p w14:paraId="11734C83" w14:textId="5B100412" w:rsidR="006770B2" w:rsidRPr="00FA50FB" w:rsidRDefault="0033154D" w:rsidP="00CA7D2F">
      <w:pPr>
        <w:rPr>
          <w:bCs/>
        </w:rPr>
      </w:pPr>
      <w:r>
        <w:rPr>
          <w:rFonts w:ascii="Times New Roman" w:hAnsi="Times New Roman" w:cs="Times New Roman"/>
        </w:rPr>
        <w:t xml:space="preserve">Item </w:t>
      </w:r>
      <w:r w:rsidR="007F29B5">
        <w:rPr>
          <w:rFonts w:ascii="Times New Roman" w:hAnsi="Times New Roman" w:cs="Times New Roman"/>
        </w:rPr>
        <w:t>27</w:t>
      </w:r>
      <w:r>
        <w:rPr>
          <w:rFonts w:ascii="Times New Roman" w:hAnsi="Times New Roman" w:cs="Times New Roman"/>
        </w:rPr>
        <w:t xml:space="preserve"> repeals Table 1 of</w:t>
      </w:r>
      <w:r w:rsidR="002E7040">
        <w:rPr>
          <w:rFonts w:ascii="Times New Roman" w:hAnsi="Times New Roman" w:cs="Times New Roman"/>
        </w:rPr>
        <w:t xml:space="preserve"> </w:t>
      </w:r>
      <w:r w:rsidR="00046886">
        <w:rPr>
          <w:rFonts w:ascii="Times New Roman" w:hAnsi="Times New Roman" w:cs="Times New Roman"/>
        </w:rPr>
        <w:t>Part 2 of</w:t>
      </w:r>
      <w:r w:rsidR="003B0FC6">
        <w:rPr>
          <w:rFonts w:ascii="Times New Roman" w:hAnsi="Times New Roman" w:cs="Times New Roman"/>
        </w:rPr>
        <w:t xml:space="preserve"> Schedule 1 to </w:t>
      </w:r>
      <w:r>
        <w:rPr>
          <w:rFonts w:ascii="Times New Roman" w:hAnsi="Times New Roman" w:cs="Times New Roman"/>
        </w:rPr>
        <w:t>the 2022 Determination and replaces it with a new table.</w:t>
      </w:r>
      <w:r w:rsidR="008C40A8">
        <w:rPr>
          <w:rFonts w:ascii="Times New Roman" w:hAnsi="Times New Roman" w:cs="Times New Roman"/>
        </w:rPr>
        <w:t xml:space="preserve"> </w:t>
      </w:r>
      <w:r>
        <w:rPr>
          <w:rFonts w:ascii="Times New Roman" w:hAnsi="Times New Roman" w:cs="Times New Roman"/>
        </w:rPr>
        <w:t>The new table</w:t>
      </w:r>
      <w:r w:rsidR="00065C99">
        <w:rPr>
          <w:rFonts w:ascii="Times New Roman" w:hAnsi="Times New Roman" w:cs="Times New Roman"/>
        </w:rPr>
        <w:t xml:space="preserve"> </w:t>
      </w:r>
      <w:r w:rsidR="00F26E94">
        <w:rPr>
          <w:rFonts w:ascii="Times New Roman" w:hAnsi="Times New Roman" w:cs="Times New Roman"/>
        </w:rPr>
        <w:t xml:space="preserve">fixes </w:t>
      </w:r>
      <w:r w:rsidR="00065C99">
        <w:rPr>
          <w:rFonts w:ascii="Times New Roman" w:hAnsi="Times New Roman" w:cs="Times New Roman"/>
        </w:rPr>
        <w:t>charges relating to application</w:t>
      </w:r>
      <w:r w:rsidR="00C10546">
        <w:rPr>
          <w:rFonts w:ascii="Times New Roman" w:hAnsi="Times New Roman" w:cs="Times New Roman"/>
        </w:rPr>
        <w:t>s</w:t>
      </w:r>
      <w:r w:rsidR="00065C99">
        <w:rPr>
          <w:rFonts w:ascii="Times New Roman" w:hAnsi="Times New Roman" w:cs="Times New Roman"/>
        </w:rPr>
        <w:t xml:space="preserve"> for the issue of </w:t>
      </w:r>
      <w:r w:rsidR="00541ECC">
        <w:rPr>
          <w:rFonts w:ascii="Times New Roman" w:hAnsi="Times New Roman" w:cs="Times New Roman"/>
        </w:rPr>
        <w:t xml:space="preserve">the listed </w:t>
      </w:r>
      <w:r w:rsidR="00090912">
        <w:rPr>
          <w:rFonts w:ascii="Times New Roman" w:hAnsi="Times New Roman" w:cs="Times New Roman"/>
        </w:rPr>
        <w:t>assigned, non-assigned, area-</w:t>
      </w:r>
      <w:proofErr w:type="gramStart"/>
      <w:r w:rsidR="00090912">
        <w:rPr>
          <w:rFonts w:ascii="Times New Roman" w:hAnsi="Times New Roman" w:cs="Times New Roman"/>
        </w:rPr>
        <w:t>wide</w:t>
      </w:r>
      <w:proofErr w:type="gramEnd"/>
      <w:r w:rsidR="00090912">
        <w:rPr>
          <w:rFonts w:ascii="Times New Roman" w:hAnsi="Times New Roman" w:cs="Times New Roman"/>
        </w:rPr>
        <w:t xml:space="preserve"> and area-wide receive licences</w:t>
      </w:r>
      <w:r w:rsidR="00541ECC">
        <w:rPr>
          <w:rFonts w:ascii="Times New Roman" w:hAnsi="Times New Roman" w:cs="Times New Roman"/>
        </w:rPr>
        <w:t>. The licence</w:t>
      </w:r>
      <w:r w:rsidR="002B28D0">
        <w:rPr>
          <w:rFonts w:ascii="Times New Roman" w:hAnsi="Times New Roman" w:cs="Times New Roman"/>
        </w:rPr>
        <w:t>s</w:t>
      </w:r>
      <w:r w:rsidR="006C323A">
        <w:rPr>
          <w:rFonts w:ascii="Times New Roman" w:hAnsi="Times New Roman" w:cs="Times New Roman"/>
        </w:rPr>
        <w:t xml:space="preserve"> have been </w:t>
      </w:r>
      <w:r w:rsidR="00090912">
        <w:rPr>
          <w:rFonts w:ascii="Times New Roman" w:hAnsi="Times New Roman" w:cs="Times New Roman"/>
        </w:rPr>
        <w:t xml:space="preserve">sorted </w:t>
      </w:r>
      <w:r w:rsidR="004162C2">
        <w:rPr>
          <w:rFonts w:ascii="Times New Roman" w:hAnsi="Times New Roman" w:cs="Times New Roman"/>
        </w:rPr>
        <w:t>by charge amount</w:t>
      </w:r>
      <w:r w:rsidR="00090912">
        <w:rPr>
          <w:rFonts w:ascii="Times New Roman" w:hAnsi="Times New Roman" w:cs="Times New Roman"/>
        </w:rPr>
        <w:t xml:space="preserve">. </w:t>
      </w:r>
      <w:r w:rsidR="00F930F2">
        <w:rPr>
          <w:rFonts w:ascii="Times New Roman" w:hAnsi="Times New Roman" w:cs="Times New Roman"/>
        </w:rPr>
        <w:t>T</w:t>
      </w:r>
      <w:r w:rsidR="00090912">
        <w:rPr>
          <w:rFonts w:ascii="Times New Roman" w:hAnsi="Times New Roman" w:cs="Times New Roman"/>
        </w:rPr>
        <w:t xml:space="preserve">he table </w:t>
      </w:r>
      <w:r w:rsidR="00F930F2">
        <w:rPr>
          <w:rFonts w:ascii="Times New Roman" w:hAnsi="Times New Roman" w:cs="Times New Roman"/>
        </w:rPr>
        <w:t xml:space="preserve">sets out </w:t>
      </w:r>
      <w:r w:rsidR="00497CDD" w:rsidRPr="00CA7D2F">
        <w:rPr>
          <w:rFonts w:ascii="Times New Roman" w:hAnsi="Times New Roman" w:cs="Times New Roman"/>
          <w:bCs/>
        </w:rPr>
        <w:t>charges for</w:t>
      </w:r>
      <w:r w:rsidR="006770B2" w:rsidRPr="00CA7D2F">
        <w:rPr>
          <w:rFonts w:ascii="Times New Roman" w:hAnsi="Times New Roman" w:cs="Times New Roman"/>
          <w:bCs/>
        </w:rPr>
        <w:t>:</w:t>
      </w:r>
    </w:p>
    <w:p w14:paraId="7AB73568" w14:textId="03201F05" w:rsidR="008F030D" w:rsidRPr="00362B3D" w:rsidRDefault="00A85F56" w:rsidP="00A52EDC">
      <w:pPr>
        <w:pStyle w:val="Definition"/>
        <w:numPr>
          <w:ilvl w:val="0"/>
          <w:numId w:val="26"/>
        </w:numPr>
      </w:pPr>
      <w:r>
        <w:rPr>
          <w:bCs/>
        </w:rPr>
        <w:t>C</w:t>
      </w:r>
      <w:r w:rsidR="00016DA0">
        <w:rPr>
          <w:bCs/>
        </w:rPr>
        <w:t xml:space="preserve">onsidering an application for </w:t>
      </w:r>
      <w:r w:rsidR="00016DA0" w:rsidRPr="00795D1C">
        <w:rPr>
          <w:bCs/>
        </w:rPr>
        <w:t xml:space="preserve">the </w:t>
      </w:r>
      <w:r w:rsidR="00016DA0">
        <w:rPr>
          <w:bCs/>
        </w:rPr>
        <w:t>issue of assigned</w:t>
      </w:r>
      <w:r w:rsidR="00FB064A">
        <w:rPr>
          <w:bCs/>
        </w:rPr>
        <w:t xml:space="preserve"> apparatus</w:t>
      </w:r>
      <w:r w:rsidR="00016DA0">
        <w:rPr>
          <w:bCs/>
        </w:rPr>
        <w:t xml:space="preserve"> licences under section 99 of the Radiocommunications Act, where the application </w:t>
      </w:r>
      <w:r w:rsidR="00FB064A">
        <w:rPr>
          <w:bCs/>
        </w:rPr>
        <w:t>may</w:t>
      </w:r>
      <w:r w:rsidR="008F030D">
        <w:rPr>
          <w:bCs/>
        </w:rPr>
        <w:t xml:space="preserve"> </w:t>
      </w:r>
      <w:r w:rsidR="00FB064A">
        <w:rPr>
          <w:bCs/>
        </w:rPr>
        <w:t>be</w:t>
      </w:r>
      <w:r w:rsidR="00016DA0">
        <w:rPr>
          <w:bCs/>
        </w:rPr>
        <w:t xml:space="preserve"> accompanied by a </w:t>
      </w:r>
      <w:r w:rsidR="005760CD">
        <w:rPr>
          <w:bCs/>
        </w:rPr>
        <w:t>frequency assignment certificate (</w:t>
      </w:r>
      <w:r w:rsidR="00016DA0" w:rsidRPr="002863C4">
        <w:rPr>
          <w:b/>
        </w:rPr>
        <w:t>FAC</w:t>
      </w:r>
      <w:r w:rsidR="005760CD" w:rsidRPr="007E0847">
        <w:rPr>
          <w:bCs/>
        </w:rPr>
        <w:t>)</w:t>
      </w:r>
      <w:r w:rsidR="00016DA0">
        <w:rPr>
          <w:bCs/>
        </w:rPr>
        <w:t xml:space="preserve"> </w:t>
      </w:r>
      <w:r w:rsidR="00016DA0" w:rsidRPr="00055645">
        <w:rPr>
          <w:bCs/>
        </w:rPr>
        <w:t>issued</w:t>
      </w:r>
      <w:r w:rsidR="00016DA0">
        <w:rPr>
          <w:bCs/>
        </w:rPr>
        <w:t xml:space="preserve"> by an accredited person</w:t>
      </w:r>
      <w:r w:rsidR="00103AB6">
        <w:rPr>
          <w:bCs/>
        </w:rPr>
        <w:t xml:space="preserve"> (</w:t>
      </w:r>
      <w:r w:rsidR="00726EFB">
        <w:rPr>
          <w:bCs/>
        </w:rPr>
        <w:t>t</w:t>
      </w:r>
      <w:r w:rsidR="00103AB6">
        <w:rPr>
          <w:bCs/>
        </w:rPr>
        <w:t>able items 2.1.1</w:t>
      </w:r>
      <w:r w:rsidR="004F0FF0">
        <w:rPr>
          <w:bCs/>
        </w:rPr>
        <w:t xml:space="preserve"> to </w:t>
      </w:r>
      <w:r w:rsidR="00103AB6">
        <w:rPr>
          <w:bCs/>
        </w:rPr>
        <w:t>2.1.3)</w:t>
      </w:r>
      <w:r w:rsidR="00016DA0">
        <w:rPr>
          <w:bCs/>
        </w:rPr>
        <w:t xml:space="preserve">. The charge applies whether the licence is issued or not. An </w:t>
      </w:r>
      <w:r w:rsidR="00016DA0" w:rsidRPr="00D366DB">
        <w:rPr>
          <w:iCs/>
        </w:rPr>
        <w:t>assigned apparatus licence</w:t>
      </w:r>
      <w:r w:rsidR="00016DA0">
        <w:rPr>
          <w:b/>
          <w:bCs/>
          <w:i/>
        </w:rPr>
        <w:t xml:space="preserve"> </w:t>
      </w:r>
      <w:r w:rsidR="00016DA0">
        <w:rPr>
          <w:iCs/>
        </w:rPr>
        <w:t xml:space="preserve">is an apparatus licence that specifies the frequency on which, or frequency range within which, a </w:t>
      </w:r>
      <w:r w:rsidR="00016DA0" w:rsidRPr="00362B3D">
        <w:rPr>
          <w:iCs/>
        </w:rPr>
        <w:t xml:space="preserve">radiocommunications device may operate, but does not include a category 1 digital radio </w:t>
      </w:r>
      <w:r w:rsidR="00016DA0" w:rsidRPr="00362B3D">
        <w:rPr>
          <w:iCs/>
        </w:rPr>
        <w:lastRenderedPageBreak/>
        <w:t xml:space="preserve">multiplex transmitter licence, category 2 digital radio multiplex transmitter licence or a category 3 digital radio multiplex transmitter </w:t>
      </w:r>
      <w:r w:rsidR="00FB064A" w:rsidRPr="00362B3D">
        <w:rPr>
          <w:iCs/>
        </w:rPr>
        <w:t>licence</w:t>
      </w:r>
      <w:r w:rsidR="00EF06E2" w:rsidRPr="00362B3D">
        <w:rPr>
          <w:iCs/>
        </w:rPr>
        <w:t>.</w:t>
      </w:r>
      <w:r w:rsidR="008F030D" w:rsidRPr="00362B3D">
        <w:t xml:space="preserve"> </w:t>
      </w:r>
    </w:p>
    <w:p w14:paraId="2EF92999" w14:textId="5DA152A2" w:rsidR="00016DA0" w:rsidRPr="00A8162E" w:rsidRDefault="00A85F56" w:rsidP="00A52EDC">
      <w:pPr>
        <w:pStyle w:val="Definition"/>
        <w:numPr>
          <w:ilvl w:val="0"/>
          <w:numId w:val="26"/>
        </w:numPr>
        <w:rPr>
          <w:iCs/>
        </w:rPr>
      </w:pPr>
      <w:r w:rsidRPr="00362B3D">
        <w:rPr>
          <w:bCs/>
        </w:rPr>
        <w:t>C</w:t>
      </w:r>
      <w:r w:rsidR="00016DA0" w:rsidRPr="00362B3D">
        <w:rPr>
          <w:bCs/>
        </w:rPr>
        <w:t>onsidering an application for the issue of assigned apparatus licences under section 99 of the Radiocommunications Act, where the application is not accompanied by a FAC</w:t>
      </w:r>
      <w:r w:rsidR="00015D48" w:rsidRPr="00362B3D">
        <w:rPr>
          <w:bCs/>
        </w:rPr>
        <w:t xml:space="preserve"> (</w:t>
      </w:r>
      <w:r w:rsidR="00726EFB" w:rsidRPr="00362B3D">
        <w:rPr>
          <w:bCs/>
        </w:rPr>
        <w:t>t</w:t>
      </w:r>
      <w:r w:rsidR="00015D48" w:rsidRPr="00362B3D">
        <w:rPr>
          <w:bCs/>
        </w:rPr>
        <w:t>able items 2.1.4</w:t>
      </w:r>
      <w:r w:rsidR="004F0FF0" w:rsidRPr="00362B3D">
        <w:rPr>
          <w:bCs/>
        </w:rPr>
        <w:t xml:space="preserve"> to 2.1.16)</w:t>
      </w:r>
      <w:r w:rsidR="00016DA0" w:rsidRPr="00362B3D">
        <w:rPr>
          <w:bCs/>
        </w:rPr>
        <w:t xml:space="preserve">. Depending on the type of apparatus licence, charges are payable either </w:t>
      </w:r>
      <w:r w:rsidR="00451E3C" w:rsidRPr="00362B3D">
        <w:rPr>
          <w:bCs/>
        </w:rPr>
        <w:t xml:space="preserve">on a </w:t>
      </w:r>
      <w:r w:rsidR="00016DA0" w:rsidRPr="00362B3D">
        <w:rPr>
          <w:bCs/>
        </w:rPr>
        <w:t xml:space="preserve">per licence or per </w:t>
      </w:r>
      <w:r w:rsidR="002A7E70" w:rsidRPr="00362B3D">
        <w:rPr>
          <w:bCs/>
        </w:rPr>
        <w:t>‘</w:t>
      </w:r>
      <w:r w:rsidR="00016DA0" w:rsidRPr="00362B3D">
        <w:rPr>
          <w:bCs/>
        </w:rPr>
        <w:t>spectrum access</w:t>
      </w:r>
      <w:r w:rsidR="002A7E70" w:rsidRPr="00362B3D">
        <w:rPr>
          <w:bCs/>
        </w:rPr>
        <w:t>’</w:t>
      </w:r>
      <w:r w:rsidR="00451E3C" w:rsidRPr="00362B3D">
        <w:rPr>
          <w:bCs/>
        </w:rPr>
        <w:t xml:space="preserve"> basis</w:t>
      </w:r>
      <w:r w:rsidR="00016DA0" w:rsidRPr="00362B3D">
        <w:rPr>
          <w:bCs/>
        </w:rPr>
        <w:t xml:space="preserve">, as specified in the table. The charge applies whether the licence is issued or not. </w:t>
      </w:r>
      <w:r w:rsidR="00711D80" w:rsidRPr="00A8162E">
        <w:rPr>
          <w:bCs/>
        </w:rPr>
        <w:t>In most cases, the</w:t>
      </w:r>
      <w:r w:rsidR="00711D80" w:rsidRPr="00362B3D">
        <w:rPr>
          <w:bCs/>
        </w:rPr>
        <w:t xml:space="preserve"> </w:t>
      </w:r>
      <w:r w:rsidR="00711D80" w:rsidRPr="00A8162E">
        <w:rPr>
          <w:bCs/>
        </w:rPr>
        <w:t xml:space="preserve">charges for </w:t>
      </w:r>
      <w:r w:rsidR="0025105A" w:rsidRPr="00A8162E">
        <w:rPr>
          <w:bCs/>
        </w:rPr>
        <w:t>these items are lower or the same as the charge</w:t>
      </w:r>
      <w:r w:rsidR="002A7E70" w:rsidRPr="00A8162E">
        <w:rPr>
          <w:bCs/>
        </w:rPr>
        <w:t xml:space="preserve"> previously</w:t>
      </w:r>
      <w:r w:rsidR="0025105A" w:rsidRPr="00A8162E">
        <w:rPr>
          <w:bCs/>
        </w:rPr>
        <w:t xml:space="preserve"> set out in the 2022 Determination. </w:t>
      </w:r>
      <w:r w:rsidR="009D4CE3" w:rsidRPr="00A8162E">
        <w:rPr>
          <w:bCs/>
        </w:rPr>
        <w:t>The charge has slightly increased for the following licence types</w:t>
      </w:r>
      <w:r w:rsidR="00C77059" w:rsidRPr="00A8162E">
        <w:rPr>
          <w:bCs/>
        </w:rPr>
        <w:t>: fixed receive licence, radiodetermination licence and scientific licence (scientific assigned station).</w:t>
      </w:r>
      <w:r w:rsidR="00832D2C" w:rsidRPr="00A8162E">
        <w:rPr>
          <w:bCs/>
        </w:rPr>
        <w:t xml:space="preserve"> The change in charge is a result of a bottom-up assessment of the actual time and effort to provide the service applied to the ACMA’s standard hourly rate.</w:t>
      </w:r>
    </w:p>
    <w:p w14:paraId="7280001C" w14:textId="723A84C2" w:rsidR="005B35F4" w:rsidRPr="00362B3D" w:rsidRDefault="001601F5" w:rsidP="00A52EDC">
      <w:pPr>
        <w:pStyle w:val="Definition"/>
        <w:numPr>
          <w:ilvl w:val="0"/>
          <w:numId w:val="26"/>
        </w:numPr>
        <w:rPr>
          <w:iCs/>
        </w:rPr>
      </w:pPr>
      <w:r w:rsidRPr="00362B3D">
        <w:t>C</w:t>
      </w:r>
      <w:r w:rsidR="005B35F4" w:rsidRPr="00362B3D">
        <w:t>onsidering an application for the issue of non</w:t>
      </w:r>
      <w:r w:rsidR="001829DB" w:rsidRPr="00362B3D">
        <w:t>-</w:t>
      </w:r>
      <w:r w:rsidR="005B35F4" w:rsidRPr="00362B3D">
        <w:t>assigned apparatus licences and issuing the licence (if applicable)</w:t>
      </w:r>
      <w:r w:rsidR="001829DB" w:rsidRPr="00362B3D">
        <w:t xml:space="preserve"> (</w:t>
      </w:r>
      <w:r w:rsidR="00726EFB" w:rsidRPr="00362B3D">
        <w:t>t</w:t>
      </w:r>
      <w:r w:rsidR="001829DB" w:rsidRPr="00362B3D">
        <w:t>able item 2.1.17)</w:t>
      </w:r>
      <w:r w:rsidR="005B35F4" w:rsidRPr="00362B3D">
        <w:t>. A</w:t>
      </w:r>
      <w:r w:rsidR="005B35F4" w:rsidRPr="00362B3D">
        <w:rPr>
          <w:iCs/>
        </w:rPr>
        <w:t xml:space="preserve"> non</w:t>
      </w:r>
      <w:r w:rsidR="001829DB" w:rsidRPr="00362B3D">
        <w:rPr>
          <w:iCs/>
        </w:rPr>
        <w:t>-</w:t>
      </w:r>
      <w:r w:rsidR="005B35F4" w:rsidRPr="00362B3D">
        <w:rPr>
          <w:iCs/>
        </w:rPr>
        <w:t>assigned apparatus licence</w:t>
      </w:r>
      <w:r w:rsidR="005B35F4" w:rsidRPr="00362B3D">
        <w:rPr>
          <w:b/>
          <w:bCs/>
          <w:i/>
        </w:rPr>
        <w:t xml:space="preserve"> </w:t>
      </w:r>
      <w:r w:rsidR="005B35F4" w:rsidRPr="00362B3D">
        <w:rPr>
          <w:iCs/>
        </w:rPr>
        <w:t>means an apparatus licence which does not specify the frequency on which, or frequency range within which, a radiocommunications device authorised by the licence may operate. The frequencies on which a radiocommunications device authorised by a non</w:t>
      </w:r>
      <w:r w:rsidR="001829DB" w:rsidRPr="00362B3D">
        <w:rPr>
          <w:iCs/>
        </w:rPr>
        <w:t>-</w:t>
      </w:r>
      <w:r w:rsidR="005B35F4" w:rsidRPr="00362B3D">
        <w:rPr>
          <w:iCs/>
        </w:rPr>
        <w:t>assigned apparatus licence may operate are specified in a licence condition determination, made under section 110A of the Radiocommunications Act, that applies to the licence.</w:t>
      </w:r>
      <w:r w:rsidR="008D3067" w:rsidRPr="00362B3D">
        <w:rPr>
          <w:iCs/>
        </w:rPr>
        <w:t xml:space="preserve"> </w:t>
      </w:r>
      <w:r w:rsidR="008D3067" w:rsidRPr="00A8162E">
        <w:rPr>
          <w:iCs/>
        </w:rPr>
        <w:t xml:space="preserve">The charge for these applications ($36) </w:t>
      </w:r>
      <w:r w:rsidR="0023694C" w:rsidRPr="00A8162E">
        <w:rPr>
          <w:iCs/>
        </w:rPr>
        <w:t xml:space="preserve">remains </w:t>
      </w:r>
      <w:r w:rsidR="00832D2C" w:rsidRPr="00A8162E">
        <w:rPr>
          <w:iCs/>
        </w:rPr>
        <w:t>unchanged</w:t>
      </w:r>
      <w:r w:rsidR="008D3067" w:rsidRPr="00A8162E">
        <w:rPr>
          <w:iCs/>
        </w:rPr>
        <w:t>.</w:t>
      </w:r>
      <w:r w:rsidR="008D3067" w:rsidRPr="00362B3D">
        <w:rPr>
          <w:iCs/>
        </w:rPr>
        <w:t xml:space="preserve"> </w:t>
      </w:r>
    </w:p>
    <w:p w14:paraId="6F2AB462" w14:textId="10F00E4C" w:rsidR="00EF06E2" w:rsidRPr="00362B3D" w:rsidRDefault="00D941E2" w:rsidP="00A52EDC">
      <w:pPr>
        <w:pStyle w:val="Definition"/>
        <w:numPr>
          <w:ilvl w:val="0"/>
          <w:numId w:val="27"/>
        </w:numPr>
      </w:pPr>
      <w:r w:rsidRPr="00362B3D">
        <w:rPr>
          <w:iCs/>
        </w:rPr>
        <w:t>C</w:t>
      </w:r>
      <w:r w:rsidR="00EF06E2" w:rsidRPr="00362B3D">
        <w:rPr>
          <w:iCs/>
        </w:rPr>
        <w:t>onsiderin</w:t>
      </w:r>
      <w:r w:rsidRPr="00362B3D">
        <w:rPr>
          <w:iCs/>
        </w:rPr>
        <w:t>g</w:t>
      </w:r>
      <w:r w:rsidR="00EF06E2" w:rsidRPr="00362B3D">
        <w:rPr>
          <w:iCs/>
        </w:rPr>
        <w:t xml:space="preserve"> </w:t>
      </w:r>
      <w:r w:rsidRPr="00362B3D">
        <w:rPr>
          <w:iCs/>
        </w:rPr>
        <w:t xml:space="preserve">an </w:t>
      </w:r>
      <w:r w:rsidR="00EF06E2" w:rsidRPr="00362B3D">
        <w:rPr>
          <w:iCs/>
        </w:rPr>
        <w:t>application for the issue of FSS</w:t>
      </w:r>
      <w:r w:rsidR="00A33E5B" w:rsidRPr="00362B3D">
        <w:rPr>
          <w:iCs/>
        </w:rPr>
        <w:t xml:space="preserve"> area-wide licences</w:t>
      </w:r>
      <w:r w:rsidR="00EF06E2" w:rsidRPr="00362B3D">
        <w:rPr>
          <w:iCs/>
        </w:rPr>
        <w:t xml:space="preserve">, standard </w:t>
      </w:r>
      <w:r w:rsidR="00FD249F" w:rsidRPr="00362B3D">
        <w:rPr>
          <w:iCs/>
        </w:rPr>
        <w:t>area-wide</w:t>
      </w:r>
      <w:r w:rsidR="005416B8" w:rsidRPr="00362B3D">
        <w:rPr>
          <w:iCs/>
        </w:rPr>
        <w:t xml:space="preserve"> licence</w:t>
      </w:r>
      <w:r w:rsidR="00A33E5B" w:rsidRPr="00362B3D">
        <w:rPr>
          <w:iCs/>
        </w:rPr>
        <w:t>s</w:t>
      </w:r>
      <w:r w:rsidR="005416B8" w:rsidRPr="00362B3D">
        <w:rPr>
          <w:iCs/>
        </w:rPr>
        <w:t xml:space="preserve"> or </w:t>
      </w:r>
      <w:r w:rsidR="00EF06E2" w:rsidRPr="00362B3D">
        <w:rPr>
          <w:iCs/>
        </w:rPr>
        <w:t>area-wide receive licence</w:t>
      </w:r>
      <w:r w:rsidR="00A33E5B" w:rsidRPr="00362B3D">
        <w:rPr>
          <w:iCs/>
        </w:rPr>
        <w:t>s</w:t>
      </w:r>
      <w:r w:rsidR="00FE7538" w:rsidRPr="00362B3D">
        <w:rPr>
          <w:iCs/>
        </w:rPr>
        <w:t xml:space="preserve"> (</w:t>
      </w:r>
      <w:r w:rsidR="00726EFB" w:rsidRPr="00362B3D">
        <w:rPr>
          <w:iCs/>
        </w:rPr>
        <w:t>t</w:t>
      </w:r>
      <w:r w:rsidR="00FE7538" w:rsidRPr="00362B3D">
        <w:rPr>
          <w:iCs/>
        </w:rPr>
        <w:t>able items 2.1.18 to 2.1.2</w:t>
      </w:r>
      <w:r w:rsidR="00B01698" w:rsidRPr="00362B3D">
        <w:rPr>
          <w:iCs/>
        </w:rPr>
        <w:t>2</w:t>
      </w:r>
      <w:r w:rsidR="00FE7538" w:rsidRPr="00362B3D">
        <w:rPr>
          <w:iCs/>
        </w:rPr>
        <w:t>)</w:t>
      </w:r>
      <w:r w:rsidR="00EF06E2" w:rsidRPr="00362B3D">
        <w:rPr>
          <w:iCs/>
        </w:rPr>
        <w:t>. The charges for standard area-wide</w:t>
      </w:r>
      <w:r w:rsidR="008B71EA" w:rsidRPr="00362B3D">
        <w:rPr>
          <w:iCs/>
        </w:rPr>
        <w:t xml:space="preserve"> and </w:t>
      </w:r>
      <w:r w:rsidR="00EF06E2" w:rsidRPr="00362B3D">
        <w:rPr>
          <w:iCs/>
        </w:rPr>
        <w:t xml:space="preserve">area-wide receive licences vary depending on whether, in considering the application, the ACMA is required </w:t>
      </w:r>
      <w:r w:rsidR="00EF06E2" w:rsidRPr="00362B3D">
        <w:t>to assess the application against an application for an area-wide</w:t>
      </w:r>
      <w:r w:rsidR="001D53B4" w:rsidRPr="00362B3D">
        <w:t xml:space="preserve"> licence or an </w:t>
      </w:r>
      <w:r w:rsidR="00EF06E2" w:rsidRPr="00362B3D">
        <w:t>area-wide receive licence by another person. If the ACMA is required to assess the application against other applications, the applicant is required to pay a charge of $847 at the time the application is made, and further charges, calculated using the formula</w:t>
      </w:r>
      <w:r w:rsidR="0089224F" w:rsidRPr="00362B3D">
        <w:t>s</w:t>
      </w:r>
      <w:r w:rsidR="00EF06E2" w:rsidRPr="00362B3D">
        <w:t xml:space="preserve"> in </w:t>
      </w:r>
      <w:r w:rsidR="00726EFB" w:rsidRPr="00362B3D">
        <w:t>t</w:t>
      </w:r>
      <w:r w:rsidR="00B01698" w:rsidRPr="00362B3D">
        <w:t xml:space="preserve">able </w:t>
      </w:r>
      <w:r w:rsidR="00EF06E2" w:rsidRPr="00362B3D">
        <w:t>item</w:t>
      </w:r>
      <w:r w:rsidR="0089224F" w:rsidRPr="00362B3D">
        <w:t>s</w:t>
      </w:r>
      <w:r w:rsidR="00EF06E2" w:rsidRPr="00362B3D">
        <w:t xml:space="preserve"> 2.1.2</w:t>
      </w:r>
      <w:r w:rsidR="00321AAF">
        <w:t>1</w:t>
      </w:r>
      <w:r w:rsidR="0089224F" w:rsidRPr="00362B3D">
        <w:t xml:space="preserve"> or </w:t>
      </w:r>
      <w:r w:rsidR="00EF06E2" w:rsidRPr="00362B3D">
        <w:t>2.1.2</w:t>
      </w:r>
      <w:r w:rsidR="00321AAF">
        <w:t>2</w:t>
      </w:r>
      <w:r w:rsidR="00EF06E2" w:rsidRPr="00362B3D">
        <w:t xml:space="preserve"> payable on invoice.</w:t>
      </w:r>
      <w:r w:rsidR="00E14E23" w:rsidRPr="00362B3D">
        <w:t xml:space="preserve"> </w:t>
      </w:r>
      <w:r w:rsidR="00E14E23" w:rsidRPr="00A8162E">
        <w:t xml:space="preserve">The charges remain unchanged from the </w:t>
      </w:r>
      <w:r w:rsidR="0023694C" w:rsidRPr="00A8162E">
        <w:t xml:space="preserve">current </w:t>
      </w:r>
      <w:r w:rsidR="00E14E23" w:rsidRPr="00A8162E">
        <w:t>2022 Determination amounts</w:t>
      </w:r>
      <w:r w:rsidR="00E14E23" w:rsidRPr="00362B3D">
        <w:t xml:space="preserve">. </w:t>
      </w:r>
    </w:p>
    <w:p w14:paraId="69C6DA09" w14:textId="05A6E332" w:rsidR="00C74802" w:rsidRPr="00CA7D2F" w:rsidRDefault="003B0FC6">
      <w:pPr>
        <w:pStyle w:val="Definition"/>
        <w:ind w:left="0"/>
        <w:rPr>
          <w:b/>
          <w:szCs w:val="22"/>
        </w:rPr>
      </w:pPr>
      <w:r w:rsidRPr="00CA7D2F">
        <w:rPr>
          <w:b/>
          <w:szCs w:val="22"/>
        </w:rPr>
        <w:t xml:space="preserve">Item </w:t>
      </w:r>
      <w:r w:rsidR="00072AA1">
        <w:rPr>
          <w:b/>
          <w:szCs w:val="22"/>
        </w:rPr>
        <w:t>28</w:t>
      </w:r>
      <w:r w:rsidR="00F67388" w:rsidRPr="004F1409">
        <w:rPr>
          <w:b/>
          <w:szCs w:val="22"/>
        </w:rPr>
        <w:t xml:space="preserve"> </w:t>
      </w:r>
    </w:p>
    <w:p w14:paraId="00C8480B" w14:textId="6E66B586" w:rsidR="00EF06E2" w:rsidRPr="00A52EDC" w:rsidRDefault="003B0FC6" w:rsidP="00253FB5">
      <w:pPr>
        <w:pStyle w:val="Definition"/>
        <w:ind w:left="0"/>
        <w:rPr>
          <w:bCs/>
          <w:szCs w:val="22"/>
        </w:rPr>
      </w:pPr>
      <w:r>
        <w:t xml:space="preserve">Item </w:t>
      </w:r>
      <w:r w:rsidR="00072AA1">
        <w:t>28</w:t>
      </w:r>
      <w:r>
        <w:t xml:space="preserve"> repeals Table </w:t>
      </w:r>
      <w:r w:rsidR="00B677EB">
        <w:t>2</w:t>
      </w:r>
      <w:r>
        <w:t xml:space="preserve"> of</w:t>
      </w:r>
      <w:r w:rsidR="001667A3">
        <w:t xml:space="preserve"> Part 2 of</w:t>
      </w:r>
      <w:r>
        <w:t xml:space="preserve"> Schedule 1 to the 2022 Determination and replaces it with a new </w:t>
      </w:r>
      <w:r w:rsidR="00E324D3">
        <w:t>T</w:t>
      </w:r>
      <w:r>
        <w:t>able</w:t>
      </w:r>
      <w:r w:rsidR="006E6D5D">
        <w:t xml:space="preserve"> 2</w:t>
      </w:r>
      <w:r>
        <w:t>.</w:t>
      </w:r>
      <w:r w:rsidR="008C40A8">
        <w:t xml:space="preserve"> </w:t>
      </w:r>
      <w:r>
        <w:rPr>
          <w:bCs/>
          <w:szCs w:val="22"/>
        </w:rPr>
        <w:t xml:space="preserve">The new </w:t>
      </w:r>
      <w:r w:rsidR="00EF06E2" w:rsidRPr="00A52EDC">
        <w:rPr>
          <w:bCs/>
          <w:szCs w:val="22"/>
        </w:rPr>
        <w:t xml:space="preserve">Table 2 </w:t>
      </w:r>
      <w:r w:rsidR="00093C01">
        <w:rPr>
          <w:bCs/>
          <w:szCs w:val="22"/>
        </w:rPr>
        <w:t xml:space="preserve">fixes </w:t>
      </w:r>
      <w:r w:rsidR="00270641">
        <w:rPr>
          <w:bCs/>
          <w:szCs w:val="22"/>
        </w:rPr>
        <w:t xml:space="preserve">other </w:t>
      </w:r>
      <w:r w:rsidR="00EF06E2" w:rsidRPr="00A52EDC">
        <w:rPr>
          <w:bCs/>
          <w:szCs w:val="22"/>
        </w:rPr>
        <w:t xml:space="preserve">charges </w:t>
      </w:r>
      <w:r w:rsidR="00270641">
        <w:rPr>
          <w:bCs/>
          <w:szCs w:val="22"/>
        </w:rPr>
        <w:t xml:space="preserve">for </w:t>
      </w:r>
      <w:r w:rsidR="00900BD6">
        <w:rPr>
          <w:bCs/>
          <w:szCs w:val="22"/>
        </w:rPr>
        <w:t xml:space="preserve">apparatus licences.  These include charges for </w:t>
      </w:r>
      <w:r w:rsidR="00680355">
        <w:rPr>
          <w:bCs/>
          <w:szCs w:val="22"/>
        </w:rPr>
        <w:t xml:space="preserve">the </w:t>
      </w:r>
      <w:r w:rsidR="00EF06E2" w:rsidRPr="00A52EDC">
        <w:rPr>
          <w:bCs/>
          <w:szCs w:val="22"/>
        </w:rPr>
        <w:t xml:space="preserve">variation, </w:t>
      </w:r>
      <w:proofErr w:type="gramStart"/>
      <w:r w:rsidR="00EF06E2" w:rsidRPr="00A52EDC">
        <w:rPr>
          <w:bCs/>
          <w:szCs w:val="22"/>
        </w:rPr>
        <w:t>renewal</w:t>
      </w:r>
      <w:proofErr w:type="gramEnd"/>
      <w:r w:rsidR="002E76C4">
        <w:rPr>
          <w:bCs/>
          <w:szCs w:val="22"/>
        </w:rPr>
        <w:t xml:space="preserve"> and </w:t>
      </w:r>
      <w:r w:rsidR="00EF06E2" w:rsidRPr="00A52EDC">
        <w:rPr>
          <w:bCs/>
          <w:szCs w:val="22"/>
        </w:rPr>
        <w:t>transfer</w:t>
      </w:r>
      <w:r w:rsidR="002E76C4">
        <w:rPr>
          <w:bCs/>
          <w:szCs w:val="22"/>
        </w:rPr>
        <w:t xml:space="preserve"> of apparatus licences as well as charges for </w:t>
      </w:r>
      <w:r w:rsidR="00EF06E2" w:rsidRPr="00A52EDC">
        <w:rPr>
          <w:bCs/>
          <w:szCs w:val="22"/>
        </w:rPr>
        <w:t>frequency assignment</w:t>
      </w:r>
      <w:r w:rsidR="002E76C4">
        <w:rPr>
          <w:bCs/>
          <w:szCs w:val="22"/>
        </w:rPr>
        <w:t>s</w:t>
      </w:r>
      <w:r w:rsidR="00EF06E2" w:rsidRPr="00A52EDC">
        <w:rPr>
          <w:bCs/>
          <w:szCs w:val="22"/>
        </w:rPr>
        <w:t xml:space="preserve"> or participation in an allocation</w:t>
      </w:r>
      <w:r w:rsidR="00680355">
        <w:rPr>
          <w:bCs/>
          <w:szCs w:val="22"/>
        </w:rPr>
        <w:t xml:space="preserve"> of various apparatus licence types</w:t>
      </w:r>
      <w:r w:rsidR="00B65E50">
        <w:rPr>
          <w:bCs/>
          <w:szCs w:val="22"/>
        </w:rPr>
        <w:t xml:space="preserve">. </w:t>
      </w:r>
    </w:p>
    <w:p w14:paraId="19EA361D" w14:textId="18664980" w:rsidR="00D8220E" w:rsidRPr="00253FB5" w:rsidRDefault="00DD1F1D" w:rsidP="00253FB5">
      <w:pPr>
        <w:pStyle w:val="Definition"/>
        <w:ind w:left="0"/>
        <w:rPr>
          <w:b/>
          <w:bCs/>
          <w:iCs/>
          <w:sz w:val="20"/>
        </w:rPr>
      </w:pPr>
      <w:r>
        <w:t>Table i</w:t>
      </w:r>
      <w:r w:rsidR="00D8220E">
        <w:t xml:space="preserve">tem 2.2.1 </w:t>
      </w:r>
      <w:r w:rsidR="00093C01">
        <w:t xml:space="preserve">fixes </w:t>
      </w:r>
      <w:r w:rsidR="00D8220E">
        <w:t>the charge for c</w:t>
      </w:r>
      <w:r w:rsidR="00D8220E" w:rsidRPr="00F32E98">
        <w:t xml:space="preserve">onsidering an application for the renewal of an assigned apparatus or a </w:t>
      </w:r>
      <w:proofErr w:type="spellStart"/>
      <w:r w:rsidR="00D8220E" w:rsidRPr="00F32E98">
        <w:t>non assigned</w:t>
      </w:r>
      <w:proofErr w:type="spellEnd"/>
      <w:r w:rsidR="00D8220E" w:rsidRPr="00F32E98">
        <w:t xml:space="preserve"> apparatus licence</w:t>
      </w:r>
      <w:r w:rsidR="00D8220E">
        <w:t xml:space="preserve"> that does not include a renewal statement or a renewal application period statement (as defined in section 5 of the </w:t>
      </w:r>
      <w:r w:rsidR="004A3495">
        <w:t>2022 Determination</w:t>
      </w:r>
      <w:r w:rsidR="00D8220E">
        <w:t xml:space="preserve">) </w:t>
      </w:r>
      <w:r w:rsidR="00D8220E" w:rsidRPr="00F32E98">
        <w:t>and renewing it (if applicable)</w:t>
      </w:r>
      <w:r w:rsidR="00F316C0">
        <w:t>.</w:t>
      </w:r>
    </w:p>
    <w:p w14:paraId="5A3B2802" w14:textId="367DF526" w:rsidR="00D8220E" w:rsidRPr="00362B3D" w:rsidRDefault="00620F47" w:rsidP="00D8220E">
      <w:pPr>
        <w:pStyle w:val="TableText"/>
        <w:spacing w:before="180"/>
      </w:pPr>
      <w:r w:rsidRPr="00A8162E">
        <w:t xml:space="preserve">The charge remains unchanged from the </w:t>
      </w:r>
      <w:r w:rsidR="0023694C" w:rsidRPr="00A8162E">
        <w:t xml:space="preserve">current </w:t>
      </w:r>
      <w:r w:rsidRPr="00A8162E">
        <w:t>2022 Determination amount.</w:t>
      </w:r>
      <w:r w:rsidRPr="00362B3D">
        <w:t xml:space="preserve"> </w:t>
      </w:r>
      <w:r w:rsidR="00D8220E" w:rsidRPr="00362B3D">
        <w:t>For some licences</w:t>
      </w:r>
      <w:r w:rsidR="00EE3660" w:rsidRPr="00362B3D">
        <w:t xml:space="preserve"> listed in table item 2.2.1 </w:t>
      </w:r>
      <w:r w:rsidR="00D8220E" w:rsidRPr="00362B3D">
        <w:t xml:space="preserve">the charge specified in column 3 is payable per licence and for others, </w:t>
      </w:r>
      <w:r w:rsidR="00EE3660" w:rsidRPr="00362B3D">
        <w:t xml:space="preserve">the charge is payable on a </w:t>
      </w:r>
      <w:r w:rsidR="00D8220E" w:rsidRPr="00362B3D">
        <w:t>per spectrum access (that is, for each frequency assigned, or requested for assignment)</w:t>
      </w:r>
      <w:r w:rsidR="0086454B">
        <w:t xml:space="preserve"> or </w:t>
      </w:r>
      <w:r w:rsidR="00B04078">
        <w:t xml:space="preserve">a </w:t>
      </w:r>
      <w:r w:rsidR="0086454B">
        <w:t>per frequency assigned</w:t>
      </w:r>
      <w:r w:rsidR="00B04078">
        <w:t xml:space="preserve"> basis</w:t>
      </w:r>
      <w:r w:rsidR="00D8220E" w:rsidRPr="00362B3D">
        <w:t xml:space="preserve">. </w:t>
      </w:r>
    </w:p>
    <w:p w14:paraId="3ADA53FB" w14:textId="7D4BF8C5" w:rsidR="006E630F" w:rsidRPr="00362B3D" w:rsidRDefault="0018525D" w:rsidP="00253FB5">
      <w:pPr>
        <w:pStyle w:val="Definition"/>
        <w:ind w:left="0"/>
        <w:rPr>
          <w:b/>
          <w:bCs/>
          <w:iCs/>
          <w:sz w:val="20"/>
        </w:rPr>
      </w:pPr>
      <w:r w:rsidRPr="00362B3D">
        <w:t xml:space="preserve">Table </w:t>
      </w:r>
      <w:r w:rsidRPr="00362B3D">
        <w:rPr>
          <w:iCs/>
        </w:rPr>
        <w:t>i</w:t>
      </w:r>
      <w:r w:rsidR="006F0E9D" w:rsidRPr="00362B3D">
        <w:rPr>
          <w:iCs/>
        </w:rPr>
        <w:t>tem</w:t>
      </w:r>
      <w:r w:rsidRPr="00362B3D">
        <w:rPr>
          <w:iCs/>
        </w:rPr>
        <w:t>s</w:t>
      </w:r>
      <w:r w:rsidR="006F0E9D" w:rsidRPr="00362B3D">
        <w:rPr>
          <w:iCs/>
        </w:rPr>
        <w:t xml:space="preserve"> </w:t>
      </w:r>
      <w:r w:rsidR="00D113A7" w:rsidRPr="00362B3D">
        <w:rPr>
          <w:iCs/>
        </w:rPr>
        <w:t>2.2.2</w:t>
      </w:r>
      <w:r w:rsidR="00412B85" w:rsidRPr="00362B3D">
        <w:rPr>
          <w:iCs/>
        </w:rPr>
        <w:t xml:space="preserve">, </w:t>
      </w:r>
      <w:r w:rsidR="00D113A7" w:rsidRPr="00362B3D">
        <w:rPr>
          <w:iCs/>
        </w:rPr>
        <w:t>2.2.3 and 2.2.5</w:t>
      </w:r>
      <w:r w:rsidR="007D4B57" w:rsidRPr="00362B3D">
        <w:rPr>
          <w:iCs/>
        </w:rPr>
        <w:t xml:space="preserve"> </w:t>
      </w:r>
      <w:r w:rsidR="00093C01" w:rsidRPr="00362B3D">
        <w:rPr>
          <w:iCs/>
        </w:rPr>
        <w:t xml:space="preserve">fix </w:t>
      </w:r>
      <w:r w:rsidR="006E630F" w:rsidRPr="00362B3D">
        <w:rPr>
          <w:iCs/>
        </w:rPr>
        <w:t>the charges for considering an application to vary</w:t>
      </w:r>
      <w:r w:rsidR="007E47EA" w:rsidRPr="00362B3D">
        <w:rPr>
          <w:iCs/>
        </w:rPr>
        <w:t>,</w:t>
      </w:r>
      <w:r w:rsidR="006E630F" w:rsidRPr="00362B3D">
        <w:rPr>
          <w:iCs/>
        </w:rPr>
        <w:t xml:space="preserve"> </w:t>
      </w:r>
      <w:r w:rsidR="007E47EA" w:rsidRPr="00362B3D">
        <w:rPr>
          <w:iCs/>
        </w:rPr>
        <w:t xml:space="preserve">under section 111 of the Radiocommunications Act, </w:t>
      </w:r>
      <w:r w:rsidR="006E630F" w:rsidRPr="00362B3D">
        <w:rPr>
          <w:iCs/>
        </w:rPr>
        <w:t>the conditions of an assigned licence or a non</w:t>
      </w:r>
      <w:r w:rsidR="00E67FB0" w:rsidRPr="00362B3D">
        <w:rPr>
          <w:iCs/>
        </w:rPr>
        <w:t>-</w:t>
      </w:r>
      <w:r w:rsidR="006E630F" w:rsidRPr="00362B3D">
        <w:rPr>
          <w:iCs/>
        </w:rPr>
        <w:t>assigned licence (and varying it if applicable).</w:t>
      </w:r>
      <w:r w:rsidR="00157CF9" w:rsidRPr="00362B3D">
        <w:rPr>
          <w:iCs/>
        </w:rPr>
        <w:t xml:space="preserve"> </w:t>
      </w:r>
      <w:r w:rsidR="00157CF9" w:rsidRPr="00A8162E">
        <w:rPr>
          <w:iCs/>
        </w:rPr>
        <w:t>The charge remains unchanged from the</w:t>
      </w:r>
      <w:r w:rsidR="0023694C" w:rsidRPr="00A8162E">
        <w:rPr>
          <w:iCs/>
        </w:rPr>
        <w:t xml:space="preserve"> current </w:t>
      </w:r>
      <w:r w:rsidR="00157CF9" w:rsidRPr="00A8162E">
        <w:rPr>
          <w:iCs/>
        </w:rPr>
        <w:t>2022 Determination amount.</w:t>
      </w:r>
      <w:r w:rsidR="00157CF9" w:rsidRPr="00362B3D">
        <w:rPr>
          <w:iCs/>
        </w:rPr>
        <w:t xml:space="preserve"> </w:t>
      </w:r>
    </w:p>
    <w:p w14:paraId="4B90647C" w14:textId="2C8AC686" w:rsidR="00027784" w:rsidRPr="00362B3D" w:rsidRDefault="00BA331F" w:rsidP="00027784">
      <w:pPr>
        <w:spacing w:beforeLines="100" w:before="240"/>
        <w:rPr>
          <w:rFonts w:ascii="Times New Roman" w:hAnsi="Times New Roman" w:cs="Times New Roman"/>
        </w:rPr>
      </w:pPr>
      <w:r w:rsidRPr="00362B3D">
        <w:rPr>
          <w:rFonts w:ascii="Times New Roman" w:hAnsi="Times New Roman" w:cs="Times New Roman"/>
          <w:bCs/>
        </w:rPr>
        <w:t>Table i</w:t>
      </w:r>
      <w:r w:rsidR="00027784" w:rsidRPr="00362B3D">
        <w:rPr>
          <w:rFonts w:ascii="Times New Roman" w:hAnsi="Times New Roman" w:cs="Times New Roman"/>
          <w:bCs/>
        </w:rPr>
        <w:t xml:space="preserve">tem 2.2.4 </w:t>
      </w:r>
      <w:r w:rsidR="00093C01" w:rsidRPr="00362B3D">
        <w:rPr>
          <w:rFonts w:ascii="Times New Roman" w:hAnsi="Times New Roman" w:cs="Times New Roman"/>
          <w:iCs/>
        </w:rPr>
        <w:t xml:space="preserve">fixes </w:t>
      </w:r>
      <w:r w:rsidR="00027784" w:rsidRPr="00362B3D">
        <w:rPr>
          <w:rFonts w:ascii="Times New Roman" w:hAnsi="Times New Roman" w:cs="Times New Roman"/>
          <w:iCs/>
        </w:rPr>
        <w:t>the charge for c</w:t>
      </w:r>
      <w:r w:rsidR="00027784" w:rsidRPr="00362B3D">
        <w:rPr>
          <w:rFonts w:ascii="Times New Roman" w:hAnsi="Times New Roman" w:cs="Times New Roman"/>
        </w:rPr>
        <w:t xml:space="preserve">onsideration of an application for the transfer of one or more apparatus licences under section 131AA of the Radiocommunications </w:t>
      </w:r>
      <w:proofErr w:type="gramStart"/>
      <w:r w:rsidR="00027784" w:rsidRPr="00362B3D">
        <w:rPr>
          <w:rFonts w:ascii="Times New Roman" w:hAnsi="Times New Roman" w:cs="Times New Roman"/>
        </w:rPr>
        <w:t>Act, and</w:t>
      </w:r>
      <w:proofErr w:type="gramEnd"/>
      <w:r w:rsidR="00027784" w:rsidRPr="00362B3D">
        <w:rPr>
          <w:rFonts w:ascii="Times New Roman" w:hAnsi="Times New Roman" w:cs="Times New Roman"/>
        </w:rPr>
        <w:t xml:space="preserve"> transferring the licence if applicable.</w:t>
      </w:r>
      <w:r w:rsidR="00B35BBC" w:rsidRPr="00362B3D">
        <w:rPr>
          <w:rFonts w:ascii="Times New Roman" w:hAnsi="Times New Roman" w:cs="Times New Roman"/>
        </w:rPr>
        <w:t xml:space="preserve"> </w:t>
      </w:r>
      <w:r w:rsidR="00B35BBC" w:rsidRPr="00A8162E">
        <w:rPr>
          <w:rFonts w:ascii="Times New Roman" w:hAnsi="Times New Roman" w:cs="Times New Roman"/>
        </w:rPr>
        <w:t xml:space="preserve">The charge remains unchanged from the </w:t>
      </w:r>
      <w:r w:rsidR="0023694C" w:rsidRPr="00A8162E">
        <w:rPr>
          <w:rFonts w:ascii="Times New Roman" w:hAnsi="Times New Roman" w:cs="Times New Roman"/>
        </w:rPr>
        <w:t xml:space="preserve">current </w:t>
      </w:r>
      <w:r w:rsidR="00B35BBC" w:rsidRPr="00A8162E">
        <w:rPr>
          <w:rFonts w:ascii="Times New Roman" w:hAnsi="Times New Roman" w:cs="Times New Roman"/>
        </w:rPr>
        <w:t>2022 Determination amount.</w:t>
      </w:r>
      <w:r w:rsidR="00B35BBC" w:rsidRPr="00362B3D">
        <w:rPr>
          <w:rFonts w:ascii="Times New Roman" w:hAnsi="Times New Roman" w:cs="Times New Roman"/>
        </w:rPr>
        <w:t xml:space="preserve"> </w:t>
      </w:r>
    </w:p>
    <w:p w14:paraId="4075C196" w14:textId="524ADB73" w:rsidR="00034C3B" w:rsidRPr="00362B3D" w:rsidRDefault="00BA331F" w:rsidP="00034C3B">
      <w:pPr>
        <w:spacing w:beforeLines="100" w:before="240"/>
        <w:rPr>
          <w:rFonts w:ascii="Times New Roman" w:hAnsi="Times New Roman" w:cs="Times New Roman"/>
        </w:rPr>
      </w:pPr>
      <w:r w:rsidRPr="00362B3D">
        <w:rPr>
          <w:rFonts w:ascii="Times New Roman" w:hAnsi="Times New Roman" w:cs="Times New Roman"/>
          <w:bCs/>
        </w:rPr>
        <w:lastRenderedPageBreak/>
        <w:t>Table i</w:t>
      </w:r>
      <w:r w:rsidR="00E36EB8" w:rsidRPr="00362B3D">
        <w:rPr>
          <w:rFonts w:ascii="Times New Roman" w:hAnsi="Times New Roman" w:cs="Times New Roman"/>
          <w:bCs/>
        </w:rPr>
        <w:t xml:space="preserve">tem </w:t>
      </w:r>
      <w:r w:rsidR="00D113A7" w:rsidRPr="00362B3D">
        <w:rPr>
          <w:rFonts w:ascii="Times New Roman" w:hAnsi="Times New Roman" w:cs="Times New Roman"/>
          <w:bCs/>
        </w:rPr>
        <w:t xml:space="preserve">2.2.6 </w:t>
      </w:r>
      <w:r w:rsidR="00E36EB8" w:rsidRPr="00362B3D">
        <w:rPr>
          <w:rFonts w:ascii="Times New Roman" w:hAnsi="Times New Roman" w:cs="Times New Roman"/>
          <w:bCs/>
        </w:rPr>
        <w:t xml:space="preserve">of </w:t>
      </w:r>
      <w:r w:rsidR="00F26E94" w:rsidRPr="00362B3D">
        <w:rPr>
          <w:rFonts w:ascii="Times New Roman" w:hAnsi="Times New Roman" w:cs="Times New Roman"/>
          <w:bCs/>
        </w:rPr>
        <w:t>fixes</w:t>
      </w:r>
      <w:r w:rsidR="00016DA0" w:rsidRPr="00362B3D">
        <w:rPr>
          <w:rFonts w:ascii="Times New Roman" w:hAnsi="Times New Roman" w:cs="Times New Roman"/>
          <w:bCs/>
        </w:rPr>
        <w:t xml:space="preserve"> the charge for </w:t>
      </w:r>
      <w:r w:rsidR="00016DA0" w:rsidRPr="00362B3D">
        <w:rPr>
          <w:rFonts w:ascii="Times New Roman" w:hAnsi="Times New Roman" w:cs="Times New Roman"/>
        </w:rPr>
        <w:t xml:space="preserve">considering an application to participate in a price-based allocation of a </w:t>
      </w:r>
      <w:r w:rsidR="00016DA0" w:rsidRPr="00362B3D">
        <w:rPr>
          <w:rFonts w:ascii="Times New Roman" w:hAnsi="Times New Roman" w:cs="Times New Roman"/>
          <w:bCs/>
        </w:rPr>
        <w:t xml:space="preserve">high power open narrowcasting licence, </w:t>
      </w:r>
      <w:r w:rsidR="00016DA0" w:rsidRPr="00362B3D">
        <w:rPr>
          <w:rFonts w:ascii="Times New Roman" w:hAnsi="Times New Roman" w:cs="Times New Roman"/>
        </w:rPr>
        <w:t xml:space="preserve">in accordance with the </w:t>
      </w:r>
      <w:r w:rsidR="00016DA0" w:rsidRPr="00362B3D">
        <w:rPr>
          <w:rFonts w:ascii="Times New Roman" w:hAnsi="Times New Roman" w:cs="Times New Roman"/>
          <w:i/>
        </w:rPr>
        <w:t>Radiocommunications (Allocation of Transmitter Licences – High Powered Open Narrowcasting Licences) Determination 2014.</w:t>
      </w:r>
      <w:r w:rsidR="00034C3B" w:rsidRPr="00362B3D">
        <w:rPr>
          <w:rFonts w:ascii="Times New Roman" w:hAnsi="Times New Roman" w:cs="Times New Roman"/>
          <w:i/>
        </w:rPr>
        <w:t xml:space="preserve"> </w:t>
      </w:r>
      <w:r w:rsidR="00034C3B" w:rsidRPr="00A8162E">
        <w:rPr>
          <w:rFonts w:ascii="Times New Roman" w:hAnsi="Times New Roman" w:cs="Times New Roman"/>
        </w:rPr>
        <w:t xml:space="preserve">The charge remains unchanged from the </w:t>
      </w:r>
      <w:r w:rsidR="0023694C" w:rsidRPr="00A8162E">
        <w:rPr>
          <w:rFonts w:ascii="Times New Roman" w:hAnsi="Times New Roman" w:cs="Times New Roman"/>
        </w:rPr>
        <w:t xml:space="preserve">current </w:t>
      </w:r>
      <w:r w:rsidR="00034C3B" w:rsidRPr="00A8162E">
        <w:rPr>
          <w:rFonts w:ascii="Times New Roman" w:hAnsi="Times New Roman" w:cs="Times New Roman"/>
        </w:rPr>
        <w:t>2022 Determination amount.</w:t>
      </w:r>
      <w:r w:rsidR="00034C3B" w:rsidRPr="00362B3D">
        <w:rPr>
          <w:rFonts w:ascii="Times New Roman" w:hAnsi="Times New Roman" w:cs="Times New Roman"/>
        </w:rPr>
        <w:t xml:space="preserve"> </w:t>
      </w:r>
    </w:p>
    <w:p w14:paraId="6F3F54FF" w14:textId="19327592" w:rsidR="00564494" w:rsidRPr="00362B3D" w:rsidRDefault="00564494" w:rsidP="00121576">
      <w:pPr>
        <w:pStyle w:val="TableText"/>
        <w:spacing w:before="180"/>
        <w:rPr>
          <w:bCs/>
        </w:rPr>
      </w:pPr>
      <w:r w:rsidRPr="00362B3D">
        <w:rPr>
          <w:bCs/>
        </w:rPr>
        <w:t>Table items 2.2.7</w:t>
      </w:r>
      <w:r w:rsidR="000E1768" w:rsidRPr="00362B3D">
        <w:rPr>
          <w:bCs/>
        </w:rPr>
        <w:t xml:space="preserve"> to </w:t>
      </w:r>
      <w:r w:rsidRPr="00362B3D">
        <w:rPr>
          <w:bCs/>
        </w:rPr>
        <w:t>2.2</w:t>
      </w:r>
      <w:r w:rsidR="00034C3B" w:rsidRPr="00362B3D">
        <w:rPr>
          <w:bCs/>
        </w:rPr>
        <w:t>.</w:t>
      </w:r>
      <w:r w:rsidR="00DB3B57" w:rsidRPr="00362B3D">
        <w:rPr>
          <w:bCs/>
        </w:rPr>
        <w:t xml:space="preserve">10 </w:t>
      </w:r>
      <w:r w:rsidR="000E1768" w:rsidRPr="00362B3D">
        <w:rPr>
          <w:bCs/>
        </w:rPr>
        <w:t>fix</w:t>
      </w:r>
      <w:r w:rsidR="00DB3B57" w:rsidRPr="00362B3D">
        <w:rPr>
          <w:bCs/>
        </w:rPr>
        <w:t xml:space="preserve"> the charges for considering applications to vary certain apparatus licences. </w:t>
      </w:r>
      <w:r w:rsidR="00034C3B" w:rsidRPr="00A8162E">
        <w:rPr>
          <w:bCs/>
        </w:rPr>
        <w:t xml:space="preserve">The charges remain unchanged from the </w:t>
      </w:r>
      <w:r w:rsidR="0023694C" w:rsidRPr="00A8162E">
        <w:rPr>
          <w:bCs/>
        </w:rPr>
        <w:t xml:space="preserve">current </w:t>
      </w:r>
      <w:r w:rsidR="00034C3B" w:rsidRPr="00A8162E">
        <w:rPr>
          <w:bCs/>
        </w:rPr>
        <w:t>2022 Determination amounts</w:t>
      </w:r>
      <w:r w:rsidR="00034C3B" w:rsidRPr="00362B3D">
        <w:rPr>
          <w:bCs/>
        </w:rPr>
        <w:t>.</w:t>
      </w:r>
    </w:p>
    <w:p w14:paraId="39F5C3B3" w14:textId="18997B23" w:rsidR="00121576" w:rsidRPr="00EB0648" w:rsidRDefault="00AD7CAF" w:rsidP="00121576">
      <w:pPr>
        <w:pStyle w:val="TableText"/>
        <w:spacing w:before="180"/>
      </w:pPr>
      <w:r w:rsidRPr="00362B3D">
        <w:rPr>
          <w:bCs/>
        </w:rPr>
        <w:t xml:space="preserve">Table </w:t>
      </w:r>
      <w:r w:rsidRPr="00362B3D">
        <w:t>i</w:t>
      </w:r>
      <w:r w:rsidR="00121576" w:rsidRPr="00362B3D">
        <w:t>tem 2.2.11 provides that the charge for considering an application for the renewal of an assigned apparatus or a non</w:t>
      </w:r>
      <w:r w:rsidR="00E67FB0" w:rsidRPr="00362B3D">
        <w:t>-</w:t>
      </w:r>
      <w:r w:rsidR="00121576" w:rsidRPr="00362B3D">
        <w:t>assigned apparatus licence that includes a renewal statement or a renewal application period statement (as defined in section 5 of the</w:t>
      </w:r>
      <w:r w:rsidR="00646980" w:rsidRPr="00362B3D">
        <w:t xml:space="preserve"> 2022 Determination</w:t>
      </w:r>
      <w:r w:rsidR="00121576" w:rsidRPr="00362B3D">
        <w:t xml:space="preserve">) and renewing it (if applicable), is the hourly rate. </w:t>
      </w:r>
      <w:r w:rsidR="00C667B8" w:rsidRPr="00A8162E">
        <w:t xml:space="preserve">The charge remains unchanged from the </w:t>
      </w:r>
      <w:r w:rsidR="0023694C" w:rsidRPr="00A8162E">
        <w:t xml:space="preserve">current </w:t>
      </w:r>
      <w:r w:rsidR="00C667B8" w:rsidRPr="00A8162E">
        <w:t>2022 Determination amount.</w:t>
      </w:r>
    </w:p>
    <w:p w14:paraId="6D119C66" w14:textId="3D0B83B0" w:rsidR="00AD7CAF" w:rsidRDefault="00121576" w:rsidP="00253FB5">
      <w:pPr>
        <w:spacing w:beforeLines="100" w:before="240"/>
        <w:rPr>
          <w:rFonts w:ascii="Times New Roman" w:hAnsi="Times New Roman" w:cs="Times New Roman"/>
          <w:b/>
          <w:bCs/>
          <w:iCs/>
        </w:rPr>
      </w:pPr>
      <w:r>
        <w:rPr>
          <w:rFonts w:ascii="Times New Roman" w:hAnsi="Times New Roman" w:cs="Times New Roman"/>
          <w:b/>
          <w:bCs/>
          <w:iCs/>
        </w:rPr>
        <w:t>Item 2</w:t>
      </w:r>
      <w:r w:rsidR="00587715">
        <w:rPr>
          <w:rFonts w:ascii="Times New Roman" w:hAnsi="Times New Roman" w:cs="Times New Roman"/>
          <w:b/>
          <w:bCs/>
          <w:iCs/>
        </w:rPr>
        <w:t>9</w:t>
      </w:r>
    </w:p>
    <w:p w14:paraId="43278E4B" w14:textId="5CEE4618" w:rsidR="001623D9" w:rsidRDefault="001E3052" w:rsidP="00253FB5">
      <w:pPr>
        <w:spacing w:beforeLines="100" w:before="240"/>
        <w:rPr>
          <w:rFonts w:ascii="Times New Roman" w:hAnsi="Times New Roman" w:cs="Times New Roman"/>
          <w:iCs/>
        </w:rPr>
      </w:pPr>
      <w:r w:rsidRPr="00CA7D2F">
        <w:rPr>
          <w:rFonts w:ascii="Times New Roman" w:hAnsi="Times New Roman" w:cs="Times New Roman"/>
          <w:iCs/>
        </w:rPr>
        <w:t>Item 2</w:t>
      </w:r>
      <w:r w:rsidR="00587715">
        <w:rPr>
          <w:rFonts w:ascii="Times New Roman" w:hAnsi="Times New Roman" w:cs="Times New Roman"/>
          <w:iCs/>
        </w:rPr>
        <w:t>9</w:t>
      </w:r>
      <w:r w:rsidRPr="00CA7D2F">
        <w:rPr>
          <w:rFonts w:ascii="Times New Roman" w:hAnsi="Times New Roman" w:cs="Times New Roman"/>
          <w:iCs/>
        </w:rPr>
        <w:t xml:space="preserve"> repeals Tables 3 </w:t>
      </w:r>
      <w:r w:rsidR="00D540DE">
        <w:rPr>
          <w:rFonts w:ascii="Times New Roman" w:hAnsi="Times New Roman" w:cs="Times New Roman"/>
          <w:iCs/>
        </w:rPr>
        <w:t>to</w:t>
      </w:r>
      <w:r w:rsidRPr="00CA7D2F">
        <w:rPr>
          <w:rFonts w:ascii="Times New Roman" w:hAnsi="Times New Roman" w:cs="Times New Roman"/>
          <w:iCs/>
        </w:rPr>
        <w:t xml:space="preserve"> 8</w:t>
      </w:r>
      <w:r>
        <w:rPr>
          <w:rFonts w:ascii="Times New Roman" w:hAnsi="Times New Roman" w:cs="Times New Roman"/>
          <w:iCs/>
        </w:rPr>
        <w:t xml:space="preserve"> of Part 2 of Schedule 1 to the 2022 Determination.</w:t>
      </w:r>
      <w:r w:rsidR="008C40A8">
        <w:rPr>
          <w:rFonts w:ascii="Times New Roman" w:hAnsi="Times New Roman" w:cs="Times New Roman"/>
          <w:iCs/>
        </w:rPr>
        <w:t xml:space="preserve"> </w:t>
      </w:r>
      <w:r w:rsidR="00EB625C">
        <w:rPr>
          <w:rFonts w:ascii="Times New Roman" w:hAnsi="Times New Roman" w:cs="Times New Roman"/>
          <w:iCs/>
        </w:rPr>
        <w:t xml:space="preserve">Most of the </w:t>
      </w:r>
      <w:r>
        <w:rPr>
          <w:rFonts w:ascii="Times New Roman" w:hAnsi="Times New Roman" w:cs="Times New Roman"/>
          <w:iCs/>
        </w:rPr>
        <w:t>table items that were listed in th</w:t>
      </w:r>
      <w:r w:rsidR="00EB625C">
        <w:rPr>
          <w:rFonts w:ascii="Times New Roman" w:hAnsi="Times New Roman" w:cs="Times New Roman"/>
          <w:iCs/>
        </w:rPr>
        <w:t xml:space="preserve">ese </w:t>
      </w:r>
      <w:r>
        <w:rPr>
          <w:rFonts w:ascii="Times New Roman" w:hAnsi="Times New Roman" w:cs="Times New Roman"/>
          <w:iCs/>
        </w:rPr>
        <w:t xml:space="preserve">tables have been moved into either </w:t>
      </w:r>
      <w:r w:rsidR="00D540DE">
        <w:rPr>
          <w:rFonts w:ascii="Times New Roman" w:hAnsi="Times New Roman" w:cs="Times New Roman"/>
          <w:iCs/>
        </w:rPr>
        <w:t xml:space="preserve">new </w:t>
      </w:r>
      <w:r>
        <w:rPr>
          <w:rFonts w:ascii="Times New Roman" w:hAnsi="Times New Roman" w:cs="Times New Roman"/>
          <w:iCs/>
        </w:rPr>
        <w:t xml:space="preserve">Table 1 or Table 2 </w:t>
      </w:r>
      <w:r w:rsidR="00D540DE">
        <w:rPr>
          <w:rFonts w:ascii="Times New Roman" w:hAnsi="Times New Roman" w:cs="Times New Roman"/>
          <w:iCs/>
        </w:rPr>
        <w:t xml:space="preserve">of Part 2 of Schedule 1 </w:t>
      </w:r>
      <w:r>
        <w:rPr>
          <w:rFonts w:ascii="Times New Roman" w:hAnsi="Times New Roman" w:cs="Times New Roman"/>
          <w:iCs/>
        </w:rPr>
        <w:t xml:space="preserve">(see </w:t>
      </w:r>
      <w:r w:rsidR="00D540DE">
        <w:rPr>
          <w:rFonts w:ascii="Times New Roman" w:hAnsi="Times New Roman" w:cs="Times New Roman"/>
          <w:iCs/>
        </w:rPr>
        <w:t>i</w:t>
      </w:r>
      <w:r>
        <w:rPr>
          <w:rFonts w:ascii="Times New Roman" w:hAnsi="Times New Roman" w:cs="Times New Roman"/>
          <w:iCs/>
        </w:rPr>
        <w:t>tems 2</w:t>
      </w:r>
      <w:r w:rsidR="00450544">
        <w:rPr>
          <w:rFonts w:ascii="Times New Roman" w:hAnsi="Times New Roman" w:cs="Times New Roman"/>
          <w:iCs/>
        </w:rPr>
        <w:t>7</w:t>
      </w:r>
      <w:r>
        <w:rPr>
          <w:rFonts w:ascii="Times New Roman" w:hAnsi="Times New Roman" w:cs="Times New Roman"/>
          <w:iCs/>
        </w:rPr>
        <w:t xml:space="preserve"> and 2</w:t>
      </w:r>
      <w:r w:rsidR="00450544">
        <w:rPr>
          <w:rFonts w:ascii="Times New Roman" w:hAnsi="Times New Roman" w:cs="Times New Roman"/>
          <w:iCs/>
        </w:rPr>
        <w:t>8</w:t>
      </w:r>
      <w:r>
        <w:rPr>
          <w:rFonts w:ascii="Times New Roman" w:hAnsi="Times New Roman" w:cs="Times New Roman"/>
          <w:iCs/>
        </w:rPr>
        <w:t>)</w:t>
      </w:r>
      <w:r w:rsidR="00177CB1">
        <w:rPr>
          <w:rFonts w:ascii="Times New Roman" w:hAnsi="Times New Roman" w:cs="Times New Roman"/>
          <w:iCs/>
        </w:rPr>
        <w:t>,</w:t>
      </w:r>
      <w:r>
        <w:rPr>
          <w:rFonts w:ascii="Times New Roman" w:hAnsi="Times New Roman" w:cs="Times New Roman"/>
          <w:iCs/>
        </w:rPr>
        <w:t xml:space="preserve"> so </w:t>
      </w:r>
      <w:r w:rsidR="00EC3612">
        <w:rPr>
          <w:rFonts w:ascii="Times New Roman" w:hAnsi="Times New Roman" w:cs="Times New Roman"/>
          <w:iCs/>
        </w:rPr>
        <w:t xml:space="preserve">the remaining </w:t>
      </w:r>
      <w:r w:rsidR="00D540DE">
        <w:rPr>
          <w:rFonts w:ascii="Times New Roman" w:hAnsi="Times New Roman" w:cs="Times New Roman"/>
          <w:iCs/>
        </w:rPr>
        <w:t>t</w:t>
      </w:r>
      <w:r w:rsidR="00EC3612">
        <w:rPr>
          <w:rFonts w:ascii="Times New Roman" w:hAnsi="Times New Roman" w:cs="Times New Roman"/>
          <w:iCs/>
        </w:rPr>
        <w:t xml:space="preserve">ables are no longer needed. </w:t>
      </w:r>
    </w:p>
    <w:p w14:paraId="29C8EB16" w14:textId="1B74A1BC" w:rsidR="001225E9" w:rsidRDefault="00383C14" w:rsidP="00253FB5">
      <w:pPr>
        <w:spacing w:beforeLines="100" w:before="240"/>
        <w:rPr>
          <w:rFonts w:ascii="Times New Roman" w:hAnsi="Times New Roman" w:cs="Times New Roman"/>
          <w:iCs/>
        </w:rPr>
      </w:pPr>
      <w:r w:rsidRPr="00A8162E">
        <w:rPr>
          <w:rFonts w:ascii="Times New Roman" w:hAnsi="Times New Roman" w:cs="Times New Roman"/>
          <w:iCs/>
        </w:rPr>
        <w:t xml:space="preserve">Some of the </w:t>
      </w:r>
      <w:r w:rsidR="005D7639" w:rsidRPr="00A8162E">
        <w:rPr>
          <w:rFonts w:ascii="Times New Roman" w:hAnsi="Times New Roman" w:cs="Times New Roman"/>
          <w:iCs/>
        </w:rPr>
        <w:t xml:space="preserve">licence types referred to in Table 5 of Part 2 are now class licensed and the ACMA </w:t>
      </w:r>
      <w:r w:rsidR="009826E9" w:rsidRPr="00A8162E">
        <w:rPr>
          <w:rFonts w:ascii="Times New Roman" w:hAnsi="Times New Roman" w:cs="Times New Roman"/>
          <w:iCs/>
        </w:rPr>
        <w:t xml:space="preserve">therefore </w:t>
      </w:r>
      <w:r w:rsidR="005D7639" w:rsidRPr="00A8162E">
        <w:rPr>
          <w:rFonts w:ascii="Times New Roman" w:hAnsi="Times New Roman" w:cs="Times New Roman"/>
          <w:iCs/>
        </w:rPr>
        <w:t xml:space="preserve">no longer issues </w:t>
      </w:r>
      <w:r w:rsidR="00EE6AFA" w:rsidRPr="00A8162E">
        <w:rPr>
          <w:rFonts w:ascii="Times New Roman" w:hAnsi="Times New Roman" w:cs="Times New Roman"/>
          <w:iCs/>
        </w:rPr>
        <w:t xml:space="preserve">apparatus </w:t>
      </w:r>
      <w:r w:rsidR="00D540DE" w:rsidRPr="00A8162E">
        <w:rPr>
          <w:rFonts w:ascii="Times New Roman" w:hAnsi="Times New Roman" w:cs="Times New Roman"/>
          <w:iCs/>
        </w:rPr>
        <w:t xml:space="preserve">licences of </w:t>
      </w:r>
      <w:r w:rsidR="005D7639" w:rsidRPr="00A8162E">
        <w:rPr>
          <w:rFonts w:ascii="Times New Roman" w:hAnsi="Times New Roman" w:cs="Times New Roman"/>
          <w:iCs/>
        </w:rPr>
        <w:t>those licence types</w:t>
      </w:r>
      <w:r w:rsidR="00A330B8" w:rsidRPr="00A8162E">
        <w:rPr>
          <w:rFonts w:ascii="Times New Roman" w:hAnsi="Times New Roman" w:cs="Times New Roman"/>
          <w:iCs/>
        </w:rPr>
        <w:t xml:space="preserve">. </w:t>
      </w:r>
      <w:r w:rsidR="00D86D8C" w:rsidRPr="00A8162E">
        <w:rPr>
          <w:rFonts w:ascii="Times New Roman" w:hAnsi="Times New Roman" w:cs="Times New Roman"/>
          <w:iCs/>
        </w:rPr>
        <w:t xml:space="preserve">Those licence types </w:t>
      </w:r>
      <w:r w:rsidR="00A31778" w:rsidRPr="00A8162E">
        <w:rPr>
          <w:rFonts w:ascii="Times New Roman" w:hAnsi="Times New Roman" w:cs="Times New Roman"/>
          <w:iCs/>
        </w:rPr>
        <w:t xml:space="preserve">were set out at </w:t>
      </w:r>
      <w:r w:rsidR="00987C9A" w:rsidRPr="00A8162E">
        <w:rPr>
          <w:rFonts w:ascii="Times New Roman" w:hAnsi="Times New Roman" w:cs="Times New Roman"/>
          <w:iCs/>
        </w:rPr>
        <w:t>t</w:t>
      </w:r>
      <w:r w:rsidR="00A31778" w:rsidRPr="00A8162E">
        <w:rPr>
          <w:rFonts w:ascii="Times New Roman" w:hAnsi="Times New Roman" w:cs="Times New Roman"/>
          <w:iCs/>
        </w:rPr>
        <w:t>able item 2.5.1 (a), (d) and (e) of the 2022 Determination</w:t>
      </w:r>
      <w:r w:rsidR="00660B9E" w:rsidRPr="00A8162E">
        <w:rPr>
          <w:rFonts w:ascii="Times New Roman" w:hAnsi="Times New Roman" w:cs="Times New Roman"/>
          <w:iCs/>
        </w:rPr>
        <w:t>, before it was amended by the instrument</w:t>
      </w:r>
      <w:r w:rsidR="009826E9" w:rsidRPr="00A8162E">
        <w:rPr>
          <w:rFonts w:ascii="Times New Roman" w:hAnsi="Times New Roman" w:cs="Times New Roman"/>
          <w:iCs/>
        </w:rPr>
        <w:t>.</w:t>
      </w:r>
      <w:r w:rsidR="009826E9">
        <w:rPr>
          <w:rFonts w:ascii="Times New Roman" w:hAnsi="Times New Roman" w:cs="Times New Roman"/>
          <w:iCs/>
        </w:rPr>
        <w:t xml:space="preserve">  </w:t>
      </w:r>
    </w:p>
    <w:p w14:paraId="791404A7" w14:textId="2CE24E1C" w:rsidR="00BC0888" w:rsidRPr="006F76B1" w:rsidRDefault="00BC0888" w:rsidP="00BC0888">
      <w:pPr>
        <w:rPr>
          <w:rFonts w:ascii="Times New Roman" w:hAnsi="Times New Roman" w:cs="Times New Roman"/>
          <w:b/>
        </w:rPr>
      </w:pPr>
      <w:r w:rsidRPr="006F76B1">
        <w:rPr>
          <w:rFonts w:ascii="Times New Roman" w:hAnsi="Times New Roman" w:cs="Times New Roman"/>
          <w:b/>
        </w:rPr>
        <w:t xml:space="preserve">Item </w:t>
      </w:r>
      <w:r w:rsidR="00450544">
        <w:rPr>
          <w:rFonts w:ascii="Times New Roman" w:hAnsi="Times New Roman" w:cs="Times New Roman"/>
          <w:b/>
        </w:rPr>
        <w:t>30</w:t>
      </w:r>
    </w:p>
    <w:p w14:paraId="10037AB9" w14:textId="290B0F8E" w:rsidR="00BC0888" w:rsidRPr="00CA7D2F" w:rsidRDefault="00BC0888" w:rsidP="00BC0888">
      <w:pPr>
        <w:rPr>
          <w:rFonts w:ascii="Times New Roman" w:hAnsi="Times New Roman" w:cs="Times New Roman"/>
          <w:bCs/>
          <w:i/>
          <w:iCs/>
        </w:rPr>
      </w:pPr>
      <w:r w:rsidRPr="006F76B1">
        <w:rPr>
          <w:rFonts w:ascii="Times New Roman" w:hAnsi="Times New Roman" w:cs="Times New Roman"/>
          <w:bCs/>
        </w:rPr>
        <w:t xml:space="preserve">Item </w:t>
      </w:r>
      <w:r w:rsidR="00450544">
        <w:rPr>
          <w:rFonts w:ascii="Times New Roman" w:hAnsi="Times New Roman" w:cs="Times New Roman"/>
          <w:bCs/>
        </w:rPr>
        <w:t>30</w:t>
      </w:r>
      <w:r w:rsidRPr="006F76B1">
        <w:rPr>
          <w:rFonts w:ascii="Times New Roman" w:hAnsi="Times New Roman" w:cs="Times New Roman"/>
          <w:bCs/>
        </w:rPr>
        <w:t xml:space="preserve"> makes one minor change to insert the word ‘the’ before </w:t>
      </w:r>
      <w:r w:rsidR="005A50FA">
        <w:rPr>
          <w:rFonts w:ascii="Times New Roman" w:hAnsi="Times New Roman" w:cs="Times New Roman"/>
          <w:bCs/>
        </w:rPr>
        <w:t>‘</w:t>
      </w:r>
      <w:r w:rsidRPr="006F76B1">
        <w:rPr>
          <w:rFonts w:ascii="Times New Roman" w:hAnsi="Times New Roman" w:cs="Times New Roman"/>
          <w:bCs/>
          <w:i/>
          <w:iCs/>
        </w:rPr>
        <w:t>Radiocommunications Act 1992</w:t>
      </w:r>
      <w:r w:rsidR="005A50FA">
        <w:rPr>
          <w:rFonts w:ascii="Times New Roman" w:hAnsi="Times New Roman" w:cs="Times New Roman"/>
          <w:bCs/>
        </w:rPr>
        <w:t>’</w:t>
      </w:r>
      <w:r>
        <w:rPr>
          <w:rFonts w:ascii="Times New Roman" w:hAnsi="Times New Roman" w:cs="Times New Roman"/>
          <w:b/>
          <w:i/>
          <w:iCs/>
        </w:rPr>
        <w:t xml:space="preserve"> </w:t>
      </w:r>
      <w:r w:rsidRPr="00CA7D2F">
        <w:rPr>
          <w:rFonts w:ascii="Times New Roman" w:hAnsi="Times New Roman" w:cs="Times New Roman"/>
          <w:bCs/>
        </w:rPr>
        <w:t xml:space="preserve">in column 2 of </w:t>
      </w:r>
      <w:r w:rsidR="00987C9A">
        <w:rPr>
          <w:rFonts w:ascii="Times New Roman" w:hAnsi="Times New Roman" w:cs="Times New Roman"/>
          <w:bCs/>
        </w:rPr>
        <w:t>t</w:t>
      </w:r>
      <w:r w:rsidRPr="00CA7D2F">
        <w:rPr>
          <w:rFonts w:ascii="Times New Roman" w:hAnsi="Times New Roman" w:cs="Times New Roman"/>
          <w:bCs/>
        </w:rPr>
        <w:t>able item 3.1.1</w:t>
      </w:r>
      <w:r w:rsidR="00A1307E">
        <w:rPr>
          <w:rFonts w:ascii="Times New Roman" w:hAnsi="Times New Roman" w:cs="Times New Roman"/>
          <w:bCs/>
        </w:rPr>
        <w:t xml:space="preserve"> in </w:t>
      </w:r>
      <w:r w:rsidR="005A50FA">
        <w:rPr>
          <w:rFonts w:ascii="Times New Roman" w:hAnsi="Times New Roman" w:cs="Times New Roman"/>
          <w:bCs/>
        </w:rPr>
        <w:t xml:space="preserve">Table 1 in </w:t>
      </w:r>
      <w:r w:rsidR="00A1307E">
        <w:rPr>
          <w:rFonts w:ascii="Times New Roman" w:hAnsi="Times New Roman" w:cs="Times New Roman"/>
          <w:bCs/>
        </w:rPr>
        <w:t xml:space="preserve">Part 3 of </w:t>
      </w:r>
      <w:r w:rsidR="005A50FA">
        <w:rPr>
          <w:rFonts w:ascii="Times New Roman" w:hAnsi="Times New Roman" w:cs="Times New Roman"/>
          <w:bCs/>
        </w:rPr>
        <w:t>Schedule 1 to the 2022 Determination</w:t>
      </w:r>
      <w:r w:rsidRPr="00CA7D2F">
        <w:rPr>
          <w:rFonts w:ascii="Times New Roman" w:hAnsi="Times New Roman" w:cs="Times New Roman"/>
          <w:bCs/>
          <w:i/>
          <w:iCs/>
        </w:rPr>
        <w:t xml:space="preserve">. </w:t>
      </w:r>
    </w:p>
    <w:p w14:paraId="7087CF04" w14:textId="35FF34B5" w:rsidR="00BC0888" w:rsidRPr="00CA7D2F" w:rsidRDefault="00BC0888" w:rsidP="00BC0888">
      <w:pPr>
        <w:rPr>
          <w:rFonts w:ascii="Times New Roman" w:hAnsi="Times New Roman" w:cs="Times New Roman"/>
          <w:b/>
        </w:rPr>
      </w:pPr>
      <w:r w:rsidRPr="00CA7D2F">
        <w:rPr>
          <w:rFonts w:ascii="Times New Roman" w:hAnsi="Times New Roman" w:cs="Times New Roman"/>
          <w:b/>
        </w:rPr>
        <w:t xml:space="preserve">Item </w:t>
      </w:r>
      <w:r w:rsidR="00A868DE">
        <w:rPr>
          <w:rFonts w:ascii="Times New Roman" w:hAnsi="Times New Roman" w:cs="Times New Roman"/>
          <w:b/>
        </w:rPr>
        <w:t>31</w:t>
      </w:r>
    </w:p>
    <w:p w14:paraId="251DB50E" w14:textId="43BE70C5" w:rsidR="00BC0888" w:rsidRPr="00CA7D2F" w:rsidRDefault="00BC0888" w:rsidP="00BC0888">
      <w:pPr>
        <w:rPr>
          <w:rFonts w:ascii="Times New Roman" w:hAnsi="Times New Roman" w:cs="Times New Roman"/>
          <w:bCs/>
        </w:rPr>
      </w:pPr>
      <w:r w:rsidRPr="00CA7D2F">
        <w:rPr>
          <w:rFonts w:ascii="Times New Roman" w:hAnsi="Times New Roman" w:cs="Times New Roman"/>
          <w:bCs/>
        </w:rPr>
        <w:t xml:space="preserve">Item </w:t>
      </w:r>
      <w:r w:rsidR="00A868DE">
        <w:rPr>
          <w:rFonts w:ascii="Times New Roman" w:hAnsi="Times New Roman" w:cs="Times New Roman"/>
          <w:bCs/>
        </w:rPr>
        <w:t>31</w:t>
      </w:r>
      <w:r w:rsidRPr="00CA7D2F">
        <w:rPr>
          <w:rFonts w:ascii="Times New Roman" w:hAnsi="Times New Roman" w:cs="Times New Roman"/>
          <w:bCs/>
        </w:rPr>
        <w:t xml:space="preserve"> amends the heading of Table 3 in Part 3 of Schedule 1 to the 2022 Determination to add the words ‘or under section 193 of the Radiocommunications Act’.</w:t>
      </w:r>
      <w:r w:rsidR="008C40A8">
        <w:rPr>
          <w:rFonts w:ascii="Times New Roman" w:hAnsi="Times New Roman" w:cs="Times New Roman"/>
          <w:bCs/>
        </w:rPr>
        <w:t xml:space="preserve"> </w:t>
      </w:r>
      <w:r w:rsidRPr="00CA7D2F">
        <w:rPr>
          <w:rFonts w:ascii="Times New Roman" w:hAnsi="Times New Roman" w:cs="Times New Roman"/>
          <w:bCs/>
        </w:rPr>
        <w:t>The change has been made as additional table items have been added to the table which relate to applications for permissions under section 193 of the Radiocommunications Act.</w:t>
      </w:r>
    </w:p>
    <w:p w14:paraId="7FB7A370" w14:textId="1AB5E2AB" w:rsidR="00BC0888" w:rsidRPr="00CA7D2F" w:rsidRDefault="00BC0888" w:rsidP="00A868DE">
      <w:pPr>
        <w:keepNext/>
        <w:rPr>
          <w:rFonts w:ascii="Times New Roman" w:hAnsi="Times New Roman" w:cs="Times New Roman"/>
          <w:b/>
        </w:rPr>
      </w:pPr>
      <w:r w:rsidRPr="00CA7D2F">
        <w:rPr>
          <w:rFonts w:ascii="Times New Roman" w:hAnsi="Times New Roman" w:cs="Times New Roman"/>
          <w:b/>
        </w:rPr>
        <w:t>Item 3</w:t>
      </w:r>
      <w:r w:rsidR="00A868DE">
        <w:rPr>
          <w:rFonts w:ascii="Times New Roman" w:hAnsi="Times New Roman" w:cs="Times New Roman"/>
          <w:b/>
        </w:rPr>
        <w:t>2</w:t>
      </w:r>
    </w:p>
    <w:p w14:paraId="68A3C720" w14:textId="3FA53567" w:rsidR="00016DA0" w:rsidRDefault="00BC0888" w:rsidP="00BC0888">
      <w:pPr>
        <w:rPr>
          <w:rFonts w:ascii="Times New Roman" w:hAnsi="Times New Roman" w:cs="Times New Roman"/>
          <w:bCs/>
        </w:rPr>
      </w:pPr>
      <w:r w:rsidRPr="00CA7D2F">
        <w:rPr>
          <w:rFonts w:ascii="Times New Roman" w:hAnsi="Times New Roman" w:cs="Times New Roman"/>
          <w:bCs/>
        </w:rPr>
        <w:t>Item 3</w:t>
      </w:r>
      <w:r w:rsidR="00A868DE">
        <w:rPr>
          <w:rFonts w:ascii="Times New Roman" w:hAnsi="Times New Roman" w:cs="Times New Roman"/>
          <w:bCs/>
        </w:rPr>
        <w:t>2</w:t>
      </w:r>
      <w:r w:rsidRPr="00CA7D2F">
        <w:rPr>
          <w:rFonts w:ascii="Times New Roman" w:hAnsi="Times New Roman" w:cs="Times New Roman"/>
          <w:bCs/>
        </w:rPr>
        <w:t xml:space="preserve"> adds two new table items to the end of Table 3 in Part </w:t>
      </w:r>
      <w:r w:rsidR="00127102">
        <w:rPr>
          <w:rFonts w:ascii="Times New Roman" w:hAnsi="Times New Roman" w:cs="Times New Roman"/>
          <w:bCs/>
        </w:rPr>
        <w:t>3</w:t>
      </w:r>
      <w:r w:rsidRPr="00CA7D2F">
        <w:rPr>
          <w:rFonts w:ascii="Times New Roman" w:hAnsi="Times New Roman" w:cs="Times New Roman"/>
          <w:bCs/>
        </w:rPr>
        <w:t xml:space="preserve"> of Schedule 1 to the 2022 Determination.</w:t>
      </w:r>
      <w:r w:rsidR="008C40A8">
        <w:rPr>
          <w:rFonts w:ascii="Times New Roman" w:hAnsi="Times New Roman" w:cs="Times New Roman"/>
          <w:bCs/>
        </w:rPr>
        <w:t xml:space="preserve"> </w:t>
      </w:r>
      <w:r w:rsidR="001B50CF" w:rsidRPr="00A8162E">
        <w:rPr>
          <w:rFonts w:ascii="Times New Roman" w:hAnsi="Times New Roman" w:cs="Times New Roman"/>
          <w:bCs/>
        </w:rPr>
        <w:t>The charges relate to the ACMA’s</w:t>
      </w:r>
      <w:r w:rsidR="00405616" w:rsidRPr="00A8162E">
        <w:rPr>
          <w:rFonts w:ascii="Times New Roman" w:hAnsi="Times New Roman" w:cs="Times New Roman"/>
          <w:bCs/>
        </w:rPr>
        <w:t xml:space="preserve"> consideration </w:t>
      </w:r>
      <w:r w:rsidR="006B6551" w:rsidRPr="00A8162E">
        <w:rPr>
          <w:rFonts w:ascii="Times New Roman" w:hAnsi="Times New Roman" w:cs="Times New Roman"/>
          <w:bCs/>
        </w:rPr>
        <w:t xml:space="preserve">and giving of a </w:t>
      </w:r>
      <w:r w:rsidR="001B50CF" w:rsidRPr="00A8162E">
        <w:rPr>
          <w:rFonts w:ascii="Times New Roman" w:hAnsi="Times New Roman" w:cs="Times New Roman"/>
          <w:bCs/>
        </w:rPr>
        <w:t>written permission to a person under section 193 of the Radiocommunications Act. That permission allows a person to operate a radiocommunications transmitter in a way that they know is likely to interfere substantially with certain radiocommunications. Operating a radiocommunications transmitter in such a way without that permission is an offence under the Radiocommunications Act</w:t>
      </w:r>
      <w:r w:rsidR="00405616" w:rsidRPr="00A8162E">
        <w:rPr>
          <w:rFonts w:ascii="Times New Roman" w:hAnsi="Times New Roman" w:cs="Times New Roman"/>
          <w:bCs/>
        </w:rPr>
        <w:t>.</w:t>
      </w:r>
      <w:r w:rsidR="008C40A8" w:rsidRPr="00A8162E">
        <w:rPr>
          <w:rFonts w:ascii="Times New Roman" w:hAnsi="Times New Roman" w:cs="Times New Roman"/>
          <w:bCs/>
        </w:rPr>
        <w:t xml:space="preserve"> </w:t>
      </w:r>
      <w:r w:rsidR="00405616" w:rsidRPr="00A8162E">
        <w:rPr>
          <w:rFonts w:ascii="Times New Roman" w:hAnsi="Times New Roman" w:cs="Times New Roman"/>
          <w:bCs/>
        </w:rPr>
        <w:t>The charge is the hourly rate.</w:t>
      </w:r>
      <w:r w:rsidR="00405616">
        <w:rPr>
          <w:rFonts w:ascii="Times New Roman" w:hAnsi="Times New Roman" w:cs="Times New Roman"/>
          <w:bCs/>
        </w:rPr>
        <w:t xml:space="preserve">  </w:t>
      </w:r>
    </w:p>
    <w:p w14:paraId="35ECCA40" w14:textId="23F96CEB" w:rsidR="00AA3DE5" w:rsidRDefault="00AA3DE5" w:rsidP="00AA3DE5">
      <w:pPr>
        <w:spacing w:line="256" w:lineRule="auto"/>
        <w:rPr>
          <w:rFonts w:ascii="Times New Roman" w:hAnsi="Times New Roman" w:cs="Times New Roman"/>
          <w:b/>
        </w:rPr>
      </w:pPr>
      <w:r>
        <w:rPr>
          <w:rFonts w:ascii="Times New Roman" w:hAnsi="Times New Roman" w:cs="Times New Roman"/>
          <w:b/>
        </w:rPr>
        <w:t>Item 3</w:t>
      </w:r>
      <w:r w:rsidR="00A868DE">
        <w:rPr>
          <w:rFonts w:ascii="Times New Roman" w:hAnsi="Times New Roman" w:cs="Times New Roman"/>
          <w:b/>
        </w:rPr>
        <w:t>3</w:t>
      </w:r>
    </w:p>
    <w:p w14:paraId="146751BB" w14:textId="104D7FB9" w:rsidR="0021601A" w:rsidRDefault="00BA784A" w:rsidP="008A1C2E">
      <w:pPr>
        <w:spacing w:line="256" w:lineRule="auto"/>
        <w:rPr>
          <w:rFonts w:ascii="Times New Roman" w:hAnsi="Times New Roman" w:cs="Times New Roman"/>
          <w:bCs/>
        </w:rPr>
      </w:pPr>
      <w:r>
        <w:rPr>
          <w:rFonts w:ascii="Times New Roman" w:hAnsi="Times New Roman" w:cs="Times New Roman"/>
          <w:bCs/>
        </w:rPr>
        <w:t>Item 3</w:t>
      </w:r>
      <w:r w:rsidR="00A868DE">
        <w:rPr>
          <w:rFonts w:ascii="Times New Roman" w:hAnsi="Times New Roman" w:cs="Times New Roman"/>
          <w:bCs/>
        </w:rPr>
        <w:t>3</w:t>
      </w:r>
      <w:r>
        <w:rPr>
          <w:rFonts w:ascii="Times New Roman" w:hAnsi="Times New Roman" w:cs="Times New Roman"/>
          <w:bCs/>
        </w:rPr>
        <w:t xml:space="preserve"> </w:t>
      </w:r>
      <w:r w:rsidR="00235199">
        <w:rPr>
          <w:rFonts w:ascii="Times New Roman" w:hAnsi="Times New Roman" w:cs="Times New Roman"/>
          <w:bCs/>
        </w:rPr>
        <w:t xml:space="preserve">repeals </w:t>
      </w:r>
      <w:r>
        <w:rPr>
          <w:rFonts w:ascii="Times New Roman" w:hAnsi="Times New Roman" w:cs="Times New Roman"/>
          <w:bCs/>
        </w:rPr>
        <w:t>Table 4</w:t>
      </w:r>
      <w:r w:rsidR="00377444">
        <w:rPr>
          <w:rFonts w:ascii="Times New Roman" w:hAnsi="Times New Roman" w:cs="Times New Roman"/>
          <w:bCs/>
        </w:rPr>
        <w:t xml:space="preserve"> of Part 3 of Schedule 1 to the 2022 Determination</w:t>
      </w:r>
      <w:r>
        <w:rPr>
          <w:rFonts w:ascii="Times New Roman" w:hAnsi="Times New Roman" w:cs="Times New Roman"/>
          <w:bCs/>
        </w:rPr>
        <w:t xml:space="preserve"> </w:t>
      </w:r>
      <w:r w:rsidR="00235199">
        <w:rPr>
          <w:rFonts w:ascii="Times New Roman" w:hAnsi="Times New Roman" w:cs="Times New Roman"/>
          <w:bCs/>
        </w:rPr>
        <w:t xml:space="preserve">and replaces it with a new Table 4. </w:t>
      </w:r>
      <w:r w:rsidR="00192A75">
        <w:rPr>
          <w:rFonts w:ascii="Times New Roman" w:hAnsi="Times New Roman" w:cs="Times New Roman"/>
          <w:bCs/>
        </w:rPr>
        <w:t xml:space="preserve">The </w:t>
      </w:r>
      <w:r w:rsidR="00CD78F2">
        <w:rPr>
          <w:rFonts w:ascii="Times New Roman" w:hAnsi="Times New Roman" w:cs="Times New Roman"/>
          <w:bCs/>
        </w:rPr>
        <w:t xml:space="preserve">new </w:t>
      </w:r>
      <w:r w:rsidR="00192A75">
        <w:rPr>
          <w:rFonts w:ascii="Times New Roman" w:hAnsi="Times New Roman" w:cs="Times New Roman"/>
          <w:bCs/>
        </w:rPr>
        <w:t xml:space="preserve">Table </w:t>
      </w:r>
      <w:r w:rsidR="00CD78F2">
        <w:rPr>
          <w:rFonts w:ascii="Times New Roman" w:hAnsi="Times New Roman" w:cs="Times New Roman"/>
          <w:bCs/>
        </w:rPr>
        <w:t xml:space="preserve">4 </w:t>
      </w:r>
      <w:r w:rsidR="003C7FD1">
        <w:rPr>
          <w:rFonts w:ascii="Times New Roman" w:hAnsi="Times New Roman" w:cs="Times New Roman"/>
          <w:bCs/>
        </w:rPr>
        <w:t>fixes</w:t>
      </w:r>
      <w:r w:rsidR="00192A75">
        <w:rPr>
          <w:rFonts w:ascii="Times New Roman" w:hAnsi="Times New Roman" w:cs="Times New Roman"/>
          <w:bCs/>
        </w:rPr>
        <w:t xml:space="preserve"> the charges relating to </w:t>
      </w:r>
      <w:r w:rsidR="00192A75" w:rsidRPr="00362B3D">
        <w:rPr>
          <w:rFonts w:ascii="Times New Roman" w:hAnsi="Times New Roman" w:cs="Times New Roman"/>
          <w:bCs/>
        </w:rPr>
        <w:t xml:space="preserve">amateur and marine radio examinations and certificates. </w:t>
      </w:r>
      <w:r w:rsidR="00235199" w:rsidRPr="00362B3D">
        <w:rPr>
          <w:rFonts w:ascii="Times New Roman" w:hAnsi="Times New Roman" w:cs="Times New Roman"/>
          <w:bCs/>
        </w:rPr>
        <w:t xml:space="preserve">The new Table 4 </w:t>
      </w:r>
      <w:r w:rsidR="00A41604" w:rsidRPr="00362B3D">
        <w:rPr>
          <w:rFonts w:ascii="Times New Roman" w:hAnsi="Times New Roman" w:cs="Times New Roman"/>
          <w:bCs/>
        </w:rPr>
        <w:t xml:space="preserve">merges </w:t>
      </w:r>
      <w:r w:rsidR="00377444" w:rsidRPr="00362B3D">
        <w:rPr>
          <w:rFonts w:ascii="Times New Roman" w:hAnsi="Times New Roman" w:cs="Times New Roman"/>
          <w:bCs/>
        </w:rPr>
        <w:t>table items from Table</w:t>
      </w:r>
      <w:r w:rsidR="003C7FD1" w:rsidRPr="00362B3D">
        <w:rPr>
          <w:rFonts w:ascii="Times New Roman" w:hAnsi="Times New Roman" w:cs="Times New Roman"/>
          <w:bCs/>
        </w:rPr>
        <w:t>s</w:t>
      </w:r>
      <w:r w:rsidR="00377444" w:rsidRPr="00362B3D">
        <w:rPr>
          <w:rFonts w:ascii="Times New Roman" w:hAnsi="Times New Roman" w:cs="Times New Roman"/>
          <w:bCs/>
        </w:rPr>
        <w:t xml:space="preserve"> 4 and 5 of Part 3 of Schedule 1</w:t>
      </w:r>
      <w:r w:rsidR="00086FD3" w:rsidRPr="00362B3D">
        <w:rPr>
          <w:rFonts w:ascii="Times New Roman" w:hAnsi="Times New Roman" w:cs="Times New Roman"/>
          <w:bCs/>
        </w:rPr>
        <w:t xml:space="preserve"> to the 2022 Determination</w:t>
      </w:r>
      <w:r w:rsidR="003C7FD1" w:rsidRPr="00362B3D">
        <w:rPr>
          <w:rFonts w:ascii="Times New Roman" w:hAnsi="Times New Roman" w:cs="Times New Roman"/>
          <w:bCs/>
        </w:rPr>
        <w:t>,</w:t>
      </w:r>
      <w:r w:rsidR="00F118C9" w:rsidRPr="00362B3D">
        <w:rPr>
          <w:rFonts w:ascii="Times New Roman" w:hAnsi="Times New Roman" w:cs="Times New Roman"/>
          <w:bCs/>
        </w:rPr>
        <w:t xml:space="preserve"> and one item from Part 4 of Schedule 1</w:t>
      </w:r>
      <w:r w:rsidR="0021601A" w:rsidRPr="00362B3D">
        <w:rPr>
          <w:rFonts w:ascii="Times New Roman" w:hAnsi="Times New Roman" w:cs="Times New Roman"/>
          <w:bCs/>
        </w:rPr>
        <w:t xml:space="preserve">. </w:t>
      </w:r>
      <w:r w:rsidR="00FF2AC2" w:rsidRPr="00A8162E">
        <w:rPr>
          <w:rFonts w:ascii="Times New Roman" w:hAnsi="Times New Roman" w:cs="Times New Roman"/>
          <w:bCs/>
        </w:rPr>
        <w:t>The charges remain unchanged from the</w:t>
      </w:r>
      <w:r w:rsidR="0023694C" w:rsidRPr="00A8162E">
        <w:rPr>
          <w:rFonts w:ascii="Times New Roman" w:hAnsi="Times New Roman" w:cs="Times New Roman"/>
          <w:bCs/>
        </w:rPr>
        <w:t xml:space="preserve"> current</w:t>
      </w:r>
      <w:r w:rsidR="00FF2AC2" w:rsidRPr="00A8162E">
        <w:rPr>
          <w:rFonts w:ascii="Times New Roman" w:hAnsi="Times New Roman" w:cs="Times New Roman"/>
          <w:bCs/>
        </w:rPr>
        <w:t xml:space="preserve"> 2022 Determination amounts.</w:t>
      </w:r>
      <w:r w:rsidR="00FF2AC2">
        <w:rPr>
          <w:rFonts w:ascii="Times New Roman" w:hAnsi="Times New Roman" w:cs="Times New Roman"/>
          <w:bCs/>
        </w:rPr>
        <w:t xml:space="preserve"> </w:t>
      </w:r>
    </w:p>
    <w:p w14:paraId="1E0EB7CB" w14:textId="3D8E1D57" w:rsidR="00192A75" w:rsidRDefault="00192A75" w:rsidP="00AA3DE5">
      <w:pPr>
        <w:spacing w:line="256" w:lineRule="auto"/>
        <w:rPr>
          <w:rFonts w:ascii="Times New Roman" w:hAnsi="Times New Roman" w:cs="Times New Roman"/>
          <w:b/>
        </w:rPr>
      </w:pPr>
      <w:r>
        <w:rPr>
          <w:rFonts w:ascii="Times New Roman" w:hAnsi="Times New Roman" w:cs="Times New Roman"/>
          <w:b/>
        </w:rPr>
        <w:lastRenderedPageBreak/>
        <w:t>Item 3</w:t>
      </w:r>
      <w:r w:rsidR="00A868DE">
        <w:rPr>
          <w:rFonts w:ascii="Times New Roman" w:hAnsi="Times New Roman" w:cs="Times New Roman"/>
          <w:b/>
        </w:rPr>
        <w:t>4</w:t>
      </w:r>
    </w:p>
    <w:p w14:paraId="2304B8B1" w14:textId="5C137C68" w:rsidR="00192A75" w:rsidRDefault="00192A75" w:rsidP="00AA3DE5">
      <w:pPr>
        <w:spacing w:line="256" w:lineRule="auto"/>
        <w:rPr>
          <w:rFonts w:ascii="Times New Roman" w:hAnsi="Times New Roman" w:cs="Times New Roman"/>
          <w:bCs/>
        </w:rPr>
      </w:pPr>
      <w:r>
        <w:rPr>
          <w:rFonts w:ascii="Times New Roman" w:hAnsi="Times New Roman" w:cs="Times New Roman"/>
          <w:bCs/>
        </w:rPr>
        <w:t xml:space="preserve">Item </w:t>
      </w:r>
      <w:r w:rsidR="00A0064B">
        <w:rPr>
          <w:rFonts w:ascii="Times New Roman" w:hAnsi="Times New Roman" w:cs="Times New Roman"/>
          <w:bCs/>
        </w:rPr>
        <w:t>34</w:t>
      </w:r>
      <w:r>
        <w:rPr>
          <w:rFonts w:ascii="Times New Roman" w:hAnsi="Times New Roman" w:cs="Times New Roman"/>
          <w:bCs/>
        </w:rPr>
        <w:t xml:space="preserve"> repeals Table 5 of Part 3</w:t>
      </w:r>
      <w:r w:rsidR="003C7FD1">
        <w:rPr>
          <w:rFonts w:ascii="Times New Roman" w:hAnsi="Times New Roman" w:cs="Times New Roman"/>
          <w:bCs/>
        </w:rPr>
        <w:t xml:space="preserve"> of Schedule 1 to the 2022 Determination</w:t>
      </w:r>
      <w:r>
        <w:rPr>
          <w:rFonts w:ascii="Times New Roman" w:hAnsi="Times New Roman" w:cs="Times New Roman"/>
          <w:bCs/>
        </w:rPr>
        <w:t>.</w:t>
      </w:r>
      <w:r w:rsidR="008C40A8">
        <w:rPr>
          <w:rFonts w:ascii="Times New Roman" w:hAnsi="Times New Roman" w:cs="Times New Roman"/>
          <w:bCs/>
        </w:rPr>
        <w:t xml:space="preserve"> </w:t>
      </w:r>
      <w:r>
        <w:rPr>
          <w:rFonts w:ascii="Times New Roman" w:hAnsi="Times New Roman" w:cs="Times New Roman"/>
          <w:bCs/>
        </w:rPr>
        <w:t>The table item listed in Table 5 ha</w:t>
      </w:r>
      <w:r w:rsidR="00086FD3">
        <w:rPr>
          <w:rFonts w:ascii="Times New Roman" w:hAnsi="Times New Roman" w:cs="Times New Roman"/>
          <w:bCs/>
        </w:rPr>
        <w:t xml:space="preserve">s </w:t>
      </w:r>
      <w:r>
        <w:rPr>
          <w:rFonts w:ascii="Times New Roman" w:hAnsi="Times New Roman" w:cs="Times New Roman"/>
          <w:bCs/>
        </w:rPr>
        <w:t xml:space="preserve">been moved to Table 4 of Part 3 (see </w:t>
      </w:r>
      <w:r w:rsidR="0012604B">
        <w:rPr>
          <w:rFonts w:ascii="Times New Roman" w:hAnsi="Times New Roman" w:cs="Times New Roman"/>
          <w:bCs/>
        </w:rPr>
        <w:t>i</w:t>
      </w:r>
      <w:r>
        <w:rPr>
          <w:rFonts w:ascii="Times New Roman" w:hAnsi="Times New Roman" w:cs="Times New Roman"/>
          <w:bCs/>
        </w:rPr>
        <w:t>tem 3</w:t>
      </w:r>
      <w:r w:rsidR="0046244E">
        <w:rPr>
          <w:rFonts w:ascii="Times New Roman" w:hAnsi="Times New Roman" w:cs="Times New Roman"/>
          <w:bCs/>
        </w:rPr>
        <w:t>3</w:t>
      </w:r>
      <w:r>
        <w:rPr>
          <w:rFonts w:ascii="Times New Roman" w:hAnsi="Times New Roman" w:cs="Times New Roman"/>
          <w:bCs/>
        </w:rPr>
        <w:t xml:space="preserve">). </w:t>
      </w:r>
    </w:p>
    <w:p w14:paraId="09168EEF" w14:textId="143EA243" w:rsidR="00192A75" w:rsidRDefault="00192A75" w:rsidP="00AA3DE5">
      <w:pPr>
        <w:spacing w:line="256" w:lineRule="auto"/>
        <w:rPr>
          <w:rFonts w:ascii="Times New Roman" w:hAnsi="Times New Roman" w:cs="Times New Roman"/>
          <w:b/>
        </w:rPr>
      </w:pPr>
      <w:r>
        <w:rPr>
          <w:rFonts w:ascii="Times New Roman" w:hAnsi="Times New Roman" w:cs="Times New Roman"/>
          <w:b/>
        </w:rPr>
        <w:t>Item 3</w:t>
      </w:r>
      <w:r w:rsidR="00355485">
        <w:rPr>
          <w:rFonts w:ascii="Times New Roman" w:hAnsi="Times New Roman" w:cs="Times New Roman"/>
          <w:b/>
        </w:rPr>
        <w:t>5</w:t>
      </w:r>
    </w:p>
    <w:p w14:paraId="6DD50D2A" w14:textId="5743508E" w:rsidR="00192A75" w:rsidRDefault="00192A75" w:rsidP="00AA3DE5">
      <w:pPr>
        <w:spacing w:line="256" w:lineRule="auto"/>
        <w:rPr>
          <w:rFonts w:ascii="Times New Roman" w:hAnsi="Times New Roman" w:cs="Times New Roman"/>
          <w:bCs/>
        </w:rPr>
      </w:pPr>
      <w:r>
        <w:rPr>
          <w:rFonts w:ascii="Times New Roman" w:hAnsi="Times New Roman" w:cs="Times New Roman"/>
          <w:bCs/>
        </w:rPr>
        <w:t>Item 3</w:t>
      </w:r>
      <w:r w:rsidR="00355485">
        <w:rPr>
          <w:rFonts w:ascii="Times New Roman" w:hAnsi="Times New Roman" w:cs="Times New Roman"/>
          <w:bCs/>
        </w:rPr>
        <w:t>5</w:t>
      </w:r>
      <w:r>
        <w:rPr>
          <w:rFonts w:ascii="Times New Roman" w:hAnsi="Times New Roman" w:cs="Times New Roman"/>
          <w:bCs/>
        </w:rPr>
        <w:t xml:space="preserve"> repeals Part 4 of Schedule 1.</w:t>
      </w:r>
      <w:r w:rsidR="008C40A8">
        <w:rPr>
          <w:rFonts w:ascii="Times New Roman" w:hAnsi="Times New Roman" w:cs="Times New Roman"/>
          <w:bCs/>
        </w:rPr>
        <w:t xml:space="preserve"> </w:t>
      </w:r>
      <w:r w:rsidR="0012604B">
        <w:rPr>
          <w:rFonts w:ascii="Times New Roman" w:hAnsi="Times New Roman" w:cs="Times New Roman"/>
          <w:bCs/>
        </w:rPr>
        <w:t>The table item listed in Table 1 of Part 4 has been moved to Table 4 of Part 3 (see item 3</w:t>
      </w:r>
      <w:r w:rsidR="0046244E">
        <w:rPr>
          <w:rFonts w:ascii="Times New Roman" w:hAnsi="Times New Roman" w:cs="Times New Roman"/>
          <w:bCs/>
        </w:rPr>
        <w:t>3</w:t>
      </w:r>
      <w:r w:rsidR="0012604B">
        <w:rPr>
          <w:rFonts w:ascii="Times New Roman" w:hAnsi="Times New Roman" w:cs="Times New Roman"/>
          <w:bCs/>
        </w:rPr>
        <w:t>).</w:t>
      </w:r>
      <w:r w:rsidR="00611F9E">
        <w:rPr>
          <w:rFonts w:ascii="Times New Roman" w:hAnsi="Times New Roman" w:cs="Times New Roman"/>
          <w:bCs/>
        </w:rPr>
        <w:t xml:space="preserve">  </w:t>
      </w:r>
    </w:p>
    <w:p w14:paraId="7A6F497A" w14:textId="719D02DD" w:rsidR="00514E3F" w:rsidRDefault="00F51E07" w:rsidP="00AA3DE5">
      <w:pPr>
        <w:spacing w:line="256" w:lineRule="auto"/>
        <w:rPr>
          <w:rFonts w:ascii="Times New Roman" w:hAnsi="Times New Roman" w:cs="Times New Roman"/>
          <w:b/>
        </w:rPr>
      </w:pPr>
      <w:r>
        <w:rPr>
          <w:rFonts w:ascii="Times New Roman" w:hAnsi="Times New Roman" w:cs="Times New Roman"/>
          <w:b/>
        </w:rPr>
        <w:t>Item 3</w:t>
      </w:r>
      <w:r w:rsidR="00355485">
        <w:rPr>
          <w:rFonts w:ascii="Times New Roman" w:hAnsi="Times New Roman" w:cs="Times New Roman"/>
          <w:b/>
        </w:rPr>
        <w:t>6</w:t>
      </w:r>
    </w:p>
    <w:p w14:paraId="59F59309" w14:textId="6FD00842" w:rsidR="0062591B" w:rsidRPr="0062591B" w:rsidRDefault="00F51E07" w:rsidP="00AA3DE5">
      <w:pPr>
        <w:spacing w:line="256" w:lineRule="auto"/>
        <w:rPr>
          <w:rFonts w:ascii="Times New Roman" w:hAnsi="Times New Roman" w:cs="Times New Roman"/>
          <w:bCs/>
        </w:rPr>
      </w:pPr>
      <w:r>
        <w:rPr>
          <w:rFonts w:ascii="Times New Roman" w:hAnsi="Times New Roman" w:cs="Times New Roman"/>
          <w:bCs/>
        </w:rPr>
        <w:t>Item 3</w:t>
      </w:r>
      <w:r w:rsidR="00355485">
        <w:rPr>
          <w:rFonts w:ascii="Times New Roman" w:hAnsi="Times New Roman" w:cs="Times New Roman"/>
          <w:bCs/>
        </w:rPr>
        <w:t>6</w:t>
      </w:r>
      <w:r>
        <w:rPr>
          <w:rFonts w:ascii="Times New Roman" w:hAnsi="Times New Roman" w:cs="Times New Roman"/>
          <w:bCs/>
        </w:rPr>
        <w:t xml:space="preserve"> </w:t>
      </w:r>
      <w:r w:rsidR="00F744EA">
        <w:rPr>
          <w:rFonts w:ascii="Times New Roman" w:hAnsi="Times New Roman" w:cs="Times New Roman"/>
          <w:bCs/>
        </w:rPr>
        <w:t xml:space="preserve">repeals table item 5.1.2 </w:t>
      </w:r>
      <w:r w:rsidR="00062783">
        <w:rPr>
          <w:rFonts w:ascii="Times New Roman" w:hAnsi="Times New Roman" w:cs="Times New Roman"/>
          <w:bCs/>
        </w:rPr>
        <w:t xml:space="preserve">of Table 1 of Part 5 of Schedule 1 to the 2022 </w:t>
      </w:r>
      <w:proofErr w:type="gramStart"/>
      <w:r w:rsidR="00062783">
        <w:rPr>
          <w:rFonts w:ascii="Times New Roman" w:hAnsi="Times New Roman" w:cs="Times New Roman"/>
          <w:bCs/>
        </w:rPr>
        <w:t xml:space="preserve">Determination, </w:t>
      </w:r>
      <w:r w:rsidR="00F744EA">
        <w:rPr>
          <w:rFonts w:ascii="Times New Roman" w:hAnsi="Times New Roman" w:cs="Times New Roman"/>
          <w:bCs/>
        </w:rPr>
        <w:t>and</w:t>
      </w:r>
      <w:proofErr w:type="gramEnd"/>
      <w:r w:rsidR="00F744EA">
        <w:rPr>
          <w:rFonts w:ascii="Times New Roman" w:hAnsi="Times New Roman" w:cs="Times New Roman"/>
          <w:bCs/>
        </w:rPr>
        <w:t xml:space="preserve"> replaces it</w:t>
      </w:r>
      <w:r w:rsidR="00062783">
        <w:rPr>
          <w:rFonts w:ascii="Times New Roman" w:hAnsi="Times New Roman" w:cs="Times New Roman"/>
          <w:bCs/>
        </w:rPr>
        <w:t>.</w:t>
      </w:r>
      <w:r w:rsidR="00F744EA">
        <w:rPr>
          <w:rFonts w:ascii="Times New Roman" w:hAnsi="Times New Roman" w:cs="Times New Roman"/>
          <w:bCs/>
        </w:rPr>
        <w:t xml:space="preserve"> </w:t>
      </w:r>
      <w:r w:rsidR="0062591B">
        <w:rPr>
          <w:rFonts w:ascii="Times New Roman" w:hAnsi="Times New Roman" w:cs="Times New Roman"/>
          <w:bCs/>
        </w:rPr>
        <w:t xml:space="preserve">The item </w:t>
      </w:r>
      <w:r w:rsidR="0099620A">
        <w:rPr>
          <w:rFonts w:ascii="Times New Roman" w:hAnsi="Times New Roman" w:cs="Times New Roman"/>
          <w:bCs/>
        </w:rPr>
        <w:t xml:space="preserve">slightly amends the description of table </w:t>
      </w:r>
      <w:r w:rsidR="0099620A" w:rsidRPr="00362B3D">
        <w:rPr>
          <w:rFonts w:ascii="Times New Roman" w:hAnsi="Times New Roman" w:cs="Times New Roman"/>
          <w:bCs/>
        </w:rPr>
        <w:t>item</w:t>
      </w:r>
      <w:r w:rsidR="00E03218" w:rsidRPr="00362B3D">
        <w:rPr>
          <w:rFonts w:ascii="Times New Roman" w:hAnsi="Times New Roman" w:cs="Times New Roman"/>
          <w:bCs/>
        </w:rPr>
        <w:t>.</w:t>
      </w:r>
      <w:r w:rsidR="008C40A8" w:rsidRPr="00362B3D">
        <w:rPr>
          <w:rFonts w:ascii="Times New Roman" w:hAnsi="Times New Roman" w:cs="Times New Roman"/>
          <w:bCs/>
        </w:rPr>
        <w:t xml:space="preserve"> </w:t>
      </w:r>
      <w:r w:rsidR="00E03218" w:rsidRPr="00A8162E">
        <w:rPr>
          <w:rFonts w:ascii="Times New Roman" w:hAnsi="Times New Roman" w:cs="Times New Roman"/>
          <w:bCs/>
        </w:rPr>
        <w:t xml:space="preserve">The </w:t>
      </w:r>
      <w:r w:rsidR="0062591B" w:rsidRPr="00A8162E">
        <w:rPr>
          <w:rFonts w:ascii="Times New Roman" w:hAnsi="Times New Roman" w:cs="Times New Roman"/>
          <w:bCs/>
        </w:rPr>
        <w:t xml:space="preserve">charge has </w:t>
      </w:r>
      <w:r w:rsidR="00E03218" w:rsidRPr="00A8162E">
        <w:rPr>
          <w:rFonts w:ascii="Times New Roman" w:hAnsi="Times New Roman" w:cs="Times New Roman"/>
          <w:bCs/>
        </w:rPr>
        <w:t xml:space="preserve">also </w:t>
      </w:r>
      <w:r w:rsidR="0062591B" w:rsidRPr="00A8162E">
        <w:rPr>
          <w:rFonts w:ascii="Times New Roman" w:hAnsi="Times New Roman" w:cs="Times New Roman"/>
          <w:bCs/>
        </w:rPr>
        <w:t xml:space="preserve">been amended from $38 to </w:t>
      </w:r>
      <w:r w:rsidR="00062783" w:rsidRPr="00A8162E">
        <w:rPr>
          <w:rFonts w:ascii="Times New Roman" w:hAnsi="Times New Roman" w:cs="Times New Roman"/>
          <w:bCs/>
        </w:rPr>
        <w:t>the</w:t>
      </w:r>
      <w:r w:rsidR="0062591B" w:rsidRPr="00A8162E">
        <w:rPr>
          <w:rFonts w:ascii="Times New Roman" w:hAnsi="Times New Roman" w:cs="Times New Roman"/>
          <w:bCs/>
        </w:rPr>
        <w:t xml:space="preserve"> hourly </w:t>
      </w:r>
      <w:r w:rsidR="00ED78EC" w:rsidRPr="00A8162E">
        <w:rPr>
          <w:rFonts w:ascii="Times New Roman" w:hAnsi="Times New Roman" w:cs="Times New Roman"/>
          <w:bCs/>
        </w:rPr>
        <w:t>rate</w:t>
      </w:r>
      <w:r w:rsidR="0062591B" w:rsidRPr="00A8162E">
        <w:rPr>
          <w:rFonts w:ascii="Times New Roman" w:hAnsi="Times New Roman" w:cs="Times New Roman"/>
          <w:bCs/>
        </w:rPr>
        <w:t>.</w:t>
      </w:r>
      <w:r w:rsidR="008C40A8" w:rsidRPr="00A8162E">
        <w:rPr>
          <w:rFonts w:ascii="Times New Roman" w:hAnsi="Times New Roman" w:cs="Times New Roman"/>
          <w:bCs/>
        </w:rPr>
        <w:t xml:space="preserve"> </w:t>
      </w:r>
      <w:r w:rsidR="00A54122" w:rsidRPr="00A8162E">
        <w:rPr>
          <w:rFonts w:ascii="Times New Roman" w:hAnsi="Times New Roman" w:cs="Times New Roman"/>
          <w:bCs/>
        </w:rPr>
        <w:t xml:space="preserve">The change has been made as the staffing effort to </w:t>
      </w:r>
      <w:r w:rsidR="00005948" w:rsidRPr="00A8162E">
        <w:rPr>
          <w:rFonts w:ascii="Times New Roman" w:hAnsi="Times New Roman" w:cs="Times New Roman"/>
          <w:bCs/>
        </w:rPr>
        <w:t xml:space="preserve">process the information is not </w:t>
      </w:r>
      <w:r w:rsidR="006623DF" w:rsidRPr="00A8162E">
        <w:rPr>
          <w:rFonts w:ascii="Times New Roman" w:hAnsi="Times New Roman" w:cs="Times New Roman"/>
          <w:bCs/>
        </w:rPr>
        <w:t>consistent</w:t>
      </w:r>
      <w:r w:rsidR="003366C0" w:rsidRPr="00A8162E">
        <w:rPr>
          <w:rFonts w:ascii="Times New Roman" w:hAnsi="Times New Roman" w:cs="Times New Roman"/>
          <w:bCs/>
        </w:rPr>
        <w:t xml:space="preserve">. Amending the charge to an </w:t>
      </w:r>
      <w:r w:rsidR="00005948" w:rsidRPr="00A8162E">
        <w:rPr>
          <w:rFonts w:ascii="Times New Roman" w:hAnsi="Times New Roman" w:cs="Times New Roman"/>
          <w:bCs/>
        </w:rPr>
        <w:t xml:space="preserve">hourly rate </w:t>
      </w:r>
      <w:r w:rsidR="003366C0" w:rsidRPr="00A8162E">
        <w:rPr>
          <w:rFonts w:ascii="Times New Roman" w:hAnsi="Times New Roman" w:cs="Times New Roman"/>
          <w:bCs/>
        </w:rPr>
        <w:t xml:space="preserve">will ensure charges for this item </w:t>
      </w:r>
      <w:r w:rsidR="00005948" w:rsidRPr="00A8162E">
        <w:rPr>
          <w:rFonts w:ascii="Times New Roman" w:hAnsi="Times New Roman" w:cs="Times New Roman"/>
          <w:bCs/>
        </w:rPr>
        <w:t xml:space="preserve">appropriately reflect the actual staff effort to undertake the </w:t>
      </w:r>
      <w:r w:rsidR="003366C0" w:rsidRPr="00A8162E">
        <w:rPr>
          <w:rFonts w:ascii="Times New Roman" w:hAnsi="Times New Roman" w:cs="Times New Roman"/>
          <w:bCs/>
        </w:rPr>
        <w:t>activity.</w:t>
      </w:r>
      <w:r w:rsidR="003366C0">
        <w:rPr>
          <w:rFonts w:ascii="Times New Roman" w:hAnsi="Times New Roman" w:cs="Times New Roman"/>
          <w:bCs/>
        </w:rPr>
        <w:t xml:space="preserve"> </w:t>
      </w:r>
    </w:p>
    <w:p w14:paraId="035CF35F" w14:textId="13DE4B77" w:rsidR="00CB1A26" w:rsidRPr="00E17892" w:rsidRDefault="00E17892" w:rsidP="005958D6">
      <w:pPr>
        <w:rPr>
          <w:rFonts w:ascii="Times New Roman" w:hAnsi="Times New Roman" w:cs="Times New Roman"/>
          <w:b/>
          <w:bCs/>
        </w:rPr>
      </w:pPr>
      <w:r w:rsidRPr="00CA7D2F">
        <w:rPr>
          <w:rFonts w:ascii="Times New Roman" w:hAnsi="Times New Roman" w:cs="Times New Roman"/>
          <w:b/>
          <w:bCs/>
        </w:rPr>
        <w:t xml:space="preserve">Item </w:t>
      </w:r>
      <w:r w:rsidR="00190999">
        <w:rPr>
          <w:rFonts w:ascii="Times New Roman" w:hAnsi="Times New Roman" w:cs="Times New Roman"/>
          <w:b/>
          <w:bCs/>
        </w:rPr>
        <w:t>3</w:t>
      </w:r>
      <w:r w:rsidR="00902DA4">
        <w:rPr>
          <w:rFonts w:ascii="Times New Roman" w:hAnsi="Times New Roman" w:cs="Times New Roman"/>
          <w:b/>
          <w:bCs/>
        </w:rPr>
        <w:t>7</w:t>
      </w:r>
    </w:p>
    <w:p w14:paraId="2CF964CB" w14:textId="35FA8331" w:rsidR="00114803" w:rsidRDefault="00CB1A26" w:rsidP="005958D6">
      <w:pPr>
        <w:rPr>
          <w:rFonts w:ascii="Times New Roman" w:hAnsi="Times New Roman" w:cs="Times New Roman"/>
          <w:b/>
          <w:bCs/>
        </w:rPr>
      </w:pPr>
      <w:r w:rsidRPr="009F2D0F">
        <w:rPr>
          <w:rFonts w:ascii="Times New Roman" w:hAnsi="Times New Roman" w:cs="Times New Roman"/>
          <w:bCs/>
        </w:rPr>
        <w:t xml:space="preserve">Table </w:t>
      </w:r>
      <w:r>
        <w:rPr>
          <w:rFonts w:ascii="Times New Roman" w:hAnsi="Times New Roman" w:cs="Times New Roman"/>
          <w:bCs/>
        </w:rPr>
        <w:t>5</w:t>
      </w:r>
      <w:r w:rsidRPr="009F2D0F">
        <w:rPr>
          <w:rFonts w:ascii="Times New Roman" w:hAnsi="Times New Roman" w:cs="Times New Roman"/>
          <w:bCs/>
        </w:rPr>
        <w:t xml:space="preserve"> </w:t>
      </w:r>
      <w:r w:rsidR="002C7FD6">
        <w:rPr>
          <w:rFonts w:ascii="Times New Roman" w:hAnsi="Times New Roman" w:cs="Times New Roman"/>
          <w:bCs/>
        </w:rPr>
        <w:t>of</w:t>
      </w:r>
      <w:r w:rsidR="004F53F1">
        <w:rPr>
          <w:rFonts w:ascii="Times New Roman" w:hAnsi="Times New Roman" w:cs="Times New Roman"/>
          <w:bCs/>
        </w:rPr>
        <w:t xml:space="preserve"> Part 7 of</w:t>
      </w:r>
      <w:r w:rsidR="002C7FD6">
        <w:rPr>
          <w:rFonts w:ascii="Times New Roman" w:hAnsi="Times New Roman" w:cs="Times New Roman"/>
          <w:bCs/>
        </w:rPr>
        <w:t xml:space="preserve"> Schedule 1 to the 2022 Determination </w:t>
      </w:r>
      <w:r w:rsidR="006623DF">
        <w:rPr>
          <w:rFonts w:ascii="Times New Roman" w:hAnsi="Times New Roman" w:cs="Times New Roman"/>
          <w:bCs/>
        </w:rPr>
        <w:t>fixes</w:t>
      </w:r>
      <w:r w:rsidR="002C7FD6">
        <w:rPr>
          <w:rFonts w:ascii="Times New Roman" w:hAnsi="Times New Roman" w:cs="Times New Roman"/>
          <w:bCs/>
        </w:rPr>
        <w:t xml:space="preserve"> </w:t>
      </w:r>
      <w:r w:rsidRPr="009F2D0F">
        <w:rPr>
          <w:rFonts w:ascii="Times New Roman" w:hAnsi="Times New Roman" w:cs="Times New Roman"/>
          <w:bCs/>
        </w:rPr>
        <w:t>charges relating to</w:t>
      </w:r>
      <w:r>
        <w:rPr>
          <w:rFonts w:ascii="Times New Roman" w:hAnsi="Times New Roman" w:cs="Times New Roman"/>
          <w:bCs/>
        </w:rPr>
        <w:t xml:space="preserve"> considering an application made under the </w:t>
      </w:r>
      <w:r w:rsidR="0039529A">
        <w:rPr>
          <w:rFonts w:ascii="Times New Roman" w:hAnsi="Times New Roman" w:cs="Times New Roman"/>
          <w:bCs/>
        </w:rPr>
        <w:t>Amateur</w:t>
      </w:r>
      <w:r>
        <w:rPr>
          <w:rFonts w:ascii="Times New Roman" w:hAnsi="Times New Roman" w:cs="Times New Roman"/>
          <w:bCs/>
        </w:rPr>
        <w:t xml:space="preserve"> Class Licence </w:t>
      </w:r>
      <w:r w:rsidR="006623DF">
        <w:rPr>
          <w:rFonts w:ascii="Times New Roman" w:hAnsi="Times New Roman" w:cs="Times New Roman"/>
          <w:bCs/>
        </w:rPr>
        <w:t>relating to</w:t>
      </w:r>
      <w:r>
        <w:rPr>
          <w:rFonts w:ascii="Times New Roman" w:hAnsi="Times New Roman" w:cs="Times New Roman"/>
          <w:bCs/>
        </w:rPr>
        <w:t xml:space="preserve"> call signs.</w:t>
      </w:r>
    </w:p>
    <w:p w14:paraId="00E952B9" w14:textId="2B2047DD" w:rsidR="00161876" w:rsidRPr="001252E9" w:rsidRDefault="002C7FD6" w:rsidP="007B1E66">
      <w:pPr>
        <w:spacing w:line="256" w:lineRule="auto"/>
        <w:rPr>
          <w:rFonts w:ascii="Times New Roman" w:hAnsi="Times New Roman" w:cs="Times New Roman"/>
        </w:rPr>
      </w:pPr>
      <w:r>
        <w:rPr>
          <w:rFonts w:ascii="Times New Roman" w:hAnsi="Times New Roman" w:cs="Times New Roman"/>
          <w:bCs/>
        </w:rPr>
        <w:t xml:space="preserve">Item </w:t>
      </w:r>
      <w:r w:rsidR="006623DF">
        <w:rPr>
          <w:rFonts w:ascii="Times New Roman" w:hAnsi="Times New Roman" w:cs="Times New Roman"/>
          <w:bCs/>
        </w:rPr>
        <w:t>3</w:t>
      </w:r>
      <w:r w:rsidR="00902DA4">
        <w:rPr>
          <w:rFonts w:ascii="Times New Roman" w:hAnsi="Times New Roman" w:cs="Times New Roman"/>
          <w:bCs/>
        </w:rPr>
        <w:t>7</w:t>
      </w:r>
      <w:r>
        <w:rPr>
          <w:rFonts w:ascii="Times New Roman" w:hAnsi="Times New Roman" w:cs="Times New Roman"/>
          <w:bCs/>
        </w:rPr>
        <w:t xml:space="preserve"> </w:t>
      </w:r>
      <w:r w:rsidR="006623DF">
        <w:rPr>
          <w:rFonts w:ascii="Times New Roman" w:hAnsi="Times New Roman" w:cs="Times New Roman"/>
          <w:bCs/>
        </w:rPr>
        <w:t xml:space="preserve">amends the table to </w:t>
      </w:r>
      <w:r>
        <w:rPr>
          <w:rFonts w:ascii="Times New Roman" w:hAnsi="Times New Roman" w:cs="Times New Roman"/>
          <w:bCs/>
        </w:rPr>
        <w:t xml:space="preserve">insert </w:t>
      </w:r>
      <w:r w:rsidR="00C276CA">
        <w:rPr>
          <w:rFonts w:ascii="Times New Roman" w:hAnsi="Times New Roman" w:cs="Times New Roman"/>
          <w:bCs/>
        </w:rPr>
        <w:t xml:space="preserve">five </w:t>
      </w:r>
      <w:r w:rsidR="00285280">
        <w:rPr>
          <w:rFonts w:ascii="Times New Roman" w:hAnsi="Times New Roman" w:cs="Times New Roman"/>
          <w:bCs/>
        </w:rPr>
        <w:t>new charges relating to</w:t>
      </w:r>
      <w:r w:rsidR="00044E0F">
        <w:rPr>
          <w:rFonts w:ascii="Times New Roman" w:hAnsi="Times New Roman" w:cs="Times New Roman"/>
          <w:bCs/>
        </w:rPr>
        <w:t xml:space="preserve"> a</w:t>
      </w:r>
      <w:r w:rsidR="00285280" w:rsidRPr="007B1E66">
        <w:rPr>
          <w:rFonts w:ascii="Times New Roman" w:hAnsi="Times New Roman" w:cs="Times New Roman"/>
          <w:bCs/>
        </w:rPr>
        <w:t>pplications</w:t>
      </w:r>
      <w:r w:rsidR="00285280" w:rsidRPr="001252E9">
        <w:rPr>
          <w:rFonts w:ascii="Times New Roman" w:hAnsi="Times New Roman" w:cs="Times New Roman"/>
        </w:rPr>
        <w:t xml:space="preserve"> for the re</w:t>
      </w:r>
      <w:r w:rsidR="00285280" w:rsidRPr="001252E9">
        <w:rPr>
          <w:rFonts w:ascii="Times New Roman" w:hAnsi="Times New Roman" w:cs="Times New Roman"/>
        </w:rPr>
        <w:noBreakHyphen/>
        <w:t xml:space="preserve">assignment of certain call signs that have only been assigned for a limited period, as well as </w:t>
      </w:r>
      <w:r w:rsidR="00AF1C0E">
        <w:rPr>
          <w:rFonts w:ascii="Times New Roman" w:hAnsi="Times New Roman" w:cs="Times New Roman"/>
        </w:rPr>
        <w:t xml:space="preserve">for an application for the cancellation of a call sign, and its subsequent assignment to another person (i.e., </w:t>
      </w:r>
      <w:r w:rsidR="00285280" w:rsidRPr="001252E9">
        <w:rPr>
          <w:rFonts w:ascii="Times New Roman" w:hAnsi="Times New Roman" w:cs="Times New Roman"/>
        </w:rPr>
        <w:t xml:space="preserve">the ‘transfer’ of </w:t>
      </w:r>
      <w:r w:rsidR="00AF1C0E">
        <w:rPr>
          <w:rFonts w:ascii="Times New Roman" w:hAnsi="Times New Roman" w:cs="Times New Roman"/>
        </w:rPr>
        <w:t xml:space="preserve">the </w:t>
      </w:r>
      <w:r w:rsidR="00285280" w:rsidRPr="001252E9">
        <w:rPr>
          <w:rFonts w:ascii="Times New Roman" w:hAnsi="Times New Roman" w:cs="Times New Roman"/>
        </w:rPr>
        <w:t>call sign</w:t>
      </w:r>
      <w:r w:rsidR="00AF1C0E">
        <w:rPr>
          <w:rFonts w:ascii="Times New Roman" w:hAnsi="Times New Roman" w:cs="Times New Roman"/>
        </w:rPr>
        <w:t>)</w:t>
      </w:r>
      <w:r w:rsidR="00285280" w:rsidRPr="001252E9">
        <w:rPr>
          <w:rFonts w:ascii="Times New Roman" w:hAnsi="Times New Roman" w:cs="Times New Roman"/>
        </w:rPr>
        <w:t>. These</w:t>
      </w:r>
      <w:r w:rsidR="00C276CA">
        <w:rPr>
          <w:rFonts w:ascii="Times New Roman" w:hAnsi="Times New Roman" w:cs="Times New Roman"/>
        </w:rPr>
        <w:t xml:space="preserve"> additional charges</w:t>
      </w:r>
      <w:r w:rsidR="00285280" w:rsidRPr="001252E9">
        <w:rPr>
          <w:rFonts w:ascii="Times New Roman" w:hAnsi="Times New Roman" w:cs="Times New Roman"/>
        </w:rPr>
        <w:t xml:space="preserve"> are to support the call sign arrangements prescribed in the </w:t>
      </w:r>
      <w:r w:rsidR="00AF1C0E">
        <w:rPr>
          <w:rFonts w:ascii="Times New Roman" w:hAnsi="Times New Roman" w:cs="Times New Roman"/>
        </w:rPr>
        <w:t>Amateur Class Licence</w:t>
      </w:r>
      <w:r w:rsidR="00285280" w:rsidRPr="001252E9">
        <w:rPr>
          <w:rFonts w:ascii="Times New Roman" w:hAnsi="Times New Roman" w:cs="Times New Roman"/>
        </w:rPr>
        <w:t>.</w:t>
      </w:r>
    </w:p>
    <w:bookmarkEnd w:id="0"/>
    <w:p w14:paraId="0DB5B60C" w14:textId="6F63AC3B" w:rsidR="00161876" w:rsidRDefault="00161876">
      <w:pPr>
        <w:rPr>
          <w:rFonts w:ascii="Times New Roman" w:hAnsi="Times New Roman" w:cs="Times New Roman"/>
          <w:bCs/>
        </w:rPr>
      </w:pPr>
    </w:p>
    <w:sectPr w:rsidR="00161876" w:rsidSect="0008235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BCCC" w14:textId="77777777" w:rsidR="00B44A4F" w:rsidRDefault="00B44A4F" w:rsidP="00025ACE">
      <w:pPr>
        <w:spacing w:after="0" w:line="240" w:lineRule="auto"/>
      </w:pPr>
      <w:r>
        <w:separator/>
      </w:r>
    </w:p>
  </w:endnote>
  <w:endnote w:type="continuationSeparator" w:id="0">
    <w:p w14:paraId="7A3F2E27" w14:textId="77777777" w:rsidR="00B44A4F" w:rsidRDefault="00B44A4F" w:rsidP="00025ACE">
      <w:pPr>
        <w:spacing w:after="0" w:line="240" w:lineRule="auto"/>
      </w:pPr>
      <w:r>
        <w:continuationSeparator/>
      </w:r>
    </w:p>
  </w:endnote>
  <w:endnote w:type="continuationNotice" w:id="1">
    <w:p w14:paraId="2DC2F936" w14:textId="77777777" w:rsidR="00B44A4F" w:rsidRDefault="00B44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BB86700" w14:textId="53B7BA89" w:rsidR="006A5D1C" w:rsidRPr="00AD3414" w:rsidRDefault="006A5D1C" w:rsidP="006A5D1C">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Radiocommunications (Charges) Amendment Determination 2024 (No.1)</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D2A3" w14:textId="77777777" w:rsidR="00B44A4F" w:rsidRDefault="00B44A4F" w:rsidP="00025ACE">
      <w:pPr>
        <w:spacing w:after="0" w:line="240" w:lineRule="auto"/>
      </w:pPr>
      <w:r>
        <w:separator/>
      </w:r>
    </w:p>
  </w:footnote>
  <w:footnote w:type="continuationSeparator" w:id="0">
    <w:p w14:paraId="19DD1F68" w14:textId="77777777" w:rsidR="00B44A4F" w:rsidRDefault="00B44A4F" w:rsidP="00025ACE">
      <w:pPr>
        <w:spacing w:after="0" w:line="240" w:lineRule="auto"/>
      </w:pPr>
      <w:r>
        <w:continuationSeparator/>
      </w:r>
    </w:p>
  </w:footnote>
  <w:footnote w:type="continuationNotice" w:id="1">
    <w:p w14:paraId="5993708A" w14:textId="77777777" w:rsidR="00B44A4F" w:rsidRDefault="00B44A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D3C"/>
    <w:multiLevelType w:val="hybridMultilevel"/>
    <w:tmpl w:val="A528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C50E7"/>
    <w:multiLevelType w:val="hybridMultilevel"/>
    <w:tmpl w:val="F7F63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36542"/>
    <w:multiLevelType w:val="hybridMultilevel"/>
    <w:tmpl w:val="C23E70B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6" w15:restartNumberingAfterBreak="0">
    <w:nsid w:val="1311297B"/>
    <w:multiLevelType w:val="hybridMultilevel"/>
    <w:tmpl w:val="65FABE72"/>
    <w:lvl w:ilvl="0" w:tplc="0C090001">
      <w:start w:val="1"/>
      <w:numFmt w:val="bullet"/>
      <w:lvlText w:val=""/>
      <w:lvlJc w:val="left"/>
      <w:pPr>
        <w:ind w:left="360" w:hanging="360"/>
      </w:pPr>
      <w:rPr>
        <w:rFonts w:ascii="Symbol"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B16628B"/>
    <w:multiLevelType w:val="hybridMultilevel"/>
    <w:tmpl w:val="68086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432B51"/>
    <w:multiLevelType w:val="multilevel"/>
    <w:tmpl w:val="DE0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25211"/>
    <w:multiLevelType w:val="hybridMultilevel"/>
    <w:tmpl w:val="82C4298C"/>
    <w:lvl w:ilvl="0" w:tplc="E552FEBA">
      <w:start w:val="1"/>
      <w:numFmt w:val="bullet"/>
      <w:lvlText w:val="&gt;"/>
      <w:lvlJc w:val="left"/>
      <w:pPr>
        <w:ind w:left="360" w:hanging="360"/>
      </w:pPr>
      <w:rPr>
        <w:rFonts w:ascii="HelveticaNeueLT Std Lt" w:hAnsi="HelveticaNeueLT Std Lt"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6" w15:restartNumberingAfterBreak="0">
    <w:nsid w:val="50E81C55"/>
    <w:multiLevelType w:val="hybridMultilevel"/>
    <w:tmpl w:val="5AA4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32897"/>
    <w:multiLevelType w:val="hybridMultilevel"/>
    <w:tmpl w:val="B7A8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1" w15:restartNumberingAfterBreak="0">
    <w:nsid w:val="62692FD8"/>
    <w:multiLevelType w:val="hybridMultilevel"/>
    <w:tmpl w:val="7A48A712"/>
    <w:lvl w:ilvl="0" w:tplc="CDA244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3"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4" w15:restartNumberingAfterBreak="0">
    <w:nsid w:val="688223C1"/>
    <w:multiLevelType w:val="hybridMultilevel"/>
    <w:tmpl w:val="3AD69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017CB5"/>
    <w:multiLevelType w:val="hybridMultilevel"/>
    <w:tmpl w:val="C4A22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BE2B0E"/>
    <w:multiLevelType w:val="hybridMultilevel"/>
    <w:tmpl w:val="830E3B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4617558">
    <w:abstractNumId w:val="18"/>
  </w:num>
  <w:num w:numId="2" w16cid:durableId="466432665">
    <w:abstractNumId w:val="13"/>
  </w:num>
  <w:num w:numId="3" w16cid:durableId="627517530">
    <w:abstractNumId w:val="4"/>
  </w:num>
  <w:num w:numId="4" w16cid:durableId="2042048329">
    <w:abstractNumId w:val="10"/>
  </w:num>
  <w:num w:numId="5" w16cid:durableId="1430009742">
    <w:abstractNumId w:val="9"/>
  </w:num>
  <w:num w:numId="6" w16cid:durableId="364910424">
    <w:abstractNumId w:val="3"/>
  </w:num>
  <w:num w:numId="7" w16cid:durableId="1969847570">
    <w:abstractNumId w:val="8"/>
  </w:num>
  <w:num w:numId="8" w16cid:durableId="675889603">
    <w:abstractNumId w:val="23"/>
  </w:num>
  <w:num w:numId="9" w16cid:durableId="489322803">
    <w:abstractNumId w:val="12"/>
  </w:num>
  <w:num w:numId="10" w16cid:durableId="718285516">
    <w:abstractNumId w:val="5"/>
  </w:num>
  <w:num w:numId="11" w16cid:durableId="825782125">
    <w:abstractNumId w:val="20"/>
  </w:num>
  <w:num w:numId="12" w16cid:durableId="1413620440">
    <w:abstractNumId w:val="15"/>
  </w:num>
  <w:num w:numId="13" w16cid:durableId="460080279">
    <w:abstractNumId w:val="22"/>
  </w:num>
  <w:num w:numId="14" w16cid:durableId="496725221">
    <w:abstractNumId w:val="17"/>
  </w:num>
  <w:num w:numId="15" w16cid:durableId="2116633708">
    <w:abstractNumId w:val="2"/>
  </w:num>
  <w:num w:numId="16" w16cid:durableId="118502410">
    <w:abstractNumId w:val="14"/>
  </w:num>
  <w:num w:numId="17" w16cid:durableId="461995621">
    <w:abstractNumId w:val="6"/>
  </w:num>
  <w:num w:numId="18" w16cid:durableId="1540043462">
    <w:abstractNumId w:val="7"/>
  </w:num>
  <w:num w:numId="19" w16cid:durableId="717046354">
    <w:abstractNumId w:val="0"/>
  </w:num>
  <w:num w:numId="20" w16cid:durableId="1163470706">
    <w:abstractNumId w:val="11"/>
  </w:num>
  <w:num w:numId="21" w16cid:durableId="912620930">
    <w:abstractNumId w:val="25"/>
  </w:num>
  <w:num w:numId="22" w16cid:durableId="1521047940">
    <w:abstractNumId w:val="26"/>
  </w:num>
  <w:num w:numId="23" w16cid:durableId="885024304">
    <w:abstractNumId w:val="21"/>
  </w:num>
  <w:num w:numId="24" w16cid:durableId="1037314055">
    <w:abstractNumId w:val="19"/>
  </w:num>
  <w:num w:numId="25" w16cid:durableId="397635529">
    <w:abstractNumId w:val="16"/>
  </w:num>
  <w:num w:numId="26" w16cid:durableId="14842920">
    <w:abstractNumId w:val="24"/>
  </w:num>
  <w:num w:numId="27" w16cid:durableId="113386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5948"/>
    <w:rsid w:val="00006D41"/>
    <w:rsid w:val="000124F9"/>
    <w:rsid w:val="00013079"/>
    <w:rsid w:val="000144AE"/>
    <w:rsid w:val="0001487D"/>
    <w:rsid w:val="00014EC1"/>
    <w:rsid w:val="0001529D"/>
    <w:rsid w:val="00015D48"/>
    <w:rsid w:val="00016DA0"/>
    <w:rsid w:val="00025ACE"/>
    <w:rsid w:val="00027784"/>
    <w:rsid w:val="00027BFE"/>
    <w:rsid w:val="00034C3B"/>
    <w:rsid w:val="000362E5"/>
    <w:rsid w:val="00037F0E"/>
    <w:rsid w:val="000400F6"/>
    <w:rsid w:val="00040AE5"/>
    <w:rsid w:val="000420DA"/>
    <w:rsid w:val="00044E0F"/>
    <w:rsid w:val="000455F1"/>
    <w:rsid w:val="00045A08"/>
    <w:rsid w:val="00046886"/>
    <w:rsid w:val="00051631"/>
    <w:rsid w:val="00062783"/>
    <w:rsid w:val="0006427E"/>
    <w:rsid w:val="00065037"/>
    <w:rsid w:val="00065B29"/>
    <w:rsid w:val="00065C99"/>
    <w:rsid w:val="0006617F"/>
    <w:rsid w:val="00070D91"/>
    <w:rsid w:val="000726C7"/>
    <w:rsid w:val="00072AA1"/>
    <w:rsid w:val="00072D49"/>
    <w:rsid w:val="00074A8D"/>
    <w:rsid w:val="00076B60"/>
    <w:rsid w:val="00077D95"/>
    <w:rsid w:val="00077E3E"/>
    <w:rsid w:val="00082354"/>
    <w:rsid w:val="000835FC"/>
    <w:rsid w:val="00083BC3"/>
    <w:rsid w:val="0008462E"/>
    <w:rsid w:val="0008483F"/>
    <w:rsid w:val="00086FD3"/>
    <w:rsid w:val="00087F3D"/>
    <w:rsid w:val="00090912"/>
    <w:rsid w:val="00093C01"/>
    <w:rsid w:val="00095005"/>
    <w:rsid w:val="00095AB3"/>
    <w:rsid w:val="00097DD1"/>
    <w:rsid w:val="000A2336"/>
    <w:rsid w:val="000A3A94"/>
    <w:rsid w:val="000A5509"/>
    <w:rsid w:val="000A5F8E"/>
    <w:rsid w:val="000B0BA7"/>
    <w:rsid w:val="000B0FA8"/>
    <w:rsid w:val="000B33B6"/>
    <w:rsid w:val="000B4B6C"/>
    <w:rsid w:val="000B75DD"/>
    <w:rsid w:val="000C1560"/>
    <w:rsid w:val="000C1D17"/>
    <w:rsid w:val="000C4BF2"/>
    <w:rsid w:val="000C6436"/>
    <w:rsid w:val="000C6CBB"/>
    <w:rsid w:val="000C7491"/>
    <w:rsid w:val="000D241D"/>
    <w:rsid w:val="000D28A5"/>
    <w:rsid w:val="000D2AD3"/>
    <w:rsid w:val="000D483F"/>
    <w:rsid w:val="000D4ECE"/>
    <w:rsid w:val="000E1768"/>
    <w:rsid w:val="000E1DE3"/>
    <w:rsid w:val="000E20FF"/>
    <w:rsid w:val="000E2A3E"/>
    <w:rsid w:val="000E2C66"/>
    <w:rsid w:val="000E317C"/>
    <w:rsid w:val="000E38C9"/>
    <w:rsid w:val="000E6BBA"/>
    <w:rsid w:val="000E6F58"/>
    <w:rsid w:val="000F08DA"/>
    <w:rsid w:val="000F1C01"/>
    <w:rsid w:val="000F4B88"/>
    <w:rsid w:val="000F6255"/>
    <w:rsid w:val="000F6FA7"/>
    <w:rsid w:val="00100186"/>
    <w:rsid w:val="0010174C"/>
    <w:rsid w:val="00103AB6"/>
    <w:rsid w:val="00103E83"/>
    <w:rsid w:val="00104130"/>
    <w:rsid w:val="0010665F"/>
    <w:rsid w:val="00111D89"/>
    <w:rsid w:val="00112987"/>
    <w:rsid w:val="00114803"/>
    <w:rsid w:val="00117351"/>
    <w:rsid w:val="00121576"/>
    <w:rsid w:val="00121B9E"/>
    <w:rsid w:val="00122072"/>
    <w:rsid w:val="001225E9"/>
    <w:rsid w:val="001252E9"/>
    <w:rsid w:val="0012604B"/>
    <w:rsid w:val="00127102"/>
    <w:rsid w:val="001274E2"/>
    <w:rsid w:val="001279B9"/>
    <w:rsid w:val="0013145C"/>
    <w:rsid w:val="0013336B"/>
    <w:rsid w:val="00134705"/>
    <w:rsid w:val="001347DA"/>
    <w:rsid w:val="001362BC"/>
    <w:rsid w:val="00140334"/>
    <w:rsid w:val="00142063"/>
    <w:rsid w:val="00146A0C"/>
    <w:rsid w:val="00155684"/>
    <w:rsid w:val="001563F8"/>
    <w:rsid w:val="00157CF9"/>
    <w:rsid w:val="001601F5"/>
    <w:rsid w:val="00161876"/>
    <w:rsid w:val="00161C1F"/>
    <w:rsid w:val="00161C73"/>
    <w:rsid w:val="001623D9"/>
    <w:rsid w:val="00163A07"/>
    <w:rsid w:val="00165163"/>
    <w:rsid w:val="001663F7"/>
    <w:rsid w:val="001667A3"/>
    <w:rsid w:val="00167BDC"/>
    <w:rsid w:val="00175600"/>
    <w:rsid w:val="001761AF"/>
    <w:rsid w:val="00176D66"/>
    <w:rsid w:val="00177CB1"/>
    <w:rsid w:val="00180BB7"/>
    <w:rsid w:val="001815B5"/>
    <w:rsid w:val="00182134"/>
    <w:rsid w:val="001829DB"/>
    <w:rsid w:val="00184635"/>
    <w:rsid w:val="0018525D"/>
    <w:rsid w:val="0018562C"/>
    <w:rsid w:val="00185BDC"/>
    <w:rsid w:val="00186895"/>
    <w:rsid w:val="00187ED7"/>
    <w:rsid w:val="00190999"/>
    <w:rsid w:val="00190EDD"/>
    <w:rsid w:val="00192A75"/>
    <w:rsid w:val="00197113"/>
    <w:rsid w:val="001A0897"/>
    <w:rsid w:val="001A145E"/>
    <w:rsid w:val="001A15A4"/>
    <w:rsid w:val="001A4335"/>
    <w:rsid w:val="001B1A6C"/>
    <w:rsid w:val="001B369D"/>
    <w:rsid w:val="001B50CF"/>
    <w:rsid w:val="001B5196"/>
    <w:rsid w:val="001B5706"/>
    <w:rsid w:val="001B6191"/>
    <w:rsid w:val="001B6B16"/>
    <w:rsid w:val="001C38B5"/>
    <w:rsid w:val="001C43CA"/>
    <w:rsid w:val="001C46B2"/>
    <w:rsid w:val="001C4BF8"/>
    <w:rsid w:val="001C5421"/>
    <w:rsid w:val="001C74E0"/>
    <w:rsid w:val="001D13CE"/>
    <w:rsid w:val="001D1D5A"/>
    <w:rsid w:val="001D3055"/>
    <w:rsid w:val="001D3CAF"/>
    <w:rsid w:val="001D53B4"/>
    <w:rsid w:val="001D5C25"/>
    <w:rsid w:val="001E3052"/>
    <w:rsid w:val="001E343E"/>
    <w:rsid w:val="001E54CE"/>
    <w:rsid w:val="001E64FF"/>
    <w:rsid w:val="001E66C0"/>
    <w:rsid w:val="001E72ED"/>
    <w:rsid w:val="00206888"/>
    <w:rsid w:val="0021007A"/>
    <w:rsid w:val="00212847"/>
    <w:rsid w:val="002128F9"/>
    <w:rsid w:val="00214232"/>
    <w:rsid w:val="0021601A"/>
    <w:rsid w:val="002210FC"/>
    <w:rsid w:val="00222868"/>
    <w:rsid w:val="00224856"/>
    <w:rsid w:val="00226A77"/>
    <w:rsid w:val="00233B2D"/>
    <w:rsid w:val="00235199"/>
    <w:rsid w:val="00235735"/>
    <w:rsid w:val="0023694C"/>
    <w:rsid w:val="00240BEA"/>
    <w:rsid w:val="002508F7"/>
    <w:rsid w:val="0025105A"/>
    <w:rsid w:val="002511BF"/>
    <w:rsid w:val="002522B8"/>
    <w:rsid w:val="00252FD1"/>
    <w:rsid w:val="00253FB5"/>
    <w:rsid w:val="0025436E"/>
    <w:rsid w:val="002549FE"/>
    <w:rsid w:val="00264DEE"/>
    <w:rsid w:val="002674E7"/>
    <w:rsid w:val="00270641"/>
    <w:rsid w:val="0028069C"/>
    <w:rsid w:val="00285280"/>
    <w:rsid w:val="0028558A"/>
    <w:rsid w:val="002863C4"/>
    <w:rsid w:val="0028760C"/>
    <w:rsid w:val="002909B6"/>
    <w:rsid w:val="00291191"/>
    <w:rsid w:val="00293B06"/>
    <w:rsid w:val="00293E4F"/>
    <w:rsid w:val="0029415B"/>
    <w:rsid w:val="00294B63"/>
    <w:rsid w:val="00294D17"/>
    <w:rsid w:val="00294E33"/>
    <w:rsid w:val="0029574B"/>
    <w:rsid w:val="00297F1E"/>
    <w:rsid w:val="002A34C4"/>
    <w:rsid w:val="002A3D1A"/>
    <w:rsid w:val="002A69B2"/>
    <w:rsid w:val="002A7E70"/>
    <w:rsid w:val="002B0C3D"/>
    <w:rsid w:val="002B28D0"/>
    <w:rsid w:val="002B5CF0"/>
    <w:rsid w:val="002B6699"/>
    <w:rsid w:val="002B7EEA"/>
    <w:rsid w:val="002C2256"/>
    <w:rsid w:val="002C24FF"/>
    <w:rsid w:val="002C3DEF"/>
    <w:rsid w:val="002C48E5"/>
    <w:rsid w:val="002C48F5"/>
    <w:rsid w:val="002C5610"/>
    <w:rsid w:val="002C6631"/>
    <w:rsid w:val="002C76E7"/>
    <w:rsid w:val="002C7FD6"/>
    <w:rsid w:val="002D0405"/>
    <w:rsid w:val="002D3913"/>
    <w:rsid w:val="002D39D6"/>
    <w:rsid w:val="002D3A51"/>
    <w:rsid w:val="002D3E72"/>
    <w:rsid w:val="002D56A0"/>
    <w:rsid w:val="002E0629"/>
    <w:rsid w:val="002E29FB"/>
    <w:rsid w:val="002E3B2A"/>
    <w:rsid w:val="002E3F80"/>
    <w:rsid w:val="002E7040"/>
    <w:rsid w:val="002E72FB"/>
    <w:rsid w:val="002E76C4"/>
    <w:rsid w:val="002F03AC"/>
    <w:rsid w:val="002F2036"/>
    <w:rsid w:val="002F2655"/>
    <w:rsid w:val="002F2FAF"/>
    <w:rsid w:val="002F36E0"/>
    <w:rsid w:val="003004B0"/>
    <w:rsid w:val="003020F6"/>
    <w:rsid w:val="00303A0F"/>
    <w:rsid w:val="003053B3"/>
    <w:rsid w:val="003053FB"/>
    <w:rsid w:val="00306175"/>
    <w:rsid w:val="00306761"/>
    <w:rsid w:val="00312891"/>
    <w:rsid w:val="00313DE8"/>
    <w:rsid w:val="00314F9C"/>
    <w:rsid w:val="0031527D"/>
    <w:rsid w:val="0031674F"/>
    <w:rsid w:val="0031706D"/>
    <w:rsid w:val="00317579"/>
    <w:rsid w:val="00321AAF"/>
    <w:rsid w:val="00325011"/>
    <w:rsid w:val="003252E3"/>
    <w:rsid w:val="00330729"/>
    <w:rsid w:val="0033154D"/>
    <w:rsid w:val="00333308"/>
    <w:rsid w:val="0033616D"/>
    <w:rsid w:val="003366C0"/>
    <w:rsid w:val="00336E3C"/>
    <w:rsid w:val="00342063"/>
    <w:rsid w:val="00342638"/>
    <w:rsid w:val="00342FA4"/>
    <w:rsid w:val="003434D4"/>
    <w:rsid w:val="00355485"/>
    <w:rsid w:val="003565D7"/>
    <w:rsid w:val="003577F6"/>
    <w:rsid w:val="00362B3D"/>
    <w:rsid w:val="00363F40"/>
    <w:rsid w:val="00364E46"/>
    <w:rsid w:val="0036752E"/>
    <w:rsid w:val="00370620"/>
    <w:rsid w:val="003758F4"/>
    <w:rsid w:val="00375FA7"/>
    <w:rsid w:val="00376F13"/>
    <w:rsid w:val="00377444"/>
    <w:rsid w:val="00382D7B"/>
    <w:rsid w:val="00383221"/>
    <w:rsid w:val="00383C14"/>
    <w:rsid w:val="00385EF1"/>
    <w:rsid w:val="00391575"/>
    <w:rsid w:val="00394807"/>
    <w:rsid w:val="00394F22"/>
    <w:rsid w:val="0039529A"/>
    <w:rsid w:val="0039626F"/>
    <w:rsid w:val="003A0BB6"/>
    <w:rsid w:val="003A2E1E"/>
    <w:rsid w:val="003A3635"/>
    <w:rsid w:val="003A6BC3"/>
    <w:rsid w:val="003A7407"/>
    <w:rsid w:val="003B0FC6"/>
    <w:rsid w:val="003B1557"/>
    <w:rsid w:val="003B2266"/>
    <w:rsid w:val="003B2A46"/>
    <w:rsid w:val="003B3D92"/>
    <w:rsid w:val="003B63AA"/>
    <w:rsid w:val="003C0942"/>
    <w:rsid w:val="003C0F35"/>
    <w:rsid w:val="003C1A36"/>
    <w:rsid w:val="003C2F82"/>
    <w:rsid w:val="003C36DE"/>
    <w:rsid w:val="003C3A10"/>
    <w:rsid w:val="003C44B4"/>
    <w:rsid w:val="003C4957"/>
    <w:rsid w:val="003C49FA"/>
    <w:rsid w:val="003C5A54"/>
    <w:rsid w:val="003C7FD1"/>
    <w:rsid w:val="003D0C75"/>
    <w:rsid w:val="003D114A"/>
    <w:rsid w:val="003D210B"/>
    <w:rsid w:val="003D38F0"/>
    <w:rsid w:val="003D74BE"/>
    <w:rsid w:val="003D76FA"/>
    <w:rsid w:val="003E3E9B"/>
    <w:rsid w:val="003E4EA4"/>
    <w:rsid w:val="003E7113"/>
    <w:rsid w:val="003F19BB"/>
    <w:rsid w:val="003F1CD5"/>
    <w:rsid w:val="003F44E5"/>
    <w:rsid w:val="003F4D94"/>
    <w:rsid w:val="003F5C58"/>
    <w:rsid w:val="003F67D8"/>
    <w:rsid w:val="00402859"/>
    <w:rsid w:val="00404C67"/>
    <w:rsid w:val="00405616"/>
    <w:rsid w:val="0041003E"/>
    <w:rsid w:val="00412B85"/>
    <w:rsid w:val="00412D4C"/>
    <w:rsid w:val="00414B00"/>
    <w:rsid w:val="004162C2"/>
    <w:rsid w:val="004248C2"/>
    <w:rsid w:val="00426EFC"/>
    <w:rsid w:val="00430E3C"/>
    <w:rsid w:val="00432804"/>
    <w:rsid w:val="004362E3"/>
    <w:rsid w:val="004409AF"/>
    <w:rsid w:val="004432A1"/>
    <w:rsid w:val="0044733C"/>
    <w:rsid w:val="00450544"/>
    <w:rsid w:val="00450F48"/>
    <w:rsid w:val="00451E3C"/>
    <w:rsid w:val="00453A8F"/>
    <w:rsid w:val="0045489F"/>
    <w:rsid w:val="0045671C"/>
    <w:rsid w:val="00457A9C"/>
    <w:rsid w:val="00457D21"/>
    <w:rsid w:val="00460C6C"/>
    <w:rsid w:val="0046203F"/>
    <w:rsid w:val="0046244E"/>
    <w:rsid w:val="00462CC2"/>
    <w:rsid w:val="00464544"/>
    <w:rsid w:val="00464CCF"/>
    <w:rsid w:val="00465A6F"/>
    <w:rsid w:val="0047140A"/>
    <w:rsid w:val="0047188E"/>
    <w:rsid w:val="00471E1D"/>
    <w:rsid w:val="00473EF0"/>
    <w:rsid w:val="0047413C"/>
    <w:rsid w:val="00474889"/>
    <w:rsid w:val="00476859"/>
    <w:rsid w:val="00477E39"/>
    <w:rsid w:val="00481644"/>
    <w:rsid w:val="004826DD"/>
    <w:rsid w:val="00483050"/>
    <w:rsid w:val="00483D07"/>
    <w:rsid w:val="0048438F"/>
    <w:rsid w:val="004857B0"/>
    <w:rsid w:val="0048612F"/>
    <w:rsid w:val="00487921"/>
    <w:rsid w:val="00490B57"/>
    <w:rsid w:val="0049108C"/>
    <w:rsid w:val="00493C02"/>
    <w:rsid w:val="00495C31"/>
    <w:rsid w:val="004971D6"/>
    <w:rsid w:val="00497CDD"/>
    <w:rsid w:val="004A1064"/>
    <w:rsid w:val="004A2F8B"/>
    <w:rsid w:val="004A3495"/>
    <w:rsid w:val="004A4C21"/>
    <w:rsid w:val="004B15E4"/>
    <w:rsid w:val="004B2981"/>
    <w:rsid w:val="004B388A"/>
    <w:rsid w:val="004B453C"/>
    <w:rsid w:val="004B559F"/>
    <w:rsid w:val="004B69EF"/>
    <w:rsid w:val="004C2412"/>
    <w:rsid w:val="004D0AAA"/>
    <w:rsid w:val="004D124F"/>
    <w:rsid w:val="004D2843"/>
    <w:rsid w:val="004D3713"/>
    <w:rsid w:val="004D6D98"/>
    <w:rsid w:val="004E0871"/>
    <w:rsid w:val="004E2A81"/>
    <w:rsid w:val="004E3983"/>
    <w:rsid w:val="004E43BD"/>
    <w:rsid w:val="004E701E"/>
    <w:rsid w:val="004E790E"/>
    <w:rsid w:val="004F05D8"/>
    <w:rsid w:val="004F0804"/>
    <w:rsid w:val="004F0FF0"/>
    <w:rsid w:val="004F1240"/>
    <w:rsid w:val="004F1409"/>
    <w:rsid w:val="004F3C37"/>
    <w:rsid w:val="004F53F1"/>
    <w:rsid w:val="00500735"/>
    <w:rsid w:val="00501E31"/>
    <w:rsid w:val="0050389F"/>
    <w:rsid w:val="0050539A"/>
    <w:rsid w:val="00505A30"/>
    <w:rsid w:val="00507656"/>
    <w:rsid w:val="00507660"/>
    <w:rsid w:val="0051163B"/>
    <w:rsid w:val="00512112"/>
    <w:rsid w:val="0051377E"/>
    <w:rsid w:val="005142D4"/>
    <w:rsid w:val="00514E3F"/>
    <w:rsid w:val="005177AD"/>
    <w:rsid w:val="00517E7F"/>
    <w:rsid w:val="00521BA5"/>
    <w:rsid w:val="0052687A"/>
    <w:rsid w:val="00526C3E"/>
    <w:rsid w:val="0053636A"/>
    <w:rsid w:val="00540BEF"/>
    <w:rsid w:val="005416B8"/>
    <w:rsid w:val="0054191A"/>
    <w:rsid w:val="00541ECC"/>
    <w:rsid w:val="005464EE"/>
    <w:rsid w:val="005471E5"/>
    <w:rsid w:val="005477B6"/>
    <w:rsid w:val="00551366"/>
    <w:rsid w:val="00551A3A"/>
    <w:rsid w:val="00552DDD"/>
    <w:rsid w:val="005532A9"/>
    <w:rsid w:val="005538A6"/>
    <w:rsid w:val="005604C9"/>
    <w:rsid w:val="00560A96"/>
    <w:rsid w:val="00562AC6"/>
    <w:rsid w:val="00564494"/>
    <w:rsid w:val="00570974"/>
    <w:rsid w:val="00570990"/>
    <w:rsid w:val="00570C40"/>
    <w:rsid w:val="00572308"/>
    <w:rsid w:val="005723EC"/>
    <w:rsid w:val="005731BE"/>
    <w:rsid w:val="005760CD"/>
    <w:rsid w:val="00576AD1"/>
    <w:rsid w:val="005805C2"/>
    <w:rsid w:val="00581454"/>
    <w:rsid w:val="00584269"/>
    <w:rsid w:val="00584579"/>
    <w:rsid w:val="00587715"/>
    <w:rsid w:val="005919F1"/>
    <w:rsid w:val="00592642"/>
    <w:rsid w:val="005958D6"/>
    <w:rsid w:val="005964CF"/>
    <w:rsid w:val="005A3066"/>
    <w:rsid w:val="005A3638"/>
    <w:rsid w:val="005A50FA"/>
    <w:rsid w:val="005A5E99"/>
    <w:rsid w:val="005B35F4"/>
    <w:rsid w:val="005B52AD"/>
    <w:rsid w:val="005B5359"/>
    <w:rsid w:val="005B7188"/>
    <w:rsid w:val="005C0747"/>
    <w:rsid w:val="005C65EB"/>
    <w:rsid w:val="005D323C"/>
    <w:rsid w:val="005D7639"/>
    <w:rsid w:val="005D785F"/>
    <w:rsid w:val="005E2FDB"/>
    <w:rsid w:val="005F0329"/>
    <w:rsid w:val="005F0FE7"/>
    <w:rsid w:val="005F5BE6"/>
    <w:rsid w:val="005F7A64"/>
    <w:rsid w:val="00603B3F"/>
    <w:rsid w:val="00606EDE"/>
    <w:rsid w:val="00610260"/>
    <w:rsid w:val="00611C30"/>
    <w:rsid w:val="00611F9E"/>
    <w:rsid w:val="00613BD5"/>
    <w:rsid w:val="00620F47"/>
    <w:rsid w:val="006256FD"/>
    <w:rsid w:val="0062591B"/>
    <w:rsid w:val="00627F3F"/>
    <w:rsid w:val="006304DD"/>
    <w:rsid w:val="00637B6C"/>
    <w:rsid w:val="00641906"/>
    <w:rsid w:val="006419AD"/>
    <w:rsid w:val="006423C6"/>
    <w:rsid w:val="00644BDA"/>
    <w:rsid w:val="00646980"/>
    <w:rsid w:val="00660B9E"/>
    <w:rsid w:val="006623DF"/>
    <w:rsid w:val="00663AF2"/>
    <w:rsid w:val="00670716"/>
    <w:rsid w:val="00671216"/>
    <w:rsid w:val="00671793"/>
    <w:rsid w:val="00671DE3"/>
    <w:rsid w:val="00674849"/>
    <w:rsid w:val="006761A9"/>
    <w:rsid w:val="0067677D"/>
    <w:rsid w:val="006770B2"/>
    <w:rsid w:val="006770CD"/>
    <w:rsid w:val="00680355"/>
    <w:rsid w:val="00681986"/>
    <w:rsid w:val="00682811"/>
    <w:rsid w:val="00682B87"/>
    <w:rsid w:val="00682D8B"/>
    <w:rsid w:val="00686F06"/>
    <w:rsid w:val="00687290"/>
    <w:rsid w:val="006905FF"/>
    <w:rsid w:val="006906A9"/>
    <w:rsid w:val="00691FB1"/>
    <w:rsid w:val="006921FA"/>
    <w:rsid w:val="006940DB"/>
    <w:rsid w:val="00696555"/>
    <w:rsid w:val="00696659"/>
    <w:rsid w:val="00696814"/>
    <w:rsid w:val="00696F62"/>
    <w:rsid w:val="0069794E"/>
    <w:rsid w:val="006A07E1"/>
    <w:rsid w:val="006A0BDF"/>
    <w:rsid w:val="006A3646"/>
    <w:rsid w:val="006A3E27"/>
    <w:rsid w:val="006A53BB"/>
    <w:rsid w:val="006A5D1C"/>
    <w:rsid w:val="006B082A"/>
    <w:rsid w:val="006B10CD"/>
    <w:rsid w:val="006B18E1"/>
    <w:rsid w:val="006B6551"/>
    <w:rsid w:val="006B72AD"/>
    <w:rsid w:val="006C096A"/>
    <w:rsid w:val="006C184F"/>
    <w:rsid w:val="006C20BC"/>
    <w:rsid w:val="006C323A"/>
    <w:rsid w:val="006C3FD6"/>
    <w:rsid w:val="006C59D5"/>
    <w:rsid w:val="006C632A"/>
    <w:rsid w:val="006C71BA"/>
    <w:rsid w:val="006D238D"/>
    <w:rsid w:val="006D404F"/>
    <w:rsid w:val="006D455C"/>
    <w:rsid w:val="006D6751"/>
    <w:rsid w:val="006E0422"/>
    <w:rsid w:val="006E476E"/>
    <w:rsid w:val="006E630F"/>
    <w:rsid w:val="006E6D5D"/>
    <w:rsid w:val="006F0DA0"/>
    <w:rsid w:val="006F0E9D"/>
    <w:rsid w:val="006F32BF"/>
    <w:rsid w:val="007003DE"/>
    <w:rsid w:val="007008B1"/>
    <w:rsid w:val="007015F5"/>
    <w:rsid w:val="00702D50"/>
    <w:rsid w:val="00703347"/>
    <w:rsid w:val="00706F43"/>
    <w:rsid w:val="00711CE4"/>
    <w:rsid w:val="00711D80"/>
    <w:rsid w:val="00712862"/>
    <w:rsid w:val="007132B7"/>
    <w:rsid w:val="00714D79"/>
    <w:rsid w:val="007173EF"/>
    <w:rsid w:val="00726C40"/>
    <w:rsid w:val="00726EFB"/>
    <w:rsid w:val="00735D44"/>
    <w:rsid w:val="00740608"/>
    <w:rsid w:val="00740791"/>
    <w:rsid w:val="007408BC"/>
    <w:rsid w:val="00742084"/>
    <w:rsid w:val="0074219B"/>
    <w:rsid w:val="0074221B"/>
    <w:rsid w:val="0074661C"/>
    <w:rsid w:val="00750397"/>
    <w:rsid w:val="00753640"/>
    <w:rsid w:val="007564A7"/>
    <w:rsid w:val="00757CD2"/>
    <w:rsid w:val="00764FEC"/>
    <w:rsid w:val="00766475"/>
    <w:rsid w:val="0077287D"/>
    <w:rsid w:val="00772B19"/>
    <w:rsid w:val="0077364D"/>
    <w:rsid w:val="00774A51"/>
    <w:rsid w:val="00780DCC"/>
    <w:rsid w:val="00782FF8"/>
    <w:rsid w:val="00783829"/>
    <w:rsid w:val="00784B23"/>
    <w:rsid w:val="00794100"/>
    <w:rsid w:val="007942D4"/>
    <w:rsid w:val="007943A4"/>
    <w:rsid w:val="00794C5F"/>
    <w:rsid w:val="007A0103"/>
    <w:rsid w:val="007A2277"/>
    <w:rsid w:val="007A29F5"/>
    <w:rsid w:val="007A554C"/>
    <w:rsid w:val="007A6074"/>
    <w:rsid w:val="007B1E66"/>
    <w:rsid w:val="007B2614"/>
    <w:rsid w:val="007B2E33"/>
    <w:rsid w:val="007B389C"/>
    <w:rsid w:val="007B6335"/>
    <w:rsid w:val="007C3382"/>
    <w:rsid w:val="007C76C8"/>
    <w:rsid w:val="007C797F"/>
    <w:rsid w:val="007D4B57"/>
    <w:rsid w:val="007E0075"/>
    <w:rsid w:val="007E0847"/>
    <w:rsid w:val="007E47EA"/>
    <w:rsid w:val="007E7725"/>
    <w:rsid w:val="007E7CBD"/>
    <w:rsid w:val="007F16F8"/>
    <w:rsid w:val="007F29B5"/>
    <w:rsid w:val="007F3A34"/>
    <w:rsid w:val="007F7FB2"/>
    <w:rsid w:val="00801C2B"/>
    <w:rsid w:val="0080386C"/>
    <w:rsid w:val="008047B2"/>
    <w:rsid w:val="00805358"/>
    <w:rsid w:val="00807078"/>
    <w:rsid w:val="008070A8"/>
    <w:rsid w:val="00810499"/>
    <w:rsid w:val="0081166D"/>
    <w:rsid w:val="0081203C"/>
    <w:rsid w:val="00812E01"/>
    <w:rsid w:val="0082134B"/>
    <w:rsid w:val="00821F3F"/>
    <w:rsid w:val="008247E7"/>
    <w:rsid w:val="00832D2C"/>
    <w:rsid w:val="008377B9"/>
    <w:rsid w:val="00837D66"/>
    <w:rsid w:val="00840D9E"/>
    <w:rsid w:val="0084169E"/>
    <w:rsid w:val="008441CF"/>
    <w:rsid w:val="0084470A"/>
    <w:rsid w:val="0084677E"/>
    <w:rsid w:val="00846966"/>
    <w:rsid w:val="008476D0"/>
    <w:rsid w:val="00851EEA"/>
    <w:rsid w:val="00855448"/>
    <w:rsid w:val="008556E8"/>
    <w:rsid w:val="00863EF4"/>
    <w:rsid w:val="0086454B"/>
    <w:rsid w:val="00864B7E"/>
    <w:rsid w:val="00870CD4"/>
    <w:rsid w:val="008732FD"/>
    <w:rsid w:val="00873B7F"/>
    <w:rsid w:val="008758EA"/>
    <w:rsid w:val="00876A64"/>
    <w:rsid w:val="0087707C"/>
    <w:rsid w:val="00881878"/>
    <w:rsid w:val="00884225"/>
    <w:rsid w:val="00885345"/>
    <w:rsid w:val="00885B89"/>
    <w:rsid w:val="008921D0"/>
    <w:rsid w:val="0089224F"/>
    <w:rsid w:val="008973B6"/>
    <w:rsid w:val="008A10AC"/>
    <w:rsid w:val="008A1C2E"/>
    <w:rsid w:val="008A1FDF"/>
    <w:rsid w:val="008A2340"/>
    <w:rsid w:val="008A39EF"/>
    <w:rsid w:val="008A648D"/>
    <w:rsid w:val="008B0CCB"/>
    <w:rsid w:val="008B17F2"/>
    <w:rsid w:val="008B5BCE"/>
    <w:rsid w:val="008B71EA"/>
    <w:rsid w:val="008C2A25"/>
    <w:rsid w:val="008C40A8"/>
    <w:rsid w:val="008C584E"/>
    <w:rsid w:val="008C5B59"/>
    <w:rsid w:val="008C77C6"/>
    <w:rsid w:val="008D3067"/>
    <w:rsid w:val="008E0751"/>
    <w:rsid w:val="008E0D98"/>
    <w:rsid w:val="008E0E18"/>
    <w:rsid w:val="008E344D"/>
    <w:rsid w:val="008E3483"/>
    <w:rsid w:val="008E5A8F"/>
    <w:rsid w:val="008E70A2"/>
    <w:rsid w:val="008F030D"/>
    <w:rsid w:val="008F0544"/>
    <w:rsid w:val="008F2212"/>
    <w:rsid w:val="008F30F1"/>
    <w:rsid w:val="008F4C58"/>
    <w:rsid w:val="008F66C7"/>
    <w:rsid w:val="008F74AA"/>
    <w:rsid w:val="00900BD6"/>
    <w:rsid w:val="00902DA4"/>
    <w:rsid w:val="0090328B"/>
    <w:rsid w:val="0090572C"/>
    <w:rsid w:val="0091080B"/>
    <w:rsid w:val="00915221"/>
    <w:rsid w:val="00920C8F"/>
    <w:rsid w:val="0092586B"/>
    <w:rsid w:val="00926833"/>
    <w:rsid w:val="00926AED"/>
    <w:rsid w:val="009319B5"/>
    <w:rsid w:val="00932D8F"/>
    <w:rsid w:val="00947000"/>
    <w:rsid w:val="009518F7"/>
    <w:rsid w:val="00953CF6"/>
    <w:rsid w:val="00955A5E"/>
    <w:rsid w:val="00960CAE"/>
    <w:rsid w:val="009639CA"/>
    <w:rsid w:val="00964E35"/>
    <w:rsid w:val="009670B7"/>
    <w:rsid w:val="0097067C"/>
    <w:rsid w:val="009723D1"/>
    <w:rsid w:val="009732C1"/>
    <w:rsid w:val="009734D4"/>
    <w:rsid w:val="00974BEA"/>
    <w:rsid w:val="00977705"/>
    <w:rsid w:val="009826E9"/>
    <w:rsid w:val="00984171"/>
    <w:rsid w:val="009847F4"/>
    <w:rsid w:val="00984E10"/>
    <w:rsid w:val="0098507B"/>
    <w:rsid w:val="00986ECE"/>
    <w:rsid w:val="009874E2"/>
    <w:rsid w:val="00987C9A"/>
    <w:rsid w:val="0099140F"/>
    <w:rsid w:val="0099282E"/>
    <w:rsid w:val="00994448"/>
    <w:rsid w:val="0099620A"/>
    <w:rsid w:val="009A2D28"/>
    <w:rsid w:val="009A311B"/>
    <w:rsid w:val="009A4552"/>
    <w:rsid w:val="009B01B5"/>
    <w:rsid w:val="009B0A5F"/>
    <w:rsid w:val="009B17B3"/>
    <w:rsid w:val="009B1832"/>
    <w:rsid w:val="009B39ED"/>
    <w:rsid w:val="009B3A9E"/>
    <w:rsid w:val="009B40D2"/>
    <w:rsid w:val="009C0852"/>
    <w:rsid w:val="009C0C2B"/>
    <w:rsid w:val="009C21FA"/>
    <w:rsid w:val="009C76E2"/>
    <w:rsid w:val="009D1E7C"/>
    <w:rsid w:val="009D4CE3"/>
    <w:rsid w:val="009D5062"/>
    <w:rsid w:val="009D5783"/>
    <w:rsid w:val="009D67A8"/>
    <w:rsid w:val="009D7890"/>
    <w:rsid w:val="009E4EA2"/>
    <w:rsid w:val="009E5AE8"/>
    <w:rsid w:val="009F22FE"/>
    <w:rsid w:val="009F275A"/>
    <w:rsid w:val="009F27EC"/>
    <w:rsid w:val="009F2FBA"/>
    <w:rsid w:val="009F3270"/>
    <w:rsid w:val="009F7219"/>
    <w:rsid w:val="00A0064B"/>
    <w:rsid w:val="00A0138A"/>
    <w:rsid w:val="00A01CD2"/>
    <w:rsid w:val="00A04536"/>
    <w:rsid w:val="00A07103"/>
    <w:rsid w:val="00A074B2"/>
    <w:rsid w:val="00A078E1"/>
    <w:rsid w:val="00A07A2F"/>
    <w:rsid w:val="00A11286"/>
    <w:rsid w:val="00A11538"/>
    <w:rsid w:val="00A12D81"/>
    <w:rsid w:val="00A1307E"/>
    <w:rsid w:val="00A13C48"/>
    <w:rsid w:val="00A17394"/>
    <w:rsid w:val="00A213A8"/>
    <w:rsid w:val="00A21F3E"/>
    <w:rsid w:val="00A23605"/>
    <w:rsid w:val="00A25DE6"/>
    <w:rsid w:val="00A31778"/>
    <w:rsid w:val="00A31ED3"/>
    <w:rsid w:val="00A330B8"/>
    <w:rsid w:val="00A33E5B"/>
    <w:rsid w:val="00A36BA5"/>
    <w:rsid w:val="00A36D64"/>
    <w:rsid w:val="00A3715D"/>
    <w:rsid w:val="00A40615"/>
    <w:rsid w:val="00A41604"/>
    <w:rsid w:val="00A462F0"/>
    <w:rsid w:val="00A510E8"/>
    <w:rsid w:val="00A523A2"/>
    <w:rsid w:val="00A527AE"/>
    <w:rsid w:val="00A52E60"/>
    <w:rsid w:val="00A52EDC"/>
    <w:rsid w:val="00A54122"/>
    <w:rsid w:val="00A61934"/>
    <w:rsid w:val="00A61F7F"/>
    <w:rsid w:val="00A6264B"/>
    <w:rsid w:val="00A62714"/>
    <w:rsid w:val="00A64EC4"/>
    <w:rsid w:val="00A65C2C"/>
    <w:rsid w:val="00A6690B"/>
    <w:rsid w:val="00A7023B"/>
    <w:rsid w:val="00A70947"/>
    <w:rsid w:val="00A75F13"/>
    <w:rsid w:val="00A8162E"/>
    <w:rsid w:val="00A81D45"/>
    <w:rsid w:val="00A84CE9"/>
    <w:rsid w:val="00A851A5"/>
    <w:rsid w:val="00A85F56"/>
    <w:rsid w:val="00A8660A"/>
    <w:rsid w:val="00A868DE"/>
    <w:rsid w:val="00A8725B"/>
    <w:rsid w:val="00A91CB0"/>
    <w:rsid w:val="00A9205C"/>
    <w:rsid w:val="00AA1637"/>
    <w:rsid w:val="00AA17FB"/>
    <w:rsid w:val="00AA3DE5"/>
    <w:rsid w:val="00AA5D9C"/>
    <w:rsid w:val="00AA6088"/>
    <w:rsid w:val="00AB1009"/>
    <w:rsid w:val="00AB65E7"/>
    <w:rsid w:val="00AB778B"/>
    <w:rsid w:val="00AB7DA4"/>
    <w:rsid w:val="00AC08D5"/>
    <w:rsid w:val="00AC10E1"/>
    <w:rsid w:val="00AC7346"/>
    <w:rsid w:val="00AD330C"/>
    <w:rsid w:val="00AD3414"/>
    <w:rsid w:val="00AD34DA"/>
    <w:rsid w:val="00AD500F"/>
    <w:rsid w:val="00AD7CAF"/>
    <w:rsid w:val="00AE0946"/>
    <w:rsid w:val="00AE15A6"/>
    <w:rsid w:val="00AE2148"/>
    <w:rsid w:val="00AE2CB4"/>
    <w:rsid w:val="00AE630C"/>
    <w:rsid w:val="00AE6898"/>
    <w:rsid w:val="00AF080D"/>
    <w:rsid w:val="00AF09E1"/>
    <w:rsid w:val="00AF1C0E"/>
    <w:rsid w:val="00AF293F"/>
    <w:rsid w:val="00AF5CE8"/>
    <w:rsid w:val="00AF6545"/>
    <w:rsid w:val="00AF6D7E"/>
    <w:rsid w:val="00AF7C84"/>
    <w:rsid w:val="00B00281"/>
    <w:rsid w:val="00B00FC3"/>
    <w:rsid w:val="00B01698"/>
    <w:rsid w:val="00B023C3"/>
    <w:rsid w:val="00B04078"/>
    <w:rsid w:val="00B07478"/>
    <w:rsid w:val="00B076CF"/>
    <w:rsid w:val="00B1052F"/>
    <w:rsid w:val="00B108FB"/>
    <w:rsid w:val="00B11FB1"/>
    <w:rsid w:val="00B1568A"/>
    <w:rsid w:val="00B170C8"/>
    <w:rsid w:val="00B200AA"/>
    <w:rsid w:val="00B30AD7"/>
    <w:rsid w:val="00B33BED"/>
    <w:rsid w:val="00B34E1D"/>
    <w:rsid w:val="00B35BBC"/>
    <w:rsid w:val="00B37570"/>
    <w:rsid w:val="00B401FB"/>
    <w:rsid w:val="00B433E1"/>
    <w:rsid w:val="00B44A4F"/>
    <w:rsid w:val="00B46D56"/>
    <w:rsid w:val="00B51E67"/>
    <w:rsid w:val="00B52584"/>
    <w:rsid w:val="00B52F5E"/>
    <w:rsid w:val="00B533EC"/>
    <w:rsid w:val="00B5343A"/>
    <w:rsid w:val="00B54C45"/>
    <w:rsid w:val="00B54C8B"/>
    <w:rsid w:val="00B6013B"/>
    <w:rsid w:val="00B642B7"/>
    <w:rsid w:val="00B65847"/>
    <w:rsid w:val="00B65E50"/>
    <w:rsid w:val="00B665E6"/>
    <w:rsid w:val="00B677EB"/>
    <w:rsid w:val="00B727F3"/>
    <w:rsid w:val="00B73A97"/>
    <w:rsid w:val="00B756D6"/>
    <w:rsid w:val="00B82C8F"/>
    <w:rsid w:val="00B83E47"/>
    <w:rsid w:val="00B8584C"/>
    <w:rsid w:val="00B905E8"/>
    <w:rsid w:val="00B90F17"/>
    <w:rsid w:val="00B93D86"/>
    <w:rsid w:val="00B94B30"/>
    <w:rsid w:val="00BA2DF5"/>
    <w:rsid w:val="00BA331F"/>
    <w:rsid w:val="00BA3376"/>
    <w:rsid w:val="00BA5932"/>
    <w:rsid w:val="00BA784A"/>
    <w:rsid w:val="00BA79CE"/>
    <w:rsid w:val="00BA7D17"/>
    <w:rsid w:val="00BA7D5E"/>
    <w:rsid w:val="00BB076E"/>
    <w:rsid w:val="00BB0D6A"/>
    <w:rsid w:val="00BB1828"/>
    <w:rsid w:val="00BB1CF2"/>
    <w:rsid w:val="00BB656B"/>
    <w:rsid w:val="00BB7256"/>
    <w:rsid w:val="00BB7A25"/>
    <w:rsid w:val="00BC0888"/>
    <w:rsid w:val="00BC0A3C"/>
    <w:rsid w:val="00BC3B10"/>
    <w:rsid w:val="00BC534D"/>
    <w:rsid w:val="00BC5916"/>
    <w:rsid w:val="00BC621F"/>
    <w:rsid w:val="00BC6724"/>
    <w:rsid w:val="00BD08C9"/>
    <w:rsid w:val="00BF07BC"/>
    <w:rsid w:val="00BF32D5"/>
    <w:rsid w:val="00BF7F90"/>
    <w:rsid w:val="00C00208"/>
    <w:rsid w:val="00C02CBB"/>
    <w:rsid w:val="00C032F0"/>
    <w:rsid w:val="00C03503"/>
    <w:rsid w:val="00C05C4B"/>
    <w:rsid w:val="00C10546"/>
    <w:rsid w:val="00C10E3A"/>
    <w:rsid w:val="00C14388"/>
    <w:rsid w:val="00C20621"/>
    <w:rsid w:val="00C21933"/>
    <w:rsid w:val="00C21EAF"/>
    <w:rsid w:val="00C23C03"/>
    <w:rsid w:val="00C240F0"/>
    <w:rsid w:val="00C25701"/>
    <w:rsid w:val="00C276CA"/>
    <w:rsid w:val="00C35230"/>
    <w:rsid w:val="00C368F8"/>
    <w:rsid w:val="00C42027"/>
    <w:rsid w:val="00C42BCE"/>
    <w:rsid w:val="00C43D4C"/>
    <w:rsid w:val="00C45BD7"/>
    <w:rsid w:val="00C52681"/>
    <w:rsid w:val="00C5312F"/>
    <w:rsid w:val="00C56BA4"/>
    <w:rsid w:val="00C57E29"/>
    <w:rsid w:val="00C6035D"/>
    <w:rsid w:val="00C60499"/>
    <w:rsid w:val="00C610D4"/>
    <w:rsid w:val="00C61909"/>
    <w:rsid w:val="00C635EE"/>
    <w:rsid w:val="00C63E8C"/>
    <w:rsid w:val="00C63F2A"/>
    <w:rsid w:val="00C6506A"/>
    <w:rsid w:val="00C659A7"/>
    <w:rsid w:val="00C667B8"/>
    <w:rsid w:val="00C66BD3"/>
    <w:rsid w:val="00C67113"/>
    <w:rsid w:val="00C67DF1"/>
    <w:rsid w:val="00C70918"/>
    <w:rsid w:val="00C73DA7"/>
    <w:rsid w:val="00C74802"/>
    <w:rsid w:val="00C75C82"/>
    <w:rsid w:val="00C76FFC"/>
    <w:rsid w:val="00C77059"/>
    <w:rsid w:val="00C779E4"/>
    <w:rsid w:val="00C807EE"/>
    <w:rsid w:val="00C81930"/>
    <w:rsid w:val="00C81A77"/>
    <w:rsid w:val="00C828BD"/>
    <w:rsid w:val="00C84F4D"/>
    <w:rsid w:val="00C90B2E"/>
    <w:rsid w:val="00C91904"/>
    <w:rsid w:val="00C9259F"/>
    <w:rsid w:val="00C95D01"/>
    <w:rsid w:val="00C961CD"/>
    <w:rsid w:val="00C96ABF"/>
    <w:rsid w:val="00C97237"/>
    <w:rsid w:val="00C97C21"/>
    <w:rsid w:val="00CA0EF3"/>
    <w:rsid w:val="00CA3398"/>
    <w:rsid w:val="00CA3D9F"/>
    <w:rsid w:val="00CA40FA"/>
    <w:rsid w:val="00CA56BE"/>
    <w:rsid w:val="00CA6926"/>
    <w:rsid w:val="00CA735C"/>
    <w:rsid w:val="00CA7D2F"/>
    <w:rsid w:val="00CB063F"/>
    <w:rsid w:val="00CB0ED8"/>
    <w:rsid w:val="00CB1A26"/>
    <w:rsid w:val="00CB1CDE"/>
    <w:rsid w:val="00CB2D09"/>
    <w:rsid w:val="00CB389C"/>
    <w:rsid w:val="00CB3AD5"/>
    <w:rsid w:val="00CC5CF3"/>
    <w:rsid w:val="00CC6DCD"/>
    <w:rsid w:val="00CC7451"/>
    <w:rsid w:val="00CC7A9F"/>
    <w:rsid w:val="00CD0D86"/>
    <w:rsid w:val="00CD171A"/>
    <w:rsid w:val="00CD2F60"/>
    <w:rsid w:val="00CD6E97"/>
    <w:rsid w:val="00CD71EB"/>
    <w:rsid w:val="00CD78F2"/>
    <w:rsid w:val="00CE12DD"/>
    <w:rsid w:val="00CE3CC8"/>
    <w:rsid w:val="00CE5861"/>
    <w:rsid w:val="00CE73E2"/>
    <w:rsid w:val="00CF2816"/>
    <w:rsid w:val="00CF3EA7"/>
    <w:rsid w:val="00D01E1C"/>
    <w:rsid w:val="00D1119D"/>
    <w:rsid w:val="00D113A7"/>
    <w:rsid w:val="00D13D39"/>
    <w:rsid w:val="00D17049"/>
    <w:rsid w:val="00D173E5"/>
    <w:rsid w:val="00D20E6B"/>
    <w:rsid w:val="00D21D17"/>
    <w:rsid w:val="00D23BD5"/>
    <w:rsid w:val="00D250A7"/>
    <w:rsid w:val="00D2518B"/>
    <w:rsid w:val="00D2661D"/>
    <w:rsid w:val="00D307CC"/>
    <w:rsid w:val="00D31857"/>
    <w:rsid w:val="00D32B87"/>
    <w:rsid w:val="00D32C2B"/>
    <w:rsid w:val="00D32E4E"/>
    <w:rsid w:val="00D35790"/>
    <w:rsid w:val="00D36286"/>
    <w:rsid w:val="00D40225"/>
    <w:rsid w:val="00D4046C"/>
    <w:rsid w:val="00D4108E"/>
    <w:rsid w:val="00D41B23"/>
    <w:rsid w:val="00D4610F"/>
    <w:rsid w:val="00D534A9"/>
    <w:rsid w:val="00D5385A"/>
    <w:rsid w:val="00D540DE"/>
    <w:rsid w:val="00D558FC"/>
    <w:rsid w:val="00D5724A"/>
    <w:rsid w:val="00D57387"/>
    <w:rsid w:val="00D60C5E"/>
    <w:rsid w:val="00D6705D"/>
    <w:rsid w:val="00D746A4"/>
    <w:rsid w:val="00D75313"/>
    <w:rsid w:val="00D8220E"/>
    <w:rsid w:val="00D83D7A"/>
    <w:rsid w:val="00D847DA"/>
    <w:rsid w:val="00D8497C"/>
    <w:rsid w:val="00D84E83"/>
    <w:rsid w:val="00D85D54"/>
    <w:rsid w:val="00D86D8C"/>
    <w:rsid w:val="00D86E4C"/>
    <w:rsid w:val="00D90DCA"/>
    <w:rsid w:val="00D92D17"/>
    <w:rsid w:val="00D941E2"/>
    <w:rsid w:val="00D95F8A"/>
    <w:rsid w:val="00D97332"/>
    <w:rsid w:val="00DA0D39"/>
    <w:rsid w:val="00DA1559"/>
    <w:rsid w:val="00DA16C9"/>
    <w:rsid w:val="00DA1C53"/>
    <w:rsid w:val="00DA4847"/>
    <w:rsid w:val="00DA6C21"/>
    <w:rsid w:val="00DB3B57"/>
    <w:rsid w:val="00DB4A50"/>
    <w:rsid w:val="00DB6178"/>
    <w:rsid w:val="00DB6DE3"/>
    <w:rsid w:val="00DC1C08"/>
    <w:rsid w:val="00DC2EA1"/>
    <w:rsid w:val="00DC4856"/>
    <w:rsid w:val="00DC4EBE"/>
    <w:rsid w:val="00DC6AF0"/>
    <w:rsid w:val="00DD0082"/>
    <w:rsid w:val="00DD09BD"/>
    <w:rsid w:val="00DD13F8"/>
    <w:rsid w:val="00DD1F1D"/>
    <w:rsid w:val="00DD4545"/>
    <w:rsid w:val="00DD6B9F"/>
    <w:rsid w:val="00DE3C4C"/>
    <w:rsid w:val="00DE644E"/>
    <w:rsid w:val="00DE7784"/>
    <w:rsid w:val="00DF0614"/>
    <w:rsid w:val="00DF2758"/>
    <w:rsid w:val="00DF334E"/>
    <w:rsid w:val="00DF422B"/>
    <w:rsid w:val="00E02EB8"/>
    <w:rsid w:val="00E03218"/>
    <w:rsid w:val="00E05F1F"/>
    <w:rsid w:val="00E106C6"/>
    <w:rsid w:val="00E112BA"/>
    <w:rsid w:val="00E14E23"/>
    <w:rsid w:val="00E1557E"/>
    <w:rsid w:val="00E17892"/>
    <w:rsid w:val="00E206AF"/>
    <w:rsid w:val="00E21F91"/>
    <w:rsid w:val="00E22EF8"/>
    <w:rsid w:val="00E25096"/>
    <w:rsid w:val="00E324D3"/>
    <w:rsid w:val="00E32C93"/>
    <w:rsid w:val="00E332A9"/>
    <w:rsid w:val="00E35543"/>
    <w:rsid w:val="00E36EB8"/>
    <w:rsid w:val="00E37DD8"/>
    <w:rsid w:val="00E40B43"/>
    <w:rsid w:val="00E42C75"/>
    <w:rsid w:val="00E4643A"/>
    <w:rsid w:val="00E47A40"/>
    <w:rsid w:val="00E5021A"/>
    <w:rsid w:val="00E50663"/>
    <w:rsid w:val="00E51F60"/>
    <w:rsid w:val="00E565DC"/>
    <w:rsid w:val="00E56F94"/>
    <w:rsid w:val="00E577E9"/>
    <w:rsid w:val="00E61E21"/>
    <w:rsid w:val="00E63FCB"/>
    <w:rsid w:val="00E6518A"/>
    <w:rsid w:val="00E67298"/>
    <w:rsid w:val="00E67FB0"/>
    <w:rsid w:val="00E70100"/>
    <w:rsid w:val="00E7019A"/>
    <w:rsid w:val="00E77355"/>
    <w:rsid w:val="00E81D90"/>
    <w:rsid w:val="00E833DA"/>
    <w:rsid w:val="00E84277"/>
    <w:rsid w:val="00E863DF"/>
    <w:rsid w:val="00E87916"/>
    <w:rsid w:val="00E96998"/>
    <w:rsid w:val="00EA142C"/>
    <w:rsid w:val="00EA1598"/>
    <w:rsid w:val="00EA16BB"/>
    <w:rsid w:val="00EA31C9"/>
    <w:rsid w:val="00EA4A71"/>
    <w:rsid w:val="00EA567C"/>
    <w:rsid w:val="00EB0C79"/>
    <w:rsid w:val="00EB12C6"/>
    <w:rsid w:val="00EB1BC9"/>
    <w:rsid w:val="00EB27C0"/>
    <w:rsid w:val="00EB625C"/>
    <w:rsid w:val="00EB78E2"/>
    <w:rsid w:val="00EC14E7"/>
    <w:rsid w:val="00EC3612"/>
    <w:rsid w:val="00EC4220"/>
    <w:rsid w:val="00EC4B05"/>
    <w:rsid w:val="00EC54C3"/>
    <w:rsid w:val="00EC5DF3"/>
    <w:rsid w:val="00EC76A0"/>
    <w:rsid w:val="00EC7CF9"/>
    <w:rsid w:val="00EC7F5A"/>
    <w:rsid w:val="00ED0580"/>
    <w:rsid w:val="00ED1437"/>
    <w:rsid w:val="00ED6CAB"/>
    <w:rsid w:val="00ED78EC"/>
    <w:rsid w:val="00EE3660"/>
    <w:rsid w:val="00EE5017"/>
    <w:rsid w:val="00EE55EB"/>
    <w:rsid w:val="00EE5E7F"/>
    <w:rsid w:val="00EE6AFA"/>
    <w:rsid w:val="00EE6DDD"/>
    <w:rsid w:val="00EF06E2"/>
    <w:rsid w:val="00EF417E"/>
    <w:rsid w:val="00F01FE0"/>
    <w:rsid w:val="00F030D8"/>
    <w:rsid w:val="00F063E3"/>
    <w:rsid w:val="00F101C1"/>
    <w:rsid w:val="00F10C41"/>
    <w:rsid w:val="00F10D99"/>
    <w:rsid w:val="00F118C9"/>
    <w:rsid w:val="00F1208D"/>
    <w:rsid w:val="00F1493D"/>
    <w:rsid w:val="00F15560"/>
    <w:rsid w:val="00F15B78"/>
    <w:rsid w:val="00F17A43"/>
    <w:rsid w:val="00F2024F"/>
    <w:rsid w:val="00F228F9"/>
    <w:rsid w:val="00F242FD"/>
    <w:rsid w:val="00F251E3"/>
    <w:rsid w:val="00F26E94"/>
    <w:rsid w:val="00F2700E"/>
    <w:rsid w:val="00F30011"/>
    <w:rsid w:val="00F30289"/>
    <w:rsid w:val="00F316C0"/>
    <w:rsid w:val="00F33BD8"/>
    <w:rsid w:val="00F34D94"/>
    <w:rsid w:val="00F3667B"/>
    <w:rsid w:val="00F4037B"/>
    <w:rsid w:val="00F406BB"/>
    <w:rsid w:val="00F43872"/>
    <w:rsid w:val="00F4414D"/>
    <w:rsid w:val="00F4443A"/>
    <w:rsid w:val="00F4687E"/>
    <w:rsid w:val="00F5127F"/>
    <w:rsid w:val="00F51E07"/>
    <w:rsid w:val="00F54B51"/>
    <w:rsid w:val="00F60F82"/>
    <w:rsid w:val="00F6305B"/>
    <w:rsid w:val="00F63374"/>
    <w:rsid w:val="00F637A6"/>
    <w:rsid w:val="00F67388"/>
    <w:rsid w:val="00F675AA"/>
    <w:rsid w:val="00F73CD8"/>
    <w:rsid w:val="00F744EA"/>
    <w:rsid w:val="00F76815"/>
    <w:rsid w:val="00F81660"/>
    <w:rsid w:val="00F81C76"/>
    <w:rsid w:val="00F8272A"/>
    <w:rsid w:val="00F87766"/>
    <w:rsid w:val="00F879A2"/>
    <w:rsid w:val="00F91A5A"/>
    <w:rsid w:val="00F91E1E"/>
    <w:rsid w:val="00F930F2"/>
    <w:rsid w:val="00F938FD"/>
    <w:rsid w:val="00F94636"/>
    <w:rsid w:val="00F950B8"/>
    <w:rsid w:val="00F972E5"/>
    <w:rsid w:val="00FA1C2D"/>
    <w:rsid w:val="00FA412D"/>
    <w:rsid w:val="00FA50FB"/>
    <w:rsid w:val="00FA6087"/>
    <w:rsid w:val="00FB04CC"/>
    <w:rsid w:val="00FB064A"/>
    <w:rsid w:val="00FB3ADB"/>
    <w:rsid w:val="00FB4437"/>
    <w:rsid w:val="00FB6D5A"/>
    <w:rsid w:val="00FC0BF3"/>
    <w:rsid w:val="00FC0EBD"/>
    <w:rsid w:val="00FC5A23"/>
    <w:rsid w:val="00FC67DA"/>
    <w:rsid w:val="00FC68EA"/>
    <w:rsid w:val="00FC7D6A"/>
    <w:rsid w:val="00FD0A62"/>
    <w:rsid w:val="00FD213A"/>
    <w:rsid w:val="00FD249F"/>
    <w:rsid w:val="00FD4207"/>
    <w:rsid w:val="00FD44F7"/>
    <w:rsid w:val="00FD6A58"/>
    <w:rsid w:val="00FD6CD0"/>
    <w:rsid w:val="00FD724A"/>
    <w:rsid w:val="00FE16ED"/>
    <w:rsid w:val="00FE494E"/>
    <w:rsid w:val="00FE59A7"/>
    <w:rsid w:val="00FE7538"/>
    <w:rsid w:val="00FF10C3"/>
    <w:rsid w:val="00FF2AC2"/>
    <w:rsid w:val="00FF5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F637A6"/>
    <w:pPr>
      <w:spacing w:after="0" w:line="240" w:lineRule="auto"/>
    </w:pPr>
  </w:style>
  <w:style w:type="character" w:styleId="FootnoteReference">
    <w:name w:val="footnote reference"/>
    <w:basedOn w:val="DefaultParagraphFont"/>
    <w:uiPriority w:val="99"/>
    <w:rsid w:val="00027BFE"/>
    <w:rPr>
      <w:rFonts w:ascii="Arial" w:hAnsi="Arial"/>
      <w:vertAlign w:val="superscript"/>
    </w:rPr>
  </w:style>
  <w:style w:type="paragraph" w:styleId="FootnoteText">
    <w:name w:val="footnote text"/>
    <w:aliases w:val="Footnote text,ACMA Footnote Text"/>
    <w:basedOn w:val="Normal"/>
    <w:link w:val="FootnoteTextChar"/>
    <w:rsid w:val="00027BFE"/>
    <w:pPr>
      <w:spacing w:after="0" w:line="20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
    <w:basedOn w:val="DefaultParagraphFont"/>
    <w:link w:val="FootnoteText"/>
    <w:rsid w:val="00027BFE"/>
    <w:rPr>
      <w:rFonts w:ascii="Arial" w:eastAsia="Times New Roman" w:hAnsi="Arial" w:cs="Times New Roman"/>
      <w:sz w:val="16"/>
      <w:szCs w:val="16"/>
      <w:lang w:eastAsia="en-AU"/>
    </w:rPr>
  </w:style>
  <w:style w:type="paragraph" w:customStyle="1" w:styleId="Paragraph">
    <w:name w:val="Paragraph"/>
    <w:basedOn w:val="Normal"/>
    <w:qFormat/>
    <w:rsid w:val="00027BFE"/>
    <w:pPr>
      <w:spacing w:after="240" w:line="240" w:lineRule="atLeast"/>
    </w:pPr>
    <w:rPr>
      <w:rFonts w:ascii="Arial" w:eastAsia="Times New Roman" w:hAnsi="Arial" w:cs="Arial"/>
      <w:sz w:val="20"/>
      <w:szCs w:val="24"/>
      <w:lang w:eastAsia="en-AU"/>
    </w:rPr>
  </w:style>
  <w:style w:type="character" w:customStyle="1" w:styleId="ui-provider">
    <w:name w:val="ui-provider"/>
    <w:basedOn w:val="DefaultParagraphFont"/>
    <w:rsid w:val="00027BFE"/>
  </w:style>
  <w:style w:type="character" w:customStyle="1" w:styleId="CharSectno">
    <w:name w:val="CharSectno"/>
    <w:basedOn w:val="DefaultParagraphFont"/>
    <w:qFormat/>
    <w:rsid w:val="006A3E27"/>
  </w:style>
  <w:style w:type="paragraph" w:customStyle="1" w:styleId="subsection">
    <w:name w:val="subsection"/>
    <w:aliases w:val="ss,Subsection"/>
    <w:basedOn w:val="Normal"/>
    <w:link w:val="subsectionChar"/>
    <w:rsid w:val="001A089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A0897"/>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1A089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1A0897"/>
    <w:rPr>
      <w:rFonts w:ascii="Times New Roman" w:eastAsia="Times New Roman" w:hAnsi="Times New Roman" w:cs="Times New Roman"/>
      <w:sz w:val="18"/>
      <w:szCs w:val="20"/>
      <w:lang w:eastAsia="en-AU"/>
    </w:rPr>
  </w:style>
  <w:style w:type="paragraph" w:customStyle="1" w:styleId="paragraph0">
    <w:name w:val="paragraph"/>
    <w:aliases w:val="a"/>
    <w:basedOn w:val="Normal"/>
    <w:rsid w:val="001A089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ableText">
    <w:name w:val="TableText"/>
    <w:basedOn w:val="Normal"/>
    <w:rsid w:val="00016DA0"/>
    <w:pPr>
      <w:spacing w:before="60" w:after="60" w:line="240" w:lineRule="exact"/>
    </w:pPr>
    <w:rPr>
      <w:rFonts w:ascii="Times New Roman" w:hAnsi="Times New Roman" w:cs="Times New Roman"/>
      <w:lang w:eastAsia="en-AU"/>
    </w:rPr>
  </w:style>
  <w:style w:type="paragraph" w:customStyle="1" w:styleId="Definition">
    <w:name w:val="Definition"/>
    <w:aliases w:val="dd"/>
    <w:basedOn w:val="Normal"/>
    <w:rsid w:val="00016DA0"/>
    <w:pPr>
      <w:spacing w:before="180" w:after="0" w:line="240" w:lineRule="auto"/>
      <w:ind w:left="1134"/>
    </w:pPr>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1252E9"/>
    <w:rPr>
      <w:color w:val="2B579A"/>
      <w:shd w:val="clear" w:color="auto" w:fill="E1DFDD"/>
    </w:rPr>
  </w:style>
  <w:style w:type="table" w:styleId="TableGrid">
    <w:name w:val="Table Grid"/>
    <w:basedOn w:val="TableNormal"/>
    <w:uiPriority w:val="39"/>
    <w:rsid w:val="00D5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44274597">
      <w:bodyDiv w:val="1"/>
      <w:marLeft w:val="0"/>
      <w:marRight w:val="0"/>
      <w:marTop w:val="0"/>
      <w:marBottom w:val="0"/>
      <w:divBdr>
        <w:top w:val="none" w:sz="0" w:space="0" w:color="auto"/>
        <w:left w:val="none" w:sz="0" w:space="0" w:color="auto"/>
        <w:bottom w:val="none" w:sz="0" w:space="0" w:color="auto"/>
        <w:right w:val="none" w:sz="0" w:space="0" w:color="auto"/>
      </w:divBdr>
    </w:div>
    <w:div w:id="253366852">
      <w:bodyDiv w:val="1"/>
      <w:marLeft w:val="0"/>
      <w:marRight w:val="0"/>
      <w:marTop w:val="0"/>
      <w:marBottom w:val="0"/>
      <w:divBdr>
        <w:top w:val="none" w:sz="0" w:space="0" w:color="auto"/>
        <w:left w:val="none" w:sz="0" w:space="0" w:color="auto"/>
        <w:bottom w:val="none" w:sz="0" w:space="0" w:color="auto"/>
        <w:right w:val="none" w:sz="0" w:space="0" w:color="auto"/>
      </w:divBdr>
    </w:div>
    <w:div w:id="358552512">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407535024">
      <w:bodyDiv w:val="1"/>
      <w:marLeft w:val="0"/>
      <w:marRight w:val="0"/>
      <w:marTop w:val="0"/>
      <w:marBottom w:val="0"/>
      <w:divBdr>
        <w:top w:val="none" w:sz="0" w:space="0" w:color="auto"/>
        <w:left w:val="none" w:sz="0" w:space="0" w:color="auto"/>
        <w:bottom w:val="none" w:sz="0" w:space="0" w:color="auto"/>
        <w:right w:val="none" w:sz="0" w:space="0" w:color="auto"/>
      </w:divBdr>
    </w:div>
    <w:div w:id="430661192">
      <w:bodyDiv w:val="1"/>
      <w:marLeft w:val="0"/>
      <w:marRight w:val="0"/>
      <w:marTop w:val="0"/>
      <w:marBottom w:val="0"/>
      <w:divBdr>
        <w:top w:val="none" w:sz="0" w:space="0" w:color="auto"/>
        <w:left w:val="none" w:sz="0" w:space="0" w:color="auto"/>
        <w:bottom w:val="none" w:sz="0" w:space="0" w:color="auto"/>
        <w:right w:val="none" w:sz="0" w:space="0" w:color="auto"/>
      </w:divBdr>
    </w:div>
    <w:div w:id="607390800">
      <w:bodyDiv w:val="1"/>
      <w:marLeft w:val="0"/>
      <w:marRight w:val="0"/>
      <w:marTop w:val="0"/>
      <w:marBottom w:val="0"/>
      <w:divBdr>
        <w:top w:val="none" w:sz="0" w:space="0" w:color="auto"/>
        <w:left w:val="none" w:sz="0" w:space="0" w:color="auto"/>
        <w:bottom w:val="none" w:sz="0" w:space="0" w:color="auto"/>
        <w:right w:val="none" w:sz="0" w:space="0" w:color="auto"/>
      </w:divBdr>
    </w:div>
    <w:div w:id="723329424">
      <w:bodyDiv w:val="1"/>
      <w:marLeft w:val="0"/>
      <w:marRight w:val="0"/>
      <w:marTop w:val="0"/>
      <w:marBottom w:val="0"/>
      <w:divBdr>
        <w:top w:val="none" w:sz="0" w:space="0" w:color="auto"/>
        <w:left w:val="none" w:sz="0" w:space="0" w:color="auto"/>
        <w:bottom w:val="none" w:sz="0" w:space="0" w:color="auto"/>
        <w:right w:val="none" w:sz="0" w:space="0" w:color="auto"/>
      </w:divBdr>
    </w:div>
    <w:div w:id="755440886">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090127054">
      <w:bodyDiv w:val="1"/>
      <w:marLeft w:val="0"/>
      <w:marRight w:val="0"/>
      <w:marTop w:val="0"/>
      <w:marBottom w:val="0"/>
      <w:divBdr>
        <w:top w:val="none" w:sz="0" w:space="0" w:color="auto"/>
        <w:left w:val="none" w:sz="0" w:space="0" w:color="auto"/>
        <w:bottom w:val="none" w:sz="0" w:space="0" w:color="auto"/>
        <w:right w:val="none" w:sz="0" w:space="0" w:color="auto"/>
      </w:divBdr>
    </w:div>
    <w:div w:id="1401437836">
      <w:bodyDiv w:val="1"/>
      <w:marLeft w:val="0"/>
      <w:marRight w:val="0"/>
      <w:marTop w:val="0"/>
      <w:marBottom w:val="0"/>
      <w:divBdr>
        <w:top w:val="none" w:sz="0" w:space="0" w:color="auto"/>
        <w:left w:val="none" w:sz="0" w:space="0" w:color="auto"/>
        <w:bottom w:val="none" w:sz="0" w:space="0" w:color="auto"/>
        <w:right w:val="none" w:sz="0" w:space="0" w:color="auto"/>
      </w:divBdr>
    </w:div>
    <w:div w:id="1477458196">
      <w:bodyDiv w:val="1"/>
      <w:marLeft w:val="0"/>
      <w:marRight w:val="0"/>
      <w:marTop w:val="0"/>
      <w:marBottom w:val="0"/>
      <w:divBdr>
        <w:top w:val="none" w:sz="0" w:space="0" w:color="auto"/>
        <w:left w:val="none" w:sz="0" w:space="0" w:color="auto"/>
        <w:bottom w:val="none" w:sz="0" w:space="0" w:color="auto"/>
        <w:right w:val="none" w:sz="0" w:space="0" w:color="auto"/>
      </w:divBdr>
    </w:div>
    <w:div w:id="1532566812">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61450176">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48079646806449A9C2F8EF0A39170" ma:contentTypeVersion="13" ma:contentTypeDescription="Create a new document." ma:contentTypeScope="" ma:versionID="a5a4ffdefce6eae2b3d6d99cd48b744e">
  <xsd:schema xmlns:xsd="http://www.w3.org/2001/XMLSchema" xmlns:xs="http://www.w3.org/2001/XMLSchema" xmlns:p="http://schemas.microsoft.com/office/2006/metadata/properties" xmlns:ns2="5f8c4406-fd90-4be5-b259-b2740240d8e3" xmlns:ns3="107e3d4c-ec51-4da9-8351-00d0c9b883d1" targetNamespace="http://schemas.microsoft.com/office/2006/metadata/properties" ma:root="true" ma:fieldsID="d970661097e7fd767b166132a9279de5" ns2:_="" ns3:_="">
    <xsd:import namespace="5f8c4406-fd90-4be5-b259-b2740240d8e3"/>
    <xsd:import namespace="107e3d4c-ec51-4da9-8351-00d0c9b883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4406-fd90-4be5-b259-b2740240d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3d4c-ec51-4da9-8351-00d0c9b88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0b281f-636e-4c65-ae1d-4d0cf19c054f}" ma:internalName="TaxCatchAll" ma:showField="CatchAllData" ma:web="107e3d4c-ec51-4da9-8351-00d0c9b88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8c4406-fd90-4be5-b259-b2740240d8e3">
      <Terms xmlns="http://schemas.microsoft.com/office/infopath/2007/PartnerControls"/>
    </lcf76f155ced4ddcb4097134ff3c332f>
    <TaxCatchAll xmlns="107e3d4c-ec51-4da9-8351-00d0c9b883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8F82C-2A94-4134-B7CC-F12D61308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4406-fd90-4be5-b259-b2740240d8e3"/>
    <ds:schemaRef ds:uri="107e3d4c-ec51-4da9-8351-00d0c9b8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7213242D-DEAE-44B3-8314-0AF6FE915541}">
  <ds:schemaRefs>
    <ds:schemaRef ds:uri="http://schemas.microsoft.com/office/2006/documentManagement/types"/>
    <ds:schemaRef ds:uri="http://purl.org/dc/terms/"/>
    <ds:schemaRef ds:uri="http://purl.org/dc/elements/1.1/"/>
    <ds:schemaRef ds:uri="http://purl.org/dc/dcmitype/"/>
    <ds:schemaRef ds:uri="107e3d4c-ec51-4da9-8351-00d0c9b883d1"/>
    <ds:schemaRef ds:uri="http://schemas.openxmlformats.org/package/2006/metadata/core-properties"/>
    <ds:schemaRef ds:uri="http://www.w3.org/XML/1998/namespace"/>
    <ds:schemaRef ds:uri="http://schemas.microsoft.com/office/infopath/2007/PartnerControls"/>
    <ds:schemaRef ds:uri="5f8c4406-fd90-4be5-b259-b2740240d8e3"/>
    <ds:schemaRef ds:uri="http://schemas.microsoft.com/office/2006/metadata/properties"/>
  </ds:schemaRefs>
</ds:datastoreItem>
</file>

<file path=customXml/itemProps4.xml><?xml version="1.0" encoding="utf-8"?>
<ds:datastoreItem xmlns:ds="http://schemas.openxmlformats.org/officeDocument/2006/customXml" ds:itemID="{38C2704C-C3E5-46DB-8561-2FB3966BC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3504</Words>
  <Characters>18473</Characters>
  <Application>Microsoft Office Word</Application>
  <DocSecurity>0</DocSecurity>
  <Lines>299</Lines>
  <Paragraphs>117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21929</CharactersWithSpaces>
  <SharedDoc>false</SharedDoc>
  <HLinks>
    <vt:vector size="18" baseType="variant">
      <vt:variant>
        <vt:i4>6815806</vt:i4>
      </vt:variant>
      <vt:variant>
        <vt:i4>6</vt:i4>
      </vt:variant>
      <vt:variant>
        <vt:i4>0</vt:i4>
      </vt:variant>
      <vt:variant>
        <vt:i4>5</vt:i4>
      </vt:variant>
      <vt:variant>
        <vt:lpwstr>https://www.acma.gov.au/sites/default/files/2023-12/2023-24 Fees for Service Cost Recovery Implementation Statement.pdf</vt:lpwstr>
      </vt:variant>
      <vt:variant>
        <vt:lpwstr/>
      </vt: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Gabriel Sequeira</cp:lastModifiedBy>
  <cp:revision>7</cp:revision>
  <cp:lastPrinted>2016-07-25T00:08:00Z</cp:lastPrinted>
  <dcterms:created xsi:type="dcterms:W3CDTF">2024-08-09T03:33:00Z</dcterms:created>
  <dcterms:modified xsi:type="dcterms:W3CDTF">2024-08-12T03:56:00Z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0x010100B6948079646806449A9C2F8EF0A39170</vt:lpwstr>
  </property>
  <property fmtid="{D5CDD505-2E9C-101B-9397-08002B2CF9AE}" pid="3" name="MediaServiceImageTags">
    <vt:lpwstr/>
  </property>
</Properties>
</file>