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0F0B" w14:textId="77777777" w:rsidR="00C0639C" w:rsidRPr="00772127" w:rsidRDefault="00C0639C" w:rsidP="00C0639C">
      <w:pPr>
        <w:jc w:val="center"/>
        <w:rPr>
          <w:sz w:val="20"/>
          <w:szCs w:val="20"/>
        </w:rPr>
      </w:pPr>
    </w:p>
    <w:p w14:paraId="759FFBAC" w14:textId="77777777" w:rsidR="00C0639C" w:rsidRDefault="00C0639C" w:rsidP="00C0639C">
      <w:pPr>
        <w:jc w:val="center"/>
        <w:rPr>
          <w:rFonts w:ascii="Times New Roman" w:hAnsi="Times New Roman" w:cs="Times New Roman"/>
        </w:rPr>
      </w:pPr>
    </w:p>
    <w:p w14:paraId="1586FE28" w14:textId="77777777" w:rsidR="00C0639C" w:rsidRPr="0097295A" w:rsidRDefault="00C0639C" w:rsidP="00C0639C">
      <w:pPr>
        <w:jc w:val="center"/>
        <w:rPr>
          <w:rFonts w:ascii="Times New Roman" w:hAnsi="Times New Roman" w:cs="Times New Roman"/>
          <w:b/>
          <w:bCs/>
          <w:u w:val="single"/>
        </w:rPr>
      </w:pPr>
      <w:r w:rsidRPr="0097295A">
        <w:rPr>
          <w:rFonts w:ascii="Times New Roman" w:hAnsi="Times New Roman" w:cs="Times New Roman"/>
          <w:b/>
          <w:bCs/>
          <w:sz w:val="28"/>
          <w:szCs w:val="28"/>
          <w:u w:val="single"/>
        </w:rPr>
        <w:t>EXPLANATORY STATEMEN</w:t>
      </w:r>
      <w:r w:rsidRPr="0097295A">
        <w:rPr>
          <w:rFonts w:ascii="Times New Roman" w:hAnsi="Times New Roman" w:cs="Times New Roman"/>
          <w:b/>
          <w:bCs/>
          <w:sz w:val="28"/>
          <w:u w:val="single"/>
        </w:rPr>
        <w:t>T</w:t>
      </w:r>
    </w:p>
    <w:p w14:paraId="76D103FE" w14:textId="77777777" w:rsidR="00C0639C" w:rsidRPr="0097295A" w:rsidRDefault="00C0639C" w:rsidP="00C0639C">
      <w:pPr>
        <w:spacing w:after="240"/>
        <w:rPr>
          <w:rFonts w:ascii="Times New Roman" w:hAnsi="Times New Roman" w:cs="Times New Roman"/>
        </w:rPr>
      </w:pPr>
    </w:p>
    <w:p w14:paraId="4B9321B5" w14:textId="77777777" w:rsidR="00C0639C" w:rsidRPr="0097295A" w:rsidRDefault="00C0639C" w:rsidP="00C0639C">
      <w:pPr>
        <w:spacing w:after="240"/>
        <w:jc w:val="center"/>
        <w:rPr>
          <w:rFonts w:ascii="Times New Roman" w:hAnsi="Times New Roman" w:cs="Times New Roman"/>
          <w:b/>
          <w:bCs/>
          <w:i/>
        </w:rPr>
      </w:pPr>
      <w:r w:rsidRPr="0097295A">
        <w:rPr>
          <w:rFonts w:ascii="Times New Roman" w:hAnsi="Times New Roman" w:cs="Times New Roman"/>
          <w:b/>
          <w:bCs/>
          <w:i/>
        </w:rPr>
        <w:t>Gene Technology Act 2000</w:t>
      </w:r>
    </w:p>
    <w:p w14:paraId="6680EF19" w14:textId="356C58A5" w:rsidR="00C0639C" w:rsidRPr="0097295A" w:rsidRDefault="00C0639C" w:rsidP="00C0639C">
      <w:pPr>
        <w:spacing w:after="240"/>
        <w:jc w:val="center"/>
        <w:rPr>
          <w:rFonts w:ascii="Times New Roman" w:hAnsi="Times New Roman" w:cs="Times New Roman"/>
          <w:b/>
          <w:bCs/>
          <w:i/>
          <w:iCs/>
        </w:rPr>
      </w:pPr>
      <w:r w:rsidRPr="0097295A">
        <w:rPr>
          <w:rFonts w:ascii="Times New Roman" w:hAnsi="Times New Roman" w:cs="Times New Roman"/>
          <w:b/>
          <w:bCs/>
          <w:i/>
          <w:iCs/>
        </w:rPr>
        <w:t xml:space="preserve">Gene Technology (Inclusion on the GMO Register) Determination (No. 1) </w:t>
      </w:r>
      <w:r w:rsidR="00DA3E4D" w:rsidRPr="0097295A">
        <w:rPr>
          <w:rFonts w:ascii="Times New Roman" w:hAnsi="Times New Roman" w:cs="Times New Roman"/>
          <w:b/>
          <w:bCs/>
          <w:i/>
          <w:iCs/>
        </w:rPr>
        <w:t>2024</w:t>
      </w:r>
    </w:p>
    <w:p w14:paraId="7B6183D2" w14:textId="77777777" w:rsidR="00C0639C" w:rsidRPr="0097295A" w:rsidRDefault="00C0639C" w:rsidP="00772127">
      <w:pPr>
        <w:pStyle w:val="Heading3"/>
      </w:pPr>
      <w:r w:rsidRPr="0097295A">
        <w:t>Authority</w:t>
      </w:r>
    </w:p>
    <w:p w14:paraId="670B0526" w14:textId="77777777" w:rsidR="00C0639C" w:rsidRPr="0097295A" w:rsidRDefault="00C0639C" w:rsidP="00C0639C">
      <w:r w:rsidRPr="0097295A">
        <w:t xml:space="preserve">Subsection 78(1) of the </w:t>
      </w:r>
      <w:r w:rsidRPr="0097295A">
        <w:rPr>
          <w:i/>
        </w:rPr>
        <w:t>Gene Technology Act 2000</w:t>
      </w:r>
      <w:r w:rsidRPr="0097295A">
        <w:t xml:space="preserve"> (the Act) provides authority for the Gene Technology Regulator (the Regulator) to determine that a dealing with a genetically modified organism (GMO) is included on the GMO Register.</w:t>
      </w:r>
    </w:p>
    <w:p w14:paraId="2CD1785E" w14:textId="77777777" w:rsidR="00C0639C" w:rsidRPr="0097295A" w:rsidRDefault="00C0639C" w:rsidP="00C0639C"/>
    <w:p w14:paraId="7B0387C2" w14:textId="77777777" w:rsidR="00C0639C" w:rsidRPr="0097295A" w:rsidRDefault="00C0639C" w:rsidP="00C0639C">
      <w:r w:rsidRPr="0097295A">
        <w:t>The Act is mirrored or applied by laws of New South Wales, Victoria, Queensland, South Australia, Tasmania, the Australian Capital Territory and the Northern Territory (but not by laws of Western Australia). Subsection 78(1) of those mirror or applied laws similarly provide authority for the Regulator to determine that a dealing with a GMO is included on the GMO Register for the purposes of those laws.</w:t>
      </w:r>
    </w:p>
    <w:p w14:paraId="4D203F40" w14:textId="77777777" w:rsidR="000D543C" w:rsidRPr="0097295A" w:rsidRDefault="000D543C" w:rsidP="00772127">
      <w:pPr>
        <w:pStyle w:val="Heading3"/>
      </w:pPr>
    </w:p>
    <w:p w14:paraId="517C26F8" w14:textId="586245E5" w:rsidR="00C0639C" w:rsidRPr="0097295A" w:rsidRDefault="00C0639C" w:rsidP="00772127">
      <w:pPr>
        <w:pStyle w:val="Heading3"/>
      </w:pPr>
      <w:r w:rsidRPr="0097295A">
        <w:t>Purpose</w:t>
      </w:r>
    </w:p>
    <w:p w14:paraId="22EFDDEC" w14:textId="7E1DCFDE" w:rsidR="00C0639C" w:rsidRPr="0097295A" w:rsidRDefault="00C0639C" w:rsidP="00C0639C">
      <w:pPr>
        <w:spacing w:before="60"/>
        <w:rPr>
          <w:szCs w:val="22"/>
        </w:rPr>
      </w:pPr>
      <w:r w:rsidRPr="0097295A">
        <w:rPr>
          <w:rFonts w:ascii="Times New Roman" w:hAnsi="Times New Roman" w:cs="Times New Roman"/>
        </w:rPr>
        <w:t xml:space="preserve">The purpose of the </w:t>
      </w:r>
      <w:r w:rsidRPr="0097295A">
        <w:rPr>
          <w:rFonts w:ascii="Times New Roman" w:hAnsi="Times New Roman" w:cs="Times New Roman"/>
          <w:i/>
        </w:rPr>
        <w:t>Gene Technology (Inclusion on the GMO Register) Determination (No. 1) 2024</w:t>
      </w:r>
      <w:r w:rsidRPr="0097295A">
        <w:rPr>
          <w:rFonts w:ascii="Times New Roman" w:hAnsi="Times New Roman" w:cs="Times New Roman"/>
        </w:rPr>
        <w:t xml:space="preserve"> (the Determination) is to specify that </w:t>
      </w:r>
      <w:r w:rsidR="007C7E78" w:rsidRPr="0097295A">
        <w:rPr>
          <w:rFonts w:ascii="Times New Roman" w:hAnsi="Times New Roman" w:cs="Times New Roman"/>
        </w:rPr>
        <w:t xml:space="preserve">all </w:t>
      </w:r>
      <w:r w:rsidRPr="0097295A">
        <w:rPr>
          <w:rFonts w:ascii="Times New Roman" w:hAnsi="Times New Roman" w:cs="Times New Roman"/>
        </w:rPr>
        <w:t>dealings</w:t>
      </w:r>
      <w:r w:rsidR="00746FB2" w:rsidRPr="0097295A">
        <w:rPr>
          <w:rFonts w:ascii="Times New Roman" w:hAnsi="Times New Roman" w:cs="Times New Roman"/>
        </w:rPr>
        <w:t xml:space="preserve"> (as defined in section 10 of the Act)</w:t>
      </w:r>
      <w:r w:rsidRPr="0097295A">
        <w:rPr>
          <w:rFonts w:ascii="Times New Roman" w:hAnsi="Times New Roman" w:cs="Times New Roman"/>
        </w:rPr>
        <w:t xml:space="preserve"> with MON-ØØØ73-7 canola </w:t>
      </w:r>
      <w:r w:rsidR="00FC3CAA" w:rsidRPr="0097295A">
        <w:rPr>
          <w:rFonts w:ascii="Times New Roman" w:hAnsi="Times New Roman" w:cs="Times New Roman"/>
          <w:lang w:val="it-IT"/>
        </w:rPr>
        <w:t>(</w:t>
      </w:r>
      <w:r w:rsidR="00FC3CAA" w:rsidRPr="0097295A">
        <w:rPr>
          <w:rFonts w:ascii="Times New Roman" w:hAnsi="Times New Roman" w:cs="Times New Roman"/>
          <w:i/>
          <w:lang w:val="it-IT"/>
        </w:rPr>
        <w:t xml:space="preserve">Brassica napus </w:t>
      </w:r>
      <w:r w:rsidR="00FC3CAA" w:rsidRPr="0097295A">
        <w:rPr>
          <w:rFonts w:ascii="Times New Roman" w:hAnsi="Times New Roman" w:cs="Times New Roman"/>
          <w:lang w:val="it-IT"/>
        </w:rPr>
        <w:t xml:space="preserve">L.) </w:t>
      </w:r>
      <w:r w:rsidR="007C7E78" w:rsidRPr="0097295A">
        <w:rPr>
          <w:rFonts w:ascii="Times New Roman" w:hAnsi="Times New Roman" w:cs="Times New Roman"/>
        </w:rPr>
        <w:t>are included on the GMO Register</w:t>
      </w:r>
      <w:r w:rsidR="00DA3E4D" w:rsidRPr="0097295A">
        <w:rPr>
          <w:rFonts w:ascii="Times New Roman" w:hAnsi="Times New Roman" w:cs="Times New Roman"/>
        </w:rPr>
        <w:t>.</w:t>
      </w:r>
    </w:p>
    <w:p w14:paraId="67217ACD" w14:textId="77777777" w:rsidR="00C0639C" w:rsidRPr="0097295A" w:rsidRDefault="00C0639C" w:rsidP="00C0639C"/>
    <w:p w14:paraId="0A710309" w14:textId="07C60766" w:rsidR="00C0639C" w:rsidRPr="0097295A" w:rsidRDefault="00C0639C" w:rsidP="00C0639C">
      <w:pPr>
        <w:rPr>
          <w:lang w:val="en-US"/>
        </w:rPr>
      </w:pPr>
      <w:r w:rsidRPr="0097295A">
        <w:t>The effect of inclusion on the GMO Register is that any person will be authorised to conduct dealings with the GMO.</w:t>
      </w:r>
    </w:p>
    <w:p w14:paraId="28416075" w14:textId="77777777" w:rsidR="000D543C" w:rsidRPr="0097295A" w:rsidRDefault="000D543C" w:rsidP="00772127">
      <w:pPr>
        <w:pStyle w:val="Heading3"/>
      </w:pPr>
    </w:p>
    <w:p w14:paraId="2C8E2DB6" w14:textId="69276B04" w:rsidR="00C0639C" w:rsidRPr="0097295A" w:rsidRDefault="00C0639C" w:rsidP="00772127">
      <w:pPr>
        <w:pStyle w:val="Heading3"/>
      </w:pPr>
      <w:r w:rsidRPr="0097295A">
        <w:t>Background</w:t>
      </w:r>
    </w:p>
    <w:p w14:paraId="4A9794B3" w14:textId="68AC618B" w:rsidR="00746FB2" w:rsidRPr="0097295A" w:rsidRDefault="00746FB2" w:rsidP="00746FB2">
      <w:pPr>
        <w:spacing w:before="120" w:after="120"/>
      </w:pPr>
      <w:r w:rsidRPr="0097295A">
        <w:rPr>
          <w:rFonts w:ascii="Times New Roman" w:hAnsi="Times New Roman" w:cs="Times New Roman"/>
        </w:rPr>
        <w:t xml:space="preserve">The GMO subject of the Determination is MON-ØØØ73-7 canola </w:t>
      </w:r>
      <w:r w:rsidRPr="0097295A">
        <w:rPr>
          <w:rFonts w:ascii="Times New Roman" w:hAnsi="Times New Roman" w:cs="Times New Roman"/>
          <w:lang w:val="it-IT"/>
        </w:rPr>
        <w:t>(</w:t>
      </w:r>
      <w:r w:rsidRPr="0097295A">
        <w:rPr>
          <w:rFonts w:ascii="Times New Roman" w:hAnsi="Times New Roman" w:cs="Times New Roman"/>
          <w:i/>
          <w:lang w:val="it-IT"/>
        </w:rPr>
        <w:t xml:space="preserve">Brassica napus </w:t>
      </w:r>
      <w:r w:rsidRPr="0097295A">
        <w:rPr>
          <w:rFonts w:ascii="Times New Roman" w:hAnsi="Times New Roman" w:cs="Times New Roman"/>
          <w:lang w:val="it-IT"/>
        </w:rPr>
        <w:t>L.)</w:t>
      </w:r>
      <w:r w:rsidRPr="0097295A">
        <w:rPr>
          <w:rFonts w:ascii="Times New Roman" w:hAnsi="Times New Roman" w:cs="Times New Roman"/>
        </w:rPr>
        <w:t xml:space="preserve">. It is an agricultural crop cultivated under licence DIR 020/2002 and </w:t>
      </w:r>
      <w:r w:rsidRPr="0097295A">
        <w:t xml:space="preserve">authorised for </w:t>
      </w:r>
      <w:r w:rsidR="00FF78DA" w:rsidRPr="0097295A">
        <w:t xml:space="preserve">commercial </w:t>
      </w:r>
      <w:r w:rsidRPr="0097295A">
        <w:t>cultivation, or for import, processing and use as human food and animal feed, in many other countries for over two decades</w:t>
      </w:r>
      <w:r w:rsidRPr="0097295A">
        <w:rPr>
          <w:rFonts w:ascii="Calibri" w:hAnsi="Calibri" w:cs="Calibri"/>
          <w:sz w:val="22"/>
          <w:szCs w:val="22"/>
        </w:rPr>
        <w:t xml:space="preserve">. </w:t>
      </w:r>
      <w:r w:rsidRPr="0097295A">
        <w:rPr>
          <w:rFonts w:ascii="Times New Roman" w:hAnsi="Times New Roman" w:cs="Times New Roman"/>
        </w:rPr>
        <w:t xml:space="preserve"> </w:t>
      </w:r>
    </w:p>
    <w:p w14:paraId="657C76DB" w14:textId="30F62BCC" w:rsidR="00C0639C" w:rsidRPr="0097295A" w:rsidRDefault="00C0639C" w:rsidP="00C0639C">
      <w:r w:rsidRPr="0097295A">
        <w:rPr>
          <w:rFonts w:ascii="Times New Roman" w:hAnsi="Times New Roman" w:cs="Times New Roman"/>
        </w:rPr>
        <w:t xml:space="preserve">In accordance with paragraph 78(1)(a) of the Act, and paragraph 78(1)(a) of the applied and mirror laws, the Regulator is satisfied that the specified dealings are authorised by a GMO licence. The specified dealings with </w:t>
      </w:r>
      <w:r w:rsidR="00746FB2" w:rsidRPr="0097295A">
        <w:rPr>
          <w:rFonts w:ascii="Times New Roman" w:hAnsi="Times New Roman" w:cs="Times New Roman"/>
        </w:rPr>
        <w:t>this GMO</w:t>
      </w:r>
      <w:r w:rsidRPr="0097295A">
        <w:rPr>
          <w:rFonts w:ascii="Times New Roman" w:hAnsi="Times New Roman" w:cs="Times New Roman"/>
        </w:rPr>
        <w:t xml:space="preserve"> have been authorised under a GMO licence since </w:t>
      </w:r>
      <w:r w:rsidR="00B03DC9" w:rsidRPr="0097295A">
        <w:rPr>
          <w:rFonts w:ascii="Times New Roman" w:hAnsi="Times New Roman" w:cs="Times New Roman"/>
        </w:rPr>
        <w:t>2003</w:t>
      </w:r>
      <w:r w:rsidRPr="0097295A">
        <w:rPr>
          <w:rFonts w:ascii="Times New Roman" w:hAnsi="Times New Roman" w:cs="Times New Roman"/>
        </w:rPr>
        <w:t>.</w:t>
      </w:r>
    </w:p>
    <w:p w14:paraId="72E8A44B" w14:textId="77777777" w:rsidR="00C0639C" w:rsidRPr="0097295A" w:rsidRDefault="00C0639C" w:rsidP="00C0639C">
      <w:pPr>
        <w:spacing w:before="120" w:after="120"/>
      </w:pPr>
      <w:r w:rsidRPr="0097295A">
        <w:rPr>
          <w:rFonts w:ascii="Times New Roman" w:hAnsi="Times New Roman" w:cs="Times New Roman"/>
        </w:rPr>
        <w:t>In accordance with section 79 of the Act and section 79 of the applied and mirror laws, having regard to the matters referred to in subsections 79(2) and (3) of the Act and subsections 79(2) and (3) of the applied and mirror laws, the Regulator is satisfied that any risks posed by the dealings are minimal, and that it is not necessary for persons undertaking the dealings to hold, or be covered by, a GMO licence in order to protect the health and safety of people or to protect the environment.</w:t>
      </w:r>
    </w:p>
    <w:p w14:paraId="61B13AC8" w14:textId="77777777" w:rsidR="00C0639C" w:rsidRPr="0097295A" w:rsidRDefault="00C0639C" w:rsidP="00C0639C">
      <w:pPr>
        <w:autoSpaceDE w:val="0"/>
        <w:autoSpaceDN w:val="0"/>
        <w:adjustRightInd w:val="0"/>
        <w:spacing w:before="120" w:after="120" w:line="240" w:lineRule="atLeast"/>
        <w:rPr>
          <w:rFonts w:ascii="Times New Roman" w:hAnsi="Times New Roman" w:cs="Times New Roman"/>
        </w:rPr>
      </w:pPr>
      <w:r w:rsidRPr="0097295A">
        <w:rPr>
          <w:rFonts w:ascii="Times New Roman" w:hAnsi="Times New Roman" w:cs="Times New Roman"/>
        </w:rPr>
        <w:t xml:space="preserve">The </w:t>
      </w:r>
      <w:r w:rsidRPr="0097295A">
        <w:rPr>
          <w:rFonts w:ascii="Times New Roman" w:hAnsi="Times New Roman" w:cs="Times New Roman"/>
          <w:iCs/>
        </w:rPr>
        <w:t>Act and the applied and mirror laws,</w:t>
      </w:r>
      <w:r w:rsidRPr="0097295A">
        <w:rPr>
          <w:rFonts w:ascii="Times New Roman" w:hAnsi="Times New Roman" w:cs="Times New Roman"/>
          <w:i/>
          <w:iCs/>
        </w:rPr>
        <w:t xml:space="preserve"> </w:t>
      </w:r>
      <w:r w:rsidRPr="0097295A">
        <w:rPr>
          <w:rFonts w:ascii="Times New Roman" w:hAnsi="Times New Roman" w:cs="Times New Roman"/>
        </w:rPr>
        <w:t>within their respective areas of operation, prohibit dealings with GMOs unless the dealings are:</w:t>
      </w:r>
    </w:p>
    <w:p w14:paraId="71D0B618" w14:textId="77777777" w:rsidR="000D543C" w:rsidRPr="0097295A" w:rsidRDefault="000D543C" w:rsidP="00C0639C">
      <w:pPr>
        <w:autoSpaceDE w:val="0"/>
        <w:autoSpaceDN w:val="0"/>
        <w:adjustRightInd w:val="0"/>
        <w:spacing w:line="240" w:lineRule="atLeast"/>
        <w:ind w:left="720" w:hanging="360"/>
        <w:rPr>
          <w:rFonts w:ascii="Times New Roman" w:hAnsi="Times New Roman" w:cs="Times New Roman"/>
        </w:rPr>
      </w:pPr>
    </w:p>
    <w:p w14:paraId="6728F341" w14:textId="6F1E2079" w:rsidR="00C0639C" w:rsidRPr="0097295A" w:rsidRDefault="00C0639C" w:rsidP="00C0639C">
      <w:pPr>
        <w:autoSpaceDE w:val="0"/>
        <w:autoSpaceDN w:val="0"/>
        <w:adjustRightInd w:val="0"/>
        <w:spacing w:line="240" w:lineRule="atLeast"/>
        <w:ind w:left="720" w:hanging="360"/>
        <w:rPr>
          <w:rFonts w:ascii="Times New Roman" w:hAnsi="Times New Roman" w:cs="Times New Roman"/>
        </w:rPr>
      </w:pPr>
      <w:r w:rsidRPr="0097295A">
        <w:rPr>
          <w:rFonts w:ascii="Times New Roman" w:hAnsi="Times New Roman" w:cs="Times New Roman"/>
        </w:rPr>
        <w:lastRenderedPageBreak/>
        <w:t xml:space="preserve">(a) </w:t>
      </w:r>
      <w:r w:rsidRPr="0097295A">
        <w:rPr>
          <w:rFonts w:ascii="Times New Roman" w:hAnsi="Times New Roman" w:cs="Times New Roman"/>
        </w:rPr>
        <w:tab/>
        <w:t>licensed by the Gene Technology Regulator;</w:t>
      </w:r>
    </w:p>
    <w:p w14:paraId="2908F455" w14:textId="77777777" w:rsidR="00C0639C" w:rsidRPr="0097295A" w:rsidRDefault="00C0639C" w:rsidP="00C0639C">
      <w:pPr>
        <w:autoSpaceDE w:val="0"/>
        <w:autoSpaceDN w:val="0"/>
        <w:adjustRightInd w:val="0"/>
        <w:spacing w:line="240" w:lineRule="atLeast"/>
        <w:ind w:left="720" w:hanging="360"/>
        <w:rPr>
          <w:rFonts w:ascii="Times New Roman" w:hAnsi="Times New Roman" w:cs="Times New Roman"/>
        </w:rPr>
      </w:pPr>
      <w:r w:rsidRPr="0097295A">
        <w:rPr>
          <w:rFonts w:ascii="Times New Roman" w:hAnsi="Times New Roman" w:cs="Times New Roman"/>
        </w:rPr>
        <w:t xml:space="preserve">(b) </w:t>
      </w:r>
      <w:r w:rsidRPr="0097295A">
        <w:rPr>
          <w:rFonts w:ascii="Times New Roman" w:hAnsi="Times New Roman" w:cs="Times New Roman"/>
        </w:rPr>
        <w:tab/>
        <w:t>exempt dealings;</w:t>
      </w:r>
    </w:p>
    <w:p w14:paraId="5792340C" w14:textId="77777777" w:rsidR="00C0639C" w:rsidRPr="0097295A" w:rsidRDefault="00C0639C" w:rsidP="00C0639C">
      <w:pPr>
        <w:autoSpaceDE w:val="0"/>
        <w:autoSpaceDN w:val="0"/>
        <w:adjustRightInd w:val="0"/>
        <w:spacing w:line="240" w:lineRule="atLeast"/>
        <w:ind w:left="720" w:hanging="360"/>
        <w:rPr>
          <w:rFonts w:ascii="Times New Roman" w:hAnsi="Times New Roman" w:cs="Times New Roman"/>
        </w:rPr>
      </w:pPr>
      <w:r w:rsidRPr="0097295A">
        <w:rPr>
          <w:rFonts w:ascii="Times New Roman" w:hAnsi="Times New Roman" w:cs="Times New Roman"/>
        </w:rPr>
        <w:t xml:space="preserve">(c) </w:t>
      </w:r>
      <w:r w:rsidRPr="0097295A">
        <w:rPr>
          <w:rFonts w:ascii="Times New Roman" w:hAnsi="Times New Roman" w:cs="Times New Roman"/>
        </w:rPr>
        <w:tab/>
        <w:t>notifiable low risk dealings;</w:t>
      </w:r>
    </w:p>
    <w:p w14:paraId="1EE3A207" w14:textId="77777777" w:rsidR="00C0639C" w:rsidRPr="0097295A" w:rsidRDefault="00C0639C" w:rsidP="00C0639C">
      <w:pPr>
        <w:autoSpaceDE w:val="0"/>
        <w:autoSpaceDN w:val="0"/>
        <w:adjustRightInd w:val="0"/>
        <w:spacing w:line="240" w:lineRule="atLeast"/>
        <w:ind w:left="720" w:hanging="360"/>
        <w:rPr>
          <w:rFonts w:ascii="Times New Roman" w:hAnsi="Times New Roman" w:cs="Times New Roman"/>
        </w:rPr>
      </w:pPr>
      <w:r w:rsidRPr="0097295A">
        <w:rPr>
          <w:rFonts w:ascii="Times New Roman" w:hAnsi="Times New Roman" w:cs="Times New Roman"/>
        </w:rPr>
        <w:t xml:space="preserve">(d) </w:t>
      </w:r>
      <w:r w:rsidRPr="0097295A">
        <w:rPr>
          <w:rFonts w:ascii="Times New Roman" w:hAnsi="Times New Roman" w:cs="Times New Roman"/>
        </w:rPr>
        <w:tab/>
        <w:t>included on the GMO Register; or</w:t>
      </w:r>
    </w:p>
    <w:p w14:paraId="1DCBAF13" w14:textId="77777777" w:rsidR="00C0639C" w:rsidRPr="0097295A" w:rsidRDefault="00C0639C" w:rsidP="00C0639C">
      <w:pPr>
        <w:autoSpaceDE w:val="0"/>
        <w:autoSpaceDN w:val="0"/>
        <w:adjustRightInd w:val="0"/>
        <w:spacing w:after="120" w:line="240" w:lineRule="atLeast"/>
        <w:ind w:left="720" w:hanging="360"/>
        <w:rPr>
          <w:rFonts w:ascii="Times New Roman" w:hAnsi="Times New Roman" w:cs="Times New Roman"/>
        </w:rPr>
      </w:pPr>
      <w:r w:rsidRPr="0097295A">
        <w:rPr>
          <w:rFonts w:ascii="Times New Roman" w:hAnsi="Times New Roman" w:cs="Times New Roman"/>
        </w:rPr>
        <w:t>(e)  specified in an emergency dealing determination.</w:t>
      </w:r>
    </w:p>
    <w:p w14:paraId="2A083F26" w14:textId="77777777" w:rsidR="00C0639C" w:rsidRPr="0097295A" w:rsidRDefault="00C0639C" w:rsidP="00C0639C">
      <w:pPr>
        <w:autoSpaceDE w:val="0"/>
        <w:autoSpaceDN w:val="0"/>
        <w:adjustRightInd w:val="0"/>
        <w:spacing w:before="120" w:after="120" w:line="240" w:lineRule="atLeast"/>
        <w:rPr>
          <w:rFonts w:ascii="Times New Roman" w:hAnsi="Times New Roman" w:cs="Times New Roman"/>
        </w:rPr>
      </w:pPr>
    </w:p>
    <w:p w14:paraId="196B6714" w14:textId="77777777" w:rsidR="00C0639C" w:rsidRPr="0097295A" w:rsidRDefault="00C0639C" w:rsidP="00772127">
      <w:pPr>
        <w:pStyle w:val="Heading3"/>
      </w:pPr>
      <w:r w:rsidRPr="0097295A">
        <w:t>Consultation Undertaken Before the Instrument was Made</w:t>
      </w:r>
    </w:p>
    <w:p w14:paraId="485E2EAD" w14:textId="6CF66080" w:rsidR="00C0639C" w:rsidRPr="0097295A" w:rsidRDefault="00C0639C" w:rsidP="00C0639C">
      <w:pPr>
        <w:pStyle w:val="BodyText3"/>
        <w:spacing w:before="120" w:after="120"/>
        <w:rPr>
          <w:rFonts w:ascii="Times New Roman" w:hAnsi="Times New Roman" w:cs="Times New Roman"/>
          <w:b w:val="0"/>
        </w:rPr>
      </w:pPr>
      <w:r w:rsidRPr="0097295A">
        <w:rPr>
          <w:rFonts w:ascii="Times New Roman" w:hAnsi="Times New Roman" w:cs="Times New Roman"/>
          <w:b w:val="0"/>
          <w:bCs w:val="0"/>
        </w:rPr>
        <w:t>Consultation was undertaken for a</w:t>
      </w:r>
      <w:r w:rsidR="00746FB2" w:rsidRPr="0097295A">
        <w:rPr>
          <w:rFonts w:ascii="Times New Roman" w:hAnsi="Times New Roman" w:cs="Times New Roman"/>
          <w:b w:val="0"/>
          <w:bCs w:val="0"/>
        </w:rPr>
        <w:t>n</w:t>
      </w:r>
      <w:r w:rsidRPr="0097295A">
        <w:rPr>
          <w:rFonts w:ascii="Times New Roman" w:hAnsi="Times New Roman" w:cs="Times New Roman"/>
          <w:b w:val="0"/>
          <w:bCs w:val="0"/>
        </w:rPr>
        <w:t xml:space="preserve"> </w:t>
      </w:r>
      <w:r w:rsidR="00327BD1" w:rsidRPr="0097295A">
        <w:rPr>
          <w:rFonts w:ascii="Times New Roman" w:hAnsi="Times New Roman" w:cs="Times New Roman"/>
          <w:b w:val="0"/>
          <w:bCs w:val="0"/>
        </w:rPr>
        <w:t>8</w:t>
      </w:r>
      <w:r w:rsidRPr="0097295A">
        <w:rPr>
          <w:rFonts w:ascii="Times New Roman" w:hAnsi="Times New Roman" w:cs="Times New Roman"/>
          <w:b w:val="0"/>
          <w:bCs w:val="0"/>
        </w:rPr>
        <w:t>-week period</w:t>
      </w:r>
      <w:r w:rsidR="00327BD1" w:rsidRPr="0097295A">
        <w:rPr>
          <w:rFonts w:ascii="Times New Roman" w:hAnsi="Times New Roman" w:cs="Times New Roman"/>
          <w:b w:val="0"/>
          <w:bCs w:val="0"/>
        </w:rPr>
        <w:t xml:space="preserve"> closing</w:t>
      </w:r>
      <w:r w:rsidR="00115E7E" w:rsidRPr="0097295A">
        <w:rPr>
          <w:rFonts w:ascii="Times New Roman" w:hAnsi="Times New Roman" w:cs="Times New Roman"/>
          <w:b w:val="0"/>
          <w:bCs w:val="0"/>
        </w:rPr>
        <w:t xml:space="preserve"> on 31 March 2022</w:t>
      </w:r>
      <w:r w:rsidRPr="0097295A">
        <w:rPr>
          <w:rFonts w:ascii="Times New Roman" w:hAnsi="Times New Roman" w:cs="Times New Roman"/>
          <w:b w:val="0"/>
          <w:bCs w:val="0"/>
        </w:rPr>
        <w:t xml:space="preserve">, which sought information on any adverse effects posed by the dealings. </w:t>
      </w:r>
      <w:r w:rsidRPr="0097295A">
        <w:rPr>
          <w:rFonts w:ascii="Times New Roman" w:hAnsi="Times New Roman" w:cs="Times New Roman"/>
          <w:b w:val="0"/>
        </w:rPr>
        <w:t xml:space="preserve">Consultation was conducted via electronic notification on the Office of the Gene Technology Regulator’s (OGTR) website, emailing the notification directly to recipients registered with the OGTR, </w:t>
      </w:r>
      <w:r w:rsidR="004743F8" w:rsidRPr="0097295A">
        <w:rPr>
          <w:rFonts w:ascii="Times New Roman" w:hAnsi="Times New Roman" w:cs="Times New Roman"/>
          <w:b w:val="0"/>
        </w:rPr>
        <w:t xml:space="preserve">and </w:t>
      </w:r>
      <w:r w:rsidRPr="0097295A">
        <w:rPr>
          <w:rFonts w:ascii="Times New Roman" w:hAnsi="Times New Roman" w:cs="Times New Roman"/>
          <w:b w:val="0"/>
        </w:rPr>
        <w:t>publishing a notification in the Australian Government Gazette and in print media</w:t>
      </w:r>
      <w:r w:rsidR="00FC3CAA" w:rsidRPr="0097295A">
        <w:rPr>
          <w:rFonts w:ascii="Times New Roman" w:hAnsi="Times New Roman" w:cs="Times New Roman"/>
          <w:b w:val="0"/>
        </w:rPr>
        <w:t>.</w:t>
      </w:r>
    </w:p>
    <w:p w14:paraId="60317677" w14:textId="6C3ECC04" w:rsidR="00C0639C" w:rsidRPr="0097295A" w:rsidRDefault="00C0639C" w:rsidP="00C0639C">
      <w:pPr>
        <w:pStyle w:val="BodyText3"/>
        <w:spacing w:before="120" w:after="120"/>
        <w:rPr>
          <w:rFonts w:ascii="Times New Roman" w:hAnsi="Times New Roman" w:cs="Times New Roman"/>
          <w:b w:val="0"/>
        </w:rPr>
      </w:pPr>
      <w:r w:rsidRPr="0097295A">
        <w:rPr>
          <w:rFonts w:ascii="Times New Roman" w:hAnsi="Times New Roman" w:cs="Times New Roman"/>
          <w:b w:val="0"/>
        </w:rPr>
        <w:t>Included in those directly consulted were Australian government departments and agencies, state and territory government agencies</w:t>
      </w:r>
      <w:r w:rsidR="00FC3CAA" w:rsidRPr="0097295A">
        <w:rPr>
          <w:rFonts w:ascii="Times New Roman" w:hAnsi="Times New Roman" w:cs="Times New Roman"/>
          <w:b w:val="0"/>
        </w:rPr>
        <w:t xml:space="preserve"> and </w:t>
      </w:r>
      <w:r w:rsidRPr="0097295A">
        <w:rPr>
          <w:rFonts w:ascii="Times New Roman" w:hAnsi="Times New Roman" w:cs="Times New Roman"/>
          <w:b w:val="0"/>
        </w:rPr>
        <w:t>local government authorities across Australia</w:t>
      </w:r>
      <w:r w:rsidR="00FC3CAA" w:rsidRPr="0097295A">
        <w:rPr>
          <w:rFonts w:ascii="Times New Roman" w:hAnsi="Times New Roman" w:cs="Times New Roman"/>
          <w:b w:val="0"/>
        </w:rPr>
        <w:t>.</w:t>
      </w:r>
      <w:r w:rsidRPr="0097295A">
        <w:rPr>
          <w:rFonts w:ascii="Times New Roman" w:hAnsi="Times New Roman" w:cs="Times New Roman"/>
          <w:b w:val="0"/>
        </w:rPr>
        <w:t xml:space="preserve"> </w:t>
      </w:r>
    </w:p>
    <w:p w14:paraId="649AA857" w14:textId="77777777" w:rsidR="00C0639C" w:rsidRPr="0097295A" w:rsidRDefault="00C0639C" w:rsidP="00C0639C">
      <w:pPr>
        <w:pStyle w:val="BodyText3"/>
        <w:spacing w:before="120" w:after="120"/>
        <w:rPr>
          <w:rFonts w:ascii="Times New Roman" w:hAnsi="Times New Roman" w:cs="Times New Roman"/>
          <w:b w:val="0"/>
        </w:rPr>
      </w:pPr>
      <w:r w:rsidRPr="0097295A">
        <w:rPr>
          <w:rFonts w:ascii="Times New Roman" w:hAnsi="Times New Roman" w:cs="Times New Roman"/>
          <w:b w:val="0"/>
        </w:rPr>
        <w:t>Expert advice was sought from the Gene Technology Technical Advisory Committee.</w:t>
      </w:r>
    </w:p>
    <w:p w14:paraId="1C390E24" w14:textId="77777777" w:rsidR="00C0639C" w:rsidRPr="0097295A" w:rsidRDefault="00C0639C" w:rsidP="00C0639C">
      <w:pPr>
        <w:pStyle w:val="BodyText3"/>
        <w:spacing w:before="120" w:after="120"/>
        <w:rPr>
          <w:rFonts w:ascii="Times New Roman" w:hAnsi="Times New Roman" w:cs="Times New Roman"/>
          <w:b w:val="0"/>
          <w:bCs w:val="0"/>
        </w:rPr>
      </w:pPr>
      <w:r w:rsidRPr="0097295A">
        <w:rPr>
          <w:rFonts w:ascii="Times New Roman" w:hAnsi="Times New Roman" w:cs="Times New Roman"/>
          <w:b w:val="0"/>
          <w:bCs w:val="0"/>
        </w:rPr>
        <w:t xml:space="preserve">All submissions and advice received were considered in the context of currently available scientific evidence. </w:t>
      </w:r>
    </w:p>
    <w:p w14:paraId="53E02A35" w14:textId="77777777" w:rsidR="00C0639C" w:rsidRPr="0097295A" w:rsidRDefault="00C0639C" w:rsidP="00772127">
      <w:pPr>
        <w:pStyle w:val="Heading3"/>
      </w:pPr>
      <w:r w:rsidRPr="0097295A">
        <w:t>The Instrument is not subject to disallowance</w:t>
      </w:r>
    </w:p>
    <w:p w14:paraId="59C016C2" w14:textId="77777777" w:rsidR="00C0639C" w:rsidRPr="0097295A" w:rsidRDefault="00C0639C" w:rsidP="00C0639C">
      <w:pPr>
        <w:pStyle w:val="BodyText3"/>
        <w:spacing w:before="120" w:after="120"/>
        <w:rPr>
          <w:rFonts w:ascii="Times New Roman" w:hAnsi="Times New Roman" w:cs="Times New Roman"/>
          <w:b w:val="0"/>
          <w:bCs w:val="0"/>
        </w:rPr>
      </w:pPr>
      <w:r w:rsidRPr="0097295A">
        <w:rPr>
          <w:rFonts w:ascii="Times New Roman" w:hAnsi="Times New Roman" w:cs="Times New Roman"/>
          <w:b w:val="0"/>
          <w:bCs w:val="0"/>
        </w:rPr>
        <w:t xml:space="preserve">As the Act facilitates the establishment or operation of an intergovernmental gene technology regulation scheme and provides for the making of a GMO Register Determination as part of the scheme, subsection 44(1) of the </w:t>
      </w:r>
      <w:r w:rsidRPr="0097295A">
        <w:rPr>
          <w:rFonts w:ascii="Times New Roman" w:hAnsi="Times New Roman" w:cs="Times New Roman"/>
          <w:b w:val="0"/>
          <w:bCs w:val="0"/>
          <w:i/>
        </w:rPr>
        <w:t>Legislation Act 2003</w:t>
      </w:r>
      <w:r w:rsidRPr="0097295A">
        <w:rPr>
          <w:rFonts w:ascii="Times New Roman" w:hAnsi="Times New Roman" w:cs="Times New Roman"/>
          <w:b w:val="0"/>
          <w:bCs w:val="0"/>
        </w:rPr>
        <w:t xml:space="preserve"> (Legislation Act) operates to exempt a GMO Register Determination from disallowance under section 42 of the Legislation Act.</w:t>
      </w:r>
    </w:p>
    <w:p w14:paraId="3935F2B5" w14:textId="77777777" w:rsidR="00C0639C" w:rsidRPr="0097295A" w:rsidRDefault="00C0639C" w:rsidP="00772127">
      <w:pPr>
        <w:pStyle w:val="Heading3"/>
      </w:pPr>
      <w:r w:rsidRPr="0097295A">
        <w:t>Commencement</w:t>
      </w:r>
    </w:p>
    <w:p w14:paraId="65ACE89C" w14:textId="77777777" w:rsidR="00C0639C" w:rsidRPr="0097295A" w:rsidRDefault="00C0639C" w:rsidP="00C0639C">
      <w:pPr>
        <w:spacing w:before="120" w:after="120"/>
        <w:rPr>
          <w:lang w:val="en-US"/>
        </w:rPr>
      </w:pPr>
      <w:r w:rsidRPr="0097295A">
        <w:rPr>
          <w:lang w:val="en-US"/>
        </w:rPr>
        <w:t>This Determination commences the day after registration on the Federal Register of Legislation.</w:t>
      </w:r>
    </w:p>
    <w:p w14:paraId="3564A73A" w14:textId="77777777" w:rsidR="00C0639C" w:rsidRPr="0097295A" w:rsidRDefault="00C0639C" w:rsidP="00C0639C">
      <w:pPr>
        <w:spacing w:before="120" w:after="120"/>
        <w:rPr>
          <w:lang w:val="en-US"/>
        </w:rPr>
      </w:pPr>
      <w:r w:rsidRPr="0097295A">
        <w:rPr>
          <w:lang w:val="en-US"/>
        </w:rPr>
        <w:t>This Determination is a legislative instrument for the purposes of the Legislation Act.</w:t>
      </w:r>
    </w:p>
    <w:p w14:paraId="71702DE4" w14:textId="77777777" w:rsidR="00C0639C" w:rsidRPr="0097295A" w:rsidRDefault="00C0639C" w:rsidP="00C0639C">
      <w:pPr>
        <w:spacing w:after="160" w:line="259" w:lineRule="auto"/>
        <w:rPr>
          <w:lang w:val="en-US"/>
        </w:rPr>
      </w:pPr>
      <w:r w:rsidRPr="0097295A">
        <w:rPr>
          <w:lang w:val="en-US"/>
        </w:rPr>
        <w:br w:type="page"/>
      </w:r>
    </w:p>
    <w:p w14:paraId="779D6B27" w14:textId="77777777" w:rsidR="00C0639C" w:rsidRPr="0097295A" w:rsidRDefault="00C0639C" w:rsidP="00C0639C">
      <w:pPr>
        <w:jc w:val="right"/>
        <w:rPr>
          <w:b/>
        </w:rPr>
      </w:pPr>
      <w:r w:rsidRPr="0097295A">
        <w:rPr>
          <w:b/>
        </w:rPr>
        <w:lastRenderedPageBreak/>
        <w:t>ATTACHMENT</w:t>
      </w:r>
    </w:p>
    <w:p w14:paraId="6D24A396" w14:textId="77777777" w:rsidR="00C0639C" w:rsidRPr="0097295A" w:rsidRDefault="00C0639C" w:rsidP="00C0639C">
      <w:pPr>
        <w:jc w:val="right"/>
        <w:rPr>
          <w:bCs/>
        </w:rPr>
      </w:pPr>
    </w:p>
    <w:p w14:paraId="31A4AB67" w14:textId="77777777" w:rsidR="00C0639C" w:rsidRPr="0097295A" w:rsidRDefault="00C0639C" w:rsidP="00C0639C">
      <w:pPr>
        <w:jc w:val="right"/>
        <w:rPr>
          <w:bCs/>
        </w:rPr>
      </w:pPr>
    </w:p>
    <w:p w14:paraId="15505647" w14:textId="78685B76" w:rsidR="00C0639C" w:rsidRPr="0097295A" w:rsidRDefault="00C0639C" w:rsidP="00C0639C">
      <w:pPr>
        <w:rPr>
          <w:b/>
          <w:u w:val="single"/>
        </w:rPr>
      </w:pPr>
      <w:r w:rsidRPr="0097295A">
        <w:rPr>
          <w:b/>
          <w:u w:val="single"/>
        </w:rPr>
        <w:t xml:space="preserve">Details of the </w:t>
      </w:r>
      <w:r w:rsidRPr="0097295A">
        <w:rPr>
          <w:b/>
          <w:i/>
          <w:u w:val="single"/>
        </w:rPr>
        <w:t xml:space="preserve">Gene Technology (Inclusion on the GMO Register) Determination (No. 1) </w:t>
      </w:r>
      <w:r w:rsidR="00115E7E" w:rsidRPr="0097295A">
        <w:rPr>
          <w:b/>
          <w:i/>
          <w:u w:val="single"/>
        </w:rPr>
        <w:t>2024</w:t>
      </w:r>
    </w:p>
    <w:p w14:paraId="460A9CB0" w14:textId="77777777" w:rsidR="00C0639C" w:rsidRPr="0097295A" w:rsidRDefault="00C0639C" w:rsidP="00C0639C">
      <w:pPr>
        <w:rPr>
          <w:bCs/>
        </w:rPr>
      </w:pPr>
    </w:p>
    <w:p w14:paraId="2029DCF0" w14:textId="77777777" w:rsidR="00C0639C" w:rsidRPr="0097295A" w:rsidRDefault="00C0639C" w:rsidP="00C0639C">
      <w:pPr>
        <w:rPr>
          <w:b/>
        </w:rPr>
      </w:pPr>
      <w:r w:rsidRPr="0097295A">
        <w:rPr>
          <w:b/>
        </w:rPr>
        <w:t>1</w:t>
      </w:r>
      <w:r w:rsidRPr="0097295A">
        <w:rPr>
          <w:b/>
        </w:rPr>
        <w:tab/>
        <w:t>Name</w:t>
      </w:r>
    </w:p>
    <w:p w14:paraId="010DA43B" w14:textId="22AF2D3B" w:rsidR="00C0639C" w:rsidRPr="0097295A" w:rsidRDefault="00C0639C" w:rsidP="00C0639C">
      <w:r w:rsidRPr="0097295A">
        <w:t xml:space="preserve">Section 1 states that the name of the Determination is the </w:t>
      </w:r>
      <w:r w:rsidRPr="0097295A">
        <w:rPr>
          <w:i/>
        </w:rPr>
        <w:t xml:space="preserve">Gene Technology (Inclusion on the GMO Register) Determination (No. 1) </w:t>
      </w:r>
      <w:r w:rsidR="00115E7E" w:rsidRPr="0097295A">
        <w:rPr>
          <w:i/>
        </w:rPr>
        <w:t>2024</w:t>
      </w:r>
      <w:r w:rsidRPr="0097295A">
        <w:t>.</w:t>
      </w:r>
    </w:p>
    <w:p w14:paraId="03621207" w14:textId="77777777" w:rsidR="00C0639C" w:rsidRPr="0097295A" w:rsidRDefault="00C0639C" w:rsidP="00C0639C"/>
    <w:p w14:paraId="645A388F" w14:textId="77777777" w:rsidR="00C0639C" w:rsidRPr="0097295A" w:rsidRDefault="00C0639C" w:rsidP="00C0639C">
      <w:pPr>
        <w:rPr>
          <w:b/>
        </w:rPr>
      </w:pPr>
      <w:r w:rsidRPr="0097295A">
        <w:rPr>
          <w:b/>
        </w:rPr>
        <w:t>2</w:t>
      </w:r>
      <w:r w:rsidRPr="0097295A">
        <w:rPr>
          <w:b/>
        </w:rPr>
        <w:tab/>
        <w:t>Commencement</w:t>
      </w:r>
    </w:p>
    <w:p w14:paraId="7438BD1D" w14:textId="77777777" w:rsidR="00C0639C" w:rsidRPr="0097295A" w:rsidRDefault="00C0639C" w:rsidP="00C0639C">
      <w:r w:rsidRPr="0097295A">
        <w:t>Section 2 states that the Determination commences on the day after the instrument is registered.</w:t>
      </w:r>
    </w:p>
    <w:p w14:paraId="3FBC0975" w14:textId="77777777" w:rsidR="00C0639C" w:rsidRPr="0097295A" w:rsidRDefault="00C0639C" w:rsidP="00C0639C"/>
    <w:p w14:paraId="2BC3942A" w14:textId="77777777" w:rsidR="00C0639C" w:rsidRPr="0097295A" w:rsidRDefault="00C0639C" w:rsidP="00C0639C">
      <w:pPr>
        <w:rPr>
          <w:b/>
        </w:rPr>
      </w:pPr>
      <w:r w:rsidRPr="0097295A">
        <w:rPr>
          <w:b/>
        </w:rPr>
        <w:t>3</w:t>
      </w:r>
      <w:r w:rsidRPr="0097295A">
        <w:rPr>
          <w:b/>
        </w:rPr>
        <w:tab/>
        <w:t>Authority</w:t>
      </w:r>
    </w:p>
    <w:p w14:paraId="0917CDC0" w14:textId="77777777" w:rsidR="00C0639C" w:rsidRPr="0097295A" w:rsidRDefault="00C0639C" w:rsidP="00C0639C">
      <w:r w:rsidRPr="0097295A">
        <w:t xml:space="preserve">Section 3 provides that the authority for the Determination is: </w:t>
      </w:r>
    </w:p>
    <w:p w14:paraId="713D04F5" w14:textId="77777777" w:rsidR="00C0639C" w:rsidRPr="0097295A" w:rsidRDefault="00C0639C" w:rsidP="00C0639C">
      <w:pPr>
        <w:autoSpaceDE w:val="0"/>
        <w:autoSpaceDN w:val="0"/>
        <w:adjustRightInd w:val="0"/>
        <w:spacing w:line="240" w:lineRule="atLeast"/>
        <w:ind w:left="720" w:hanging="360"/>
      </w:pPr>
      <w:r w:rsidRPr="0097295A">
        <w:t>(a)</w:t>
      </w:r>
      <w:r w:rsidRPr="0097295A">
        <w:tab/>
        <w:t>subsection 78(1) of the Act;</w:t>
      </w:r>
      <w:r w:rsidRPr="0097295A">
        <w:rPr>
          <w:i/>
        </w:rPr>
        <w:t xml:space="preserve"> </w:t>
      </w:r>
      <w:r w:rsidRPr="0097295A">
        <w:t>and</w:t>
      </w:r>
    </w:p>
    <w:p w14:paraId="4CF40C69" w14:textId="77777777" w:rsidR="00C0639C" w:rsidRPr="0097295A" w:rsidRDefault="00C0639C" w:rsidP="00C0639C">
      <w:pPr>
        <w:autoSpaceDE w:val="0"/>
        <w:autoSpaceDN w:val="0"/>
        <w:adjustRightInd w:val="0"/>
        <w:spacing w:line="240" w:lineRule="atLeast"/>
        <w:ind w:left="720" w:hanging="360"/>
      </w:pPr>
      <w:r w:rsidRPr="0097295A">
        <w:t>(b)</w:t>
      </w:r>
      <w:r w:rsidRPr="0097295A">
        <w:tab/>
        <w:t>that provision as applied by:</w:t>
      </w:r>
    </w:p>
    <w:p w14:paraId="498CF714" w14:textId="77777777" w:rsidR="00C0639C" w:rsidRPr="0097295A" w:rsidRDefault="00C0639C" w:rsidP="00C0639C">
      <w:pPr>
        <w:autoSpaceDE w:val="0"/>
        <w:autoSpaceDN w:val="0"/>
        <w:adjustRightInd w:val="0"/>
        <w:spacing w:line="240" w:lineRule="atLeast"/>
        <w:ind w:left="1163" w:hanging="454"/>
      </w:pPr>
      <w:r w:rsidRPr="0097295A">
        <w:t>(i)</w:t>
      </w:r>
      <w:r w:rsidRPr="0097295A">
        <w:tab/>
        <w:t>the</w:t>
      </w:r>
      <w:r w:rsidRPr="0097295A">
        <w:rPr>
          <w:i/>
        </w:rPr>
        <w:t xml:space="preserve"> Gene Technology (New South Wales) Act 2003</w:t>
      </w:r>
      <w:r w:rsidRPr="0097295A">
        <w:t xml:space="preserve"> (NSW); and</w:t>
      </w:r>
    </w:p>
    <w:p w14:paraId="3FEF996D" w14:textId="77777777" w:rsidR="00C0639C" w:rsidRPr="0097295A" w:rsidRDefault="00C0639C" w:rsidP="00C0639C">
      <w:pPr>
        <w:autoSpaceDE w:val="0"/>
        <w:autoSpaceDN w:val="0"/>
        <w:adjustRightInd w:val="0"/>
        <w:spacing w:line="240" w:lineRule="atLeast"/>
        <w:ind w:left="1163" w:hanging="454"/>
      </w:pPr>
      <w:r w:rsidRPr="0097295A">
        <w:t>(ii)</w:t>
      </w:r>
      <w:r w:rsidRPr="0097295A">
        <w:tab/>
        <w:t xml:space="preserve">the </w:t>
      </w:r>
      <w:r w:rsidRPr="0097295A">
        <w:rPr>
          <w:i/>
        </w:rPr>
        <w:t>Gene Technology (Queensland) Act 2016</w:t>
      </w:r>
      <w:r w:rsidRPr="0097295A">
        <w:t xml:space="preserve"> (Qld); and</w:t>
      </w:r>
    </w:p>
    <w:p w14:paraId="65DDB84C" w14:textId="1A2DCF50" w:rsidR="00C0639C" w:rsidRPr="0097295A" w:rsidRDefault="00C0639C" w:rsidP="00C0639C">
      <w:pPr>
        <w:autoSpaceDE w:val="0"/>
        <w:autoSpaceDN w:val="0"/>
        <w:adjustRightInd w:val="0"/>
        <w:spacing w:line="240" w:lineRule="atLeast"/>
        <w:ind w:left="1163" w:hanging="454"/>
      </w:pPr>
      <w:r w:rsidRPr="0097295A">
        <w:t>(iii)</w:t>
      </w:r>
      <w:r w:rsidRPr="0097295A">
        <w:tab/>
        <w:t>the</w:t>
      </w:r>
      <w:r w:rsidRPr="0097295A">
        <w:rPr>
          <w:i/>
        </w:rPr>
        <w:t xml:space="preserve"> </w:t>
      </w:r>
      <w:r w:rsidR="00B232CC" w:rsidRPr="0097295A">
        <w:rPr>
          <w:i/>
        </w:rPr>
        <w:t xml:space="preserve">Gene Technology (Tasmania) Act 2012 </w:t>
      </w:r>
      <w:r w:rsidR="00B232CC" w:rsidRPr="0097295A">
        <w:rPr>
          <w:iCs/>
        </w:rPr>
        <w:t>(Tas)</w:t>
      </w:r>
      <w:r w:rsidRPr="0097295A">
        <w:t>; and</w:t>
      </w:r>
    </w:p>
    <w:p w14:paraId="05F42350" w14:textId="77777777" w:rsidR="00C0639C" w:rsidRPr="0097295A" w:rsidRDefault="00C0639C" w:rsidP="00C0639C">
      <w:pPr>
        <w:autoSpaceDE w:val="0"/>
        <w:autoSpaceDN w:val="0"/>
        <w:adjustRightInd w:val="0"/>
        <w:spacing w:line="240" w:lineRule="atLeast"/>
        <w:ind w:left="1163" w:hanging="454"/>
      </w:pPr>
      <w:r w:rsidRPr="0097295A">
        <w:t>(iv)</w:t>
      </w:r>
      <w:r w:rsidRPr="0097295A">
        <w:tab/>
        <w:t>the</w:t>
      </w:r>
      <w:r w:rsidRPr="0097295A">
        <w:rPr>
          <w:i/>
        </w:rPr>
        <w:t xml:space="preserve"> Gene Technology (Northern Territory) Act 2004</w:t>
      </w:r>
      <w:r w:rsidRPr="0097295A">
        <w:t xml:space="preserve"> (NT); and</w:t>
      </w:r>
    </w:p>
    <w:p w14:paraId="01FB7687" w14:textId="77777777" w:rsidR="00C0639C" w:rsidRPr="0097295A" w:rsidRDefault="00C0639C" w:rsidP="00C0639C">
      <w:pPr>
        <w:autoSpaceDE w:val="0"/>
        <w:autoSpaceDN w:val="0"/>
        <w:adjustRightInd w:val="0"/>
        <w:spacing w:line="240" w:lineRule="atLeast"/>
        <w:ind w:left="720" w:hanging="360"/>
      </w:pPr>
      <w:r w:rsidRPr="0097295A">
        <w:t>(c)</w:t>
      </w:r>
      <w:r w:rsidRPr="0097295A">
        <w:tab/>
        <w:t>that provision as mirrored by:</w:t>
      </w:r>
    </w:p>
    <w:p w14:paraId="26FED0F1" w14:textId="402FDDB5" w:rsidR="00C0639C" w:rsidRPr="0097295A" w:rsidRDefault="00C0639C" w:rsidP="00C0639C">
      <w:pPr>
        <w:autoSpaceDE w:val="0"/>
        <w:autoSpaceDN w:val="0"/>
        <w:adjustRightInd w:val="0"/>
        <w:spacing w:line="240" w:lineRule="atLeast"/>
        <w:ind w:left="1163" w:hanging="454"/>
      </w:pPr>
      <w:r w:rsidRPr="0097295A">
        <w:t>(i)</w:t>
      </w:r>
      <w:r w:rsidRPr="0097295A">
        <w:tab/>
        <w:t>the</w:t>
      </w:r>
      <w:r w:rsidRPr="0097295A">
        <w:rPr>
          <w:i/>
        </w:rPr>
        <w:t xml:space="preserve"> Gene Technology Act 2001 </w:t>
      </w:r>
      <w:r w:rsidRPr="0097295A">
        <w:t>(Vic); and</w:t>
      </w:r>
    </w:p>
    <w:p w14:paraId="18A2745D" w14:textId="77777777" w:rsidR="00C0639C" w:rsidRPr="0097295A" w:rsidRDefault="00C0639C" w:rsidP="00C0639C">
      <w:pPr>
        <w:autoSpaceDE w:val="0"/>
        <w:autoSpaceDN w:val="0"/>
        <w:adjustRightInd w:val="0"/>
        <w:spacing w:line="240" w:lineRule="atLeast"/>
        <w:ind w:left="1163" w:hanging="454"/>
      </w:pPr>
      <w:r w:rsidRPr="0097295A">
        <w:t>(ii)</w:t>
      </w:r>
      <w:r w:rsidRPr="0097295A">
        <w:tab/>
        <w:t>the</w:t>
      </w:r>
      <w:r w:rsidRPr="0097295A">
        <w:rPr>
          <w:i/>
        </w:rPr>
        <w:t xml:space="preserve"> Gene Technology Act 2001</w:t>
      </w:r>
      <w:r w:rsidRPr="0097295A">
        <w:t xml:space="preserve"> (SA); and</w:t>
      </w:r>
    </w:p>
    <w:p w14:paraId="2B56D0DA" w14:textId="77777777" w:rsidR="00C0639C" w:rsidRPr="0097295A" w:rsidRDefault="00C0639C" w:rsidP="00C0639C">
      <w:pPr>
        <w:autoSpaceDE w:val="0"/>
        <w:autoSpaceDN w:val="0"/>
        <w:adjustRightInd w:val="0"/>
        <w:spacing w:line="240" w:lineRule="atLeast"/>
        <w:ind w:left="1163" w:hanging="454"/>
      </w:pPr>
      <w:r w:rsidRPr="0097295A">
        <w:t>(iii)</w:t>
      </w:r>
      <w:r w:rsidRPr="0097295A">
        <w:tab/>
        <w:t>the</w:t>
      </w:r>
      <w:r w:rsidRPr="0097295A">
        <w:rPr>
          <w:i/>
        </w:rPr>
        <w:t xml:space="preserve"> Gene Technology Act 2003</w:t>
      </w:r>
      <w:r w:rsidRPr="0097295A">
        <w:t xml:space="preserve"> (ACT).</w:t>
      </w:r>
    </w:p>
    <w:p w14:paraId="3C971675" w14:textId="77777777" w:rsidR="00C0639C" w:rsidRPr="0097295A" w:rsidRDefault="00C0639C" w:rsidP="00C0639C"/>
    <w:p w14:paraId="0B45697D" w14:textId="77777777" w:rsidR="00C0639C" w:rsidRPr="0097295A" w:rsidRDefault="00C0639C" w:rsidP="00C0639C">
      <w:r w:rsidRPr="0097295A">
        <w:t>By making the Determination under all of these provisions, the intention is to ensure that the dealing is included in the GMO Register under all applied and mirror laws.</w:t>
      </w:r>
    </w:p>
    <w:p w14:paraId="00EC91DE" w14:textId="77777777" w:rsidR="00C0639C" w:rsidRPr="0097295A" w:rsidRDefault="00C0639C" w:rsidP="00C0639C"/>
    <w:p w14:paraId="0EA4A0A2" w14:textId="77777777" w:rsidR="00C0639C" w:rsidRPr="0097295A" w:rsidRDefault="00C0639C" w:rsidP="00C0639C">
      <w:pPr>
        <w:rPr>
          <w:b/>
        </w:rPr>
      </w:pPr>
      <w:r w:rsidRPr="0097295A">
        <w:rPr>
          <w:b/>
        </w:rPr>
        <w:t>4</w:t>
      </w:r>
      <w:r w:rsidRPr="0097295A">
        <w:rPr>
          <w:b/>
        </w:rPr>
        <w:tab/>
        <w:t>Definitions</w:t>
      </w:r>
    </w:p>
    <w:p w14:paraId="5CB3160E" w14:textId="77777777" w:rsidR="00C0639C" w:rsidRPr="0097295A" w:rsidRDefault="00C0639C" w:rsidP="00C0639C">
      <w:r w:rsidRPr="0097295A">
        <w:t>Section 4 notes that a number of expressions used in the Determination are defined in section 10 of the relevant Act referred to in section 3 of the Determination, and provides definitions for ‘registered’ and ‘OECD unique identifier’.</w:t>
      </w:r>
    </w:p>
    <w:p w14:paraId="5D620D0F" w14:textId="77777777" w:rsidR="00C0639C" w:rsidRPr="0097295A" w:rsidRDefault="00C0639C" w:rsidP="00C0639C"/>
    <w:p w14:paraId="159BE53F" w14:textId="77777777" w:rsidR="00C0639C" w:rsidRPr="0097295A" w:rsidRDefault="00C0639C" w:rsidP="00C0639C">
      <w:pPr>
        <w:rPr>
          <w:b/>
        </w:rPr>
      </w:pPr>
      <w:r w:rsidRPr="0097295A">
        <w:rPr>
          <w:b/>
        </w:rPr>
        <w:t>5</w:t>
      </w:r>
      <w:r w:rsidRPr="0097295A">
        <w:rPr>
          <w:b/>
        </w:rPr>
        <w:tab/>
        <w:t>Inclusion in the GMO Register</w:t>
      </w:r>
    </w:p>
    <w:p w14:paraId="18B671D7" w14:textId="142C23EB" w:rsidR="00C0639C" w:rsidRPr="00D67949" w:rsidRDefault="00C0639C" w:rsidP="00C0639C">
      <w:r w:rsidRPr="0097295A">
        <w:t xml:space="preserve">Section 5 specifies that </w:t>
      </w:r>
      <w:r w:rsidR="00327BD1" w:rsidRPr="0097295A">
        <w:t xml:space="preserve">all </w:t>
      </w:r>
      <w:r w:rsidR="00D07364" w:rsidRPr="0097295A">
        <w:rPr>
          <w:rFonts w:ascii="Times New Roman" w:hAnsi="Times New Roman" w:cs="Times New Roman"/>
        </w:rPr>
        <w:t xml:space="preserve">dealings (as defined in section 10 of the Act) </w:t>
      </w:r>
      <w:r w:rsidRPr="0097295A">
        <w:t>in relation to the GMO</w:t>
      </w:r>
      <w:r w:rsidR="00D07364" w:rsidRPr="0097295A">
        <w:t>,</w:t>
      </w:r>
      <w:r w:rsidRPr="0097295A">
        <w:t xml:space="preserve"> identified by </w:t>
      </w:r>
      <w:r w:rsidR="00327BD1" w:rsidRPr="0097295A">
        <w:t>its</w:t>
      </w:r>
      <w:r w:rsidRPr="0097295A">
        <w:t xml:space="preserve"> OECD unique identifier, are included on the GMO Register. The dealings include the possession, supply or use of the GMO for the purposes of, or in the course of, those dealings.</w:t>
      </w:r>
    </w:p>
    <w:p w14:paraId="3645261A" w14:textId="77777777" w:rsidR="00DA3E4D" w:rsidRDefault="00DA3E4D"/>
    <w:sectPr w:rsidR="00DA3E4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8577" w14:textId="77777777" w:rsidR="00E12544" w:rsidRDefault="00E12544" w:rsidP="00DA3E4D">
      <w:r>
        <w:separator/>
      </w:r>
    </w:p>
  </w:endnote>
  <w:endnote w:type="continuationSeparator" w:id="0">
    <w:p w14:paraId="1F091549" w14:textId="77777777" w:rsidR="00E12544" w:rsidRDefault="00E12544" w:rsidP="00DA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392D" w14:textId="77777777" w:rsidR="00E12544" w:rsidRDefault="00E12544" w:rsidP="00DA3E4D">
      <w:r>
        <w:separator/>
      </w:r>
    </w:p>
  </w:footnote>
  <w:footnote w:type="continuationSeparator" w:id="0">
    <w:p w14:paraId="07704E13" w14:textId="77777777" w:rsidR="00E12544" w:rsidRDefault="00E12544" w:rsidP="00DA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7C54" w14:textId="33311187" w:rsidR="00DA3E4D" w:rsidRDefault="00DA3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9C"/>
    <w:rsid w:val="00003887"/>
    <w:rsid w:val="000D543C"/>
    <w:rsid w:val="00115E7E"/>
    <w:rsid w:val="00157C59"/>
    <w:rsid w:val="002079FC"/>
    <w:rsid w:val="00327BD1"/>
    <w:rsid w:val="003C5D14"/>
    <w:rsid w:val="00444B4D"/>
    <w:rsid w:val="00464979"/>
    <w:rsid w:val="004743F8"/>
    <w:rsid w:val="005155BF"/>
    <w:rsid w:val="0067368E"/>
    <w:rsid w:val="006D1442"/>
    <w:rsid w:val="00746FB2"/>
    <w:rsid w:val="00772127"/>
    <w:rsid w:val="00795334"/>
    <w:rsid w:val="0079767A"/>
    <w:rsid w:val="007C7E78"/>
    <w:rsid w:val="007F2BF8"/>
    <w:rsid w:val="008438EE"/>
    <w:rsid w:val="009724F0"/>
    <w:rsid w:val="0097295A"/>
    <w:rsid w:val="00A307F9"/>
    <w:rsid w:val="00AF5200"/>
    <w:rsid w:val="00B03DC9"/>
    <w:rsid w:val="00B232CC"/>
    <w:rsid w:val="00B6721D"/>
    <w:rsid w:val="00C0639C"/>
    <w:rsid w:val="00C85980"/>
    <w:rsid w:val="00D07364"/>
    <w:rsid w:val="00DA3E4D"/>
    <w:rsid w:val="00E12544"/>
    <w:rsid w:val="00FC3CAA"/>
    <w:rsid w:val="00FF4C4E"/>
    <w:rsid w:val="00FF7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2332C"/>
  <w15:chartTrackingRefBased/>
  <w15:docId w15:val="{B5FF0AD5-1573-4EFF-BA1C-E47C05D8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39C"/>
    <w:pPr>
      <w:spacing w:after="0" w:line="240" w:lineRule="auto"/>
    </w:pPr>
    <w:rPr>
      <w:rFonts w:ascii="Times New (W1)" w:eastAsia="Times New Roman" w:hAnsi="Times New (W1)" w:cs="Times New (W1)"/>
      <w:sz w:val="24"/>
      <w:szCs w:val="24"/>
      <w:lang w:eastAsia="en-AU"/>
    </w:rPr>
  </w:style>
  <w:style w:type="paragraph" w:styleId="Heading3">
    <w:name w:val="heading 3"/>
    <w:basedOn w:val="Normal"/>
    <w:next w:val="Normal"/>
    <w:link w:val="Heading3Char"/>
    <w:autoRedefine/>
    <w:uiPriority w:val="99"/>
    <w:qFormat/>
    <w:rsid w:val="00772127"/>
    <w:pPr>
      <w:keepNext/>
      <w:spacing w:before="120" w:after="120"/>
      <w:outlineLvl w:val="2"/>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72127"/>
    <w:rPr>
      <w:rFonts w:ascii="Times New Roman" w:eastAsia="Times New Roman" w:hAnsi="Times New Roman" w:cs="Times New Roman"/>
      <w:sz w:val="24"/>
      <w:szCs w:val="24"/>
      <w:lang w:val="en-US" w:eastAsia="en-AU"/>
    </w:rPr>
  </w:style>
  <w:style w:type="paragraph" w:styleId="BodyText3">
    <w:name w:val="Body Text 3"/>
    <w:basedOn w:val="Normal"/>
    <w:link w:val="BodyText3Char"/>
    <w:uiPriority w:val="99"/>
    <w:rsid w:val="00C0639C"/>
    <w:rPr>
      <w:b/>
      <w:bCs/>
    </w:rPr>
  </w:style>
  <w:style w:type="character" w:customStyle="1" w:styleId="BodyText3Char">
    <w:name w:val="Body Text 3 Char"/>
    <w:basedOn w:val="DefaultParagraphFont"/>
    <w:link w:val="BodyText3"/>
    <w:uiPriority w:val="99"/>
    <w:rsid w:val="00C0639C"/>
    <w:rPr>
      <w:rFonts w:ascii="Times New (W1)" w:eastAsia="Times New Roman" w:hAnsi="Times New (W1)" w:cs="Times New (W1)"/>
      <w:b/>
      <w:bCs/>
      <w:sz w:val="24"/>
      <w:szCs w:val="24"/>
      <w:lang w:eastAsia="en-AU"/>
    </w:rPr>
  </w:style>
  <w:style w:type="paragraph" w:styleId="Revision">
    <w:name w:val="Revision"/>
    <w:hidden/>
    <w:uiPriority w:val="99"/>
    <w:semiHidden/>
    <w:rsid w:val="00C0639C"/>
    <w:pPr>
      <w:spacing w:after="0" w:line="240" w:lineRule="auto"/>
    </w:pPr>
    <w:rPr>
      <w:rFonts w:ascii="Times New (W1)" w:eastAsia="Times New Roman" w:hAnsi="Times New (W1)" w:cs="Times New (W1)"/>
      <w:sz w:val="24"/>
      <w:szCs w:val="24"/>
      <w:lang w:eastAsia="en-AU"/>
    </w:rPr>
  </w:style>
  <w:style w:type="paragraph" w:styleId="Header">
    <w:name w:val="header"/>
    <w:basedOn w:val="Normal"/>
    <w:link w:val="HeaderChar"/>
    <w:uiPriority w:val="99"/>
    <w:unhideWhenUsed/>
    <w:rsid w:val="00DA3E4D"/>
    <w:pPr>
      <w:tabs>
        <w:tab w:val="center" w:pos="4513"/>
        <w:tab w:val="right" w:pos="9026"/>
      </w:tabs>
    </w:pPr>
  </w:style>
  <w:style w:type="character" w:customStyle="1" w:styleId="HeaderChar">
    <w:name w:val="Header Char"/>
    <w:basedOn w:val="DefaultParagraphFont"/>
    <w:link w:val="Header"/>
    <w:uiPriority w:val="99"/>
    <w:rsid w:val="00DA3E4D"/>
    <w:rPr>
      <w:rFonts w:ascii="Times New (W1)" w:eastAsia="Times New Roman" w:hAnsi="Times New (W1)" w:cs="Times New (W1)"/>
      <w:sz w:val="24"/>
      <w:szCs w:val="24"/>
      <w:lang w:eastAsia="en-AU"/>
    </w:rPr>
  </w:style>
  <w:style w:type="paragraph" w:styleId="Footer">
    <w:name w:val="footer"/>
    <w:basedOn w:val="Normal"/>
    <w:link w:val="FooterChar"/>
    <w:uiPriority w:val="99"/>
    <w:unhideWhenUsed/>
    <w:rsid w:val="00DA3E4D"/>
    <w:pPr>
      <w:tabs>
        <w:tab w:val="center" w:pos="4513"/>
        <w:tab w:val="right" w:pos="9026"/>
      </w:tabs>
    </w:pPr>
  </w:style>
  <w:style w:type="character" w:customStyle="1" w:styleId="FooterChar">
    <w:name w:val="Footer Char"/>
    <w:basedOn w:val="DefaultParagraphFont"/>
    <w:link w:val="Footer"/>
    <w:uiPriority w:val="99"/>
    <w:rsid w:val="00DA3E4D"/>
    <w:rPr>
      <w:rFonts w:ascii="Times New (W1)" w:eastAsia="Times New Roman" w:hAnsi="Times New (W1)" w:cs="Times New (W1)"/>
      <w:sz w:val="24"/>
      <w:szCs w:val="24"/>
      <w:lang w:eastAsia="en-AU"/>
    </w:rPr>
  </w:style>
  <w:style w:type="character" w:styleId="CommentReference">
    <w:name w:val="annotation reference"/>
    <w:basedOn w:val="DefaultParagraphFont"/>
    <w:uiPriority w:val="99"/>
    <w:semiHidden/>
    <w:unhideWhenUsed/>
    <w:rsid w:val="004743F8"/>
    <w:rPr>
      <w:sz w:val="16"/>
      <w:szCs w:val="16"/>
    </w:rPr>
  </w:style>
  <w:style w:type="paragraph" w:styleId="CommentText">
    <w:name w:val="annotation text"/>
    <w:basedOn w:val="Normal"/>
    <w:link w:val="CommentTextChar"/>
    <w:uiPriority w:val="99"/>
    <w:unhideWhenUsed/>
    <w:rsid w:val="004743F8"/>
    <w:rPr>
      <w:sz w:val="20"/>
      <w:szCs w:val="20"/>
    </w:rPr>
  </w:style>
  <w:style w:type="character" w:customStyle="1" w:styleId="CommentTextChar">
    <w:name w:val="Comment Text Char"/>
    <w:basedOn w:val="DefaultParagraphFont"/>
    <w:link w:val="CommentText"/>
    <w:uiPriority w:val="99"/>
    <w:rsid w:val="004743F8"/>
    <w:rPr>
      <w:rFonts w:ascii="Times New (W1)" w:eastAsia="Times New Roman" w:hAnsi="Times New (W1)" w:cs="Times New (W1)"/>
      <w:sz w:val="20"/>
      <w:szCs w:val="20"/>
      <w:lang w:eastAsia="en-AU"/>
    </w:rPr>
  </w:style>
  <w:style w:type="paragraph" w:styleId="CommentSubject">
    <w:name w:val="annotation subject"/>
    <w:basedOn w:val="CommentText"/>
    <w:next w:val="CommentText"/>
    <w:link w:val="CommentSubjectChar"/>
    <w:uiPriority w:val="99"/>
    <w:semiHidden/>
    <w:unhideWhenUsed/>
    <w:rsid w:val="004743F8"/>
    <w:rPr>
      <w:b/>
      <w:bCs/>
    </w:rPr>
  </w:style>
  <w:style w:type="character" w:customStyle="1" w:styleId="CommentSubjectChar">
    <w:name w:val="Comment Subject Char"/>
    <w:basedOn w:val="CommentTextChar"/>
    <w:link w:val="CommentSubject"/>
    <w:uiPriority w:val="99"/>
    <w:semiHidden/>
    <w:rsid w:val="004743F8"/>
    <w:rPr>
      <w:rFonts w:ascii="Times New (W1)" w:eastAsia="Times New Roman" w:hAnsi="Times New (W1)" w:cs="Times New (W1)"/>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Paul</dc:creator>
  <cp:keywords/>
  <dc:description/>
  <cp:lastModifiedBy>Diana</cp:lastModifiedBy>
  <cp:revision>6</cp:revision>
  <dcterms:created xsi:type="dcterms:W3CDTF">2024-08-13T05:21:00Z</dcterms:created>
  <dcterms:modified xsi:type="dcterms:W3CDTF">2024-08-14T00:07:00Z</dcterms:modified>
</cp:coreProperties>
</file>