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EE4C2" w14:textId="18F76107" w:rsidR="00715914" w:rsidRPr="003F6896" w:rsidRDefault="00A31D73" w:rsidP="00850F56">
      <w:pPr>
        <w:spacing w:after="600"/>
        <w:rPr>
          <w:sz w:val="28"/>
        </w:rPr>
      </w:pPr>
      <w:r w:rsidRPr="003F6896">
        <w:rPr>
          <w:noProof/>
        </w:rPr>
        <w:drawing>
          <wp:inline distT="0" distB="0" distL="0" distR="0" wp14:anchorId="14EE4C64" wp14:editId="67E6B695">
            <wp:extent cx="3543300" cy="752475"/>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3300" cy="752475"/>
                    </a:xfrm>
                    <a:prstGeom prst="rect">
                      <a:avLst/>
                    </a:prstGeom>
                    <a:noFill/>
                    <a:ln>
                      <a:noFill/>
                    </a:ln>
                  </pic:spPr>
                </pic:pic>
              </a:graphicData>
            </a:graphic>
          </wp:inline>
        </w:drawing>
      </w:r>
    </w:p>
    <w:p w14:paraId="590AAE55" w14:textId="2ED6FF20" w:rsidR="00243EC0" w:rsidRPr="003F6896" w:rsidRDefault="00447DB4" w:rsidP="00B16067">
      <w:pPr>
        <w:pStyle w:val="LI-Title"/>
        <w:pBdr>
          <w:bottom w:val="single" w:sz="4" w:space="1" w:color="auto"/>
        </w:pBdr>
      </w:pPr>
      <w:r w:rsidRPr="003F6896">
        <w:t>A</w:t>
      </w:r>
      <w:r w:rsidR="00327DDF" w:rsidRPr="003F6896">
        <w:t xml:space="preserve">SIC </w:t>
      </w:r>
      <w:r w:rsidR="00A03A8A">
        <w:t>Derivative Transaction Rules (Reporting</w:t>
      </w:r>
      <w:r w:rsidR="00F04B80">
        <w:t xml:space="preserve"> and Clearing</w:t>
      </w:r>
      <w:r w:rsidR="00A03A8A">
        <w:t xml:space="preserve">) </w:t>
      </w:r>
      <w:r w:rsidR="008E290E" w:rsidRPr="003F6896">
        <w:t>Amendment</w:t>
      </w:r>
      <w:r w:rsidR="00DA41D5" w:rsidRPr="003F6896">
        <w:t xml:space="preserve"> </w:t>
      </w:r>
      <w:r w:rsidR="00C11452" w:rsidRPr="003F6896">
        <w:t xml:space="preserve">Instrument </w:t>
      </w:r>
      <w:r w:rsidR="00044596">
        <w:t>2024/</w:t>
      </w:r>
      <w:r w:rsidR="008F62DE">
        <w:t>416</w:t>
      </w:r>
    </w:p>
    <w:p w14:paraId="09CED424" w14:textId="4EEE6560" w:rsidR="00F171A1" w:rsidRPr="00297853" w:rsidRDefault="00F171A1" w:rsidP="00005446">
      <w:pPr>
        <w:pStyle w:val="LI-Fronttext"/>
        <w:rPr>
          <w:sz w:val="24"/>
          <w:szCs w:val="24"/>
        </w:rPr>
      </w:pPr>
      <w:r w:rsidRPr="003F6896">
        <w:rPr>
          <w:sz w:val="24"/>
          <w:szCs w:val="24"/>
        </w:rPr>
        <w:t xml:space="preserve">I, </w:t>
      </w:r>
      <w:r w:rsidR="00D43C48">
        <w:rPr>
          <w:sz w:val="24"/>
          <w:szCs w:val="24"/>
        </w:rPr>
        <w:t>Benjamin Cohn-Urbach</w:t>
      </w:r>
      <w:r w:rsidR="00480F4F" w:rsidRPr="00ED2864">
        <w:rPr>
          <w:sz w:val="24"/>
          <w:szCs w:val="24"/>
        </w:rPr>
        <w:t>, delegate of the Australian Securities and Investments Commission, acting with the written consent of the Minister, make the following legislative instrument</w:t>
      </w:r>
      <w:r w:rsidRPr="003F6896">
        <w:rPr>
          <w:sz w:val="24"/>
          <w:szCs w:val="24"/>
        </w:rPr>
        <w:t>.</w:t>
      </w:r>
    </w:p>
    <w:p w14:paraId="5EAD13B6" w14:textId="77777777" w:rsidR="003A2A48" w:rsidRPr="00297853" w:rsidRDefault="003A2A48" w:rsidP="00005446">
      <w:pPr>
        <w:pStyle w:val="LI-Fronttext"/>
      </w:pPr>
    </w:p>
    <w:p w14:paraId="30DA1485" w14:textId="4D64DE2D" w:rsidR="006554FF" w:rsidRDefault="00F171A1" w:rsidP="00005446">
      <w:pPr>
        <w:pStyle w:val="LI-Fronttext"/>
        <w:rPr>
          <w:sz w:val="24"/>
          <w:szCs w:val="24"/>
        </w:rPr>
      </w:pPr>
      <w:r w:rsidRPr="00297853">
        <w:rPr>
          <w:sz w:val="24"/>
          <w:szCs w:val="24"/>
        </w:rPr>
        <w:t>Date</w:t>
      </w:r>
      <w:r w:rsidRPr="00297853">
        <w:rPr>
          <w:sz w:val="24"/>
          <w:szCs w:val="24"/>
        </w:rPr>
        <w:tab/>
      </w:r>
      <w:r w:rsidR="00D43C48">
        <w:rPr>
          <w:sz w:val="24"/>
          <w:szCs w:val="24"/>
        </w:rPr>
        <w:t xml:space="preserve">19 August </w:t>
      </w:r>
      <w:r w:rsidR="008F6639">
        <w:rPr>
          <w:sz w:val="24"/>
          <w:szCs w:val="24"/>
        </w:rPr>
        <w:t>2024</w:t>
      </w:r>
      <w:bookmarkStart w:id="0" w:name="BKCheck15B_1"/>
      <w:bookmarkEnd w:id="0"/>
    </w:p>
    <w:p w14:paraId="67E752BC" w14:textId="77777777" w:rsidR="003E3C63" w:rsidRDefault="003E3C63" w:rsidP="00C22264">
      <w:pPr>
        <w:rPr>
          <w:lang w:eastAsia="en-AU"/>
        </w:rPr>
      </w:pPr>
    </w:p>
    <w:p w14:paraId="3CEB0172" w14:textId="77777777" w:rsidR="00621220" w:rsidRDefault="00621220" w:rsidP="00C22264">
      <w:pPr>
        <w:rPr>
          <w:color w:val="FF0000"/>
          <w:lang w:eastAsia="en-AU"/>
        </w:rPr>
      </w:pPr>
    </w:p>
    <w:p w14:paraId="3BF8D582" w14:textId="1654CE4F" w:rsidR="00F171A1" w:rsidRPr="00BB5C17" w:rsidRDefault="00D43C48" w:rsidP="00730186">
      <w:pPr>
        <w:pStyle w:val="LI-Fronttext"/>
        <w:pBdr>
          <w:bottom w:val="single" w:sz="4" w:space="1" w:color="auto"/>
        </w:pBdr>
        <w:rPr>
          <w:sz w:val="24"/>
          <w:szCs w:val="24"/>
        </w:rPr>
      </w:pPr>
      <w:r>
        <w:rPr>
          <w:sz w:val="24"/>
          <w:szCs w:val="24"/>
        </w:rPr>
        <w:t>Benjamin Cohn-Urbach</w:t>
      </w:r>
    </w:p>
    <w:p w14:paraId="54239FE3" w14:textId="77777777" w:rsidR="00715914" w:rsidRPr="00F61B09" w:rsidRDefault="00715914" w:rsidP="00715914">
      <w:pPr>
        <w:pStyle w:val="Header"/>
        <w:tabs>
          <w:tab w:val="clear" w:pos="4150"/>
          <w:tab w:val="clear" w:pos="8307"/>
        </w:tabs>
      </w:pPr>
    </w:p>
    <w:p w14:paraId="75B9A220" w14:textId="77777777" w:rsidR="00715914" w:rsidRPr="00F61B09" w:rsidRDefault="00715914" w:rsidP="00715914">
      <w:pPr>
        <w:sectPr w:rsidR="00715914" w:rsidRPr="00F61B09" w:rsidSect="008945E0">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titlePg/>
          <w:docGrid w:linePitch="360"/>
        </w:sectPr>
      </w:pPr>
    </w:p>
    <w:p w14:paraId="657E1AAF" w14:textId="77777777" w:rsidR="006C0438" w:rsidRPr="00F61B09" w:rsidRDefault="006C0438" w:rsidP="006C0438">
      <w:pPr>
        <w:spacing w:before="280" w:after="240"/>
        <w:rPr>
          <w:sz w:val="36"/>
        </w:rPr>
      </w:pPr>
      <w:r w:rsidRPr="006E5320">
        <w:rPr>
          <w:b/>
          <w:sz w:val="32"/>
          <w:szCs w:val="32"/>
        </w:rPr>
        <w:lastRenderedPageBreak/>
        <w:t>Contents</w:t>
      </w:r>
    </w:p>
    <w:p w14:paraId="098A3175" w14:textId="07EE28C1" w:rsidR="00D731EA" w:rsidRPr="00D35072" w:rsidRDefault="00D731EA" w:rsidP="00D35072">
      <w:pPr>
        <w:pStyle w:val="TOC1"/>
        <w:tabs>
          <w:tab w:val="clear" w:pos="8278"/>
          <w:tab w:val="left" w:pos="8222"/>
        </w:tabs>
        <w:spacing w:before="0" w:line="360" w:lineRule="auto"/>
        <w:ind w:right="91"/>
        <w:rPr>
          <w:szCs w:val="24"/>
        </w:rPr>
      </w:pPr>
      <w:bookmarkStart w:id="1" w:name="BKCheck15B_2"/>
      <w:bookmarkEnd w:id="1"/>
      <w:r w:rsidRPr="00D35072">
        <w:rPr>
          <w:szCs w:val="24"/>
        </w:rPr>
        <w:t>Part 1 – Preliminary</w:t>
      </w:r>
      <w:r w:rsidR="00D35072" w:rsidRPr="00D35072">
        <w:rPr>
          <w:szCs w:val="24"/>
        </w:rPr>
        <w:t xml:space="preserve">                                  </w:t>
      </w:r>
      <w:r w:rsidR="00D35072">
        <w:rPr>
          <w:szCs w:val="24"/>
        </w:rPr>
        <w:t xml:space="preserve">                  </w:t>
      </w:r>
      <w:r w:rsidR="00D35072" w:rsidRPr="00D35072">
        <w:rPr>
          <w:szCs w:val="24"/>
        </w:rPr>
        <w:t xml:space="preserve">                                      </w:t>
      </w:r>
      <w:r w:rsidR="00D35072">
        <w:rPr>
          <w:szCs w:val="24"/>
        </w:rPr>
        <w:t xml:space="preserve">        </w:t>
      </w:r>
      <w:r w:rsidR="00D35072" w:rsidRPr="00D35072">
        <w:rPr>
          <w:szCs w:val="24"/>
        </w:rPr>
        <w:t xml:space="preserve"> 3</w:t>
      </w:r>
    </w:p>
    <w:p w14:paraId="75897D83" w14:textId="27495122" w:rsidR="00D731EA" w:rsidRPr="00333D8F" w:rsidRDefault="00D731EA" w:rsidP="00D35072">
      <w:pPr>
        <w:spacing w:line="360" w:lineRule="auto"/>
        <w:ind w:right="-192"/>
        <w:rPr>
          <w:sz w:val="24"/>
          <w:szCs w:val="24"/>
          <w:lang w:eastAsia="en-AU"/>
        </w:rPr>
      </w:pPr>
      <w:r>
        <w:rPr>
          <w:lang w:eastAsia="en-AU"/>
        </w:rPr>
        <w:tab/>
      </w:r>
      <w:r w:rsidRPr="00333D8F">
        <w:rPr>
          <w:sz w:val="24"/>
          <w:szCs w:val="24"/>
          <w:lang w:eastAsia="en-AU"/>
        </w:rPr>
        <w:t>1   Name of legislative instrument ………………………………………</w:t>
      </w:r>
      <w:r w:rsidR="009B5CFB">
        <w:rPr>
          <w:sz w:val="24"/>
          <w:szCs w:val="24"/>
          <w:lang w:eastAsia="en-AU"/>
        </w:rPr>
        <w:t>…</w:t>
      </w:r>
      <w:r w:rsidRPr="00333D8F">
        <w:rPr>
          <w:sz w:val="24"/>
          <w:szCs w:val="24"/>
          <w:lang w:eastAsia="en-AU"/>
        </w:rPr>
        <w:t>…3</w:t>
      </w:r>
    </w:p>
    <w:p w14:paraId="7487028B" w14:textId="135007FE" w:rsidR="00D731EA" w:rsidRPr="00333D8F" w:rsidRDefault="00D731EA" w:rsidP="005D3414">
      <w:pPr>
        <w:spacing w:line="360" w:lineRule="auto"/>
        <w:rPr>
          <w:sz w:val="24"/>
          <w:szCs w:val="24"/>
          <w:lang w:eastAsia="en-AU"/>
        </w:rPr>
      </w:pPr>
      <w:r w:rsidRPr="00333D8F">
        <w:rPr>
          <w:sz w:val="24"/>
          <w:szCs w:val="24"/>
          <w:lang w:eastAsia="en-AU"/>
        </w:rPr>
        <w:tab/>
        <w:t>2   Commencement……………………………………………………………3</w:t>
      </w:r>
    </w:p>
    <w:p w14:paraId="48F5E29A" w14:textId="329DF44D" w:rsidR="00D731EA" w:rsidRPr="00333D8F" w:rsidRDefault="00D731EA" w:rsidP="005D3414">
      <w:pPr>
        <w:spacing w:line="360" w:lineRule="auto"/>
        <w:rPr>
          <w:sz w:val="24"/>
          <w:szCs w:val="24"/>
          <w:lang w:eastAsia="en-AU"/>
        </w:rPr>
      </w:pPr>
      <w:r w:rsidRPr="00333D8F">
        <w:rPr>
          <w:sz w:val="24"/>
          <w:szCs w:val="24"/>
          <w:lang w:eastAsia="en-AU"/>
        </w:rPr>
        <w:tab/>
        <w:t>3   Authority…………………………………………………………………</w:t>
      </w:r>
      <w:r w:rsidR="001F77AC">
        <w:rPr>
          <w:sz w:val="24"/>
          <w:szCs w:val="24"/>
          <w:lang w:eastAsia="en-AU"/>
        </w:rPr>
        <w:t>...</w:t>
      </w:r>
      <w:r w:rsidRPr="00333D8F">
        <w:rPr>
          <w:sz w:val="24"/>
          <w:szCs w:val="24"/>
          <w:lang w:eastAsia="en-AU"/>
        </w:rPr>
        <w:t>3</w:t>
      </w:r>
    </w:p>
    <w:p w14:paraId="25C9C07F" w14:textId="3D060D8A" w:rsidR="00D731EA" w:rsidRPr="00333D8F" w:rsidRDefault="00D731EA" w:rsidP="005D3414">
      <w:pPr>
        <w:spacing w:line="360" w:lineRule="auto"/>
        <w:rPr>
          <w:sz w:val="24"/>
          <w:szCs w:val="24"/>
          <w:lang w:eastAsia="en-AU"/>
        </w:rPr>
      </w:pPr>
      <w:r w:rsidRPr="00333D8F">
        <w:rPr>
          <w:sz w:val="24"/>
          <w:szCs w:val="24"/>
          <w:lang w:eastAsia="en-AU"/>
        </w:rPr>
        <w:tab/>
        <w:t>4   Schedules…………………………………………………………………..3</w:t>
      </w:r>
    </w:p>
    <w:p w14:paraId="39385D2E" w14:textId="44EB31AE" w:rsidR="00D731EA" w:rsidRPr="00333D8F" w:rsidRDefault="00D731EA" w:rsidP="005D3414">
      <w:pPr>
        <w:spacing w:line="360" w:lineRule="auto"/>
        <w:rPr>
          <w:b/>
          <w:bCs/>
          <w:sz w:val="24"/>
          <w:szCs w:val="24"/>
          <w:lang w:eastAsia="en-AU"/>
        </w:rPr>
      </w:pPr>
      <w:r w:rsidRPr="00333D8F">
        <w:rPr>
          <w:b/>
          <w:bCs/>
          <w:sz w:val="24"/>
          <w:szCs w:val="24"/>
          <w:lang w:eastAsia="en-AU"/>
        </w:rPr>
        <w:t xml:space="preserve">Schedule 1 – Amendments </w:t>
      </w:r>
      <w:r w:rsidR="009948F2" w:rsidRPr="00333D8F">
        <w:rPr>
          <w:b/>
          <w:bCs/>
          <w:sz w:val="24"/>
          <w:szCs w:val="24"/>
          <w:lang w:eastAsia="en-AU"/>
        </w:rPr>
        <w:t xml:space="preserve">                                                                                         4</w:t>
      </w:r>
    </w:p>
    <w:p w14:paraId="02245E7B" w14:textId="6D8E5EBA" w:rsidR="00D731EA" w:rsidRPr="00333D8F" w:rsidRDefault="00D731EA" w:rsidP="005D3414">
      <w:pPr>
        <w:pStyle w:val="LI-Heading2"/>
        <w:spacing w:before="0" w:line="360" w:lineRule="auto"/>
        <w:rPr>
          <w:b w:val="0"/>
          <w:bCs/>
          <w:i/>
          <w:iCs/>
          <w:szCs w:val="24"/>
        </w:rPr>
      </w:pPr>
      <w:r w:rsidRPr="00333D8F">
        <w:rPr>
          <w:szCs w:val="24"/>
        </w:rPr>
        <w:tab/>
      </w:r>
      <w:r w:rsidRPr="00333D8F">
        <w:rPr>
          <w:b w:val="0"/>
          <w:bCs/>
          <w:i/>
          <w:iCs/>
          <w:szCs w:val="24"/>
        </w:rPr>
        <w:t>ASIC Derivative Transaction Rules (Reporting) 2024 Amendment Instrument 2024/1</w:t>
      </w:r>
      <w:r w:rsidRPr="00333D8F">
        <w:rPr>
          <w:b w:val="0"/>
          <w:bCs/>
          <w:szCs w:val="24"/>
        </w:rPr>
        <w:t>……………</w:t>
      </w:r>
      <w:r w:rsidR="009948F2" w:rsidRPr="00333D8F">
        <w:rPr>
          <w:b w:val="0"/>
          <w:bCs/>
          <w:szCs w:val="24"/>
        </w:rPr>
        <w:t>..</w:t>
      </w:r>
      <w:r w:rsidRPr="00333D8F">
        <w:rPr>
          <w:b w:val="0"/>
          <w:bCs/>
          <w:szCs w:val="24"/>
        </w:rPr>
        <w:t>……………………………………………………</w:t>
      </w:r>
      <w:r w:rsidR="009948F2" w:rsidRPr="00333D8F">
        <w:rPr>
          <w:b w:val="0"/>
          <w:bCs/>
          <w:szCs w:val="24"/>
        </w:rPr>
        <w:t>.</w:t>
      </w:r>
      <w:r w:rsidRPr="00333D8F">
        <w:rPr>
          <w:b w:val="0"/>
          <w:bCs/>
          <w:szCs w:val="24"/>
        </w:rPr>
        <w:t>………4</w:t>
      </w:r>
    </w:p>
    <w:p w14:paraId="2F024445" w14:textId="4E883557" w:rsidR="00D731EA" w:rsidRPr="00333D8F" w:rsidRDefault="00D731EA" w:rsidP="005D3414">
      <w:pPr>
        <w:spacing w:line="360" w:lineRule="auto"/>
        <w:rPr>
          <w:b/>
          <w:bCs/>
          <w:sz w:val="24"/>
          <w:szCs w:val="24"/>
          <w:lang w:eastAsia="en-AU"/>
        </w:rPr>
      </w:pPr>
      <w:r w:rsidRPr="00333D8F">
        <w:rPr>
          <w:b/>
          <w:bCs/>
          <w:sz w:val="24"/>
          <w:szCs w:val="24"/>
          <w:lang w:eastAsia="en-AU"/>
        </w:rPr>
        <w:t>Schedule</w:t>
      </w:r>
      <w:r w:rsidRPr="00333D8F">
        <w:rPr>
          <w:b/>
          <w:bCs/>
          <w:sz w:val="24"/>
          <w:szCs w:val="24"/>
          <w:lang w:eastAsia="en-AU"/>
        </w:rPr>
        <w:t xml:space="preserve"> 2</w:t>
      </w:r>
      <w:r w:rsidRPr="00333D8F">
        <w:rPr>
          <w:b/>
          <w:bCs/>
          <w:sz w:val="24"/>
          <w:szCs w:val="24"/>
          <w:lang w:eastAsia="en-AU"/>
        </w:rPr>
        <w:t xml:space="preserve"> – Amendments </w:t>
      </w:r>
      <w:r w:rsidR="009948F2" w:rsidRPr="00333D8F">
        <w:rPr>
          <w:b/>
          <w:bCs/>
          <w:sz w:val="24"/>
          <w:szCs w:val="24"/>
          <w:lang w:eastAsia="en-AU"/>
        </w:rPr>
        <w:t xml:space="preserve">                                                                                          5</w:t>
      </w:r>
    </w:p>
    <w:p w14:paraId="53DE87B9" w14:textId="2184940C" w:rsidR="00D731EA" w:rsidRPr="00333D8F" w:rsidRDefault="00D731EA" w:rsidP="005D3414">
      <w:pPr>
        <w:spacing w:line="360" w:lineRule="auto"/>
        <w:rPr>
          <w:sz w:val="24"/>
          <w:szCs w:val="24"/>
          <w:lang w:eastAsia="en-AU"/>
        </w:rPr>
      </w:pPr>
      <w:r w:rsidRPr="00333D8F">
        <w:rPr>
          <w:b/>
          <w:bCs/>
          <w:sz w:val="24"/>
          <w:szCs w:val="24"/>
          <w:lang w:eastAsia="en-AU"/>
        </w:rPr>
        <w:tab/>
      </w:r>
      <w:r w:rsidRPr="00333D8F">
        <w:rPr>
          <w:i/>
          <w:iCs/>
          <w:sz w:val="24"/>
          <w:szCs w:val="24"/>
          <w:lang w:eastAsia="en-AU"/>
        </w:rPr>
        <w:t>ASIC Derivative Transaction Rules (Reporting) 2024</w:t>
      </w:r>
      <w:r w:rsidR="009948F2" w:rsidRPr="00333D8F">
        <w:rPr>
          <w:sz w:val="24"/>
          <w:szCs w:val="24"/>
          <w:lang w:eastAsia="en-AU"/>
        </w:rPr>
        <w:t>………….....…………..5</w:t>
      </w:r>
    </w:p>
    <w:p w14:paraId="117C692B" w14:textId="05B1977F" w:rsidR="009948F2" w:rsidRPr="00333D8F" w:rsidRDefault="009948F2" w:rsidP="005D3414">
      <w:pPr>
        <w:spacing w:line="360" w:lineRule="auto"/>
        <w:rPr>
          <w:b/>
          <w:bCs/>
          <w:sz w:val="24"/>
          <w:szCs w:val="24"/>
          <w:lang w:eastAsia="en-AU"/>
        </w:rPr>
      </w:pPr>
      <w:r w:rsidRPr="00333D8F">
        <w:rPr>
          <w:b/>
          <w:bCs/>
          <w:sz w:val="24"/>
          <w:szCs w:val="24"/>
          <w:lang w:eastAsia="en-AU"/>
        </w:rPr>
        <w:t xml:space="preserve">Schedule </w:t>
      </w:r>
      <w:r w:rsidRPr="00333D8F">
        <w:rPr>
          <w:b/>
          <w:bCs/>
          <w:sz w:val="24"/>
          <w:szCs w:val="24"/>
          <w:lang w:eastAsia="en-AU"/>
        </w:rPr>
        <w:t>3</w:t>
      </w:r>
      <w:r w:rsidRPr="00333D8F">
        <w:rPr>
          <w:b/>
          <w:bCs/>
          <w:sz w:val="24"/>
          <w:szCs w:val="24"/>
          <w:lang w:eastAsia="en-AU"/>
        </w:rPr>
        <w:t xml:space="preserve"> – Amendments                                                                                           </w:t>
      </w:r>
      <w:r w:rsidRPr="00333D8F">
        <w:rPr>
          <w:b/>
          <w:bCs/>
          <w:sz w:val="24"/>
          <w:szCs w:val="24"/>
          <w:lang w:eastAsia="en-AU"/>
        </w:rPr>
        <w:t>9</w:t>
      </w:r>
    </w:p>
    <w:p w14:paraId="6CDB5D93" w14:textId="43F9A3B1" w:rsidR="009948F2" w:rsidRPr="00333D8F" w:rsidRDefault="009948F2" w:rsidP="005D3414">
      <w:pPr>
        <w:spacing w:line="360" w:lineRule="auto"/>
        <w:rPr>
          <w:sz w:val="24"/>
          <w:szCs w:val="24"/>
          <w:lang w:eastAsia="en-AU"/>
        </w:rPr>
      </w:pPr>
      <w:r w:rsidRPr="00333D8F">
        <w:rPr>
          <w:b/>
          <w:bCs/>
          <w:sz w:val="24"/>
          <w:szCs w:val="24"/>
          <w:lang w:eastAsia="en-AU"/>
        </w:rPr>
        <w:tab/>
      </w:r>
      <w:r w:rsidRPr="00333D8F">
        <w:rPr>
          <w:i/>
          <w:iCs/>
          <w:sz w:val="24"/>
          <w:szCs w:val="24"/>
          <w:lang w:eastAsia="en-AU"/>
        </w:rPr>
        <w:t>ASIC Derivative Transaction Rules (Reporting) 2024</w:t>
      </w:r>
      <w:r w:rsidRPr="00333D8F">
        <w:rPr>
          <w:sz w:val="24"/>
          <w:szCs w:val="24"/>
          <w:lang w:eastAsia="en-AU"/>
        </w:rPr>
        <w:t>………….....…………..</w:t>
      </w:r>
      <w:r w:rsidRPr="00333D8F">
        <w:rPr>
          <w:sz w:val="24"/>
          <w:szCs w:val="24"/>
          <w:lang w:eastAsia="en-AU"/>
        </w:rPr>
        <w:t>9</w:t>
      </w:r>
    </w:p>
    <w:p w14:paraId="524BA446" w14:textId="2975BF9A" w:rsidR="009948F2" w:rsidRPr="00333D8F" w:rsidRDefault="009948F2" w:rsidP="005D3414">
      <w:pPr>
        <w:spacing w:line="360" w:lineRule="auto"/>
        <w:rPr>
          <w:b/>
          <w:bCs/>
          <w:sz w:val="24"/>
          <w:szCs w:val="24"/>
          <w:lang w:eastAsia="en-AU"/>
        </w:rPr>
      </w:pPr>
      <w:r w:rsidRPr="00333D8F">
        <w:rPr>
          <w:b/>
          <w:bCs/>
          <w:sz w:val="24"/>
          <w:szCs w:val="24"/>
          <w:lang w:eastAsia="en-AU"/>
        </w:rPr>
        <w:t xml:space="preserve">Schedule </w:t>
      </w:r>
      <w:r w:rsidRPr="00333D8F">
        <w:rPr>
          <w:b/>
          <w:bCs/>
          <w:sz w:val="24"/>
          <w:szCs w:val="24"/>
          <w:lang w:eastAsia="en-AU"/>
        </w:rPr>
        <w:t>4</w:t>
      </w:r>
      <w:r w:rsidRPr="00333D8F">
        <w:rPr>
          <w:b/>
          <w:bCs/>
          <w:sz w:val="24"/>
          <w:szCs w:val="24"/>
          <w:lang w:eastAsia="en-AU"/>
        </w:rPr>
        <w:t xml:space="preserve"> – Amendments                                                                                         </w:t>
      </w:r>
      <w:r w:rsidRPr="00333D8F">
        <w:rPr>
          <w:b/>
          <w:bCs/>
          <w:sz w:val="24"/>
          <w:szCs w:val="24"/>
          <w:lang w:eastAsia="en-AU"/>
        </w:rPr>
        <w:t>11</w:t>
      </w:r>
    </w:p>
    <w:p w14:paraId="3AEA03D9" w14:textId="66B9C40A" w:rsidR="009948F2" w:rsidRPr="00333D8F" w:rsidRDefault="009948F2" w:rsidP="005D3414">
      <w:pPr>
        <w:spacing w:line="360" w:lineRule="auto"/>
        <w:rPr>
          <w:sz w:val="24"/>
          <w:szCs w:val="24"/>
          <w:lang w:eastAsia="en-AU"/>
        </w:rPr>
      </w:pPr>
      <w:r w:rsidRPr="00333D8F">
        <w:rPr>
          <w:b/>
          <w:bCs/>
          <w:sz w:val="24"/>
          <w:szCs w:val="24"/>
          <w:lang w:eastAsia="en-AU"/>
        </w:rPr>
        <w:tab/>
      </w:r>
      <w:r w:rsidRPr="00333D8F">
        <w:rPr>
          <w:i/>
          <w:iCs/>
          <w:sz w:val="24"/>
          <w:szCs w:val="24"/>
          <w:lang w:eastAsia="en-AU"/>
        </w:rPr>
        <w:t>ASIC Derivative Transaction Rules (Reporting) 2024</w:t>
      </w:r>
      <w:r w:rsidRPr="00333D8F">
        <w:rPr>
          <w:sz w:val="24"/>
          <w:szCs w:val="24"/>
          <w:lang w:eastAsia="en-AU"/>
        </w:rPr>
        <w:t>………….....…………</w:t>
      </w:r>
      <w:r w:rsidRPr="00333D8F">
        <w:rPr>
          <w:sz w:val="24"/>
          <w:szCs w:val="24"/>
          <w:lang w:eastAsia="en-AU"/>
        </w:rPr>
        <w:t>11</w:t>
      </w:r>
    </w:p>
    <w:p w14:paraId="562DD8D5" w14:textId="211A4E66" w:rsidR="009948F2" w:rsidRPr="00333D8F" w:rsidRDefault="009948F2" w:rsidP="005D3414">
      <w:pPr>
        <w:spacing w:line="360" w:lineRule="auto"/>
        <w:rPr>
          <w:b/>
          <w:bCs/>
          <w:sz w:val="24"/>
          <w:szCs w:val="24"/>
          <w:lang w:eastAsia="en-AU"/>
        </w:rPr>
      </w:pPr>
      <w:r w:rsidRPr="00333D8F">
        <w:rPr>
          <w:b/>
          <w:bCs/>
          <w:sz w:val="24"/>
          <w:szCs w:val="24"/>
          <w:lang w:eastAsia="en-AU"/>
        </w:rPr>
        <w:t xml:space="preserve">Schedule </w:t>
      </w:r>
      <w:r w:rsidRPr="00333D8F">
        <w:rPr>
          <w:b/>
          <w:bCs/>
          <w:sz w:val="24"/>
          <w:szCs w:val="24"/>
          <w:lang w:eastAsia="en-AU"/>
        </w:rPr>
        <w:t>5</w:t>
      </w:r>
      <w:r w:rsidRPr="00333D8F">
        <w:rPr>
          <w:b/>
          <w:bCs/>
          <w:sz w:val="24"/>
          <w:szCs w:val="24"/>
          <w:lang w:eastAsia="en-AU"/>
        </w:rPr>
        <w:t xml:space="preserve"> – Amendments                                                                                         </w:t>
      </w:r>
      <w:r w:rsidRPr="00333D8F">
        <w:rPr>
          <w:b/>
          <w:bCs/>
          <w:sz w:val="24"/>
          <w:szCs w:val="24"/>
          <w:lang w:eastAsia="en-AU"/>
        </w:rPr>
        <w:t>13</w:t>
      </w:r>
    </w:p>
    <w:p w14:paraId="37E452A6" w14:textId="6E21FED0" w:rsidR="009948F2" w:rsidRPr="00333D8F" w:rsidRDefault="009948F2" w:rsidP="005D3414">
      <w:pPr>
        <w:spacing w:line="360" w:lineRule="auto"/>
        <w:rPr>
          <w:sz w:val="24"/>
          <w:szCs w:val="24"/>
          <w:lang w:eastAsia="en-AU"/>
        </w:rPr>
      </w:pPr>
      <w:r w:rsidRPr="00333D8F">
        <w:rPr>
          <w:b/>
          <w:bCs/>
          <w:sz w:val="24"/>
          <w:szCs w:val="24"/>
          <w:lang w:eastAsia="en-AU"/>
        </w:rPr>
        <w:tab/>
      </w:r>
      <w:r w:rsidRPr="00333D8F">
        <w:rPr>
          <w:i/>
          <w:iCs/>
          <w:sz w:val="24"/>
          <w:szCs w:val="24"/>
          <w:lang w:eastAsia="en-AU"/>
        </w:rPr>
        <w:t>ASIC Derivative Transaction Rules (Clearing) 2015</w:t>
      </w:r>
      <w:r w:rsidRPr="00333D8F">
        <w:rPr>
          <w:sz w:val="24"/>
          <w:szCs w:val="24"/>
          <w:lang w:eastAsia="en-AU"/>
        </w:rPr>
        <w:t>………….</w:t>
      </w:r>
      <w:r w:rsidR="00576452">
        <w:rPr>
          <w:sz w:val="24"/>
          <w:szCs w:val="24"/>
          <w:lang w:eastAsia="en-AU"/>
        </w:rPr>
        <w:t>.</w:t>
      </w:r>
      <w:r w:rsidRPr="00333D8F">
        <w:rPr>
          <w:sz w:val="24"/>
          <w:szCs w:val="24"/>
          <w:lang w:eastAsia="en-AU"/>
        </w:rPr>
        <w:t>....…………</w:t>
      </w:r>
      <w:proofErr w:type="gramStart"/>
      <w:r w:rsidRPr="00333D8F">
        <w:rPr>
          <w:sz w:val="24"/>
          <w:szCs w:val="24"/>
          <w:lang w:eastAsia="en-AU"/>
        </w:rPr>
        <w:t>13</w:t>
      </w:r>
      <w:proofErr w:type="gramEnd"/>
    </w:p>
    <w:p w14:paraId="62C0757A" w14:textId="56C5DFBB" w:rsidR="00D731EA" w:rsidRDefault="00D731EA" w:rsidP="00D731EA">
      <w:pPr>
        <w:pStyle w:val="TOC1"/>
        <w:spacing w:before="0"/>
        <w:rPr>
          <w:sz w:val="28"/>
        </w:rPr>
      </w:pPr>
    </w:p>
    <w:p w14:paraId="6B353171" w14:textId="77777777" w:rsidR="00D731EA" w:rsidRDefault="00D731EA" w:rsidP="00D731EA">
      <w:pPr>
        <w:pStyle w:val="TOC1"/>
        <w:spacing w:before="0"/>
        <w:rPr>
          <w:sz w:val="28"/>
        </w:rPr>
      </w:pPr>
    </w:p>
    <w:p w14:paraId="3114ACB1" w14:textId="77777777" w:rsidR="00CA7897" w:rsidRPr="00F61B09" w:rsidRDefault="00CA7897" w:rsidP="005B6C17">
      <w:pPr>
        <w:tabs>
          <w:tab w:val="left" w:pos="6096"/>
        </w:tabs>
        <w:sectPr w:rsidR="00CA7897" w:rsidRPr="00F61B09" w:rsidSect="00F4215A">
          <w:headerReference w:type="even" r:id="rId21"/>
          <w:headerReference w:type="default" r:id="rId22"/>
          <w:footerReference w:type="even" r:id="rId23"/>
          <w:footerReference w:type="default" r:id="rId24"/>
          <w:headerReference w:type="first" r:id="rId25"/>
          <w:pgSz w:w="11907" w:h="16839"/>
          <w:pgMar w:top="1098" w:right="1797" w:bottom="1440" w:left="1797" w:header="720" w:footer="709" w:gutter="0"/>
          <w:pgNumType w:fmt="lowerRoman"/>
          <w:cols w:space="708"/>
          <w:docGrid w:linePitch="360"/>
        </w:sectPr>
      </w:pPr>
    </w:p>
    <w:p w14:paraId="0131CB23" w14:textId="77777777" w:rsidR="00FA31DE" w:rsidRPr="00F61B09" w:rsidRDefault="00FA31DE" w:rsidP="006554FF">
      <w:pPr>
        <w:pStyle w:val="LI-Heading1"/>
      </w:pPr>
      <w:bookmarkStart w:id="2" w:name="BK_S3P1L1C1"/>
      <w:bookmarkStart w:id="3" w:name="_Toc170218444"/>
      <w:bookmarkStart w:id="4" w:name="_Toc175132697"/>
      <w:bookmarkStart w:id="5" w:name="_Toc175135962"/>
      <w:bookmarkEnd w:id="2"/>
      <w:r w:rsidRPr="006554FF">
        <w:lastRenderedPageBreak/>
        <w:t>Part</w:t>
      </w:r>
      <w:r w:rsidR="00F61B09" w:rsidRPr="006554FF">
        <w:t> </w:t>
      </w:r>
      <w:r w:rsidRPr="006E5320">
        <w:t>1</w:t>
      </w:r>
      <w:r w:rsidRPr="00F61B09">
        <w:t>—</w:t>
      </w:r>
      <w:r w:rsidRPr="00005446">
        <w:t>Preliminary</w:t>
      </w:r>
      <w:bookmarkEnd w:id="3"/>
      <w:bookmarkEnd w:id="4"/>
      <w:bookmarkEnd w:id="5"/>
    </w:p>
    <w:p w14:paraId="6E4AA01B" w14:textId="77777777" w:rsidR="00FA31DE" w:rsidRDefault="00FA31DE" w:rsidP="00C11452">
      <w:pPr>
        <w:pStyle w:val="LI-Heading2"/>
        <w:rPr>
          <w:szCs w:val="24"/>
        </w:rPr>
      </w:pPr>
      <w:bookmarkStart w:id="6" w:name="_Toc170218445"/>
      <w:bookmarkStart w:id="7" w:name="_Toc175132698"/>
      <w:bookmarkStart w:id="8" w:name="_Toc175135963"/>
      <w:r w:rsidRPr="008C0F29">
        <w:rPr>
          <w:szCs w:val="24"/>
        </w:rPr>
        <w:t>1</w:t>
      </w:r>
      <w:r w:rsidR="00FC3EB8">
        <w:rPr>
          <w:szCs w:val="24"/>
        </w:rPr>
        <w:tab/>
      </w:r>
      <w:r w:rsidRPr="008C0F29">
        <w:rPr>
          <w:szCs w:val="24"/>
        </w:rPr>
        <w:t xml:space="preserve">Name of </w:t>
      </w:r>
      <w:r w:rsidR="008C0F29" w:rsidRPr="008C0F29">
        <w:rPr>
          <w:szCs w:val="24"/>
        </w:rPr>
        <w:t>legislative instrument</w:t>
      </w:r>
      <w:bookmarkEnd w:id="6"/>
      <w:bookmarkEnd w:id="7"/>
      <w:bookmarkEnd w:id="8"/>
    </w:p>
    <w:p w14:paraId="3FED13F6" w14:textId="29984028" w:rsidR="00FA31DE" w:rsidRDefault="00FA31DE" w:rsidP="00BA2950">
      <w:pPr>
        <w:pStyle w:val="LI-BodyTextUnnumbered"/>
        <w:rPr>
          <w:szCs w:val="24"/>
        </w:rPr>
      </w:pPr>
      <w:r w:rsidRPr="008C0F29">
        <w:rPr>
          <w:szCs w:val="24"/>
        </w:rPr>
        <w:t xml:space="preserve">This </w:t>
      </w:r>
      <w:r w:rsidR="008C0F29" w:rsidRPr="008C0F29">
        <w:rPr>
          <w:szCs w:val="24"/>
        </w:rPr>
        <w:t>is</w:t>
      </w:r>
      <w:r w:rsidR="00C36A52">
        <w:rPr>
          <w:szCs w:val="24"/>
        </w:rPr>
        <w:t xml:space="preserve"> the</w:t>
      </w:r>
      <w:r w:rsidR="008C0F29" w:rsidRPr="008C0F29">
        <w:rPr>
          <w:szCs w:val="24"/>
        </w:rPr>
        <w:t xml:space="preserve"> </w:t>
      </w:r>
      <w:r w:rsidR="00987EDD" w:rsidRPr="00987EDD">
        <w:rPr>
          <w:i/>
          <w:iCs/>
        </w:rPr>
        <w:t>ASIC Derivative Transaction Rules (Reporting</w:t>
      </w:r>
      <w:r w:rsidR="00BB374B">
        <w:rPr>
          <w:i/>
          <w:iCs/>
        </w:rPr>
        <w:t xml:space="preserve"> and Clearing</w:t>
      </w:r>
      <w:r w:rsidR="00987EDD" w:rsidRPr="00987EDD">
        <w:rPr>
          <w:i/>
          <w:iCs/>
        </w:rPr>
        <w:t>) Amendment Instrument 2024/</w:t>
      </w:r>
      <w:r w:rsidR="008F62DE">
        <w:rPr>
          <w:i/>
          <w:iCs/>
        </w:rPr>
        <w:t>4</w:t>
      </w:r>
      <w:r w:rsidR="00F73856">
        <w:rPr>
          <w:i/>
          <w:iCs/>
        </w:rPr>
        <w:t>1</w:t>
      </w:r>
      <w:r w:rsidR="008F62DE">
        <w:rPr>
          <w:i/>
          <w:iCs/>
        </w:rPr>
        <w:t>6</w:t>
      </w:r>
      <w:r w:rsidRPr="00AC3E7B">
        <w:rPr>
          <w:szCs w:val="24"/>
        </w:rPr>
        <w:t>.</w:t>
      </w:r>
    </w:p>
    <w:p w14:paraId="052395D1" w14:textId="77777777" w:rsidR="00FA31DE" w:rsidRPr="008C0F29" w:rsidRDefault="00FA31DE" w:rsidP="00C11452">
      <w:pPr>
        <w:pStyle w:val="LI-Heading2"/>
        <w:rPr>
          <w:szCs w:val="24"/>
        </w:rPr>
      </w:pPr>
      <w:bookmarkStart w:id="9" w:name="_Toc170218446"/>
      <w:bookmarkStart w:id="10" w:name="_Toc175132699"/>
      <w:bookmarkStart w:id="11" w:name="_Toc175135964"/>
      <w:r w:rsidRPr="008C0F29">
        <w:rPr>
          <w:szCs w:val="24"/>
        </w:rPr>
        <w:t>2</w:t>
      </w:r>
      <w:r w:rsidR="00FC3EB8">
        <w:rPr>
          <w:szCs w:val="24"/>
        </w:rPr>
        <w:tab/>
      </w:r>
      <w:r w:rsidRPr="008C0F29">
        <w:rPr>
          <w:szCs w:val="24"/>
        </w:rPr>
        <w:t>Commencement</w:t>
      </w:r>
      <w:bookmarkEnd w:id="9"/>
      <w:bookmarkEnd w:id="10"/>
      <w:bookmarkEnd w:id="11"/>
    </w:p>
    <w:p w14:paraId="5A195D89" w14:textId="77777777" w:rsidR="00B11C6A" w:rsidRDefault="00B11C6A" w:rsidP="00B11C6A">
      <w:pPr>
        <w:pStyle w:val="LI-BodyTextUnnumbered"/>
        <w:rPr>
          <w:szCs w:val="24"/>
        </w:rPr>
      </w:pPr>
      <w:r w:rsidRPr="008C0F29">
        <w:rPr>
          <w:szCs w:val="24"/>
        </w:rPr>
        <w:t xml:space="preserve">This </w:t>
      </w:r>
      <w:r>
        <w:rPr>
          <w:szCs w:val="24"/>
        </w:rPr>
        <w:t>instrument</w:t>
      </w:r>
      <w:r w:rsidRPr="008C0F29">
        <w:rPr>
          <w:szCs w:val="24"/>
        </w:rPr>
        <w:t xml:space="preserve"> </w:t>
      </w:r>
      <w:r>
        <w:rPr>
          <w:szCs w:val="24"/>
        </w:rPr>
        <w:t>commences as follows:</w:t>
      </w:r>
    </w:p>
    <w:p w14:paraId="1A262FB5" w14:textId="60BACBA9" w:rsidR="00B11C6A" w:rsidRPr="00C87856" w:rsidRDefault="00B11C6A" w:rsidP="00B11C6A">
      <w:pPr>
        <w:pStyle w:val="LI-BodyTextUnnumbered"/>
        <w:ind w:left="1854" w:hanging="720"/>
      </w:pPr>
      <w:r>
        <w:t>(1)</w:t>
      </w:r>
      <w:r>
        <w:tab/>
      </w:r>
      <w:r w:rsidRPr="00C87856">
        <w:t xml:space="preserve">Part 1 and </w:t>
      </w:r>
      <w:r w:rsidR="00FE6FB7">
        <w:t xml:space="preserve">Schedules </w:t>
      </w:r>
      <w:r w:rsidR="00741E20">
        <w:t>1</w:t>
      </w:r>
      <w:r w:rsidR="00FA3F0E">
        <w:t>, 2</w:t>
      </w:r>
      <w:r w:rsidR="00C305D2">
        <w:t>, 3</w:t>
      </w:r>
      <w:r w:rsidR="00FA3F0E">
        <w:t xml:space="preserve"> and </w:t>
      </w:r>
      <w:r w:rsidR="00C305D2">
        <w:t>5</w:t>
      </w:r>
      <w:r w:rsidR="00741E20">
        <w:t xml:space="preserve"> </w:t>
      </w:r>
      <w:r w:rsidR="000E0C65">
        <w:t xml:space="preserve">to this instrument </w:t>
      </w:r>
      <w:r w:rsidRPr="00A46F34">
        <w:t>commence</w:t>
      </w:r>
      <w:r w:rsidRPr="0092211C">
        <w:t xml:space="preserve"> </w:t>
      </w:r>
      <w:r w:rsidRPr="000C3D01">
        <w:t xml:space="preserve">on the </w:t>
      </w:r>
      <w:r w:rsidR="007A714D">
        <w:t>later of</w:t>
      </w:r>
      <w:r w:rsidR="00C04D8D">
        <w:t>:</w:t>
      </w:r>
    </w:p>
    <w:p w14:paraId="4600EB8D" w14:textId="6BEDB7CA" w:rsidR="00B11C6A" w:rsidRPr="001C0367" w:rsidRDefault="007A714D" w:rsidP="00B11C6A">
      <w:pPr>
        <w:pStyle w:val="LI-BodyTextUnnumbered"/>
        <w:numPr>
          <w:ilvl w:val="1"/>
          <w:numId w:val="37"/>
        </w:numPr>
        <w:rPr>
          <w:szCs w:val="24"/>
        </w:rPr>
      </w:pPr>
      <w:r>
        <w:t>21 October 2024; and</w:t>
      </w:r>
    </w:p>
    <w:p w14:paraId="2C594DED" w14:textId="31EF78CB" w:rsidR="00B11C6A" w:rsidRPr="001C0367" w:rsidRDefault="008F3D4A" w:rsidP="00B11C6A">
      <w:pPr>
        <w:pStyle w:val="LI-BodyTextUnnumbered"/>
        <w:numPr>
          <w:ilvl w:val="1"/>
          <w:numId w:val="37"/>
        </w:numPr>
        <w:rPr>
          <w:szCs w:val="24"/>
        </w:rPr>
      </w:pPr>
      <w:r w:rsidRPr="009C14A0">
        <w:t>the day after it is registered on the Federal Register of Legislation</w:t>
      </w:r>
      <w:r w:rsidR="00141B1A">
        <w:rPr>
          <w:szCs w:val="24"/>
        </w:rPr>
        <w:t>;</w:t>
      </w:r>
    </w:p>
    <w:p w14:paraId="6C2F4280" w14:textId="591AFD5B" w:rsidR="00CC6DD2" w:rsidRDefault="00B11C6A" w:rsidP="00B11C6A">
      <w:pPr>
        <w:pStyle w:val="LI-BodyTextUnnumbered"/>
        <w:ind w:left="1854" w:hanging="720"/>
      </w:pPr>
      <w:r>
        <w:t>(2)</w:t>
      </w:r>
      <w:r>
        <w:tab/>
        <w:t xml:space="preserve">Schedule </w:t>
      </w:r>
      <w:r w:rsidR="007C2D8B">
        <w:t>4</w:t>
      </w:r>
      <w:r w:rsidR="00D27E21">
        <w:t xml:space="preserve"> </w:t>
      </w:r>
      <w:r>
        <w:t xml:space="preserve">to this instrument </w:t>
      </w:r>
      <w:r w:rsidR="00D27E21">
        <w:t>c</w:t>
      </w:r>
      <w:r>
        <w:t>ommences on the later of</w:t>
      </w:r>
      <w:r w:rsidR="00CC6DD2">
        <w:t>:</w:t>
      </w:r>
    </w:p>
    <w:p w14:paraId="5F5AECE5" w14:textId="5FCCA129" w:rsidR="00CC6DD2" w:rsidRPr="001C0367" w:rsidRDefault="00CC6DD2" w:rsidP="00CC6DD2">
      <w:pPr>
        <w:pStyle w:val="LI-BodyTextUnnumbered"/>
        <w:numPr>
          <w:ilvl w:val="0"/>
          <w:numId w:val="39"/>
        </w:numPr>
        <w:rPr>
          <w:szCs w:val="24"/>
        </w:rPr>
      </w:pPr>
      <w:r>
        <w:t>20 October 2025; and</w:t>
      </w:r>
    </w:p>
    <w:p w14:paraId="3E3EF14C" w14:textId="77777777" w:rsidR="00CC6DD2" w:rsidRPr="001C0367" w:rsidRDefault="00CC6DD2" w:rsidP="00CC6DD2">
      <w:pPr>
        <w:pStyle w:val="LI-BodyTextUnnumbered"/>
        <w:numPr>
          <w:ilvl w:val="0"/>
          <w:numId w:val="39"/>
        </w:numPr>
        <w:rPr>
          <w:szCs w:val="24"/>
        </w:rPr>
      </w:pPr>
      <w:r w:rsidRPr="009C14A0">
        <w:t>the day after it is registered on the Federal Register of Legislation</w:t>
      </w:r>
      <w:r>
        <w:rPr>
          <w:szCs w:val="24"/>
        </w:rPr>
        <w:t>;</w:t>
      </w:r>
    </w:p>
    <w:p w14:paraId="7E5591BB" w14:textId="26BB7B62" w:rsidR="00FA31DE" w:rsidRDefault="00B11C6A" w:rsidP="00CC6DD2">
      <w:pPr>
        <w:pStyle w:val="LI-BodyTextNote"/>
      </w:pPr>
      <w:r w:rsidRPr="00F61B09">
        <w:t>Note:</w:t>
      </w:r>
      <w:r w:rsidRPr="00F61B09">
        <w:tab/>
      </w:r>
      <w:r>
        <w:t xml:space="preserve">The register </w:t>
      </w:r>
      <w:r w:rsidRPr="00572BB1">
        <w:t xml:space="preserve">may </w:t>
      </w:r>
      <w:r>
        <w:t xml:space="preserve">be accessed at </w:t>
      </w:r>
      <w:r w:rsidRPr="008B321E">
        <w:t>www.legislation.gov.au</w:t>
      </w:r>
      <w:r>
        <w:t>.</w:t>
      </w:r>
    </w:p>
    <w:p w14:paraId="33C4A3ED" w14:textId="77777777" w:rsidR="00FA31DE" w:rsidRPr="008C0F29" w:rsidRDefault="00FA31DE" w:rsidP="00EC4757">
      <w:pPr>
        <w:pStyle w:val="LI-Heading2"/>
        <w:spacing w:before="240"/>
        <w:rPr>
          <w:szCs w:val="24"/>
        </w:rPr>
      </w:pPr>
      <w:bookmarkStart w:id="12" w:name="_Toc170218447"/>
      <w:bookmarkStart w:id="13" w:name="_Toc175132700"/>
      <w:bookmarkStart w:id="14" w:name="_Toc175135965"/>
      <w:r w:rsidRPr="008C0F29">
        <w:rPr>
          <w:szCs w:val="24"/>
        </w:rPr>
        <w:t>3</w:t>
      </w:r>
      <w:r w:rsidR="00FC3EB8">
        <w:rPr>
          <w:szCs w:val="24"/>
        </w:rPr>
        <w:tab/>
      </w:r>
      <w:r w:rsidRPr="008C0F29">
        <w:rPr>
          <w:szCs w:val="24"/>
        </w:rPr>
        <w:t>Authority</w:t>
      </w:r>
      <w:bookmarkEnd w:id="12"/>
      <w:bookmarkEnd w:id="13"/>
      <w:bookmarkEnd w:id="14"/>
    </w:p>
    <w:p w14:paraId="19D191A4" w14:textId="1856A2CE" w:rsidR="00FA31DE" w:rsidRPr="008C0F29" w:rsidRDefault="00FA31DE" w:rsidP="00EC4757">
      <w:pPr>
        <w:pStyle w:val="LI-BodyTextUnnumbered"/>
        <w:rPr>
          <w:szCs w:val="24"/>
        </w:rPr>
      </w:pPr>
      <w:r w:rsidRPr="008C0F29">
        <w:rPr>
          <w:szCs w:val="24"/>
        </w:rPr>
        <w:t xml:space="preserve">This </w:t>
      </w:r>
      <w:r w:rsidR="008C0F29" w:rsidRPr="008C0F29">
        <w:rPr>
          <w:szCs w:val="24"/>
        </w:rPr>
        <w:t xml:space="preserve">instrument </w:t>
      </w:r>
      <w:r w:rsidRPr="008C0F29">
        <w:rPr>
          <w:szCs w:val="24"/>
        </w:rPr>
        <w:t xml:space="preserve">is made under </w:t>
      </w:r>
      <w:r w:rsidR="00882402">
        <w:rPr>
          <w:szCs w:val="24"/>
        </w:rPr>
        <w:t xml:space="preserve">section </w:t>
      </w:r>
      <w:r w:rsidR="00882402" w:rsidRPr="00BB5895">
        <w:rPr>
          <w:szCs w:val="24"/>
        </w:rPr>
        <w:t>901</w:t>
      </w:r>
      <w:r w:rsidR="00C77D96" w:rsidRPr="00BB5895">
        <w:rPr>
          <w:szCs w:val="24"/>
        </w:rPr>
        <w:t>M</w:t>
      </w:r>
      <w:r w:rsidR="00882402">
        <w:rPr>
          <w:szCs w:val="24"/>
        </w:rPr>
        <w:t xml:space="preserve"> of the </w:t>
      </w:r>
      <w:r w:rsidR="00D927B2">
        <w:rPr>
          <w:i/>
          <w:szCs w:val="24"/>
        </w:rPr>
        <w:t>Corporations Act 2001</w:t>
      </w:r>
      <w:r w:rsidRPr="008C0F29">
        <w:rPr>
          <w:szCs w:val="24"/>
        </w:rPr>
        <w:t>.</w:t>
      </w:r>
    </w:p>
    <w:p w14:paraId="17CD128D" w14:textId="77777777" w:rsidR="00FA31DE" w:rsidRPr="00BB5C17" w:rsidRDefault="008C0F29" w:rsidP="00EC4757">
      <w:pPr>
        <w:pStyle w:val="LI-Heading2"/>
        <w:spacing w:before="240"/>
        <w:rPr>
          <w:szCs w:val="24"/>
        </w:rPr>
      </w:pPr>
      <w:bookmarkStart w:id="15" w:name="_Toc170218448"/>
      <w:bookmarkStart w:id="16" w:name="_Toc175132701"/>
      <w:bookmarkStart w:id="17" w:name="_Toc175135966"/>
      <w:r w:rsidRPr="00BB5C17">
        <w:rPr>
          <w:szCs w:val="24"/>
        </w:rPr>
        <w:t>4</w:t>
      </w:r>
      <w:r w:rsidR="00FC3EB8">
        <w:rPr>
          <w:szCs w:val="24"/>
        </w:rPr>
        <w:tab/>
      </w:r>
      <w:r w:rsidR="009B69D4">
        <w:rPr>
          <w:szCs w:val="24"/>
        </w:rPr>
        <w:t>Schedules</w:t>
      </w:r>
      <w:bookmarkEnd w:id="15"/>
      <w:bookmarkEnd w:id="16"/>
      <w:bookmarkEnd w:id="17"/>
    </w:p>
    <w:p w14:paraId="314D7A20" w14:textId="77777777" w:rsidR="0040053F" w:rsidRDefault="009B69D4" w:rsidP="009B69D4">
      <w:pPr>
        <w:pStyle w:val="LI-BodyTextUnnumbered"/>
      </w:pPr>
      <w:r w:rsidRPr="009B69D4">
        <w:t>Each instrument that is specified in a Schedule to this instrument is amended or repealed as set out in the applicable items in the Schedule concerned, and any other item in a Schedule to this instrument has effect according to its terms</w:t>
      </w:r>
      <w:r w:rsidR="00BB208C">
        <w:t>.</w:t>
      </w:r>
    </w:p>
    <w:p w14:paraId="2109C918" w14:textId="77777777" w:rsidR="00AC1F70" w:rsidRDefault="00AC1F70" w:rsidP="005C1C22">
      <w:pPr>
        <w:pStyle w:val="LI-BodyTextUnnumbered"/>
        <w:ind w:left="1701" w:hanging="567"/>
      </w:pPr>
    </w:p>
    <w:p w14:paraId="0F746787" w14:textId="77777777" w:rsidR="00AC1F70" w:rsidRDefault="00AC1F70" w:rsidP="005C1C22">
      <w:pPr>
        <w:pStyle w:val="LI-BodyTextUnnumbered"/>
        <w:ind w:left="1701" w:hanging="567"/>
        <w:sectPr w:rsidR="00AC1F70" w:rsidSect="007D230B">
          <w:headerReference w:type="even" r:id="rId26"/>
          <w:headerReference w:type="default" r:id="rId27"/>
          <w:footerReference w:type="even" r:id="rId28"/>
          <w:headerReference w:type="first" r:id="rId29"/>
          <w:footerReference w:type="first" r:id="rId30"/>
          <w:pgSz w:w="11907" w:h="16839" w:code="9"/>
          <w:pgMar w:top="1534" w:right="1797" w:bottom="1440" w:left="1797" w:header="720" w:footer="709" w:gutter="0"/>
          <w:cols w:space="708"/>
          <w:docGrid w:linePitch="360"/>
        </w:sectPr>
      </w:pPr>
    </w:p>
    <w:p w14:paraId="65FEC178" w14:textId="77777777" w:rsidR="00A83CD1" w:rsidRPr="00F61B09" w:rsidRDefault="00A83CD1" w:rsidP="00A83CD1">
      <w:pPr>
        <w:pStyle w:val="LI-Heading1"/>
      </w:pPr>
      <w:bookmarkStart w:id="18" w:name="_Toc170218449"/>
      <w:bookmarkStart w:id="19" w:name="_Toc175132702"/>
      <w:bookmarkStart w:id="20" w:name="_Toc175135967"/>
      <w:r>
        <w:lastRenderedPageBreak/>
        <w:t>Schedule 1</w:t>
      </w:r>
      <w:r w:rsidRPr="00F61B09">
        <w:t>—</w:t>
      </w:r>
      <w:r>
        <w:t>Amendments</w:t>
      </w:r>
      <w:bookmarkEnd w:id="18"/>
      <w:bookmarkEnd w:id="19"/>
      <w:bookmarkEnd w:id="20"/>
    </w:p>
    <w:p w14:paraId="7951174B" w14:textId="0031C7E8" w:rsidR="00A83CD1" w:rsidRPr="006A0395" w:rsidRDefault="00DD3D40" w:rsidP="00A83CD1">
      <w:pPr>
        <w:pStyle w:val="LI-Heading2"/>
        <w:rPr>
          <w:i/>
          <w:iCs/>
          <w:sz w:val="28"/>
          <w:szCs w:val="28"/>
        </w:rPr>
      </w:pPr>
      <w:bookmarkStart w:id="21" w:name="_Toc170218450"/>
      <w:bookmarkStart w:id="22" w:name="_Toc175132703"/>
      <w:bookmarkStart w:id="23" w:name="_Toc175135968"/>
      <w:r w:rsidRPr="00DD3D40">
        <w:rPr>
          <w:i/>
          <w:iCs/>
          <w:sz w:val="28"/>
          <w:szCs w:val="28"/>
        </w:rPr>
        <w:t>ASIC Derivative Transaction Rules (Reporting) 2024 Amendment Instrument 2024/1</w:t>
      </w:r>
      <w:bookmarkEnd w:id="21"/>
      <w:bookmarkEnd w:id="22"/>
      <w:bookmarkEnd w:id="23"/>
    </w:p>
    <w:p w14:paraId="387788E1" w14:textId="3E0F100A" w:rsidR="00725E74" w:rsidRPr="006D4C28" w:rsidRDefault="00725E74" w:rsidP="00725E74">
      <w:pPr>
        <w:pStyle w:val="LI-BodyTextNumbered"/>
        <w:ind w:left="567"/>
        <w:rPr>
          <w:b/>
          <w:i/>
          <w:iCs/>
        </w:rPr>
      </w:pPr>
      <w:r>
        <w:rPr>
          <w:b/>
          <w:bCs/>
        </w:rPr>
        <w:t>1</w:t>
      </w:r>
      <w:r w:rsidRPr="005074EA">
        <w:rPr>
          <w:b/>
          <w:bCs/>
        </w:rPr>
        <w:t xml:space="preserve"> </w:t>
      </w:r>
      <w:r w:rsidRPr="005074EA">
        <w:rPr>
          <w:b/>
          <w:bCs/>
        </w:rPr>
        <w:tab/>
      </w:r>
      <w:r>
        <w:rPr>
          <w:b/>
          <w:bCs/>
        </w:rPr>
        <w:t xml:space="preserve">Item 12 </w:t>
      </w:r>
      <w:r w:rsidRPr="006D4C28">
        <w:rPr>
          <w:b/>
        </w:rPr>
        <w:t>Subrule 2.2.1(4)</w:t>
      </w:r>
      <w:r w:rsidR="00F371BC">
        <w:rPr>
          <w:b/>
        </w:rPr>
        <w:t xml:space="preserve"> (heading)</w:t>
      </w:r>
    </w:p>
    <w:p w14:paraId="5CCAF3F5" w14:textId="11E75B0D" w:rsidR="00725E74" w:rsidRPr="006D4C28" w:rsidRDefault="00725E74" w:rsidP="00725E74">
      <w:pPr>
        <w:pStyle w:val="LI-BodyTextNumbered"/>
        <w:spacing w:after="240"/>
        <w:ind w:left="567" w:firstLine="0"/>
      </w:pPr>
      <w:r w:rsidRPr="006D4C28">
        <w:t>After “</w:t>
      </w:r>
      <w:r w:rsidR="00451C7E" w:rsidRPr="00451C7E">
        <w:t>Exception for incomplete ISO 20022 message definition</w:t>
      </w:r>
      <w:r w:rsidR="00451C7E">
        <w:t>”</w:t>
      </w:r>
      <w:r w:rsidR="000A3043">
        <w:t>, insert “,</w:t>
      </w:r>
      <w:r w:rsidR="00BF0DFC">
        <w:t xml:space="preserve"> </w:t>
      </w:r>
      <w:r w:rsidR="00275619">
        <w:t>delay for changed message definition</w:t>
      </w:r>
      <w:r w:rsidR="00B94272">
        <w:t>”.</w:t>
      </w:r>
    </w:p>
    <w:p w14:paraId="4EE89CDF" w14:textId="2EB6C849" w:rsidR="00DE7495" w:rsidRPr="006D4C28" w:rsidRDefault="00183B5B" w:rsidP="00DE7495">
      <w:pPr>
        <w:pStyle w:val="LI-BodyTextNumbered"/>
        <w:ind w:left="567"/>
        <w:rPr>
          <w:b/>
          <w:i/>
          <w:iCs/>
        </w:rPr>
      </w:pPr>
      <w:r>
        <w:rPr>
          <w:b/>
          <w:bCs/>
        </w:rPr>
        <w:t>2</w:t>
      </w:r>
      <w:r w:rsidR="006E090F" w:rsidRPr="005074EA">
        <w:rPr>
          <w:b/>
          <w:bCs/>
        </w:rPr>
        <w:t xml:space="preserve"> </w:t>
      </w:r>
      <w:r w:rsidR="006E090F" w:rsidRPr="005074EA">
        <w:rPr>
          <w:b/>
          <w:bCs/>
        </w:rPr>
        <w:tab/>
      </w:r>
      <w:r w:rsidR="003E071A">
        <w:rPr>
          <w:b/>
          <w:bCs/>
        </w:rPr>
        <w:t xml:space="preserve">Item 12 </w:t>
      </w:r>
      <w:r w:rsidR="00DE7495" w:rsidRPr="006D4C28">
        <w:rPr>
          <w:b/>
        </w:rPr>
        <w:t>Subrule 2.2.1(4)</w:t>
      </w:r>
    </w:p>
    <w:p w14:paraId="4CD6F98B" w14:textId="590D1B9D" w:rsidR="00DE7495" w:rsidRPr="006D4C28" w:rsidRDefault="003A5B10" w:rsidP="00DE7495">
      <w:pPr>
        <w:pStyle w:val="LI-BodyTextNumbered"/>
        <w:spacing w:after="240"/>
        <w:ind w:left="567" w:firstLine="0"/>
      </w:pPr>
      <w:r>
        <w:t>Omit</w:t>
      </w:r>
      <w:r w:rsidR="00542FFE">
        <w:t xml:space="preserve"> </w:t>
      </w:r>
      <w:r w:rsidR="001607CE">
        <w:t xml:space="preserve">all of </w:t>
      </w:r>
      <w:r w:rsidR="00A20836">
        <w:t>words after</w:t>
      </w:r>
      <w:r w:rsidR="00DE7495" w:rsidRPr="006D4C28">
        <w:t xml:space="preserve"> “</w:t>
      </w:r>
      <w:r w:rsidR="00DA46D3">
        <w:t>Reportable</w:t>
      </w:r>
      <w:r w:rsidR="00F24623">
        <w:t xml:space="preserve"> Transaction</w:t>
      </w:r>
      <w:r w:rsidR="00DE7495" w:rsidRPr="006D4C28">
        <w:t xml:space="preserve">”, </w:t>
      </w:r>
      <w:proofErr w:type="spellStart"/>
      <w:r w:rsidR="001120A8">
        <w:t>subsitu</w:t>
      </w:r>
      <w:r w:rsidR="00527FE9">
        <w:t>te</w:t>
      </w:r>
      <w:proofErr w:type="spellEnd"/>
      <w:r w:rsidR="00DE7495" w:rsidRPr="006D4C28">
        <w:t>:</w:t>
      </w:r>
    </w:p>
    <w:p w14:paraId="6E301DDD" w14:textId="77777777" w:rsidR="00DE7495" w:rsidRPr="006D4C28" w:rsidRDefault="00DE7495" w:rsidP="00DE7495">
      <w:pPr>
        <w:pStyle w:val="MIRBodyText"/>
        <w:numPr>
          <w:ilvl w:val="0"/>
          <w:numId w:val="0"/>
        </w:numPr>
        <w:ind w:left="851"/>
      </w:pPr>
      <w:r>
        <w:t>“</w:t>
      </w:r>
      <w:r w:rsidRPr="006D4C28">
        <w:t>:</w:t>
      </w:r>
    </w:p>
    <w:p w14:paraId="46F6955B" w14:textId="3EF91788" w:rsidR="00DE7495" w:rsidRPr="00C045F4" w:rsidRDefault="0048171E" w:rsidP="00DE7495">
      <w:pPr>
        <w:pStyle w:val="MIRSubpara"/>
        <w:numPr>
          <w:ilvl w:val="1"/>
          <w:numId w:val="43"/>
        </w:numPr>
        <w:rPr>
          <w:sz w:val="24"/>
          <w:szCs w:val="24"/>
        </w:rPr>
      </w:pPr>
      <w:r w:rsidRPr="00EE7BD8">
        <w:t xml:space="preserve">if </w:t>
      </w:r>
      <w:r w:rsidRPr="008F78BC">
        <w:rPr>
          <w:sz w:val="24"/>
          <w:szCs w:val="24"/>
        </w:rPr>
        <w:t>at the time the Reporting Entity is required to comply with the requirements, the ISO 20022 message definition used in accordance with subrule 2.2.4(2)</w:t>
      </w:r>
      <w:r w:rsidR="0005747B">
        <w:rPr>
          <w:sz w:val="24"/>
          <w:szCs w:val="24"/>
        </w:rPr>
        <w:t xml:space="preserve"> </w:t>
      </w:r>
      <w:r w:rsidRPr="00C045F4">
        <w:rPr>
          <w:sz w:val="24"/>
          <w:szCs w:val="24"/>
        </w:rPr>
        <w:t>does not include those items of Derivative Transaction Information; or</w:t>
      </w:r>
    </w:p>
    <w:p w14:paraId="7CCC9773" w14:textId="0117052C" w:rsidR="00DE7495" w:rsidRPr="006D4C28" w:rsidRDefault="00C217B8" w:rsidP="00DE7495">
      <w:pPr>
        <w:pStyle w:val="MIRSubpara"/>
        <w:numPr>
          <w:ilvl w:val="1"/>
          <w:numId w:val="43"/>
        </w:numPr>
      </w:pPr>
      <w:r w:rsidRPr="008F78BC">
        <w:rPr>
          <w:sz w:val="24"/>
          <w:szCs w:val="24"/>
        </w:rPr>
        <w:t xml:space="preserve">until the first Monday that occurs 7 months after </w:t>
      </w:r>
      <w:r>
        <w:rPr>
          <w:sz w:val="24"/>
          <w:szCs w:val="24"/>
        </w:rPr>
        <w:t xml:space="preserve">the date of </w:t>
      </w:r>
      <w:r w:rsidRPr="008F78BC">
        <w:rPr>
          <w:sz w:val="24"/>
          <w:szCs w:val="24"/>
        </w:rPr>
        <w:t>a</w:t>
      </w:r>
      <w:r>
        <w:rPr>
          <w:sz w:val="24"/>
          <w:szCs w:val="24"/>
        </w:rPr>
        <w:t>n approved</w:t>
      </w:r>
      <w:r w:rsidRPr="008F78BC">
        <w:rPr>
          <w:sz w:val="24"/>
          <w:szCs w:val="24"/>
        </w:rPr>
        <w:t xml:space="preserve"> change to the ISO 20022 message definition, if at the time the reporting entity is required to comply with the requirements, the </w:t>
      </w:r>
      <w:r>
        <w:rPr>
          <w:sz w:val="24"/>
          <w:szCs w:val="24"/>
        </w:rPr>
        <w:t xml:space="preserve">changed </w:t>
      </w:r>
      <w:r w:rsidRPr="008F78BC">
        <w:rPr>
          <w:sz w:val="24"/>
          <w:szCs w:val="24"/>
        </w:rPr>
        <w:t>ISO 20022 message definition has been in effect for a period of less than 7 months.</w:t>
      </w:r>
      <w:r w:rsidR="009C6564">
        <w:rPr>
          <w:sz w:val="24"/>
          <w:szCs w:val="24"/>
        </w:rPr>
        <w:t>”</w:t>
      </w:r>
    </w:p>
    <w:p w14:paraId="1247533F" w14:textId="63253AC5" w:rsidR="003E071A" w:rsidRPr="000E0924" w:rsidRDefault="00183B5B" w:rsidP="003E071A">
      <w:pPr>
        <w:pStyle w:val="LI-BodyTextNumbered"/>
        <w:numPr>
          <w:ilvl w:val="0"/>
          <w:numId w:val="43"/>
        </w:numPr>
        <w:ind w:left="567" w:hanging="567"/>
        <w:rPr>
          <w:b/>
          <w:i/>
          <w:iCs/>
        </w:rPr>
      </w:pPr>
      <w:r>
        <w:rPr>
          <w:b/>
        </w:rPr>
        <w:t>3</w:t>
      </w:r>
      <w:r w:rsidR="003E071A" w:rsidRPr="00CA3A25">
        <w:rPr>
          <w:b/>
        </w:rPr>
        <w:tab/>
      </w:r>
      <w:r w:rsidR="003E071A">
        <w:rPr>
          <w:b/>
        </w:rPr>
        <w:t>Item 15 Paragraph 2.2.4(2)(b)</w:t>
      </w:r>
    </w:p>
    <w:p w14:paraId="55516583" w14:textId="77777777" w:rsidR="003E071A" w:rsidRDefault="003E071A" w:rsidP="003E071A">
      <w:pPr>
        <w:pStyle w:val="LI-BodyTextNumbered"/>
        <w:numPr>
          <w:ilvl w:val="0"/>
          <w:numId w:val="43"/>
        </w:numPr>
      </w:pPr>
      <w:r>
        <w:t>Repeal the item.</w:t>
      </w:r>
    </w:p>
    <w:p w14:paraId="7A235B04" w14:textId="4FDB1D59" w:rsidR="006E090F" w:rsidRPr="005074EA" w:rsidRDefault="006E090F" w:rsidP="006E090F">
      <w:pPr>
        <w:pStyle w:val="LI-BodyTextNumbered"/>
        <w:ind w:left="567"/>
        <w:rPr>
          <w:b/>
          <w:bCs/>
        </w:rPr>
      </w:pPr>
    </w:p>
    <w:p w14:paraId="3B66B907" w14:textId="77777777" w:rsidR="002F6861" w:rsidRDefault="002F6861">
      <w:pPr>
        <w:spacing w:line="240" w:lineRule="auto"/>
        <w:rPr>
          <w:rFonts w:eastAsia="Times New Roman"/>
          <w:b/>
          <w:kern w:val="28"/>
          <w:sz w:val="32"/>
          <w:lang w:eastAsia="en-AU"/>
        </w:rPr>
      </w:pPr>
      <w:r>
        <w:br w:type="page"/>
      </w:r>
    </w:p>
    <w:p w14:paraId="7FB4564B" w14:textId="28F0DD4E" w:rsidR="00FA31DE" w:rsidRPr="00F61B09" w:rsidRDefault="009B69D4" w:rsidP="006554FF">
      <w:pPr>
        <w:pStyle w:val="LI-Heading1"/>
      </w:pPr>
      <w:bookmarkStart w:id="24" w:name="_Toc170218451"/>
      <w:bookmarkStart w:id="25" w:name="_Toc175132704"/>
      <w:bookmarkStart w:id="26" w:name="_Toc175135969"/>
      <w:r>
        <w:lastRenderedPageBreak/>
        <w:t xml:space="preserve">Schedule </w:t>
      </w:r>
      <w:r w:rsidR="002F6861">
        <w:t>2</w:t>
      </w:r>
      <w:r w:rsidR="00FA31DE" w:rsidRPr="00F61B09">
        <w:t>—</w:t>
      </w:r>
      <w:r w:rsidR="008E290E">
        <w:t>Amendment</w:t>
      </w:r>
      <w:r w:rsidR="00102307">
        <w:t>s</w:t>
      </w:r>
      <w:bookmarkEnd w:id="24"/>
      <w:bookmarkEnd w:id="25"/>
      <w:bookmarkEnd w:id="26"/>
    </w:p>
    <w:p w14:paraId="669B870D" w14:textId="5467E1AE" w:rsidR="0058749E" w:rsidRPr="006A0395" w:rsidRDefault="0058749E" w:rsidP="0058749E">
      <w:pPr>
        <w:pStyle w:val="LI-Heading2"/>
        <w:rPr>
          <w:i/>
          <w:iCs/>
          <w:sz w:val="28"/>
          <w:szCs w:val="28"/>
        </w:rPr>
      </w:pPr>
      <w:bookmarkStart w:id="27" w:name="_Toc145925689"/>
      <w:bookmarkStart w:id="28" w:name="_Toc170218452"/>
      <w:bookmarkStart w:id="29" w:name="_Toc175132705"/>
      <w:bookmarkStart w:id="30" w:name="_Toc175135970"/>
      <w:r w:rsidRPr="5368F293">
        <w:rPr>
          <w:i/>
          <w:iCs/>
          <w:sz w:val="28"/>
          <w:szCs w:val="28"/>
        </w:rPr>
        <w:t>ASIC Derivative Transaction Rules (</w:t>
      </w:r>
      <w:r>
        <w:rPr>
          <w:i/>
          <w:iCs/>
          <w:sz w:val="28"/>
          <w:szCs w:val="28"/>
        </w:rPr>
        <w:t>Reporting</w:t>
      </w:r>
      <w:r w:rsidRPr="5368F293">
        <w:rPr>
          <w:i/>
          <w:iCs/>
          <w:sz w:val="28"/>
          <w:szCs w:val="28"/>
        </w:rPr>
        <w:t>) 20</w:t>
      </w:r>
      <w:r>
        <w:rPr>
          <w:i/>
          <w:iCs/>
          <w:sz w:val="28"/>
          <w:szCs w:val="28"/>
        </w:rPr>
        <w:t>24</w:t>
      </w:r>
      <w:bookmarkEnd w:id="27"/>
      <w:bookmarkEnd w:id="28"/>
      <w:bookmarkEnd w:id="29"/>
      <w:bookmarkEnd w:id="30"/>
    </w:p>
    <w:p w14:paraId="422EB07F" w14:textId="13343722" w:rsidR="002F178D" w:rsidRPr="006242D4" w:rsidRDefault="006242D4" w:rsidP="002F178D">
      <w:pPr>
        <w:pStyle w:val="LI-BodyTextNumbered"/>
        <w:ind w:left="567"/>
        <w:rPr>
          <w:b/>
          <w:i/>
          <w:iCs/>
        </w:rPr>
      </w:pPr>
      <w:r>
        <w:rPr>
          <w:b/>
        </w:rPr>
        <w:t>1</w:t>
      </w:r>
      <w:r w:rsidR="002F178D" w:rsidRPr="006242D4">
        <w:rPr>
          <w:b/>
        </w:rPr>
        <w:tab/>
        <w:t xml:space="preserve">Rule 1.2.3 (definition of </w:t>
      </w:r>
      <w:r w:rsidR="00BE0FDD" w:rsidRPr="006242D4">
        <w:rPr>
          <w:b/>
          <w:i/>
          <w:iCs/>
        </w:rPr>
        <w:t>clearing member</w:t>
      </w:r>
      <w:r w:rsidR="002F178D" w:rsidRPr="006242D4">
        <w:rPr>
          <w:b/>
        </w:rPr>
        <w:t>)</w:t>
      </w:r>
    </w:p>
    <w:p w14:paraId="06DC7D3A" w14:textId="58686BB2" w:rsidR="00C10ABB" w:rsidRPr="006242D4" w:rsidRDefault="00C10ABB" w:rsidP="00C10ABB">
      <w:pPr>
        <w:pStyle w:val="LI-BodyTextNumbered"/>
        <w:ind w:left="567" w:firstLine="0"/>
      </w:pPr>
      <w:r w:rsidRPr="006242D4">
        <w:t>Omit “operating rules</w:t>
      </w:r>
      <w:r w:rsidR="006B240A">
        <w:t>”</w:t>
      </w:r>
      <w:r w:rsidRPr="006242D4">
        <w:t>, substitute “</w:t>
      </w:r>
      <w:r w:rsidR="00E53BAA" w:rsidRPr="006242D4">
        <w:t>Operating Rules”</w:t>
      </w:r>
      <w:r w:rsidRPr="006242D4">
        <w:t>.</w:t>
      </w:r>
    </w:p>
    <w:p w14:paraId="0E0091E9" w14:textId="74CBC6DC" w:rsidR="00A014D7" w:rsidRPr="006242D4" w:rsidRDefault="001A1B84" w:rsidP="00A014D7">
      <w:pPr>
        <w:pStyle w:val="LI-BodyTextNumbered"/>
        <w:ind w:left="567"/>
        <w:rPr>
          <w:b/>
          <w:i/>
          <w:iCs/>
        </w:rPr>
      </w:pPr>
      <w:r>
        <w:rPr>
          <w:b/>
        </w:rPr>
        <w:t>2</w:t>
      </w:r>
      <w:r w:rsidR="00A014D7" w:rsidRPr="006242D4">
        <w:rPr>
          <w:b/>
        </w:rPr>
        <w:tab/>
        <w:t xml:space="preserve">Rule 1.2.3 (definition of </w:t>
      </w:r>
      <w:r w:rsidR="001C7DD6" w:rsidRPr="006242D4">
        <w:rPr>
          <w:b/>
          <w:i/>
          <w:iCs/>
        </w:rPr>
        <w:t>Operating Rules</w:t>
      </w:r>
      <w:r w:rsidR="00A014D7" w:rsidRPr="006242D4">
        <w:rPr>
          <w:b/>
        </w:rPr>
        <w:t>)</w:t>
      </w:r>
    </w:p>
    <w:p w14:paraId="46EA5E74" w14:textId="50670202" w:rsidR="00A014D7" w:rsidRDefault="00A138CA" w:rsidP="00A014D7">
      <w:pPr>
        <w:pStyle w:val="LI-BodyTextNumbered"/>
        <w:ind w:left="567" w:firstLine="0"/>
      </w:pPr>
      <w:r>
        <w:t>Relocate the definition to its appropriate alphabetical position, determined on a letter-by-letter basis</w:t>
      </w:r>
      <w:r w:rsidR="00A014D7" w:rsidRPr="006242D4">
        <w:t>.</w:t>
      </w:r>
    </w:p>
    <w:p w14:paraId="1DED3E14" w14:textId="3BD93E17" w:rsidR="001E0BF5" w:rsidRPr="000E0924" w:rsidRDefault="001A1B84" w:rsidP="00CA3A25">
      <w:pPr>
        <w:pStyle w:val="LI-BodyTextNumbered"/>
        <w:ind w:left="567"/>
        <w:rPr>
          <w:b/>
          <w:i/>
          <w:iCs/>
        </w:rPr>
      </w:pPr>
      <w:r>
        <w:rPr>
          <w:b/>
        </w:rPr>
        <w:t>3</w:t>
      </w:r>
      <w:r w:rsidR="001E0BF5" w:rsidRPr="00CA3A25">
        <w:rPr>
          <w:b/>
        </w:rPr>
        <w:tab/>
      </w:r>
      <w:r w:rsidR="00A90A8E">
        <w:rPr>
          <w:b/>
        </w:rPr>
        <w:t>Rule 1.2.3</w:t>
      </w:r>
      <w:r w:rsidR="000E0924">
        <w:rPr>
          <w:b/>
        </w:rPr>
        <w:t xml:space="preserve"> (</w:t>
      </w:r>
      <w:r w:rsidR="00894F91">
        <w:rPr>
          <w:b/>
        </w:rPr>
        <w:t xml:space="preserve">definition of </w:t>
      </w:r>
      <w:r w:rsidR="00454C60" w:rsidRPr="007446FA">
        <w:rPr>
          <w:b/>
          <w:i/>
          <w:iCs/>
        </w:rPr>
        <w:t>Part</w:t>
      </w:r>
      <w:r w:rsidR="007446FA" w:rsidRPr="007446FA">
        <w:rPr>
          <w:b/>
          <w:i/>
          <w:iCs/>
        </w:rPr>
        <w:t xml:space="preserve"> 7.2A Market</w:t>
      </w:r>
      <w:r w:rsidR="007446FA">
        <w:rPr>
          <w:b/>
        </w:rPr>
        <w:t>)</w:t>
      </w:r>
    </w:p>
    <w:p w14:paraId="31734A5A" w14:textId="5378D09D" w:rsidR="001E0BF5" w:rsidRDefault="007446FA" w:rsidP="001E0BF5">
      <w:pPr>
        <w:pStyle w:val="LI-BodyTextNumbered"/>
      </w:pPr>
      <w:r>
        <w:t>Repeal the definition</w:t>
      </w:r>
      <w:r w:rsidR="002A50DB">
        <w:t>, including the note</w:t>
      </w:r>
      <w:r w:rsidR="001E0BF5">
        <w:t>.</w:t>
      </w:r>
    </w:p>
    <w:p w14:paraId="4DADA4CE" w14:textId="4CE81E72" w:rsidR="00141FE7" w:rsidRPr="000E0924" w:rsidRDefault="00B9345E" w:rsidP="00141FE7">
      <w:pPr>
        <w:pStyle w:val="LI-BodyTextNumbered"/>
        <w:ind w:left="567"/>
        <w:rPr>
          <w:b/>
          <w:i/>
          <w:iCs/>
        </w:rPr>
      </w:pPr>
      <w:r>
        <w:rPr>
          <w:b/>
        </w:rPr>
        <w:t>4</w:t>
      </w:r>
      <w:r w:rsidR="00141FE7" w:rsidRPr="00CA3A25">
        <w:rPr>
          <w:b/>
        </w:rPr>
        <w:tab/>
      </w:r>
      <w:r w:rsidR="00141FE7">
        <w:rPr>
          <w:b/>
        </w:rPr>
        <w:t>Rule 1.2.3 (</w:t>
      </w:r>
      <w:r w:rsidR="00894F91">
        <w:rPr>
          <w:b/>
        </w:rPr>
        <w:t xml:space="preserve">definition of </w:t>
      </w:r>
      <w:r w:rsidR="005978BD">
        <w:rPr>
          <w:b/>
          <w:i/>
          <w:iCs/>
        </w:rPr>
        <w:t>Regulated Foreign Market</w:t>
      </w:r>
      <w:r w:rsidR="005978BD">
        <w:rPr>
          <w:b/>
        </w:rPr>
        <w:t>)</w:t>
      </w:r>
    </w:p>
    <w:p w14:paraId="4206A9C1" w14:textId="77777777" w:rsidR="005978BD" w:rsidRDefault="005978BD" w:rsidP="005978BD">
      <w:pPr>
        <w:pStyle w:val="LI-BodyTextNumbered"/>
      </w:pPr>
      <w:r>
        <w:t>Repeal the definition.</w:t>
      </w:r>
    </w:p>
    <w:p w14:paraId="760BA436" w14:textId="2250281C" w:rsidR="00387A12" w:rsidRPr="000E0924" w:rsidRDefault="00211716" w:rsidP="00387A12">
      <w:pPr>
        <w:pStyle w:val="LI-BodyTextNumbered"/>
        <w:ind w:left="567"/>
        <w:rPr>
          <w:b/>
          <w:i/>
          <w:iCs/>
        </w:rPr>
      </w:pPr>
      <w:r>
        <w:rPr>
          <w:b/>
        </w:rPr>
        <w:t>5</w:t>
      </w:r>
      <w:r w:rsidR="00954464" w:rsidRPr="00CA3A25">
        <w:rPr>
          <w:b/>
        </w:rPr>
        <w:tab/>
      </w:r>
      <w:r w:rsidR="00F75921">
        <w:rPr>
          <w:b/>
        </w:rPr>
        <w:t>Subr</w:t>
      </w:r>
      <w:r w:rsidR="00387A12">
        <w:rPr>
          <w:b/>
        </w:rPr>
        <w:t>ule 1.2.</w:t>
      </w:r>
      <w:r w:rsidR="00411529">
        <w:rPr>
          <w:b/>
        </w:rPr>
        <w:t>4(2)</w:t>
      </w:r>
    </w:p>
    <w:p w14:paraId="37A7A620" w14:textId="6DBDEE6D" w:rsidR="00387A12" w:rsidRDefault="00B15EFC" w:rsidP="00387A12">
      <w:pPr>
        <w:pStyle w:val="LI-BodyTextNumbered"/>
      </w:pPr>
      <w:r>
        <w:t xml:space="preserve">Repeal the </w:t>
      </w:r>
      <w:r w:rsidR="00B758DF">
        <w:t>s</w:t>
      </w:r>
      <w:r>
        <w:t>ub</w:t>
      </w:r>
      <w:r w:rsidR="00D04F78">
        <w:t>rule, substitute:</w:t>
      </w:r>
    </w:p>
    <w:p w14:paraId="7857B16D" w14:textId="77777777" w:rsidR="00F52765" w:rsidRPr="00F76596" w:rsidRDefault="00D04F78" w:rsidP="00F52765">
      <w:pPr>
        <w:pStyle w:val="MIRBodyText"/>
        <w:numPr>
          <w:ilvl w:val="0"/>
          <w:numId w:val="0"/>
        </w:numPr>
        <w:ind w:left="851"/>
      </w:pPr>
      <w:r>
        <w:t xml:space="preserve">(2) In these Rules </w:t>
      </w:r>
      <w:r w:rsidR="00F52765" w:rsidRPr="00F76596">
        <w:t xml:space="preserve">a Derivative is not an </w:t>
      </w:r>
      <w:r w:rsidR="00F52765" w:rsidRPr="00F76596">
        <w:rPr>
          <w:b/>
          <w:i/>
        </w:rPr>
        <w:t>OTC Derivative</w:t>
      </w:r>
      <w:r w:rsidR="00F52765" w:rsidRPr="00F76596">
        <w:t xml:space="preserve"> if</w:t>
      </w:r>
      <w:r w:rsidR="00F52765">
        <w:t>:</w:t>
      </w:r>
    </w:p>
    <w:p w14:paraId="573EA5F2" w14:textId="77777777" w:rsidR="00F52765" w:rsidRPr="00F52765" w:rsidRDefault="00F52765" w:rsidP="00F52765">
      <w:pPr>
        <w:pStyle w:val="MIRSubpara"/>
        <w:numPr>
          <w:ilvl w:val="1"/>
          <w:numId w:val="47"/>
        </w:numPr>
      </w:pPr>
      <w:r w:rsidRPr="00F52765">
        <w:t>the Derivative is able to be traded (within the meaning of section 9 of the Act) on an authorised financial market and the entry into of the arrangement that is the Derivative:</w:t>
      </w:r>
    </w:p>
    <w:p w14:paraId="19711ECA" w14:textId="77777777" w:rsidR="00F52765" w:rsidRPr="00F52765" w:rsidRDefault="00F52765" w:rsidP="00F52765">
      <w:pPr>
        <w:pStyle w:val="MIRSubpara"/>
        <w:numPr>
          <w:ilvl w:val="2"/>
          <w:numId w:val="47"/>
        </w:numPr>
      </w:pPr>
      <w:r w:rsidRPr="00F52765">
        <w:t>takes place on an authorised financial market, or is reported to the operator of an authorised financial market in its capacity as operator of the authorised financial market, in accordance with the Operating Rules of the authorised financial market; and</w:t>
      </w:r>
    </w:p>
    <w:p w14:paraId="23B6F81D" w14:textId="77777777" w:rsidR="00F52765" w:rsidRDefault="00F52765" w:rsidP="00F52765">
      <w:pPr>
        <w:pStyle w:val="MIRSubpara"/>
        <w:numPr>
          <w:ilvl w:val="2"/>
          <w:numId w:val="47"/>
        </w:numPr>
      </w:pPr>
      <w:r>
        <w:t xml:space="preserve">ASIC has </w:t>
      </w:r>
      <w:proofErr w:type="gramStart"/>
      <w:r>
        <w:t>made a determination</w:t>
      </w:r>
      <w:proofErr w:type="gramEnd"/>
      <w:r>
        <w:t xml:space="preserve"> under subrule (3) that specifies the Derivative for the purposes of this paragraph; or</w:t>
      </w:r>
    </w:p>
    <w:p w14:paraId="3D592403" w14:textId="77777777" w:rsidR="00F52765" w:rsidRPr="00AD3AFA" w:rsidRDefault="00F52765" w:rsidP="00F52765">
      <w:pPr>
        <w:pStyle w:val="MIRSubpara"/>
        <w:numPr>
          <w:ilvl w:val="1"/>
          <w:numId w:val="47"/>
        </w:numPr>
      </w:pPr>
      <w:r w:rsidRPr="00AD3AFA">
        <w:t>the Derivative is able to be traded (within the meaning of section 9 of the Act) on an authorised financial market and the entry into of the arrangement that is the Derivative:</w:t>
      </w:r>
    </w:p>
    <w:p w14:paraId="1FC758C4" w14:textId="77777777" w:rsidR="00F52765" w:rsidRDefault="00F52765" w:rsidP="00F52765">
      <w:pPr>
        <w:pStyle w:val="MIRSubpara"/>
        <w:numPr>
          <w:ilvl w:val="2"/>
          <w:numId w:val="47"/>
        </w:numPr>
      </w:pPr>
      <w:r w:rsidRPr="00AD3AFA">
        <w:t>takes place on an authorised financial market, or is reported to the operator of an authorised financial market in its capacity as operator of the authorised financial market, in accordance with the Operating Rules of the authorised financial market;</w:t>
      </w:r>
      <w:r>
        <w:t xml:space="preserve"> and</w:t>
      </w:r>
    </w:p>
    <w:p w14:paraId="3DA50A3B" w14:textId="4B437FC9" w:rsidR="00F52765" w:rsidRDefault="00F52765" w:rsidP="00F52765">
      <w:pPr>
        <w:pStyle w:val="MIRSubpara"/>
        <w:numPr>
          <w:ilvl w:val="2"/>
          <w:numId w:val="47"/>
        </w:numPr>
      </w:pPr>
      <w:r>
        <w:t xml:space="preserve">is </w:t>
      </w:r>
      <w:r w:rsidRPr="00ED73A9">
        <w:t xml:space="preserve">in accordance with the </w:t>
      </w:r>
      <w:r w:rsidR="005321E5">
        <w:t>O</w:t>
      </w:r>
      <w:r w:rsidRPr="00F76596">
        <w:t xml:space="preserve">perating </w:t>
      </w:r>
      <w:r w:rsidR="005321E5">
        <w:t>R</w:t>
      </w:r>
      <w:r w:rsidRPr="00F76596">
        <w:t>ules</w:t>
      </w:r>
      <w:r w:rsidRPr="00ED73A9">
        <w:t xml:space="preserve"> of the </w:t>
      </w:r>
      <w:r>
        <w:t>authorised financial m</w:t>
      </w:r>
      <w:r w:rsidRPr="00F76596">
        <w:t xml:space="preserve">arket; </w:t>
      </w:r>
      <w:r>
        <w:t>and</w:t>
      </w:r>
    </w:p>
    <w:p w14:paraId="7F8647A8" w14:textId="5CC6EB88" w:rsidR="00F52765" w:rsidRDefault="00F52765" w:rsidP="00F52765">
      <w:pPr>
        <w:pStyle w:val="MIRSubpara"/>
        <w:numPr>
          <w:ilvl w:val="2"/>
          <w:numId w:val="47"/>
        </w:numPr>
      </w:pPr>
      <w:r>
        <w:t xml:space="preserve">the terms </w:t>
      </w:r>
      <w:r w:rsidRPr="00ED73A9">
        <w:t xml:space="preserve">of the Derivative are documented under or prescribed by the </w:t>
      </w:r>
      <w:r w:rsidR="002613C1">
        <w:t>O</w:t>
      </w:r>
      <w:r w:rsidRPr="00ED73A9">
        <w:t xml:space="preserve">perating </w:t>
      </w:r>
      <w:r w:rsidR="002613C1">
        <w:t>R</w:t>
      </w:r>
      <w:r w:rsidRPr="00ED73A9">
        <w:t>ules of the authorised financial market; and</w:t>
      </w:r>
    </w:p>
    <w:p w14:paraId="5D77EA25" w14:textId="1B45F5D4" w:rsidR="00F52765" w:rsidRDefault="00F52765" w:rsidP="00F52765">
      <w:pPr>
        <w:pStyle w:val="MIRSubpara"/>
        <w:numPr>
          <w:ilvl w:val="2"/>
          <w:numId w:val="47"/>
        </w:numPr>
      </w:pPr>
      <w:r w:rsidRPr="00ED73A9">
        <w:lastRenderedPageBreak/>
        <w:t xml:space="preserve">the Derivative is made available in one or more series in accordance with the </w:t>
      </w:r>
      <w:r w:rsidR="00B67BC3">
        <w:t>O</w:t>
      </w:r>
      <w:r w:rsidRPr="00ED73A9">
        <w:t xml:space="preserve">perating </w:t>
      </w:r>
      <w:r w:rsidR="00B67BC3">
        <w:t>R</w:t>
      </w:r>
      <w:r w:rsidRPr="00ED73A9">
        <w:t>ules of the authorised financial market and the terms of the arrangement constituting the Derivative, including the amount or size of the Derivative specified by the operator of the authorised financial market, are the same as for every other Derivative in the same series, with the exception of the price</w:t>
      </w:r>
      <w:r>
        <w:t>; and</w:t>
      </w:r>
    </w:p>
    <w:p w14:paraId="5C5E7FDB" w14:textId="77777777" w:rsidR="00F52765" w:rsidRPr="00ED73A9" w:rsidRDefault="00F52765" w:rsidP="00F52765">
      <w:pPr>
        <w:pStyle w:val="MIRSubpara"/>
        <w:numPr>
          <w:ilvl w:val="2"/>
          <w:numId w:val="47"/>
        </w:numPr>
      </w:pPr>
      <w:r>
        <w:t>is not specified in a determination made by ASIC under subrule (3) for the purposes of this paragraph.</w:t>
      </w:r>
    </w:p>
    <w:p w14:paraId="2EF8244E" w14:textId="715546A0" w:rsidR="001E0BF5" w:rsidRPr="00CA3A25" w:rsidRDefault="00211716" w:rsidP="00CA3A25">
      <w:pPr>
        <w:pStyle w:val="LI-BodyTextNumbered"/>
        <w:ind w:left="567"/>
        <w:rPr>
          <w:b/>
        </w:rPr>
      </w:pPr>
      <w:r>
        <w:rPr>
          <w:b/>
        </w:rPr>
        <w:t>6</w:t>
      </w:r>
      <w:r w:rsidR="001E0BF5" w:rsidRPr="00CA3A25">
        <w:rPr>
          <w:b/>
        </w:rPr>
        <w:tab/>
      </w:r>
      <w:r w:rsidR="00776886">
        <w:rPr>
          <w:b/>
        </w:rPr>
        <w:t>Subrule 1.2.4(2A)</w:t>
      </w:r>
    </w:p>
    <w:p w14:paraId="39C35DEC" w14:textId="785F81FB" w:rsidR="002B4C94" w:rsidRDefault="00776886" w:rsidP="002B4C94">
      <w:pPr>
        <w:pStyle w:val="LI-BodyTextNumbered"/>
      </w:pPr>
      <w:r>
        <w:t xml:space="preserve">Repeal the </w:t>
      </w:r>
      <w:r w:rsidR="00B758DF">
        <w:t>s</w:t>
      </w:r>
      <w:r>
        <w:t>ubrule.</w:t>
      </w:r>
    </w:p>
    <w:p w14:paraId="443F1B51" w14:textId="5312A24D" w:rsidR="00776886" w:rsidRPr="000E0924" w:rsidRDefault="005F1015" w:rsidP="00776886">
      <w:pPr>
        <w:pStyle w:val="LI-BodyTextNumbered"/>
        <w:ind w:left="567"/>
        <w:rPr>
          <w:b/>
          <w:i/>
          <w:iCs/>
        </w:rPr>
      </w:pPr>
      <w:r>
        <w:rPr>
          <w:b/>
        </w:rPr>
        <w:t>7</w:t>
      </w:r>
      <w:r w:rsidR="00776886" w:rsidRPr="00CA3A25">
        <w:rPr>
          <w:b/>
        </w:rPr>
        <w:tab/>
      </w:r>
      <w:r w:rsidR="00776886">
        <w:rPr>
          <w:b/>
        </w:rPr>
        <w:t>Subrule 1.2.4(3)</w:t>
      </w:r>
    </w:p>
    <w:p w14:paraId="4407C453" w14:textId="1B380226" w:rsidR="00776886" w:rsidRDefault="00776886" w:rsidP="00776886">
      <w:pPr>
        <w:pStyle w:val="LI-BodyTextNumbered"/>
      </w:pPr>
      <w:r>
        <w:t xml:space="preserve">Repeal the </w:t>
      </w:r>
      <w:r w:rsidR="00B758DF">
        <w:t>s</w:t>
      </w:r>
      <w:r>
        <w:t>ubrule, substitute:</w:t>
      </w:r>
    </w:p>
    <w:p w14:paraId="1DAD2DC7" w14:textId="77777777" w:rsidR="008D0F3F" w:rsidRPr="00D104FD" w:rsidRDefault="00776886" w:rsidP="008D0F3F">
      <w:pPr>
        <w:pStyle w:val="MIRSubpara"/>
        <w:numPr>
          <w:ilvl w:val="0"/>
          <w:numId w:val="0"/>
        </w:numPr>
        <w:ind w:left="851"/>
        <w:rPr>
          <w:sz w:val="18"/>
        </w:rPr>
      </w:pPr>
      <w:r>
        <w:t>(</w:t>
      </w:r>
      <w:r w:rsidR="00237AA5">
        <w:t>3</w:t>
      </w:r>
      <w:r>
        <w:t xml:space="preserve">) </w:t>
      </w:r>
      <w:r w:rsidR="00237AA5">
        <w:t xml:space="preserve">ASIC may determine </w:t>
      </w:r>
      <w:r w:rsidR="008D0F3F" w:rsidRPr="00F76596">
        <w:t>from time to time</w:t>
      </w:r>
      <w:r w:rsidR="008D0F3F">
        <w:t>, to specify,</w:t>
      </w:r>
      <w:r w:rsidR="008D0F3F" w:rsidRPr="00F76596">
        <w:t xml:space="preserve"> for the purposes of </w:t>
      </w:r>
      <w:r w:rsidR="008D0F3F">
        <w:t xml:space="preserve">paragraph </w:t>
      </w:r>
      <w:r w:rsidR="008D0F3F" w:rsidRPr="00F76596">
        <w:t>(2)</w:t>
      </w:r>
      <w:r w:rsidR="008D0F3F">
        <w:t xml:space="preserve">(a) or (b): </w:t>
      </w:r>
    </w:p>
    <w:p w14:paraId="17C1F9F9" w14:textId="77777777" w:rsidR="008D0F3F" w:rsidRDefault="008D0F3F" w:rsidP="008D0F3F">
      <w:pPr>
        <w:pStyle w:val="MIRSubpara"/>
        <w:numPr>
          <w:ilvl w:val="1"/>
          <w:numId w:val="48"/>
        </w:numPr>
      </w:pPr>
      <w:r>
        <w:t>a Derivative or a class of Derivatives able to be traded on any authorised financial market; or</w:t>
      </w:r>
    </w:p>
    <w:p w14:paraId="079F854D" w14:textId="77777777" w:rsidR="008D0F3F" w:rsidRDefault="008D0F3F" w:rsidP="008D0F3F">
      <w:pPr>
        <w:pStyle w:val="MIRSubpara"/>
        <w:numPr>
          <w:ilvl w:val="1"/>
          <w:numId w:val="48"/>
        </w:numPr>
      </w:pPr>
      <w:r>
        <w:t>a Derivative or a class of Derivatives able to be traded on a particular authorised financial market or an authorised financial market in a class of authorised financial market.</w:t>
      </w:r>
    </w:p>
    <w:p w14:paraId="0DC98529" w14:textId="6E90DED5" w:rsidR="008D0F3F" w:rsidRPr="00F22FB5" w:rsidRDefault="008D0F3F" w:rsidP="008D0F3F">
      <w:pPr>
        <w:pStyle w:val="MIRNote"/>
      </w:pPr>
      <w:r w:rsidRPr="00BB7033">
        <w:t xml:space="preserve">Note: A determination </w:t>
      </w:r>
      <w:r>
        <w:t xml:space="preserve">specifying a </w:t>
      </w:r>
      <w:r w:rsidRPr="00BB7033">
        <w:t>Derivative or class of Der</w:t>
      </w:r>
      <w:r w:rsidR="00FB2D6F">
        <w:t>i</w:t>
      </w:r>
      <w:r w:rsidRPr="00BB7033">
        <w:t>vative</w:t>
      </w:r>
      <w:r>
        <w:t>s</w:t>
      </w:r>
      <w:r w:rsidRPr="00BB7033">
        <w:t xml:space="preserve"> </w:t>
      </w:r>
      <w:r>
        <w:t>for the purposes of paragraph</w:t>
      </w:r>
      <w:r w:rsidRPr="00BB7033">
        <w:t xml:space="preserve"> (2)(a) means the </w:t>
      </w:r>
      <w:r>
        <w:t>Derivative</w:t>
      </w:r>
      <w:r w:rsidRPr="00BB7033">
        <w:t xml:space="preserve"> </w:t>
      </w:r>
      <w:r>
        <w:t xml:space="preserve">or class </w:t>
      </w:r>
      <w:r w:rsidR="00CB143B">
        <w:t xml:space="preserve">of </w:t>
      </w:r>
      <w:r>
        <w:t>Derivative</w:t>
      </w:r>
      <w:r w:rsidR="00CB143B">
        <w:t>s</w:t>
      </w:r>
      <w:r>
        <w:t xml:space="preserve"> (as applicable) </w:t>
      </w:r>
      <w:r w:rsidRPr="00BB7033">
        <w:t xml:space="preserve">is not an OTC Derivative if </w:t>
      </w:r>
      <w:r>
        <w:t xml:space="preserve">it is </w:t>
      </w:r>
      <w:r w:rsidRPr="00BB7033">
        <w:t xml:space="preserve">traded on an authorised financial market. A determination specifying a Derivative or class of </w:t>
      </w:r>
      <w:r>
        <w:t>D</w:t>
      </w:r>
      <w:r w:rsidRPr="00BB7033">
        <w:t>erivatives for the p</w:t>
      </w:r>
      <w:r>
        <w:t>ur</w:t>
      </w:r>
      <w:r w:rsidRPr="00BB7033">
        <w:t>pose</w:t>
      </w:r>
      <w:r w:rsidR="00CB143B">
        <w:t>s</w:t>
      </w:r>
      <w:r w:rsidRPr="00BB7033">
        <w:t xml:space="preserve"> of </w:t>
      </w:r>
      <w:r>
        <w:t>paragraph</w:t>
      </w:r>
      <w:r w:rsidRPr="00BB7033">
        <w:t xml:space="preserve"> (2)(b) means </w:t>
      </w:r>
      <w:r>
        <w:t>that despite meeting the requirements of subparagraphs (2)(b)(i) – (iv), the specified Derivative or class of Derivatives is an OTC Derivative.</w:t>
      </w:r>
    </w:p>
    <w:p w14:paraId="2C62FD68" w14:textId="14666E77" w:rsidR="00DD4C87" w:rsidRPr="00A57911" w:rsidRDefault="00F8358D" w:rsidP="00DD4C87">
      <w:pPr>
        <w:pStyle w:val="LI-BodyTextNumbered"/>
        <w:ind w:left="567"/>
        <w:rPr>
          <w:b/>
        </w:rPr>
      </w:pPr>
      <w:r>
        <w:rPr>
          <w:b/>
        </w:rPr>
        <w:t>8</w:t>
      </w:r>
      <w:r w:rsidR="00DD4C87" w:rsidRPr="00CA3A25">
        <w:rPr>
          <w:b/>
        </w:rPr>
        <w:tab/>
      </w:r>
      <w:r w:rsidR="00DD4C87">
        <w:rPr>
          <w:b/>
        </w:rPr>
        <w:t>Paragraph 1.2.4(5)(b)</w:t>
      </w:r>
      <w:r w:rsidR="00A57911">
        <w:rPr>
          <w:b/>
        </w:rPr>
        <w:t xml:space="preserve"> </w:t>
      </w:r>
      <w:r w:rsidR="00A57911" w:rsidRPr="00314900">
        <w:rPr>
          <w:b/>
        </w:rPr>
        <w:t>(Note 2)</w:t>
      </w:r>
    </w:p>
    <w:p w14:paraId="41891A75" w14:textId="77777777" w:rsidR="00C965C4" w:rsidRDefault="00DD4C87" w:rsidP="00DA7A6E">
      <w:pPr>
        <w:pStyle w:val="LI-BodyTextNumbered"/>
        <w:ind w:left="567" w:firstLine="0"/>
      </w:pPr>
      <w:r>
        <w:t xml:space="preserve">Omit </w:t>
      </w:r>
      <w:r w:rsidR="003318F1">
        <w:t>Note 2, substitute:</w:t>
      </w:r>
    </w:p>
    <w:p w14:paraId="5C1FBD84" w14:textId="77777777" w:rsidR="004E39C8" w:rsidRPr="00F76596" w:rsidRDefault="004E39C8" w:rsidP="004E39C8">
      <w:pPr>
        <w:pStyle w:val="MIRNote"/>
      </w:pPr>
      <w:r w:rsidRPr="008E6BC8">
        <w:t xml:space="preserve">Note 2: </w:t>
      </w:r>
      <w:r>
        <w:t>Legislative instruments made under this rule are available on the Federal Register of Legislation. The register may be accessed at www.legislation.gov.au.</w:t>
      </w:r>
    </w:p>
    <w:p w14:paraId="056966F7" w14:textId="265D9643" w:rsidR="001E0BF5" w:rsidRPr="00CA3A25" w:rsidRDefault="00BE035E" w:rsidP="00CA3A25">
      <w:pPr>
        <w:pStyle w:val="LI-BodyTextNumbered"/>
        <w:ind w:left="567"/>
        <w:rPr>
          <w:b/>
        </w:rPr>
      </w:pPr>
      <w:r>
        <w:rPr>
          <w:b/>
        </w:rPr>
        <w:t>9</w:t>
      </w:r>
      <w:r w:rsidR="001E0BF5" w:rsidRPr="00CA3A25">
        <w:rPr>
          <w:b/>
        </w:rPr>
        <w:tab/>
      </w:r>
      <w:r w:rsidR="005A545C">
        <w:rPr>
          <w:b/>
        </w:rPr>
        <w:t>Paragraph 1.2.4(6)(</w:t>
      </w:r>
      <w:r w:rsidR="002767DC">
        <w:rPr>
          <w:b/>
        </w:rPr>
        <w:t>a)</w:t>
      </w:r>
    </w:p>
    <w:p w14:paraId="379FC788" w14:textId="0AA666A5" w:rsidR="001E0BF5" w:rsidRDefault="006224CC" w:rsidP="00B15E2F">
      <w:pPr>
        <w:pStyle w:val="LI-BodyTextNumbered"/>
        <w:ind w:left="567" w:firstLine="0"/>
      </w:pPr>
      <w:r>
        <w:t xml:space="preserve">After </w:t>
      </w:r>
      <w:r w:rsidR="001E0BF5">
        <w:t>“</w:t>
      </w:r>
      <w:r>
        <w:t>contract between counterparties</w:t>
      </w:r>
      <w:r w:rsidR="001E0BF5">
        <w:t xml:space="preserve">”, </w:t>
      </w:r>
      <w:r>
        <w:t xml:space="preserve">insert </w:t>
      </w:r>
      <w:r w:rsidR="001E0BF5">
        <w:t>“</w:t>
      </w:r>
      <w:r w:rsidR="00B15E2F" w:rsidRPr="002C3196">
        <w:t>that the Reporting Entity reasonably believes is</w:t>
      </w:r>
      <w:r w:rsidR="00B15E2F">
        <w:t>”</w:t>
      </w:r>
      <w:r w:rsidR="001E0BF5">
        <w:t>.</w:t>
      </w:r>
    </w:p>
    <w:p w14:paraId="4EE8F24A" w14:textId="2C478A61" w:rsidR="000D3398" w:rsidRPr="0087465E" w:rsidRDefault="0087465E" w:rsidP="000D3398">
      <w:pPr>
        <w:pStyle w:val="LI-BodyTextNumbered"/>
        <w:ind w:left="567"/>
        <w:rPr>
          <w:b/>
        </w:rPr>
      </w:pPr>
      <w:r>
        <w:rPr>
          <w:b/>
        </w:rPr>
        <w:t>10</w:t>
      </w:r>
      <w:r w:rsidR="000D3398" w:rsidRPr="0087465E">
        <w:rPr>
          <w:b/>
        </w:rPr>
        <w:tab/>
        <w:t>Paragraph 1.2.</w:t>
      </w:r>
      <w:r w:rsidR="00ED2EBD" w:rsidRPr="0087465E">
        <w:rPr>
          <w:b/>
        </w:rPr>
        <w:t>5</w:t>
      </w:r>
      <w:r w:rsidR="000D3398" w:rsidRPr="0087465E">
        <w:rPr>
          <w:b/>
        </w:rPr>
        <w:t>(</w:t>
      </w:r>
      <w:r w:rsidR="00ED2EBD" w:rsidRPr="0087465E">
        <w:rPr>
          <w:b/>
        </w:rPr>
        <w:t>4</w:t>
      </w:r>
      <w:r w:rsidR="000D3398" w:rsidRPr="0087465E">
        <w:rPr>
          <w:b/>
        </w:rPr>
        <w:t>)(</w:t>
      </w:r>
      <w:r w:rsidR="00ED2EBD" w:rsidRPr="0087465E">
        <w:rPr>
          <w:b/>
        </w:rPr>
        <w:t>b</w:t>
      </w:r>
      <w:r w:rsidR="000D3398" w:rsidRPr="0087465E">
        <w:rPr>
          <w:b/>
        </w:rPr>
        <w:t>)</w:t>
      </w:r>
    </w:p>
    <w:p w14:paraId="415EE535" w14:textId="49A72E72" w:rsidR="00D757AD" w:rsidRDefault="00D757AD" w:rsidP="00D757AD">
      <w:pPr>
        <w:pStyle w:val="LI-BodyTextNumbered"/>
        <w:ind w:left="567" w:firstLine="0"/>
      </w:pPr>
      <w:r w:rsidRPr="0087465E">
        <w:t>Omit “operating rules</w:t>
      </w:r>
      <w:r w:rsidR="00065721">
        <w:t>”</w:t>
      </w:r>
      <w:r w:rsidRPr="0087465E">
        <w:t>, substitute “Operating Rules”.</w:t>
      </w:r>
    </w:p>
    <w:p w14:paraId="204EB124" w14:textId="35522C53" w:rsidR="006D4C28" w:rsidRPr="006D4C28" w:rsidRDefault="006D4C28" w:rsidP="00674B91">
      <w:pPr>
        <w:pStyle w:val="LI-BodyTextNumbered"/>
        <w:ind w:left="567"/>
      </w:pPr>
    </w:p>
    <w:p w14:paraId="4F79FA16" w14:textId="5F3584E0" w:rsidR="0079216A" w:rsidRPr="00CA3A25" w:rsidRDefault="009D3B83" w:rsidP="0079216A">
      <w:pPr>
        <w:pStyle w:val="LI-BodyTextNumbered"/>
        <w:ind w:left="567"/>
        <w:rPr>
          <w:b/>
        </w:rPr>
      </w:pPr>
      <w:r>
        <w:rPr>
          <w:b/>
        </w:rPr>
        <w:lastRenderedPageBreak/>
        <w:t>11</w:t>
      </w:r>
      <w:r w:rsidR="0079216A" w:rsidRPr="00CA3A25">
        <w:rPr>
          <w:b/>
        </w:rPr>
        <w:tab/>
      </w:r>
      <w:r w:rsidR="0079216A">
        <w:rPr>
          <w:b/>
        </w:rPr>
        <w:t>Rule S1.3.1 (Table S1.1(</w:t>
      </w:r>
      <w:r w:rsidR="00C6186A">
        <w:rPr>
          <w:b/>
        </w:rPr>
        <w:t>1</w:t>
      </w:r>
      <w:r w:rsidR="0079216A">
        <w:rPr>
          <w:b/>
        </w:rPr>
        <w:t xml:space="preserve">): </w:t>
      </w:r>
      <w:r w:rsidR="00C6186A">
        <w:rPr>
          <w:b/>
        </w:rPr>
        <w:t>Transaction</w:t>
      </w:r>
      <w:r w:rsidR="0079216A">
        <w:rPr>
          <w:b/>
        </w:rPr>
        <w:t xml:space="preserve"> information, cell at item </w:t>
      </w:r>
      <w:r w:rsidR="00C6186A">
        <w:rPr>
          <w:b/>
        </w:rPr>
        <w:t>19</w:t>
      </w:r>
      <w:r w:rsidR="0079216A">
        <w:rPr>
          <w:b/>
        </w:rPr>
        <w:t>,</w:t>
      </w:r>
      <w:r w:rsidR="0079216A" w:rsidRPr="0084109D">
        <w:rPr>
          <w:b/>
        </w:rPr>
        <w:t xml:space="preserve"> </w:t>
      </w:r>
      <w:r w:rsidR="0079216A">
        <w:rPr>
          <w:b/>
        </w:rPr>
        <w:t xml:space="preserve">column headed “3. Derivative Transaction Information”) </w:t>
      </w:r>
    </w:p>
    <w:p w14:paraId="157C0ED6" w14:textId="25384CB9" w:rsidR="0079216A" w:rsidRDefault="0079216A" w:rsidP="0079216A">
      <w:pPr>
        <w:pStyle w:val="LI-BodyTextNumbered"/>
        <w:ind w:left="567" w:firstLine="0"/>
      </w:pPr>
      <w:r>
        <w:t xml:space="preserve">Omit the paragraph beginning “This data element </w:t>
      </w:r>
      <w:r w:rsidR="00C21EEC">
        <w:t>remains</w:t>
      </w:r>
      <w:r>
        <w:t>”, substitute:</w:t>
      </w:r>
    </w:p>
    <w:p w14:paraId="097E608D" w14:textId="4E199113" w:rsidR="0079216A" w:rsidRPr="001A6AAB" w:rsidRDefault="005E3D84" w:rsidP="0079216A">
      <w:pPr>
        <w:pStyle w:val="LI-BodyTextNumbered"/>
        <w:ind w:right="2665" w:firstLine="0"/>
        <w:rPr>
          <w:rFonts w:ascii="Arial" w:hAnsi="Arial" w:cs="Arial"/>
          <w:sz w:val="18"/>
          <w:szCs w:val="18"/>
        </w:rPr>
      </w:pPr>
      <w:r w:rsidRPr="001A6AAB">
        <w:rPr>
          <w:rFonts w:ascii="Arial" w:hAnsi="Arial" w:cs="Arial"/>
          <w:sz w:val="18"/>
          <w:szCs w:val="18"/>
        </w:rPr>
        <w:t>This data element remains constant during the life of the OTC Derivative and must be included in reports where the Action type (item 101 below) is reported as NEWT, MODI, TERM, CORR or REVI.</w:t>
      </w:r>
    </w:p>
    <w:p w14:paraId="15CDA495" w14:textId="21BD9380" w:rsidR="00975820" w:rsidRPr="00CA3A25" w:rsidRDefault="009D3B83" w:rsidP="00975820">
      <w:pPr>
        <w:pStyle w:val="LI-BodyTextNumbered"/>
        <w:ind w:left="567"/>
        <w:rPr>
          <w:b/>
        </w:rPr>
      </w:pPr>
      <w:r>
        <w:rPr>
          <w:b/>
        </w:rPr>
        <w:t>12</w:t>
      </w:r>
      <w:r w:rsidR="00975820" w:rsidRPr="00CA3A25">
        <w:rPr>
          <w:b/>
        </w:rPr>
        <w:tab/>
      </w:r>
      <w:r w:rsidR="00975820">
        <w:rPr>
          <w:b/>
        </w:rPr>
        <w:t>Rule S1.3.1 (Table S1.1(1): Transaction information, cell at item 20,</w:t>
      </w:r>
      <w:r w:rsidR="00975820" w:rsidRPr="0084109D">
        <w:rPr>
          <w:b/>
        </w:rPr>
        <w:t xml:space="preserve"> </w:t>
      </w:r>
      <w:r w:rsidR="00975820">
        <w:rPr>
          <w:b/>
        </w:rPr>
        <w:t xml:space="preserve">column headed “3. Derivative Transaction Information”) </w:t>
      </w:r>
    </w:p>
    <w:p w14:paraId="0D2F9A2F" w14:textId="681E9701" w:rsidR="00975820" w:rsidRDefault="00975820" w:rsidP="00975820">
      <w:pPr>
        <w:pStyle w:val="LI-BodyTextNumbered"/>
        <w:ind w:left="567" w:firstLine="0"/>
      </w:pPr>
      <w:r>
        <w:t xml:space="preserve">Omit the </w:t>
      </w:r>
      <w:r w:rsidR="00C864C3">
        <w:t>cell</w:t>
      </w:r>
      <w:r>
        <w:t>, substitute:</w:t>
      </w:r>
    </w:p>
    <w:p w14:paraId="63E27899" w14:textId="6A2F4380" w:rsidR="002D1959" w:rsidRDefault="002D1959" w:rsidP="002D1959">
      <w:pPr>
        <w:pStyle w:val="LI-BodyTextNumbered"/>
        <w:ind w:right="2665" w:firstLine="0"/>
        <w:rPr>
          <w:rFonts w:ascii="Arial" w:hAnsi="Arial" w:cs="Arial"/>
          <w:sz w:val="18"/>
          <w:szCs w:val="18"/>
        </w:rPr>
      </w:pPr>
      <w:r w:rsidRPr="002D1959">
        <w:rPr>
          <w:rFonts w:ascii="Arial" w:hAnsi="Arial" w:cs="Arial"/>
          <w:sz w:val="18"/>
          <w:szCs w:val="18"/>
        </w:rPr>
        <w:t>The date, or date and time, of the occurrence of the event of the Action type (item 101 below)</w:t>
      </w:r>
      <w:r w:rsidR="00D34755">
        <w:rPr>
          <w:rFonts w:ascii="Arial" w:hAnsi="Arial" w:cs="Arial"/>
          <w:sz w:val="18"/>
          <w:szCs w:val="18"/>
        </w:rPr>
        <w:t>.</w:t>
      </w:r>
      <w:r w:rsidR="00D34755" w:rsidRPr="002D1959" w:rsidDel="00D34755">
        <w:rPr>
          <w:rFonts w:ascii="Arial" w:hAnsi="Arial" w:cs="Arial"/>
          <w:sz w:val="18"/>
          <w:szCs w:val="18"/>
        </w:rPr>
        <w:t xml:space="preserve"> </w:t>
      </w:r>
    </w:p>
    <w:p w14:paraId="074CD704" w14:textId="2FAE7532" w:rsidR="005E5775" w:rsidRPr="00CA3A25" w:rsidRDefault="00D34755" w:rsidP="005E5775">
      <w:pPr>
        <w:pStyle w:val="LI-BodyTextNumbered"/>
        <w:ind w:left="567"/>
        <w:rPr>
          <w:b/>
        </w:rPr>
      </w:pPr>
      <w:r>
        <w:rPr>
          <w:b/>
        </w:rPr>
        <w:t>13</w:t>
      </w:r>
      <w:r w:rsidR="005E5775" w:rsidRPr="00CA3A25">
        <w:rPr>
          <w:b/>
        </w:rPr>
        <w:tab/>
      </w:r>
      <w:r w:rsidR="005E5775">
        <w:rPr>
          <w:b/>
        </w:rPr>
        <w:t>Rule S1.3.1 (Table S1.1(1): Transaction information, cell at item 74,</w:t>
      </w:r>
      <w:r w:rsidR="005E5775" w:rsidRPr="0084109D">
        <w:rPr>
          <w:b/>
        </w:rPr>
        <w:t xml:space="preserve"> </w:t>
      </w:r>
      <w:r w:rsidR="005E5775">
        <w:rPr>
          <w:b/>
        </w:rPr>
        <w:t>column headed “5. Allowab</w:t>
      </w:r>
      <w:r w:rsidR="00C626BB">
        <w:rPr>
          <w:b/>
        </w:rPr>
        <w:t xml:space="preserve">le </w:t>
      </w:r>
      <w:r w:rsidR="00C626BB" w:rsidRPr="006635D0">
        <w:rPr>
          <w:b/>
        </w:rPr>
        <w:t>Values</w:t>
      </w:r>
      <w:r w:rsidR="006635D0" w:rsidRPr="001E362B">
        <w:rPr>
          <w:b/>
        </w:rPr>
        <w:t>”</w:t>
      </w:r>
      <w:r w:rsidR="00866643" w:rsidRPr="006635D0">
        <w:rPr>
          <w:b/>
        </w:rPr>
        <w:t>)</w:t>
      </w:r>
    </w:p>
    <w:p w14:paraId="29E16648" w14:textId="77777777" w:rsidR="005E5775" w:rsidRDefault="005E5775" w:rsidP="005E5775">
      <w:pPr>
        <w:pStyle w:val="LI-BodyTextNumbered"/>
        <w:ind w:left="567" w:firstLine="0"/>
      </w:pPr>
      <w:r>
        <w:t>Omit the cell, substitute:</w:t>
      </w:r>
    </w:p>
    <w:p w14:paraId="051E0BFF" w14:textId="28E96F7F" w:rsidR="00C626BB" w:rsidRDefault="001C5161" w:rsidP="002A2575">
      <w:pPr>
        <w:pStyle w:val="LI-BodyTextNumbered"/>
        <w:ind w:right="4060" w:firstLine="0"/>
        <w:rPr>
          <w:rFonts w:ascii="Arial" w:hAnsi="Arial" w:cs="Arial"/>
          <w:sz w:val="18"/>
          <w:szCs w:val="18"/>
        </w:rPr>
      </w:pPr>
      <w:r w:rsidRPr="001C5161">
        <w:rPr>
          <w:rFonts w:ascii="Arial" w:hAnsi="Arial" w:cs="Arial"/>
          <w:sz w:val="18"/>
          <w:szCs w:val="18"/>
        </w:rPr>
        <w:t>Any numeric values greater than or equal to zero.</w:t>
      </w:r>
    </w:p>
    <w:p w14:paraId="08DBF573" w14:textId="34592BBE" w:rsidR="00846D76" w:rsidRPr="00CA3A25" w:rsidRDefault="00D34755" w:rsidP="00846D76">
      <w:pPr>
        <w:pStyle w:val="LI-BodyTextNumbered"/>
        <w:ind w:left="567"/>
        <w:rPr>
          <w:b/>
        </w:rPr>
      </w:pPr>
      <w:r>
        <w:rPr>
          <w:b/>
        </w:rPr>
        <w:t>14</w:t>
      </w:r>
      <w:r w:rsidR="00846D76" w:rsidRPr="00CA3A25">
        <w:rPr>
          <w:b/>
        </w:rPr>
        <w:tab/>
      </w:r>
      <w:r w:rsidR="00846D76">
        <w:rPr>
          <w:b/>
        </w:rPr>
        <w:t>Rule S1.3.1 (Table S1.1(2): Valuation information, cell at item 9,</w:t>
      </w:r>
      <w:r w:rsidR="00846D76" w:rsidRPr="0084109D">
        <w:rPr>
          <w:b/>
        </w:rPr>
        <w:t xml:space="preserve"> </w:t>
      </w:r>
      <w:r w:rsidR="00846D76">
        <w:rPr>
          <w:b/>
        </w:rPr>
        <w:t>column headed “5. Allowable Values</w:t>
      </w:r>
      <w:r w:rsidR="006635D0" w:rsidRPr="001E362B">
        <w:rPr>
          <w:b/>
        </w:rPr>
        <w:t>”</w:t>
      </w:r>
      <w:r w:rsidR="00C256C5">
        <w:rPr>
          <w:b/>
        </w:rPr>
        <w:t>)</w:t>
      </w:r>
    </w:p>
    <w:p w14:paraId="7963FA4A" w14:textId="77777777" w:rsidR="00846D76" w:rsidRDefault="00846D76" w:rsidP="00846D76">
      <w:pPr>
        <w:pStyle w:val="LI-BodyTextNumbered"/>
        <w:ind w:left="567" w:firstLine="0"/>
      </w:pPr>
      <w:r>
        <w:t>Omit the cell, substitute:</w:t>
      </w:r>
    </w:p>
    <w:p w14:paraId="774F6D96" w14:textId="77777777" w:rsidR="00782FC2" w:rsidRDefault="00911948" w:rsidP="00451883">
      <w:pPr>
        <w:widowControl w:val="0"/>
        <w:numPr>
          <w:ilvl w:val="1"/>
          <w:numId w:val="46"/>
        </w:numPr>
        <w:spacing w:before="120" w:line="240" w:lineRule="atLeast"/>
        <w:ind w:left="1491" w:right="3918" w:hanging="357"/>
        <w:rPr>
          <w:rFonts w:ascii="Arial" w:eastAsia="Times New Roman" w:hAnsi="Arial" w:cs="Arial"/>
          <w:color w:val="000000"/>
          <w:sz w:val="18"/>
          <w:szCs w:val="18"/>
          <w:lang w:eastAsia="en-AU"/>
        </w:rPr>
      </w:pPr>
      <w:r w:rsidRPr="00911948">
        <w:rPr>
          <w:rFonts w:ascii="Arial" w:eastAsia="Times New Roman" w:hAnsi="Arial" w:cs="Arial"/>
          <w:color w:val="000000"/>
          <w:sz w:val="18"/>
          <w:szCs w:val="18"/>
          <w:lang w:eastAsia="en-AU"/>
        </w:rPr>
        <w:t>MTMA</w:t>
      </w:r>
      <w:r w:rsidRPr="00911948">
        <w:rPr>
          <w:rFonts w:ascii="Calibri" w:eastAsia="Times New Roman" w:hAnsi="Calibri" w:cs="Arial"/>
          <w:color w:val="000000"/>
          <w:sz w:val="18"/>
          <w:szCs w:val="18"/>
          <w:lang w:eastAsia="en-AU"/>
        </w:rPr>
        <w:t>—</w:t>
      </w:r>
      <w:r w:rsidRPr="00911948">
        <w:rPr>
          <w:rFonts w:ascii="Arial" w:eastAsia="Times New Roman" w:hAnsi="Arial" w:cs="Arial"/>
          <w:color w:val="000000"/>
          <w:sz w:val="18"/>
          <w:szCs w:val="18"/>
          <w:lang w:eastAsia="en-AU"/>
        </w:rPr>
        <w:t>if the Valuation amount (item 7 above) was determined using a mark-to-market method;</w:t>
      </w:r>
    </w:p>
    <w:p w14:paraId="29B3B8DD" w14:textId="7E7C0818" w:rsidR="00911948" w:rsidRDefault="00911948" w:rsidP="00451883">
      <w:pPr>
        <w:widowControl w:val="0"/>
        <w:numPr>
          <w:ilvl w:val="1"/>
          <w:numId w:val="46"/>
        </w:numPr>
        <w:spacing w:before="120" w:line="240" w:lineRule="atLeast"/>
        <w:ind w:left="1491" w:right="3918" w:hanging="357"/>
        <w:rPr>
          <w:rFonts w:ascii="Arial" w:eastAsia="Times New Roman" w:hAnsi="Arial" w:cs="Arial"/>
          <w:color w:val="000000"/>
          <w:sz w:val="18"/>
          <w:szCs w:val="18"/>
          <w:lang w:eastAsia="en-AU"/>
        </w:rPr>
      </w:pPr>
      <w:r w:rsidRPr="00911948">
        <w:rPr>
          <w:rFonts w:ascii="Arial" w:eastAsia="Times New Roman" w:hAnsi="Arial" w:cs="Arial"/>
          <w:color w:val="000000"/>
          <w:sz w:val="18"/>
          <w:szCs w:val="18"/>
          <w:lang w:eastAsia="en-AU"/>
        </w:rPr>
        <w:t>MTMO</w:t>
      </w:r>
      <w:r w:rsidRPr="00911948">
        <w:rPr>
          <w:rFonts w:ascii="Calibri" w:eastAsia="Times New Roman" w:hAnsi="Calibri" w:cs="Arial"/>
          <w:color w:val="000000"/>
          <w:sz w:val="18"/>
          <w:szCs w:val="18"/>
          <w:lang w:eastAsia="en-AU"/>
        </w:rPr>
        <w:t>—</w:t>
      </w:r>
      <w:r w:rsidRPr="00911948">
        <w:rPr>
          <w:rFonts w:ascii="Arial" w:eastAsia="Times New Roman" w:hAnsi="Arial" w:cs="Arial"/>
          <w:color w:val="000000"/>
          <w:sz w:val="18"/>
          <w:szCs w:val="18"/>
          <w:lang w:eastAsia="en-AU"/>
        </w:rPr>
        <w:t>if the Valuation amount (item 7 above) was determined using a mark-to-model</w:t>
      </w:r>
      <w:r w:rsidRPr="00911948" w:rsidDel="0004640B">
        <w:rPr>
          <w:rFonts w:ascii="Arial" w:eastAsia="Times New Roman" w:hAnsi="Arial" w:cs="Arial"/>
          <w:color w:val="000000"/>
          <w:sz w:val="18"/>
          <w:szCs w:val="18"/>
          <w:lang w:eastAsia="en-AU"/>
        </w:rPr>
        <w:t xml:space="preserve"> </w:t>
      </w:r>
      <w:r w:rsidRPr="00911948">
        <w:rPr>
          <w:rFonts w:ascii="Arial" w:eastAsia="Times New Roman" w:hAnsi="Arial" w:cs="Arial"/>
          <w:color w:val="000000"/>
          <w:sz w:val="18"/>
          <w:szCs w:val="18"/>
          <w:lang w:eastAsia="en-AU"/>
        </w:rPr>
        <w:t>method; or</w:t>
      </w:r>
    </w:p>
    <w:p w14:paraId="0B85EDF5" w14:textId="53737AC5" w:rsidR="00846D76" w:rsidRPr="00782FC2" w:rsidRDefault="00782FC2" w:rsidP="00451883">
      <w:pPr>
        <w:widowControl w:val="0"/>
        <w:numPr>
          <w:ilvl w:val="1"/>
          <w:numId w:val="46"/>
        </w:numPr>
        <w:spacing w:before="120" w:line="240" w:lineRule="atLeast"/>
        <w:ind w:left="1491" w:right="3918" w:hanging="357"/>
        <w:rPr>
          <w:rFonts w:ascii="Arial" w:eastAsia="Times New Roman" w:hAnsi="Arial" w:cs="Arial"/>
          <w:color w:val="000000"/>
          <w:sz w:val="18"/>
          <w:szCs w:val="18"/>
          <w:lang w:eastAsia="en-AU"/>
        </w:rPr>
      </w:pPr>
      <w:r w:rsidRPr="00782FC2">
        <w:rPr>
          <w:rFonts w:ascii="Arial" w:eastAsia="Times New Roman" w:hAnsi="Arial" w:cs="Arial"/>
          <w:color w:val="000000"/>
          <w:sz w:val="18"/>
          <w:szCs w:val="18"/>
          <w:lang w:eastAsia="en-AU"/>
        </w:rPr>
        <w:t xml:space="preserve"> </w:t>
      </w:r>
      <w:r w:rsidR="00911948" w:rsidRPr="00782FC2">
        <w:rPr>
          <w:rFonts w:ascii="Arial" w:eastAsia="Times New Roman" w:hAnsi="Arial" w:cs="Arial"/>
          <w:color w:val="000000"/>
          <w:sz w:val="18"/>
          <w:szCs w:val="18"/>
          <w:lang w:eastAsia="en-AU"/>
        </w:rPr>
        <w:t>CCPV—if the Valuation amount (item 7 above) was determined by the Central counterparty reported for item 23 in Table S1.1(1) above</w:t>
      </w:r>
      <w:r w:rsidR="0005747B">
        <w:rPr>
          <w:rFonts w:ascii="Arial" w:eastAsia="Times New Roman" w:hAnsi="Arial" w:cs="Arial"/>
          <w:color w:val="000000"/>
          <w:sz w:val="18"/>
          <w:szCs w:val="18"/>
          <w:lang w:eastAsia="en-AU"/>
        </w:rPr>
        <w:t>.</w:t>
      </w:r>
    </w:p>
    <w:p w14:paraId="08C0672F" w14:textId="3D6E0285" w:rsidR="00A66168" w:rsidRPr="00CA3A25" w:rsidRDefault="003474BD" w:rsidP="00A66168">
      <w:pPr>
        <w:pStyle w:val="LI-BodyTextNumbered"/>
        <w:ind w:left="567"/>
        <w:rPr>
          <w:b/>
        </w:rPr>
      </w:pPr>
      <w:r>
        <w:rPr>
          <w:b/>
        </w:rPr>
        <w:t>15</w:t>
      </w:r>
      <w:r w:rsidR="00A66168" w:rsidRPr="00CA3A25">
        <w:rPr>
          <w:b/>
        </w:rPr>
        <w:tab/>
      </w:r>
      <w:r w:rsidR="00A66168">
        <w:rPr>
          <w:b/>
        </w:rPr>
        <w:t>Rule S1.3.1 (Table S1.1(3): Collateral information, cell at item 12,</w:t>
      </w:r>
      <w:r w:rsidR="00A66168" w:rsidRPr="0084109D">
        <w:rPr>
          <w:b/>
        </w:rPr>
        <w:t xml:space="preserve"> </w:t>
      </w:r>
      <w:r w:rsidR="00A66168">
        <w:rPr>
          <w:b/>
        </w:rPr>
        <w:t>column headed “3. Derivative Transaction Information”</w:t>
      </w:r>
      <w:r w:rsidR="000E5CAA">
        <w:rPr>
          <w:b/>
        </w:rPr>
        <w:t>)</w:t>
      </w:r>
    </w:p>
    <w:p w14:paraId="584320DB" w14:textId="7BB5FAF4" w:rsidR="00A66168" w:rsidRDefault="00101A41" w:rsidP="00A66168">
      <w:pPr>
        <w:pStyle w:val="LI-BodyTextNumbered"/>
        <w:ind w:left="567" w:firstLine="0"/>
      </w:pPr>
      <w:r w:rsidRPr="00052886">
        <w:t>Omit</w:t>
      </w:r>
      <w:r>
        <w:t xml:space="preserve"> the paragraph beginning “Where a single amount of margin</w:t>
      </w:r>
      <w:r w:rsidR="00F75CC9">
        <w:t>”.</w:t>
      </w:r>
    </w:p>
    <w:p w14:paraId="36F20E49" w14:textId="79644821" w:rsidR="00F75CC9" w:rsidRPr="00CA3A25" w:rsidRDefault="003474BD" w:rsidP="00F75CC9">
      <w:pPr>
        <w:pStyle w:val="LI-BodyTextNumbered"/>
        <w:ind w:left="567"/>
        <w:rPr>
          <w:b/>
        </w:rPr>
      </w:pPr>
      <w:r>
        <w:rPr>
          <w:b/>
        </w:rPr>
        <w:t>16</w:t>
      </w:r>
      <w:r w:rsidR="00F75CC9" w:rsidRPr="00CA3A25">
        <w:rPr>
          <w:b/>
        </w:rPr>
        <w:tab/>
      </w:r>
      <w:r w:rsidR="00F75CC9">
        <w:rPr>
          <w:b/>
        </w:rPr>
        <w:t>Rule S1.3.1 (Table S1.1(3): Collateral information, cell at item 15,</w:t>
      </w:r>
      <w:r w:rsidR="00F75CC9" w:rsidRPr="0084109D">
        <w:rPr>
          <w:b/>
        </w:rPr>
        <w:t xml:space="preserve"> </w:t>
      </w:r>
      <w:r w:rsidR="00F75CC9">
        <w:rPr>
          <w:b/>
        </w:rPr>
        <w:t>column headed “3. Derivative Transaction Information”</w:t>
      </w:r>
      <w:r w:rsidR="00223B29">
        <w:rPr>
          <w:b/>
        </w:rPr>
        <w:t>)</w:t>
      </w:r>
    </w:p>
    <w:p w14:paraId="7F1AE201" w14:textId="77777777" w:rsidR="00F75CC9" w:rsidRDefault="00F75CC9" w:rsidP="00F75CC9">
      <w:pPr>
        <w:pStyle w:val="LI-BodyTextNumbered"/>
        <w:ind w:left="567" w:firstLine="0"/>
      </w:pPr>
      <w:r w:rsidRPr="00052886">
        <w:t>Omit</w:t>
      </w:r>
      <w:r>
        <w:t xml:space="preserve"> the paragraph beginning “Where a single amount of margin”.</w:t>
      </w:r>
    </w:p>
    <w:p w14:paraId="46E82270" w14:textId="77777777" w:rsidR="00435801" w:rsidRDefault="00435801" w:rsidP="00F75CC9">
      <w:pPr>
        <w:pStyle w:val="LI-BodyTextNumbered"/>
        <w:ind w:left="567" w:firstLine="0"/>
      </w:pPr>
    </w:p>
    <w:p w14:paraId="47988519" w14:textId="5DDD11F1" w:rsidR="008115A6" w:rsidRPr="00CA3A25" w:rsidRDefault="003474BD" w:rsidP="008115A6">
      <w:pPr>
        <w:pStyle w:val="LI-BodyTextNumbered"/>
        <w:ind w:left="567"/>
        <w:rPr>
          <w:b/>
        </w:rPr>
      </w:pPr>
      <w:r>
        <w:rPr>
          <w:b/>
        </w:rPr>
        <w:lastRenderedPageBreak/>
        <w:t>17</w:t>
      </w:r>
      <w:r w:rsidR="008115A6" w:rsidRPr="00CA3A25">
        <w:rPr>
          <w:b/>
        </w:rPr>
        <w:tab/>
      </w:r>
      <w:r w:rsidR="008115A6">
        <w:rPr>
          <w:b/>
        </w:rPr>
        <w:t>Rule S1.3.1 (Table S1.1(3): Collateral information, cell at item 18,</w:t>
      </w:r>
      <w:r w:rsidR="008115A6" w:rsidRPr="0084109D">
        <w:rPr>
          <w:b/>
        </w:rPr>
        <w:t xml:space="preserve"> </w:t>
      </w:r>
      <w:r w:rsidR="008115A6">
        <w:rPr>
          <w:b/>
        </w:rPr>
        <w:t>column headed “3. Derivative Transaction Information”</w:t>
      </w:r>
      <w:r w:rsidR="002273B0">
        <w:rPr>
          <w:b/>
        </w:rPr>
        <w:t>)</w:t>
      </w:r>
    </w:p>
    <w:p w14:paraId="4136FB14" w14:textId="53827600" w:rsidR="008115A6" w:rsidRDefault="00782961" w:rsidP="008115A6">
      <w:pPr>
        <w:pStyle w:val="LI-BodyTextNumbered"/>
        <w:ind w:left="567" w:firstLine="0"/>
      </w:pPr>
      <w:r>
        <w:t xml:space="preserve">After the </w:t>
      </w:r>
      <w:r w:rsidR="008115A6">
        <w:t xml:space="preserve">paragraph </w:t>
      </w:r>
      <w:r>
        <w:t xml:space="preserve">ending “its daily change.”, </w:t>
      </w:r>
      <w:r w:rsidR="00BC2DE4">
        <w:t xml:space="preserve">insert </w:t>
      </w:r>
      <w:r w:rsidR="00152109">
        <w:t>the para</w:t>
      </w:r>
      <w:r w:rsidR="00D047C3">
        <w:t>graph “</w:t>
      </w:r>
      <w:r w:rsidR="008F2896" w:rsidRPr="008F2896">
        <w:t>Where a single amount of margin is posted that does not distinguish between margin that is initial margin and margin that is variation margin, the single amount of margin is reported for this data element.</w:t>
      </w:r>
      <w:r w:rsidR="008F2896">
        <w:t>”</w:t>
      </w:r>
    </w:p>
    <w:p w14:paraId="5B82440B" w14:textId="48C72B8B" w:rsidR="00877058" w:rsidRPr="00CA3A25" w:rsidRDefault="003474BD" w:rsidP="00877058">
      <w:pPr>
        <w:pStyle w:val="LI-BodyTextNumbered"/>
        <w:ind w:left="567"/>
        <w:rPr>
          <w:b/>
        </w:rPr>
      </w:pPr>
      <w:r>
        <w:rPr>
          <w:b/>
        </w:rPr>
        <w:t>18</w:t>
      </w:r>
      <w:r w:rsidR="00877058" w:rsidRPr="00CA3A25">
        <w:rPr>
          <w:b/>
        </w:rPr>
        <w:tab/>
      </w:r>
      <w:r w:rsidR="00877058">
        <w:rPr>
          <w:b/>
        </w:rPr>
        <w:t xml:space="preserve">Rule S1.3.1 (Table S1.1(3): Collateral information, cell at item </w:t>
      </w:r>
      <w:r w:rsidR="006E6E56">
        <w:rPr>
          <w:b/>
        </w:rPr>
        <w:t>20</w:t>
      </w:r>
      <w:r w:rsidR="00877058">
        <w:rPr>
          <w:b/>
        </w:rPr>
        <w:t>,</w:t>
      </w:r>
      <w:r w:rsidR="00877058" w:rsidRPr="0084109D">
        <w:rPr>
          <w:b/>
        </w:rPr>
        <w:t xml:space="preserve"> </w:t>
      </w:r>
      <w:r w:rsidR="00877058">
        <w:rPr>
          <w:b/>
        </w:rPr>
        <w:t>column headed “3. Derivative Transaction Information”</w:t>
      </w:r>
      <w:r w:rsidR="003B7333">
        <w:rPr>
          <w:b/>
        </w:rPr>
        <w:t>)</w:t>
      </w:r>
    </w:p>
    <w:p w14:paraId="4354B4DF" w14:textId="79F3637B" w:rsidR="008F2896" w:rsidRDefault="008F2896" w:rsidP="008F2896">
      <w:pPr>
        <w:pStyle w:val="LI-BodyTextNumbered"/>
        <w:ind w:left="567" w:firstLine="0"/>
      </w:pPr>
      <w:r>
        <w:t>After the paragraph ending “its daily change.”, insert the paragraph “</w:t>
      </w:r>
      <w:r w:rsidRPr="008F2896">
        <w:t xml:space="preserve">Where a single amount of margin is </w:t>
      </w:r>
      <w:r>
        <w:t>collected</w:t>
      </w:r>
      <w:r w:rsidRPr="008F2896">
        <w:t xml:space="preserve"> that does not distinguish between margin that is initial margin and margin that is variation margin, the single amount of margin is reported for this data element.</w:t>
      </w:r>
      <w:r>
        <w:t>”</w:t>
      </w:r>
    </w:p>
    <w:p w14:paraId="7F8B5237" w14:textId="77777777" w:rsidR="00B73332" w:rsidRDefault="00B73332" w:rsidP="002D1959">
      <w:pPr>
        <w:pStyle w:val="LI-BodyTextNumbered"/>
        <w:ind w:right="2665" w:firstLine="0"/>
        <w:rPr>
          <w:rFonts w:ascii="Arial" w:hAnsi="Arial" w:cs="Arial"/>
          <w:sz w:val="18"/>
          <w:szCs w:val="18"/>
        </w:rPr>
      </w:pPr>
    </w:p>
    <w:p w14:paraId="486A6AA8" w14:textId="77777777" w:rsidR="003C2E28" w:rsidRDefault="003C2E28" w:rsidP="003C2E28">
      <w:pPr>
        <w:pStyle w:val="LI-BodyTextNumbered"/>
        <w:ind w:left="567" w:firstLine="0"/>
        <w:sectPr w:rsidR="003C2E28" w:rsidSect="0040053F">
          <w:headerReference w:type="even" r:id="rId31"/>
          <w:headerReference w:type="default" r:id="rId32"/>
          <w:pgSz w:w="11907" w:h="16839" w:code="9"/>
          <w:pgMar w:top="1534" w:right="1797" w:bottom="1440" w:left="1797" w:header="720" w:footer="709" w:gutter="0"/>
          <w:cols w:space="708"/>
          <w:docGrid w:linePitch="360"/>
        </w:sectPr>
      </w:pPr>
    </w:p>
    <w:p w14:paraId="358A8B58" w14:textId="2942EB90" w:rsidR="003C2E28" w:rsidRPr="00F61B09" w:rsidRDefault="003C2E28" w:rsidP="003C2E28">
      <w:pPr>
        <w:pStyle w:val="LI-Heading1"/>
      </w:pPr>
      <w:bookmarkStart w:id="31" w:name="_Toc170218453"/>
      <w:bookmarkStart w:id="32" w:name="_Toc175132706"/>
      <w:bookmarkStart w:id="33" w:name="_Toc175135971"/>
      <w:r>
        <w:lastRenderedPageBreak/>
        <w:t xml:space="preserve">Schedule </w:t>
      </w:r>
      <w:r w:rsidR="0093150E">
        <w:t>3</w:t>
      </w:r>
      <w:r w:rsidRPr="00F61B09">
        <w:t>—</w:t>
      </w:r>
      <w:r>
        <w:t>Amendments</w:t>
      </w:r>
      <w:bookmarkEnd w:id="31"/>
      <w:bookmarkEnd w:id="32"/>
      <w:bookmarkEnd w:id="33"/>
    </w:p>
    <w:p w14:paraId="1F10806B" w14:textId="77777777" w:rsidR="003C2E28" w:rsidRPr="006A0395" w:rsidRDefault="003C2E28" w:rsidP="003C2E28">
      <w:pPr>
        <w:pStyle w:val="LI-Heading2"/>
        <w:rPr>
          <w:i/>
          <w:iCs/>
          <w:sz w:val="28"/>
          <w:szCs w:val="28"/>
        </w:rPr>
      </w:pPr>
      <w:bookmarkStart w:id="34" w:name="_Toc170218454"/>
      <w:bookmarkStart w:id="35" w:name="_Toc175132707"/>
      <w:bookmarkStart w:id="36" w:name="_Toc175135972"/>
      <w:r w:rsidRPr="5368F293">
        <w:rPr>
          <w:i/>
          <w:iCs/>
          <w:sz w:val="28"/>
          <w:szCs w:val="28"/>
        </w:rPr>
        <w:t>ASIC Derivative Transaction Rules (</w:t>
      </w:r>
      <w:r>
        <w:rPr>
          <w:i/>
          <w:iCs/>
          <w:sz w:val="28"/>
          <w:szCs w:val="28"/>
        </w:rPr>
        <w:t>Reporting</w:t>
      </w:r>
      <w:r w:rsidRPr="5368F293">
        <w:rPr>
          <w:i/>
          <w:iCs/>
          <w:sz w:val="28"/>
          <w:szCs w:val="28"/>
        </w:rPr>
        <w:t>) 20</w:t>
      </w:r>
      <w:r>
        <w:rPr>
          <w:i/>
          <w:iCs/>
          <w:sz w:val="28"/>
          <w:szCs w:val="28"/>
        </w:rPr>
        <w:t>24</w:t>
      </w:r>
      <w:bookmarkEnd w:id="34"/>
      <w:bookmarkEnd w:id="35"/>
      <w:bookmarkEnd w:id="36"/>
    </w:p>
    <w:p w14:paraId="3E1BCACA" w14:textId="3E2910F0" w:rsidR="003C2E28" w:rsidRDefault="000E1B56" w:rsidP="003C2E28">
      <w:pPr>
        <w:pStyle w:val="LI-BodyTextNumbered"/>
        <w:ind w:left="567"/>
      </w:pPr>
      <w:r>
        <w:rPr>
          <w:b/>
        </w:rPr>
        <w:t>1</w:t>
      </w:r>
      <w:r w:rsidR="003C2E28" w:rsidRPr="00CA3A25">
        <w:rPr>
          <w:b/>
        </w:rPr>
        <w:tab/>
      </w:r>
      <w:r w:rsidR="003C2E28">
        <w:rPr>
          <w:b/>
        </w:rPr>
        <w:t>Rule S1.3.1 (Table S1.1(1): Transaction information, item 4</w:t>
      </w:r>
      <w:r w:rsidR="00C317E4">
        <w:rPr>
          <w:b/>
        </w:rPr>
        <w:t>1</w:t>
      </w:r>
      <w:r w:rsidR="003C2E28">
        <w:rPr>
          <w:b/>
        </w:rPr>
        <w:t>)</w:t>
      </w:r>
    </w:p>
    <w:p w14:paraId="189DC2E5" w14:textId="24FA044E" w:rsidR="00391EDA" w:rsidRDefault="003C2E28" w:rsidP="00391EDA">
      <w:pPr>
        <w:pStyle w:val="LI-BodyTextNumbered"/>
        <w:spacing w:after="240"/>
        <w:ind w:left="567" w:firstLine="0"/>
      </w:pPr>
      <w:r>
        <w:t>Repeal the item, substitute:</w:t>
      </w:r>
    </w:p>
    <w:tbl>
      <w:tblPr>
        <w:tblW w:w="13806" w:type="dxa"/>
        <w:tblInd w:w="567" w:type="dxa"/>
        <w:tblCellMar>
          <w:bottom w:w="113" w:type="dxa"/>
        </w:tblCellMar>
        <w:tblLook w:val="0020" w:firstRow="1" w:lastRow="0" w:firstColumn="0" w:lastColumn="0" w:noHBand="0" w:noVBand="0"/>
      </w:tblPr>
      <w:tblGrid>
        <w:gridCol w:w="922"/>
        <w:gridCol w:w="2113"/>
        <w:gridCol w:w="4705"/>
        <w:gridCol w:w="2848"/>
        <w:gridCol w:w="3218"/>
      </w:tblGrid>
      <w:tr w:rsidR="00E53CE1" w:rsidRPr="008E5AF5" w14:paraId="78C87453" w14:textId="77777777" w:rsidTr="00747B58">
        <w:trPr>
          <w:cantSplit/>
        </w:trPr>
        <w:tc>
          <w:tcPr>
            <w:tcW w:w="922" w:type="dxa"/>
          </w:tcPr>
          <w:p w14:paraId="0819355A" w14:textId="77777777" w:rsidR="00E53CE1" w:rsidRPr="0037737B" w:rsidRDefault="00E53CE1">
            <w:pPr>
              <w:pStyle w:val="tbltext"/>
            </w:pPr>
            <w:r w:rsidRPr="0037737B">
              <w:t>41</w:t>
            </w:r>
          </w:p>
        </w:tc>
        <w:tc>
          <w:tcPr>
            <w:tcW w:w="2113" w:type="dxa"/>
          </w:tcPr>
          <w:p w14:paraId="4A207B10" w14:textId="77777777" w:rsidR="00E53CE1" w:rsidRPr="0037737B" w:rsidRDefault="00E53CE1">
            <w:pPr>
              <w:pStyle w:val="tbltext"/>
            </w:pPr>
            <w:r w:rsidRPr="0037737B">
              <w:t>Notional amount schedule end date—Leg 1</w:t>
            </w:r>
          </w:p>
        </w:tc>
        <w:tc>
          <w:tcPr>
            <w:tcW w:w="4705" w:type="dxa"/>
          </w:tcPr>
          <w:p w14:paraId="5B1DE595" w14:textId="77777777" w:rsidR="00E53CE1" w:rsidRPr="008E5AF5" w:rsidRDefault="00E53CE1">
            <w:pPr>
              <w:pStyle w:val="tbltext"/>
            </w:pPr>
            <w:r w:rsidRPr="008E5AF5">
              <w:t>If applicable, each unadjusted end date on which the associated Notional amount schedule amount—Leg 1 ceases to be effective.</w:t>
            </w:r>
          </w:p>
        </w:tc>
        <w:tc>
          <w:tcPr>
            <w:tcW w:w="2848" w:type="dxa"/>
          </w:tcPr>
          <w:p w14:paraId="24FD7DFD" w14:textId="77777777" w:rsidR="00E53CE1" w:rsidRPr="008E5AF5" w:rsidRDefault="00E53CE1">
            <w:pPr>
              <w:pStyle w:val="tbltext"/>
            </w:pPr>
            <w:r w:rsidRPr="008E5AF5">
              <w:t>YYYY-MM-DD in accordance with ISO 8601, repeatable for each date.</w:t>
            </w:r>
          </w:p>
        </w:tc>
        <w:tc>
          <w:tcPr>
            <w:tcW w:w="3218" w:type="dxa"/>
          </w:tcPr>
          <w:p w14:paraId="2BD72C3A" w14:textId="77777777" w:rsidR="00E53CE1" w:rsidRPr="008E5AF5" w:rsidRDefault="00E53CE1">
            <w:pPr>
              <w:pStyle w:val="tbltext"/>
            </w:pPr>
            <w:r w:rsidRPr="008E5AF5">
              <w:t>Any valid date for each date.</w:t>
            </w:r>
          </w:p>
        </w:tc>
      </w:tr>
      <w:tr w:rsidR="00E53CE1" w:rsidRPr="008E5AF5" w14:paraId="30F9C652" w14:textId="77777777" w:rsidTr="00747B58">
        <w:trPr>
          <w:cantSplit/>
        </w:trPr>
        <w:tc>
          <w:tcPr>
            <w:tcW w:w="922" w:type="dxa"/>
          </w:tcPr>
          <w:p w14:paraId="3D238A64" w14:textId="77777777" w:rsidR="00E53CE1" w:rsidRPr="0037737B" w:rsidRDefault="00E53CE1">
            <w:pPr>
              <w:pStyle w:val="tbltext"/>
            </w:pPr>
          </w:p>
        </w:tc>
        <w:tc>
          <w:tcPr>
            <w:tcW w:w="2113" w:type="dxa"/>
          </w:tcPr>
          <w:p w14:paraId="1780EA15" w14:textId="77777777" w:rsidR="00E53CE1" w:rsidRPr="0037737B" w:rsidRDefault="00E53CE1">
            <w:pPr>
              <w:pStyle w:val="tbltext"/>
            </w:pPr>
          </w:p>
        </w:tc>
        <w:tc>
          <w:tcPr>
            <w:tcW w:w="10771" w:type="dxa"/>
            <w:gridSpan w:val="3"/>
          </w:tcPr>
          <w:p w14:paraId="47A0F39B" w14:textId="77777777" w:rsidR="00E53CE1" w:rsidRPr="00CB39A8" w:rsidRDefault="00E53CE1">
            <w:pPr>
              <w:pStyle w:val="tbltext"/>
            </w:pPr>
            <w:r w:rsidRPr="00CB39A8">
              <w:t>This data element is only required for OTC Derivatives where Notional amount—Leg 1 is not a constant value over the entire term of the OTC Derivative and a notional amount schedule is specified in the terms of the OTC Derivative.</w:t>
            </w:r>
          </w:p>
          <w:p w14:paraId="04AE6232" w14:textId="77777777" w:rsidR="00E53CE1" w:rsidRPr="00CB39A8" w:rsidRDefault="00E53CE1">
            <w:pPr>
              <w:pStyle w:val="tbltext"/>
            </w:pPr>
            <w:r w:rsidRPr="00CB39A8">
              <w:t>An end date is not required to be reported if it is back-to-back with the effective date of the next period of the schedule.</w:t>
            </w:r>
          </w:p>
        </w:tc>
      </w:tr>
    </w:tbl>
    <w:p w14:paraId="73CC4E28" w14:textId="67BAF491" w:rsidR="00C07E06" w:rsidRDefault="000E1B56" w:rsidP="00C07E06">
      <w:pPr>
        <w:pStyle w:val="LI-BodyTextNumbered"/>
        <w:ind w:left="567"/>
      </w:pPr>
      <w:r>
        <w:rPr>
          <w:b/>
        </w:rPr>
        <w:t>2</w:t>
      </w:r>
      <w:r w:rsidR="00C07E06" w:rsidRPr="00CA3A25">
        <w:rPr>
          <w:b/>
        </w:rPr>
        <w:tab/>
      </w:r>
      <w:r w:rsidR="00C07E06">
        <w:rPr>
          <w:b/>
        </w:rPr>
        <w:t>Rule S1.3.1 (Table S1.1(1): Transaction information, item 4</w:t>
      </w:r>
      <w:r w:rsidR="00F07B87">
        <w:rPr>
          <w:b/>
        </w:rPr>
        <w:t>4</w:t>
      </w:r>
      <w:r w:rsidR="00C07E06">
        <w:rPr>
          <w:b/>
        </w:rPr>
        <w:t>)</w:t>
      </w:r>
    </w:p>
    <w:p w14:paraId="7FDF3F60" w14:textId="77777777" w:rsidR="00C07E06" w:rsidRDefault="00C07E06" w:rsidP="00C07E06">
      <w:pPr>
        <w:pStyle w:val="LI-BodyTextNumbered"/>
        <w:spacing w:after="240"/>
        <w:ind w:left="567" w:firstLine="0"/>
      </w:pPr>
      <w:r>
        <w:t>Repeal the item, substitute:</w:t>
      </w:r>
    </w:p>
    <w:tbl>
      <w:tblPr>
        <w:tblW w:w="13806" w:type="dxa"/>
        <w:tblInd w:w="567" w:type="dxa"/>
        <w:tblCellMar>
          <w:bottom w:w="113" w:type="dxa"/>
        </w:tblCellMar>
        <w:tblLook w:val="0020" w:firstRow="1" w:lastRow="0" w:firstColumn="0" w:lastColumn="0" w:noHBand="0" w:noVBand="0"/>
      </w:tblPr>
      <w:tblGrid>
        <w:gridCol w:w="922"/>
        <w:gridCol w:w="2113"/>
        <w:gridCol w:w="4705"/>
        <w:gridCol w:w="2848"/>
        <w:gridCol w:w="3218"/>
      </w:tblGrid>
      <w:tr w:rsidR="00C07E06" w:rsidRPr="008E5AF5" w14:paraId="047A7FC5" w14:textId="77777777" w:rsidTr="00747B58">
        <w:trPr>
          <w:cantSplit/>
        </w:trPr>
        <w:tc>
          <w:tcPr>
            <w:tcW w:w="922" w:type="dxa"/>
          </w:tcPr>
          <w:p w14:paraId="328F46FA" w14:textId="334BC6E1" w:rsidR="00C07E06" w:rsidRPr="0037737B" w:rsidRDefault="00C07E06">
            <w:pPr>
              <w:pStyle w:val="tbltext"/>
            </w:pPr>
            <w:r w:rsidRPr="0037737B">
              <w:t>4</w:t>
            </w:r>
            <w:r w:rsidR="000E1B56">
              <w:t>4</w:t>
            </w:r>
          </w:p>
        </w:tc>
        <w:tc>
          <w:tcPr>
            <w:tcW w:w="2113" w:type="dxa"/>
          </w:tcPr>
          <w:p w14:paraId="3DA2BD76" w14:textId="6F161840" w:rsidR="00C07E06" w:rsidRPr="0037737B" w:rsidRDefault="00C07E06">
            <w:pPr>
              <w:pStyle w:val="tbltext"/>
            </w:pPr>
            <w:r w:rsidRPr="0037737B">
              <w:t xml:space="preserve">Notional amount schedule end date—Leg </w:t>
            </w:r>
            <w:r w:rsidR="00F07B87">
              <w:t>2</w:t>
            </w:r>
          </w:p>
        </w:tc>
        <w:tc>
          <w:tcPr>
            <w:tcW w:w="4705" w:type="dxa"/>
          </w:tcPr>
          <w:p w14:paraId="274B2D23" w14:textId="15D1F58B" w:rsidR="00C07E06" w:rsidRPr="008E5AF5" w:rsidRDefault="00C07E06">
            <w:pPr>
              <w:pStyle w:val="tbltext"/>
            </w:pPr>
            <w:r w:rsidRPr="008E5AF5">
              <w:t xml:space="preserve">If applicable, each unadjusted end date on which the associated Notional amount schedule amount—Leg </w:t>
            </w:r>
            <w:r w:rsidR="00F07B87">
              <w:t>2</w:t>
            </w:r>
            <w:r w:rsidRPr="008E5AF5">
              <w:t xml:space="preserve"> ceases to be effective.</w:t>
            </w:r>
          </w:p>
        </w:tc>
        <w:tc>
          <w:tcPr>
            <w:tcW w:w="2848" w:type="dxa"/>
          </w:tcPr>
          <w:p w14:paraId="0A0F6651" w14:textId="77777777" w:rsidR="00C07E06" w:rsidRPr="008E5AF5" w:rsidRDefault="00C07E06">
            <w:pPr>
              <w:pStyle w:val="tbltext"/>
            </w:pPr>
            <w:r w:rsidRPr="008E5AF5">
              <w:t>YYYY-MM-DD in accordance with ISO 8601, repeatable for each date.</w:t>
            </w:r>
          </w:p>
        </w:tc>
        <w:tc>
          <w:tcPr>
            <w:tcW w:w="3218" w:type="dxa"/>
          </w:tcPr>
          <w:p w14:paraId="0BD4F9A9" w14:textId="77777777" w:rsidR="00C07E06" w:rsidRPr="008E5AF5" w:rsidRDefault="00C07E06">
            <w:pPr>
              <w:pStyle w:val="tbltext"/>
            </w:pPr>
            <w:r w:rsidRPr="008E5AF5">
              <w:t>Any valid date for each date.</w:t>
            </w:r>
          </w:p>
        </w:tc>
      </w:tr>
      <w:tr w:rsidR="00C07E06" w:rsidRPr="008E5AF5" w14:paraId="7B0FFD96" w14:textId="77777777" w:rsidTr="00747B58">
        <w:trPr>
          <w:cantSplit/>
        </w:trPr>
        <w:tc>
          <w:tcPr>
            <w:tcW w:w="922" w:type="dxa"/>
          </w:tcPr>
          <w:p w14:paraId="6A8464F5" w14:textId="77777777" w:rsidR="00C07E06" w:rsidRPr="0037737B" w:rsidRDefault="00C07E06">
            <w:pPr>
              <w:pStyle w:val="tbltext"/>
            </w:pPr>
          </w:p>
        </w:tc>
        <w:tc>
          <w:tcPr>
            <w:tcW w:w="2113" w:type="dxa"/>
          </w:tcPr>
          <w:p w14:paraId="7421F446" w14:textId="77777777" w:rsidR="00C07E06" w:rsidRPr="0037737B" w:rsidRDefault="00C07E06">
            <w:pPr>
              <w:pStyle w:val="tbltext"/>
            </w:pPr>
          </w:p>
        </w:tc>
        <w:tc>
          <w:tcPr>
            <w:tcW w:w="10771" w:type="dxa"/>
            <w:gridSpan w:val="3"/>
            <w:shd w:val="clear" w:color="auto" w:fill="auto"/>
          </w:tcPr>
          <w:p w14:paraId="55A52980" w14:textId="76146151" w:rsidR="00C07E06" w:rsidRPr="000E1B56" w:rsidRDefault="00C22AAA">
            <w:pPr>
              <w:pStyle w:val="tbltext"/>
            </w:pPr>
            <w:r w:rsidRPr="000E1B56">
              <w:t>This data element is only required for OTC Derivatives where Notional amount—Leg 2 is not a constant value over the entire term of the OTC Derivative and the Notional amount schedule end date—Leg 2 dates are not the same as the equivalent Notional amount schedule end date—Leg 1 dates.</w:t>
            </w:r>
          </w:p>
          <w:p w14:paraId="3C35E7F2" w14:textId="77777777" w:rsidR="00C07E06" w:rsidRPr="000E1B56" w:rsidRDefault="00C07E06">
            <w:pPr>
              <w:pStyle w:val="tbltext"/>
            </w:pPr>
            <w:r w:rsidRPr="000E1B56">
              <w:t>An end date is not required to be reported if it is back-to-back with the effective date of the next period of the schedule.</w:t>
            </w:r>
          </w:p>
        </w:tc>
      </w:tr>
    </w:tbl>
    <w:p w14:paraId="497837D0" w14:textId="058954A3" w:rsidR="004412D3" w:rsidRDefault="00BD2B7D" w:rsidP="004412D3">
      <w:pPr>
        <w:pStyle w:val="LI-BodyTextNumbered"/>
        <w:ind w:left="567"/>
      </w:pPr>
      <w:r>
        <w:rPr>
          <w:b/>
        </w:rPr>
        <w:lastRenderedPageBreak/>
        <w:t>3</w:t>
      </w:r>
      <w:r w:rsidR="004412D3" w:rsidRPr="00CA3A25">
        <w:rPr>
          <w:b/>
        </w:rPr>
        <w:tab/>
      </w:r>
      <w:r w:rsidR="004412D3">
        <w:rPr>
          <w:b/>
        </w:rPr>
        <w:t xml:space="preserve">Rule S1.3.1 (Table S1.1(1): Transaction information, item </w:t>
      </w:r>
      <w:r w:rsidR="005F3432">
        <w:rPr>
          <w:b/>
        </w:rPr>
        <w:t>75</w:t>
      </w:r>
      <w:r w:rsidR="004412D3">
        <w:rPr>
          <w:b/>
        </w:rPr>
        <w:t>)</w:t>
      </w:r>
    </w:p>
    <w:p w14:paraId="24021409" w14:textId="77777777" w:rsidR="004412D3" w:rsidRDefault="004412D3" w:rsidP="004412D3">
      <w:pPr>
        <w:pStyle w:val="LI-BodyTextNumbered"/>
        <w:spacing w:after="240"/>
        <w:ind w:left="567" w:firstLine="0"/>
      </w:pPr>
      <w:r>
        <w:t>Repeal the item, substitute:</w:t>
      </w:r>
    </w:p>
    <w:tbl>
      <w:tblPr>
        <w:tblW w:w="13806" w:type="dxa"/>
        <w:tblInd w:w="567" w:type="dxa"/>
        <w:tblCellMar>
          <w:bottom w:w="113" w:type="dxa"/>
        </w:tblCellMar>
        <w:tblLook w:val="0020" w:firstRow="1" w:lastRow="0" w:firstColumn="0" w:lastColumn="0" w:noHBand="0" w:noVBand="0"/>
      </w:tblPr>
      <w:tblGrid>
        <w:gridCol w:w="922"/>
        <w:gridCol w:w="2113"/>
        <w:gridCol w:w="4705"/>
        <w:gridCol w:w="2848"/>
        <w:gridCol w:w="3218"/>
      </w:tblGrid>
      <w:tr w:rsidR="00AE3719" w:rsidRPr="008E5AF5" w14:paraId="1464BAFA" w14:textId="77777777" w:rsidTr="00747B58">
        <w:trPr>
          <w:cantSplit/>
        </w:trPr>
        <w:tc>
          <w:tcPr>
            <w:tcW w:w="922" w:type="dxa"/>
          </w:tcPr>
          <w:p w14:paraId="7EC75F34" w14:textId="6FD6B7CD" w:rsidR="00AE3719" w:rsidRPr="0037737B" w:rsidRDefault="00AE3719" w:rsidP="00AE3719">
            <w:pPr>
              <w:pStyle w:val="tbltext"/>
            </w:pPr>
            <w:r w:rsidRPr="008E5AF5">
              <w:t>75</w:t>
            </w:r>
          </w:p>
        </w:tc>
        <w:tc>
          <w:tcPr>
            <w:tcW w:w="2113" w:type="dxa"/>
          </w:tcPr>
          <w:p w14:paraId="419C4819" w14:textId="51858E26" w:rsidR="00AE3719" w:rsidRPr="0037737B" w:rsidRDefault="00AE3719" w:rsidP="00AE3719">
            <w:pPr>
              <w:pStyle w:val="tbltext"/>
            </w:pPr>
            <w:r w:rsidRPr="008E5AF5">
              <w:t>Other payment type</w:t>
            </w:r>
          </w:p>
        </w:tc>
        <w:tc>
          <w:tcPr>
            <w:tcW w:w="4705" w:type="dxa"/>
          </w:tcPr>
          <w:p w14:paraId="3F112A4B" w14:textId="77777777" w:rsidR="00AE3719" w:rsidRPr="008E5AF5" w:rsidRDefault="00AE3719" w:rsidP="00AE3719">
            <w:pPr>
              <w:pStyle w:val="tbltext"/>
            </w:pPr>
            <w:r w:rsidRPr="008E5AF5">
              <w:t>An indicator of whether the type of payment(s) reported as Other payment amount (item 74 above) is:</w:t>
            </w:r>
          </w:p>
          <w:p w14:paraId="109067D9" w14:textId="77777777" w:rsidR="00AE3719" w:rsidRPr="008E5AF5" w:rsidRDefault="00AE3719" w:rsidP="00AE3719">
            <w:pPr>
              <w:pStyle w:val="tbltext"/>
              <w:numPr>
                <w:ilvl w:val="0"/>
                <w:numId w:val="44"/>
              </w:numPr>
              <w:ind w:left="357" w:hanging="357"/>
            </w:pPr>
            <w:r w:rsidRPr="008E5AF5">
              <w:t>an upfront payment that is not a payment of an option premium, notional amount or standard fees, taxes or commissions;</w:t>
            </w:r>
          </w:p>
          <w:p w14:paraId="0EECB931" w14:textId="77777777" w:rsidR="00AE3719" w:rsidRDefault="00AE3719" w:rsidP="00AE3719">
            <w:pPr>
              <w:pStyle w:val="tbltext"/>
              <w:numPr>
                <w:ilvl w:val="0"/>
                <w:numId w:val="44"/>
              </w:numPr>
              <w:ind w:left="357" w:hanging="357"/>
            </w:pPr>
            <w:r w:rsidRPr="008E5AF5">
              <w:t xml:space="preserve">a payment made upon </w:t>
            </w:r>
            <w:r>
              <w:t>a</w:t>
            </w:r>
            <w:r w:rsidRPr="008E5AF5">
              <w:t xml:space="preserve"> </w:t>
            </w:r>
            <w:r>
              <w:t xml:space="preserve">partial or full </w:t>
            </w:r>
            <w:r w:rsidRPr="008E5AF5">
              <w:t>termination of an OTC Derivative that is not a payment of an option premium, notional amount or standard fees, taxes or commissions</w:t>
            </w:r>
            <w:r>
              <w:t>; or</w:t>
            </w:r>
          </w:p>
          <w:p w14:paraId="2386CAD0" w14:textId="5E0B67B0" w:rsidR="00AE3719" w:rsidRPr="008E5AF5" w:rsidRDefault="00AE3719" w:rsidP="00AE3719">
            <w:pPr>
              <w:pStyle w:val="tbltext"/>
              <w:numPr>
                <w:ilvl w:val="0"/>
                <w:numId w:val="44"/>
              </w:numPr>
              <w:ind w:left="357" w:hanging="357"/>
            </w:pPr>
            <w:r>
              <w:t xml:space="preserve">a payment by exchange of a notional amount and the </w:t>
            </w:r>
            <w:r w:rsidRPr="00D243C7">
              <w:t>UPI reported for Unique product identifier (item 2 above) is a UPI</w:t>
            </w:r>
            <w:r>
              <w:t xml:space="preserve"> for a cross-currency swap—an indicator </w:t>
            </w:r>
            <w:r w:rsidRPr="00D243C7">
              <w:t>may be, but is not required to be, reported for this item.</w:t>
            </w:r>
          </w:p>
        </w:tc>
        <w:tc>
          <w:tcPr>
            <w:tcW w:w="2848" w:type="dxa"/>
          </w:tcPr>
          <w:p w14:paraId="051F5E57" w14:textId="73E8FD18" w:rsidR="00AE3719" w:rsidRPr="008E5AF5" w:rsidRDefault="00AE3719" w:rsidP="00AE3719">
            <w:pPr>
              <w:pStyle w:val="tbltext"/>
            </w:pPr>
            <w:r w:rsidRPr="008E5AF5">
              <w:t>As specified in the applicable paragraph of column 5 of this item, repeatable for each Other payment amount</w:t>
            </w:r>
            <w:r w:rsidR="001F2EE6" w:rsidRPr="008E5AF5">
              <w:t xml:space="preserve"> (item 74 above)</w:t>
            </w:r>
            <w:r w:rsidRPr="008E5AF5">
              <w:t>.</w:t>
            </w:r>
          </w:p>
        </w:tc>
        <w:tc>
          <w:tcPr>
            <w:tcW w:w="3218" w:type="dxa"/>
          </w:tcPr>
          <w:p w14:paraId="19B379D3" w14:textId="77777777" w:rsidR="00AE3719" w:rsidRPr="008E5AF5" w:rsidRDefault="00AE3719" w:rsidP="00AE3719">
            <w:pPr>
              <w:pStyle w:val="tbltext"/>
              <w:numPr>
                <w:ilvl w:val="0"/>
                <w:numId w:val="45"/>
              </w:numPr>
              <w:ind w:left="357" w:hanging="357"/>
            </w:pPr>
            <w:r w:rsidRPr="008E5AF5">
              <w:t>UFRO</w:t>
            </w:r>
            <w:r w:rsidRPr="008E5AF5">
              <w:rPr>
                <w:rFonts w:ascii="Calibri" w:hAnsi="Calibri"/>
              </w:rPr>
              <w:t>—</w:t>
            </w:r>
            <w:r w:rsidRPr="008E5AF5">
              <w:t>if the payment is an upfront payment;</w:t>
            </w:r>
          </w:p>
          <w:p w14:paraId="15555811" w14:textId="77777777" w:rsidR="00AE3719" w:rsidRDefault="00AE3719" w:rsidP="00AE3719">
            <w:pPr>
              <w:pStyle w:val="tbltext"/>
              <w:numPr>
                <w:ilvl w:val="0"/>
                <w:numId w:val="45"/>
              </w:numPr>
              <w:ind w:left="357" w:hanging="357"/>
            </w:pPr>
            <w:r w:rsidRPr="008E5AF5">
              <w:t>UWIN</w:t>
            </w:r>
            <w:r w:rsidRPr="008E5AF5">
              <w:rPr>
                <w:rFonts w:ascii="Calibri" w:hAnsi="Calibri"/>
              </w:rPr>
              <w:t>—</w:t>
            </w:r>
            <w:r w:rsidRPr="008E5AF5">
              <w:t xml:space="preserve">if the payment is made upon </w:t>
            </w:r>
            <w:r>
              <w:t>a</w:t>
            </w:r>
            <w:r w:rsidRPr="008E5AF5">
              <w:t xml:space="preserve"> </w:t>
            </w:r>
            <w:r>
              <w:t xml:space="preserve">partial or full </w:t>
            </w:r>
            <w:r w:rsidRPr="008E5AF5">
              <w:t>termination of an OTC Derivative</w:t>
            </w:r>
            <w:r>
              <w:t>; or</w:t>
            </w:r>
          </w:p>
          <w:p w14:paraId="1F72DBBE" w14:textId="364C6941" w:rsidR="00AE3719" w:rsidRPr="008E5AF5" w:rsidRDefault="00AE3719" w:rsidP="00AE3719">
            <w:pPr>
              <w:pStyle w:val="tbltext"/>
              <w:numPr>
                <w:ilvl w:val="0"/>
                <w:numId w:val="45"/>
              </w:numPr>
              <w:ind w:left="357" w:hanging="357"/>
            </w:pPr>
            <w:r>
              <w:t>PEXH</w:t>
            </w:r>
            <w:r w:rsidRPr="008E5AF5">
              <w:rPr>
                <w:rFonts w:ascii="Calibri" w:hAnsi="Calibri"/>
              </w:rPr>
              <w:t>—</w:t>
            </w:r>
            <w:r w:rsidRPr="008E5AF5">
              <w:t xml:space="preserve">if the payment is </w:t>
            </w:r>
            <w:r>
              <w:t>an exchange of a notional amount.</w:t>
            </w:r>
          </w:p>
        </w:tc>
      </w:tr>
    </w:tbl>
    <w:p w14:paraId="1488B713" w14:textId="77777777" w:rsidR="004412D3" w:rsidRDefault="004412D3" w:rsidP="004412D3">
      <w:pPr>
        <w:pStyle w:val="LI-BodyTextNumbered"/>
        <w:ind w:left="567" w:firstLine="0"/>
      </w:pPr>
    </w:p>
    <w:p w14:paraId="330B964F" w14:textId="77777777" w:rsidR="00E53CE1" w:rsidRDefault="00E53CE1" w:rsidP="003C2E28">
      <w:pPr>
        <w:pStyle w:val="LI-BodyTextNumbered"/>
        <w:ind w:left="567" w:firstLine="0"/>
      </w:pPr>
    </w:p>
    <w:p w14:paraId="7AAD1499" w14:textId="77777777" w:rsidR="003C2E28" w:rsidRDefault="003C2E28" w:rsidP="003C2E28">
      <w:pPr>
        <w:pStyle w:val="LI-BodyTextNumbered"/>
        <w:ind w:left="567" w:firstLine="0"/>
        <w:sectPr w:rsidR="003C2E28" w:rsidSect="0011587F">
          <w:headerReference w:type="default" r:id="rId33"/>
          <w:footerReference w:type="default" r:id="rId34"/>
          <w:pgSz w:w="16839" w:h="11907" w:orient="landscape" w:code="9"/>
          <w:pgMar w:top="1797" w:right="1534" w:bottom="1797" w:left="1440" w:header="720" w:footer="709" w:gutter="0"/>
          <w:cols w:space="708"/>
          <w:docGrid w:linePitch="360"/>
        </w:sectPr>
      </w:pPr>
    </w:p>
    <w:p w14:paraId="1ECA3D5F" w14:textId="7A276CBD" w:rsidR="00335D8C" w:rsidRPr="00F61B09" w:rsidRDefault="00335D8C" w:rsidP="00335D8C">
      <w:pPr>
        <w:pStyle w:val="LI-Heading1"/>
      </w:pPr>
      <w:bookmarkStart w:id="37" w:name="_Toc170218455"/>
      <w:bookmarkStart w:id="38" w:name="_Toc175132708"/>
      <w:bookmarkStart w:id="39" w:name="_Toc175135973"/>
      <w:r>
        <w:lastRenderedPageBreak/>
        <w:t xml:space="preserve">Schedule </w:t>
      </w:r>
      <w:r w:rsidR="007E2F1B">
        <w:t>4</w:t>
      </w:r>
      <w:r w:rsidRPr="00F61B09">
        <w:t>—</w:t>
      </w:r>
      <w:r>
        <w:t>Amendments</w:t>
      </w:r>
      <w:bookmarkEnd w:id="37"/>
      <w:bookmarkEnd w:id="38"/>
      <w:bookmarkEnd w:id="39"/>
    </w:p>
    <w:p w14:paraId="4FA1316A" w14:textId="214181DD" w:rsidR="00335D8C" w:rsidRPr="006A0395" w:rsidRDefault="00335D8C" w:rsidP="00335D8C">
      <w:pPr>
        <w:pStyle w:val="LI-Heading2"/>
        <w:rPr>
          <w:i/>
          <w:iCs/>
          <w:sz w:val="28"/>
          <w:szCs w:val="28"/>
        </w:rPr>
      </w:pPr>
      <w:bookmarkStart w:id="40" w:name="_Toc170218456"/>
      <w:bookmarkStart w:id="41" w:name="_Toc175132709"/>
      <w:bookmarkStart w:id="42" w:name="_Toc175135974"/>
      <w:r w:rsidRPr="5368F293">
        <w:rPr>
          <w:i/>
          <w:iCs/>
          <w:sz w:val="28"/>
          <w:szCs w:val="28"/>
        </w:rPr>
        <w:t>ASIC Derivative Transaction Rules (</w:t>
      </w:r>
      <w:r>
        <w:rPr>
          <w:i/>
          <w:iCs/>
          <w:sz w:val="28"/>
          <w:szCs w:val="28"/>
        </w:rPr>
        <w:t>Reporting</w:t>
      </w:r>
      <w:r w:rsidRPr="5368F293">
        <w:rPr>
          <w:i/>
          <w:iCs/>
          <w:sz w:val="28"/>
          <w:szCs w:val="28"/>
        </w:rPr>
        <w:t xml:space="preserve">) </w:t>
      </w:r>
      <w:r>
        <w:rPr>
          <w:i/>
          <w:iCs/>
          <w:sz w:val="28"/>
          <w:szCs w:val="28"/>
        </w:rPr>
        <w:t>2024</w:t>
      </w:r>
      <w:bookmarkEnd w:id="40"/>
      <w:bookmarkEnd w:id="41"/>
      <w:bookmarkEnd w:id="42"/>
    </w:p>
    <w:p w14:paraId="75F1896B" w14:textId="5321ED25" w:rsidR="00335D8C" w:rsidRPr="000E0924" w:rsidRDefault="00B10FB0" w:rsidP="00335D8C">
      <w:pPr>
        <w:pStyle w:val="LI-BodyTextNumbered"/>
        <w:ind w:left="567"/>
        <w:rPr>
          <w:b/>
          <w:i/>
          <w:iCs/>
        </w:rPr>
      </w:pPr>
      <w:r>
        <w:rPr>
          <w:b/>
        </w:rPr>
        <w:t>1</w:t>
      </w:r>
      <w:r w:rsidR="00335D8C" w:rsidRPr="00CA3A25">
        <w:rPr>
          <w:b/>
        </w:rPr>
        <w:tab/>
      </w:r>
      <w:r w:rsidR="00335D8C">
        <w:rPr>
          <w:b/>
        </w:rPr>
        <w:t>Rule 1.2.3 (</w:t>
      </w:r>
      <w:r w:rsidR="00B03112">
        <w:rPr>
          <w:b/>
        </w:rPr>
        <w:t xml:space="preserve">after the </w:t>
      </w:r>
      <w:r w:rsidR="00335D8C">
        <w:rPr>
          <w:b/>
        </w:rPr>
        <w:t xml:space="preserve">definition of </w:t>
      </w:r>
      <w:r w:rsidR="003B11DE">
        <w:rPr>
          <w:b/>
          <w:i/>
          <w:iCs/>
        </w:rPr>
        <w:t>Licensed Repository</w:t>
      </w:r>
      <w:r w:rsidR="00335D8C">
        <w:rPr>
          <w:b/>
          <w:i/>
          <w:iCs/>
        </w:rPr>
        <w:t>)</w:t>
      </w:r>
    </w:p>
    <w:p w14:paraId="2EA040C1" w14:textId="77777777" w:rsidR="00B03112" w:rsidRDefault="00B03112" w:rsidP="00B03112">
      <w:pPr>
        <w:pStyle w:val="LI-BodyTextNumbered"/>
      </w:pPr>
      <w:r>
        <w:t>Insert:</w:t>
      </w:r>
    </w:p>
    <w:p w14:paraId="056984E2" w14:textId="77777777" w:rsidR="00927A88" w:rsidRDefault="00927A88" w:rsidP="00927A88">
      <w:pPr>
        <w:pStyle w:val="MIRBodyText"/>
      </w:pPr>
      <w:r>
        <w:rPr>
          <w:b/>
          <w:i/>
        </w:rPr>
        <w:t>Nexus Derivative</w:t>
      </w:r>
      <w:r w:rsidRPr="00F76596">
        <w:t xml:space="preserve"> </w:t>
      </w:r>
      <w:r>
        <w:t>means</w:t>
      </w:r>
      <w:r w:rsidRPr="0002380A">
        <w:t xml:space="preserve"> </w:t>
      </w:r>
      <w:r>
        <w:t>an OTC Derivative to which the Reporting Entity is a counterparty, where:</w:t>
      </w:r>
    </w:p>
    <w:p w14:paraId="3C1B96E3" w14:textId="77777777" w:rsidR="00927A88" w:rsidRDefault="00927A88" w:rsidP="00927A88">
      <w:pPr>
        <w:pStyle w:val="MIRSubpara"/>
        <w:tabs>
          <w:tab w:val="clear" w:pos="1134"/>
        </w:tabs>
        <w:ind w:left="1276"/>
      </w:pPr>
      <w:r>
        <w:t>one or more of the following functions in relation to the OTC Derivative:</w:t>
      </w:r>
    </w:p>
    <w:p w14:paraId="09785291" w14:textId="77777777" w:rsidR="00927A88" w:rsidRDefault="00927A88" w:rsidP="00927A88">
      <w:pPr>
        <w:pStyle w:val="MIRSubsubpara"/>
        <w:ind w:left="1701"/>
      </w:pPr>
      <w:r>
        <w:t xml:space="preserve">determining the price, level, rate or other economic terms (collectively, </w:t>
      </w:r>
      <w:r w:rsidRPr="00D33A8D">
        <w:rPr>
          <w:b/>
          <w:bCs/>
          <w:i/>
          <w:iCs/>
        </w:rPr>
        <w:t>Terms</w:t>
      </w:r>
      <w:r>
        <w:t>) on which the Reporting Entity is willing to enter into the OTC Derivative, including by determining the proposed Terms or range of proposed Terms which may be communicated to the proposed counterparty or agreeing the final Terms on which the Reporting Entity will enter into the OTC Derivative with the proposed counterparty;</w:t>
      </w:r>
    </w:p>
    <w:p w14:paraId="68043ED1" w14:textId="77777777" w:rsidR="00927A88" w:rsidRDefault="00927A88" w:rsidP="00927A88">
      <w:pPr>
        <w:pStyle w:val="MIRSubsubpara"/>
        <w:ind w:left="1701"/>
      </w:pPr>
      <w:r>
        <w:t>communicating to the proposed counterparty one or more of the Terms on which the Reporting Entity is willing to enter into the OTC Derivative;</w:t>
      </w:r>
    </w:p>
    <w:p w14:paraId="05EAD655" w14:textId="77777777" w:rsidR="00927A88" w:rsidRDefault="00927A88" w:rsidP="00927A88">
      <w:pPr>
        <w:pStyle w:val="MIRSubsubpara"/>
        <w:ind w:left="1701"/>
      </w:pPr>
      <w:r>
        <w:t>offering to enter into the OTC Derivative with the proposed counterparty or inviting the proposed counterparty to offer to enter into the OTC Derivative with the Reporting Entity;</w:t>
      </w:r>
    </w:p>
    <w:p w14:paraId="1D2D3EC4" w14:textId="1640787A" w:rsidR="00927A88" w:rsidRDefault="00927A88" w:rsidP="00927A88">
      <w:pPr>
        <w:pStyle w:val="MIRSubsubpara"/>
        <w:ind w:left="1701"/>
      </w:pPr>
      <w:r>
        <w:t>agreeing to enter into the OTC Derivative with the proposed counterparty;</w:t>
      </w:r>
    </w:p>
    <w:p w14:paraId="6BCDAE68" w14:textId="77777777" w:rsidR="00927A88" w:rsidRDefault="00927A88" w:rsidP="00927A88">
      <w:pPr>
        <w:pStyle w:val="MIRSubsubpara"/>
        <w:ind w:left="1701"/>
      </w:pPr>
      <w:r>
        <w:t>managing the financial risk arising from the OTC Derivative;</w:t>
      </w:r>
    </w:p>
    <w:p w14:paraId="4CA8B761" w14:textId="77777777" w:rsidR="00927A88" w:rsidRDefault="00927A88" w:rsidP="00927A88">
      <w:pPr>
        <w:pStyle w:val="MIRsubsubsubpara"/>
        <w:numPr>
          <w:ilvl w:val="0"/>
          <w:numId w:val="0"/>
        </w:numPr>
        <w:ind w:left="1276"/>
      </w:pPr>
      <w:r>
        <w:t>is, or in the case of the function referred to in subparagraph</w:t>
      </w:r>
      <w:r w:rsidDel="000A7FCF">
        <w:t xml:space="preserve"> </w:t>
      </w:r>
      <w:r>
        <w:t>(v), will be, performed on behalf of the Reporting Entity by a person who is:</w:t>
      </w:r>
    </w:p>
    <w:p w14:paraId="7F8FD7C8" w14:textId="77777777" w:rsidR="00927A88" w:rsidRDefault="00927A88" w:rsidP="00927A88">
      <w:pPr>
        <w:pStyle w:val="MIRSubsubpara"/>
        <w:ind w:left="1701"/>
      </w:pPr>
      <w:r>
        <w:t>ordinarily resident or employed in this jurisdiction; or</w:t>
      </w:r>
    </w:p>
    <w:p w14:paraId="4C5601CD" w14:textId="77777777" w:rsidR="00927A88" w:rsidRDefault="00927A88" w:rsidP="00927A88">
      <w:pPr>
        <w:pStyle w:val="MIRSubsubpara"/>
        <w:ind w:left="1701"/>
      </w:pPr>
      <w:r>
        <w:t>acting as part of a desk, office or branch of:</w:t>
      </w:r>
    </w:p>
    <w:p w14:paraId="1A8FEFEA" w14:textId="77777777" w:rsidR="00927A88" w:rsidRDefault="00927A88" w:rsidP="00927A88">
      <w:pPr>
        <w:pStyle w:val="MIRsubsubsubpara"/>
      </w:pPr>
      <w:r>
        <w:t xml:space="preserve">the Reporting Entity; or </w:t>
      </w:r>
    </w:p>
    <w:p w14:paraId="1EF3A0B4" w14:textId="77777777" w:rsidR="00927A88" w:rsidRDefault="00927A88" w:rsidP="00927A88">
      <w:pPr>
        <w:pStyle w:val="MIRsubsubsubpara"/>
      </w:pPr>
      <w:r>
        <w:t>an entity that is an associate of the Reporting Entity,</w:t>
      </w:r>
    </w:p>
    <w:p w14:paraId="0368D1D1" w14:textId="77777777" w:rsidR="00927A88" w:rsidRDefault="00927A88" w:rsidP="00927A88">
      <w:pPr>
        <w:pStyle w:val="MIRsubsubsubpara"/>
        <w:numPr>
          <w:ilvl w:val="0"/>
          <w:numId w:val="0"/>
        </w:numPr>
        <w:ind w:left="1701"/>
      </w:pPr>
      <w:r>
        <w:t>where that desk, office or branch is located in this jurisdiction; and</w:t>
      </w:r>
    </w:p>
    <w:p w14:paraId="6745E9C8" w14:textId="77777777" w:rsidR="00927A88" w:rsidRDefault="00927A88" w:rsidP="00927A88">
      <w:pPr>
        <w:pStyle w:val="MIRSubpara"/>
        <w:tabs>
          <w:tab w:val="clear" w:pos="1134"/>
        </w:tabs>
        <w:ind w:left="1276"/>
      </w:pPr>
      <w:r>
        <w:t>if the OTC Derivative was executed through an authorised financial market, one or more of the functions referred to in subparagraphs (a)(i) - (v) in relation to the OTC Derivative is, or in the case of the function referred to in subparagraph (a)(v), will be, performed on behalf of the Reporting Entity by a person who is:</w:t>
      </w:r>
    </w:p>
    <w:p w14:paraId="002699F7" w14:textId="77777777" w:rsidR="00927A88" w:rsidRDefault="00927A88" w:rsidP="00927A88">
      <w:pPr>
        <w:pStyle w:val="MIRSubsubpara"/>
        <w:ind w:left="1701"/>
      </w:pPr>
      <w:r>
        <w:t>ordinarily resident or employed in this jurisdiction; or</w:t>
      </w:r>
    </w:p>
    <w:p w14:paraId="63ED5951" w14:textId="77777777" w:rsidR="00927A88" w:rsidRDefault="00927A88" w:rsidP="00927A88">
      <w:pPr>
        <w:pStyle w:val="MIRSubsubpara"/>
        <w:ind w:left="1701"/>
      </w:pPr>
      <w:r>
        <w:t>acting as part of a desk, office or branch of:</w:t>
      </w:r>
    </w:p>
    <w:p w14:paraId="2388684C" w14:textId="77777777" w:rsidR="00927A88" w:rsidRDefault="00927A88" w:rsidP="00927A88">
      <w:pPr>
        <w:pStyle w:val="MIRsubsubsubpara"/>
      </w:pPr>
      <w:r>
        <w:t>the Reporting Entity; or</w:t>
      </w:r>
    </w:p>
    <w:p w14:paraId="4315F4BD" w14:textId="77777777" w:rsidR="00927A88" w:rsidRDefault="00927A88" w:rsidP="00927A88">
      <w:pPr>
        <w:pStyle w:val="MIRsubsubsubpara"/>
      </w:pPr>
      <w:r>
        <w:t>an entity that is an associate of the Reporting Entity,</w:t>
      </w:r>
    </w:p>
    <w:p w14:paraId="3C5ADB4A" w14:textId="77777777" w:rsidR="00927A88" w:rsidRDefault="00927A88" w:rsidP="00927A88">
      <w:pPr>
        <w:pStyle w:val="MIRsubsubsubpara"/>
        <w:numPr>
          <w:ilvl w:val="0"/>
          <w:numId w:val="0"/>
        </w:numPr>
        <w:ind w:left="1701"/>
      </w:pPr>
      <w:r>
        <w:lastRenderedPageBreak/>
        <w:t>where that desk, office or branch is located in this jurisdiction.</w:t>
      </w:r>
    </w:p>
    <w:p w14:paraId="2E16A33A" w14:textId="671B7BD8" w:rsidR="00830D6C" w:rsidRPr="000E0924" w:rsidRDefault="00D1103E" w:rsidP="00830D6C">
      <w:pPr>
        <w:pStyle w:val="LI-BodyTextNumbered"/>
        <w:ind w:left="567"/>
        <w:rPr>
          <w:b/>
          <w:i/>
          <w:iCs/>
        </w:rPr>
      </w:pPr>
      <w:r>
        <w:rPr>
          <w:b/>
        </w:rPr>
        <w:t>2</w:t>
      </w:r>
      <w:r w:rsidR="00830D6C" w:rsidRPr="00CA3A25">
        <w:rPr>
          <w:b/>
        </w:rPr>
        <w:tab/>
      </w:r>
      <w:r w:rsidR="00830D6C">
        <w:rPr>
          <w:b/>
        </w:rPr>
        <w:t>Rule 1.2.</w:t>
      </w:r>
      <w:r w:rsidR="00F62A00">
        <w:rPr>
          <w:b/>
        </w:rPr>
        <w:t>5</w:t>
      </w:r>
      <w:r w:rsidR="00830D6C">
        <w:rPr>
          <w:b/>
        </w:rPr>
        <w:t xml:space="preserve"> (</w:t>
      </w:r>
      <w:r w:rsidR="00F62A00">
        <w:rPr>
          <w:b/>
        </w:rPr>
        <w:t>Table 1</w:t>
      </w:r>
      <w:r w:rsidR="0033701F">
        <w:rPr>
          <w:b/>
        </w:rPr>
        <w:t>: Reporting Entities and OTC Derivatives</w:t>
      </w:r>
      <w:r w:rsidR="003C79E0">
        <w:rPr>
          <w:b/>
        </w:rPr>
        <w:t xml:space="preserve">, </w:t>
      </w:r>
      <w:r w:rsidR="00830D6C">
        <w:rPr>
          <w:b/>
        </w:rPr>
        <w:t xml:space="preserve">after </w:t>
      </w:r>
      <w:r w:rsidR="003C79E0">
        <w:rPr>
          <w:b/>
        </w:rPr>
        <w:t>item 1</w:t>
      </w:r>
      <w:r w:rsidR="00830D6C" w:rsidRPr="007776A5">
        <w:rPr>
          <w:b/>
        </w:rPr>
        <w:t>)</w:t>
      </w:r>
    </w:p>
    <w:p w14:paraId="42B95E21" w14:textId="77777777" w:rsidR="007776A5" w:rsidRDefault="007776A5" w:rsidP="007776A5">
      <w:pPr>
        <w:pStyle w:val="LI-BodyTextNumbered"/>
        <w:spacing w:after="240"/>
        <w:ind w:left="567" w:firstLine="0"/>
      </w:pPr>
      <w:r>
        <w:t>Insert:</w:t>
      </w:r>
    </w:p>
    <w:tbl>
      <w:tblPr>
        <w:tblW w:w="0" w:type="auto"/>
        <w:tblInd w:w="851" w:type="dxa"/>
        <w:tblCellMar>
          <w:bottom w:w="113" w:type="dxa"/>
        </w:tblCellMar>
        <w:tblLook w:val="0020" w:firstRow="1" w:lastRow="0" w:firstColumn="0" w:lastColumn="0" w:noHBand="0" w:noVBand="0"/>
      </w:tblPr>
      <w:tblGrid>
        <w:gridCol w:w="865"/>
        <w:gridCol w:w="3291"/>
        <w:gridCol w:w="3306"/>
      </w:tblGrid>
      <w:tr w:rsidR="00233F27" w:rsidRPr="00CE5DC4" w14:paraId="4B4F64BA" w14:textId="77777777" w:rsidTr="00747B58">
        <w:trPr>
          <w:cantSplit/>
        </w:trPr>
        <w:tc>
          <w:tcPr>
            <w:tcW w:w="865" w:type="dxa"/>
          </w:tcPr>
          <w:p w14:paraId="23D14E89" w14:textId="77777777" w:rsidR="00233F27" w:rsidRPr="00CE5DC4" w:rsidRDefault="00233F27">
            <w:pPr>
              <w:pStyle w:val="tbltext"/>
              <w:rPr>
                <w:color w:val="000000" w:themeColor="text1"/>
              </w:rPr>
            </w:pPr>
            <w:r w:rsidRPr="00CE5DC4">
              <w:rPr>
                <w:color w:val="000000" w:themeColor="text1"/>
              </w:rPr>
              <w:t>2</w:t>
            </w:r>
          </w:p>
        </w:tc>
        <w:tc>
          <w:tcPr>
            <w:tcW w:w="3291" w:type="dxa"/>
          </w:tcPr>
          <w:p w14:paraId="2FBEAB06" w14:textId="77777777" w:rsidR="00233F27" w:rsidRPr="00CE5DC4" w:rsidRDefault="00233F27">
            <w:pPr>
              <w:spacing w:before="120" w:after="120" w:line="240" w:lineRule="atLeast"/>
              <w:rPr>
                <w:rFonts w:ascii="Arial" w:hAnsi="Arial" w:cs="Arial"/>
                <w:color w:val="000000" w:themeColor="text1"/>
                <w:sz w:val="18"/>
                <w:szCs w:val="18"/>
              </w:rPr>
            </w:pPr>
            <w:r w:rsidRPr="00CE5DC4">
              <w:rPr>
                <w:rFonts w:ascii="Arial" w:hAnsi="Arial" w:cs="Arial"/>
                <w:color w:val="000000" w:themeColor="text1"/>
                <w:sz w:val="18"/>
                <w:szCs w:val="18"/>
              </w:rPr>
              <w:t>A foreign entity that is a CS Facility Licensee.</w:t>
            </w:r>
          </w:p>
        </w:tc>
        <w:tc>
          <w:tcPr>
            <w:tcW w:w="3306" w:type="dxa"/>
          </w:tcPr>
          <w:p w14:paraId="40B3C312" w14:textId="77777777" w:rsidR="00233F27" w:rsidRPr="00CE5DC4" w:rsidRDefault="00233F27">
            <w:pPr>
              <w:pStyle w:val="tbltext"/>
              <w:rPr>
                <w:color w:val="000000" w:themeColor="text1"/>
              </w:rPr>
            </w:pPr>
            <w:r w:rsidRPr="00CE5DC4">
              <w:rPr>
                <w:color w:val="000000" w:themeColor="text1"/>
              </w:rPr>
              <w:t>All OTC Derivatives</w:t>
            </w:r>
            <w:r>
              <w:rPr>
                <w:color w:val="000000" w:themeColor="text1"/>
              </w:rPr>
              <w:t xml:space="preserve"> </w:t>
            </w:r>
            <w:r w:rsidRPr="00CE5DC4">
              <w:rPr>
                <w:color w:val="000000" w:themeColor="text1"/>
              </w:rPr>
              <w:t>entered into with an Australian Entity.</w:t>
            </w:r>
          </w:p>
        </w:tc>
      </w:tr>
    </w:tbl>
    <w:p w14:paraId="75AF6EC7" w14:textId="69231510" w:rsidR="00762EEE" w:rsidRPr="000E0924" w:rsidRDefault="00D1103E" w:rsidP="00762EEE">
      <w:pPr>
        <w:pStyle w:val="LI-BodyTextNumbered"/>
        <w:ind w:left="567"/>
        <w:rPr>
          <w:b/>
          <w:i/>
          <w:iCs/>
        </w:rPr>
      </w:pPr>
      <w:r>
        <w:rPr>
          <w:b/>
        </w:rPr>
        <w:t>3</w:t>
      </w:r>
      <w:r w:rsidR="00762EEE" w:rsidRPr="00CA3A25">
        <w:rPr>
          <w:b/>
        </w:rPr>
        <w:tab/>
      </w:r>
      <w:r w:rsidR="00762EEE">
        <w:rPr>
          <w:b/>
        </w:rPr>
        <w:t>Rule 1.2.5 (Table 1: Reporting Entities and OTC Derivatives, item 2</w:t>
      </w:r>
      <w:r w:rsidR="00762EEE" w:rsidRPr="007776A5">
        <w:rPr>
          <w:b/>
        </w:rPr>
        <w:t>)</w:t>
      </w:r>
    </w:p>
    <w:p w14:paraId="655AB395" w14:textId="77777777" w:rsidR="00A32DA0" w:rsidRDefault="00A32DA0" w:rsidP="00A32DA0">
      <w:pPr>
        <w:pStyle w:val="LI-BodyTextNumbered"/>
        <w:spacing w:after="240"/>
        <w:ind w:left="567" w:firstLine="0"/>
      </w:pPr>
      <w:r>
        <w:t>Repeal the item, substitute:</w:t>
      </w:r>
    </w:p>
    <w:tbl>
      <w:tblPr>
        <w:tblW w:w="0" w:type="auto"/>
        <w:tblInd w:w="851" w:type="dxa"/>
        <w:tblBorders>
          <w:insideH w:val="single" w:sz="4" w:space="0" w:color="999999"/>
        </w:tblBorders>
        <w:tblCellMar>
          <w:bottom w:w="113" w:type="dxa"/>
        </w:tblCellMar>
        <w:tblLook w:val="0020" w:firstRow="1" w:lastRow="0" w:firstColumn="0" w:lastColumn="0" w:noHBand="0" w:noVBand="0"/>
      </w:tblPr>
      <w:tblGrid>
        <w:gridCol w:w="865"/>
        <w:gridCol w:w="3291"/>
        <w:gridCol w:w="3306"/>
      </w:tblGrid>
      <w:tr w:rsidR="006304C2" w:rsidRPr="002517A7" w14:paraId="19128FE0" w14:textId="77777777" w:rsidTr="00747B58">
        <w:trPr>
          <w:cantSplit/>
        </w:trPr>
        <w:tc>
          <w:tcPr>
            <w:tcW w:w="865" w:type="dxa"/>
          </w:tcPr>
          <w:p w14:paraId="784AA508" w14:textId="77777777" w:rsidR="006304C2" w:rsidRPr="002517A7" w:rsidRDefault="006304C2">
            <w:pPr>
              <w:pStyle w:val="tbltext"/>
              <w:rPr>
                <w:color w:val="000000" w:themeColor="text1"/>
              </w:rPr>
            </w:pPr>
            <w:r>
              <w:rPr>
                <w:color w:val="000000" w:themeColor="text1"/>
              </w:rPr>
              <w:t>3</w:t>
            </w:r>
          </w:p>
        </w:tc>
        <w:tc>
          <w:tcPr>
            <w:tcW w:w="3291" w:type="dxa"/>
          </w:tcPr>
          <w:p w14:paraId="62AA1D70" w14:textId="77777777" w:rsidR="006304C2" w:rsidRPr="006304C2" w:rsidRDefault="006304C2" w:rsidP="006304C2">
            <w:pPr>
              <w:spacing w:after="120"/>
              <w:rPr>
                <w:rFonts w:ascii="Arial" w:hAnsi="Arial" w:cs="Arial"/>
                <w:color w:val="000000" w:themeColor="text1"/>
                <w:sz w:val="18"/>
                <w:szCs w:val="18"/>
              </w:rPr>
            </w:pPr>
            <w:r w:rsidRPr="006304C2">
              <w:rPr>
                <w:rFonts w:ascii="Arial" w:hAnsi="Arial" w:cs="Arial"/>
                <w:color w:val="000000" w:themeColor="text1"/>
                <w:sz w:val="18"/>
                <w:szCs w:val="18"/>
              </w:rPr>
              <w:t>A foreign entity that is required to be registered under Division 2 of Part 5B.2 of the Act and is:</w:t>
            </w:r>
          </w:p>
          <w:p w14:paraId="33384381" w14:textId="77777777" w:rsidR="006304C2" w:rsidRPr="006304C2" w:rsidRDefault="006304C2" w:rsidP="006304C2">
            <w:pPr>
              <w:pStyle w:val="ListParagraph"/>
              <w:numPr>
                <w:ilvl w:val="0"/>
                <w:numId w:val="41"/>
              </w:numPr>
              <w:spacing w:before="120" w:after="120" w:line="240" w:lineRule="atLeast"/>
              <w:ind w:left="357" w:hanging="357"/>
              <w:rPr>
                <w:rFonts w:ascii="Arial" w:eastAsia="Calibri" w:hAnsi="Arial" w:cs="Arial"/>
                <w:color w:val="000000" w:themeColor="text1"/>
                <w:sz w:val="18"/>
                <w:szCs w:val="18"/>
                <w:lang w:eastAsia="en-US"/>
              </w:rPr>
            </w:pPr>
            <w:r w:rsidRPr="006304C2">
              <w:rPr>
                <w:rFonts w:ascii="Arial" w:eastAsia="Calibri" w:hAnsi="Arial" w:cs="Arial"/>
                <w:color w:val="000000" w:themeColor="text1"/>
                <w:sz w:val="18"/>
                <w:szCs w:val="18"/>
                <w:lang w:eastAsia="en-US"/>
              </w:rPr>
              <w:t>a Foreign ADI that has a branch located in this jurisdiction;</w:t>
            </w:r>
          </w:p>
          <w:p w14:paraId="10828255" w14:textId="77777777" w:rsidR="006304C2" w:rsidRPr="006304C2" w:rsidRDefault="006304C2" w:rsidP="006304C2">
            <w:pPr>
              <w:pStyle w:val="ListParagraph"/>
              <w:numPr>
                <w:ilvl w:val="0"/>
                <w:numId w:val="41"/>
              </w:numPr>
              <w:spacing w:after="120" w:line="240" w:lineRule="atLeast"/>
              <w:ind w:left="284" w:hanging="284"/>
              <w:rPr>
                <w:rFonts w:ascii="Arial" w:eastAsia="Calibri" w:hAnsi="Arial" w:cs="Arial"/>
                <w:color w:val="000000" w:themeColor="text1"/>
                <w:sz w:val="18"/>
                <w:szCs w:val="18"/>
                <w:lang w:eastAsia="en-US"/>
              </w:rPr>
            </w:pPr>
            <w:r w:rsidRPr="006304C2">
              <w:rPr>
                <w:rFonts w:ascii="Arial" w:eastAsia="Calibri" w:hAnsi="Arial" w:cs="Arial"/>
                <w:color w:val="000000" w:themeColor="text1"/>
                <w:sz w:val="18"/>
                <w:szCs w:val="18"/>
                <w:lang w:eastAsia="en-US"/>
              </w:rPr>
              <w:t>an AFS Licensee; or</w:t>
            </w:r>
          </w:p>
          <w:p w14:paraId="79CEC1E1" w14:textId="77777777" w:rsidR="006304C2" w:rsidRPr="006304C2" w:rsidRDefault="006304C2" w:rsidP="006304C2">
            <w:pPr>
              <w:pStyle w:val="ListParagraph"/>
              <w:numPr>
                <w:ilvl w:val="0"/>
                <w:numId w:val="41"/>
              </w:numPr>
              <w:spacing w:after="120" w:line="240" w:lineRule="atLeast"/>
              <w:ind w:left="284" w:hanging="284"/>
              <w:rPr>
                <w:rFonts w:ascii="Arial" w:eastAsia="Calibri" w:hAnsi="Arial" w:cs="Arial"/>
                <w:color w:val="000000" w:themeColor="text1"/>
                <w:sz w:val="18"/>
                <w:szCs w:val="18"/>
                <w:lang w:eastAsia="en-US"/>
              </w:rPr>
            </w:pPr>
            <w:r w:rsidRPr="006304C2">
              <w:rPr>
                <w:rFonts w:ascii="Arial" w:eastAsia="Calibri" w:hAnsi="Arial" w:cs="Arial"/>
                <w:color w:val="000000" w:themeColor="text1"/>
                <w:sz w:val="18"/>
                <w:szCs w:val="18"/>
                <w:lang w:eastAsia="en-US"/>
              </w:rPr>
              <w:t>an Exempt Foreign Licensee.</w:t>
            </w:r>
          </w:p>
        </w:tc>
        <w:tc>
          <w:tcPr>
            <w:tcW w:w="3306" w:type="dxa"/>
          </w:tcPr>
          <w:p w14:paraId="0BF0CE20" w14:textId="77777777" w:rsidR="006304C2" w:rsidRPr="002517A7" w:rsidRDefault="006304C2">
            <w:pPr>
              <w:pStyle w:val="tbltext"/>
              <w:rPr>
                <w:color w:val="000000" w:themeColor="text1"/>
              </w:rPr>
            </w:pPr>
            <w:r w:rsidRPr="002517A7">
              <w:rPr>
                <w:color w:val="000000" w:themeColor="text1"/>
              </w:rPr>
              <w:t>All OTC Derivatives:</w:t>
            </w:r>
          </w:p>
          <w:p w14:paraId="30205EFE" w14:textId="77777777" w:rsidR="006304C2" w:rsidRPr="002517A7" w:rsidRDefault="006304C2" w:rsidP="006304C2">
            <w:pPr>
              <w:pStyle w:val="tbltext"/>
              <w:numPr>
                <w:ilvl w:val="0"/>
                <w:numId w:val="42"/>
              </w:numPr>
              <w:ind w:left="357" w:hanging="357"/>
              <w:rPr>
                <w:color w:val="000000" w:themeColor="text1"/>
              </w:rPr>
            </w:pPr>
            <w:r w:rsidRPr="002517A7">
              <w:rPr>
                <w:color w:val="000000" w:themeColor="text1"/>
              </w:rPr>
              <w:t>entered into with a Retail Client located in this jurisdiction;</w:t>
            </w:r>
            <w:bookmarkStart w:id="43" w:name="_Hlk93760150"/>
          </w:p>
          <w:p w14:paraId="64E9070B" w14:textId="77777777" w:rsidR="006304C2" w:rsidRPr="002517A7" w:rsidRDefault="006304C2" w:rsidP="006304C2">
            <w:pPr>
              <w:pStyle w:val="tbltext"/>
              <w:numPr>
                <w:ilvl w:val="0"/>
                <w:numId w:val="42"/>
              </w:numPr>
              <w:ind w:left="284" w:hanging="284"/>
              <w:rPr>
                <w:color w:val="000000" w:themeColor="text1"/>
              </w:rPr>
            </w:pPr>
            <w:r w:rsidRPr="002517A7">
              <w:rPr>
                <w:color w:val="000000" w:themeColor="text1"/>
              </w:rPr>
              <w:t>booked to the profit or loss account of a branch of the Reporting Entity located in this jurisdiction; or</w:t>
            </w:r>
          </w:p>
          <w:p w14:paraId="5AC029DB" w14:textId="77777777" w:rsidR="006304C2" w:rsidRPr="002517A7" w:rsidRDefault="006304C2" w:rsidP="006304C2">
            <w:pPr>
              <w:pStyle w:val="tbltext"/>
              <w:numPr>
                <w:ilvl w:val="0"/>
                <w:numId w:val="42"/>
              </w:numPr>
              <w:ind w:left="284" w:hanging="284"/>
              <w:rPr>
                <w:color w:val="000000" w:themeColor="text1"/>
              </w:rPr>
            </w:pPr>
            <w:r>
              <w:rPr>
                <w:color w:val="000000" w:themeColor="text1"/>
              </w:rPr>
              <w:t>that are a Nexus Derivative</w:t>
            </w:r>
            <w:r w:rsidRPr="002517A7">
              <w:rPr>
                <w:color w:val="000000" w:themeColor="text1"/>
              </w:rPr>
              <w:t>.</w:t>
            </w:r>
            <w:bookmarkEnd w:id="43"/>
          </w:p>
        </w:tc>
      </w:tr>
    </w:tbl>
    <w:p w14:paraId="3603FA5B" w14:textId="1DF5B564" w:rsidR="005E30C2" w:rsidRPr="00E52C22" w:rsidRDefault="00E52C22" w:rsidP="005E30C2">
      <w:pPr>
        <w:pStyle w:val="LI-BodyTextNumbered"/>
        <w:ind w:left="567"/>
        <w:rPr>
          <w:b/>
          <w:i/>
          <w:iCs/>
        </w:rPr>
      </w:pPr>
      <w:r>
        <w:rPr>
          <w:b/>
        </w:rPr>
        <w:t>4</w:t>
      </w:r>
      <w:r w:rsidR="005E30C2" w:rsidRPr="00E52C22">
        <w:rPr>
          <w:b/>
        </w:rPr>
        <w:tab/>
        <w:t>Subrule 2.2.1(</w:t>
      </w:r>
      <w:r w:rsidR="002F454E" w:rsidRPr="00E52C22">
        <w:rPr>
          <w:b/>
        </w:rPr>
        <w:t>3</w:t>
      </w:r>
      <w:r w:rsidR="005E30C2" w:rsidRPr="00E52C22">
        <w:rPr>
          <w:b/>
        </w:rPr>
        <w:t>)</w:t>
      </w:r>
    </w:p>
    <w:p w14:paraId="51A84BAD" w14:textId="3195FCCC" w:rsidR="005E30C2" w:rsidRPr="00E52C22" w:rsidRDefault="005E30C2" w:rsidP="005E30C2">
      <w:pPr>
        <w:pStyle w:val="LI-BodyTextNumbered"/>
        <w:spacing w:after="240"/>
        <w:ind w:left="567" w:firstLine="0"/>
      </w:pPr>
      <w:r w:rsidRPr="00E52C22">
        <w:t>Omit</w:t>
      </w:r>
      <w:r w:rsidR="00C04DFB">
        <w:t xml:space="preserve"> all of the words after</w:t>
      </w:r>
      <w:r w:rsidR="009D6C93">
        <w:t xml:space="preserve"> </w:t>
      </w:r>
      <w:r w:rsidR="00B62DA1">
        <w:t>“</w:t>
      </w:r>
      <w:r w:rsidR="009D6C93">
        <w:t xml:space="preserve">in relation </w:t>
      </w:r>
      <w:r w:rsidR="00B62DA1">
        <w:t xml:space="preserve">to </w:t>
      </w:r>
      <w:r w:rsidR="00592025">
        <w:t>a Reportable Transaction”, subs</w:t>
      </w:r>
      <w:r w:rsidR="00E5437E">
        <w:t>titute “</w:t>
      </w:r>
      <w:r w:rsidR="001604A8">
        <w:t xml:space="preserve">referred to in subparagraphs </w:t>
      </w:r>
      <w:r w:rsidR="008D600D">
        <w:t>1.2.5</w:t>
      </w:r>
      <w:r w:rsidR="001604A8">
        <w:t xml:space="preserve">(1)(b)(ii)-(iv) </w:t>
      </w:r>
      <w:r w:rsidR="001604A8" w:rsidRPr="00F76596">
        <w:t>if, at the time the Reporting Entity is required to comply with the requirements</w:t>
      </w:r>
      <w:r w:rsidR="001604A8">
        <w:t>, information about the OTC Derivative to which the Report</w:t>
      </w:r>
      <w:r w:rsidR="00B87CAC">
        <w:t>a</w:t>
      </w:r>
      <w:r w:rsidR="001604A8">
        <w:t xml:space="preserve">ble Transaction relates has been reported to a Prescribed Repository </w:t>
      </w:r>
      <w:r w:rsidR="00B724F6">
        <w:t>before</w:t>
      </w:r>
      <w:r w:rsidR="001604A8">
        <w:t xml:space="preserve"> 20 October 2025.</w:t>
      </w:r>
      <w:r w:rsidR="00893F84">
        <w:t>”.</w:t>
      </w:r>
    </w:p>
    <w:p w14:paraId="6BA06986" w14:textId="493FA084" w:rsidR="00964CA9" w:rsidRPr="00E52C22" w:rsidRDefault="00964CA9" w:rsidP="00964CA9">
      <w:pPr>
        <w:pStyle w:val="LI-BodyTextNumbered"/>
        <w:ind w:left="567"/>
        <w:rPr>
          <w:b/>
          <w:i/>
          <w:iCs/>
        </w:rPr>
      </w:pPr>
      <w:r>
        <w:rPr>
          <w:b/>
        </w:rPr>
        <w:t>5</w:t>
      </w:r>
      <w:r w:rsidRPr="00E52C22">
        <w:rPr>
          <w:b/>
        </w:rPr>
        <w:tab/>
        <w:t>Subrule 2.2.</w:t>
      </w:r>
      <w:r>
        <w:rPr>
          <w:b/>
        </w:rPr>
        <w:t>2</w:t>
      </w:r>
      <w:r w:rsidRPr="00E52C22">
        <w:rPr>
          <w:b/>
        </w:rPr>
        <w:t>(</w:t>
      </w:r>
      <w:r>
        <w:rPr>
          <w:b/>
        </w:rPr>
        <w:t>1</w:t>
      </w:r>
      <w:r w:rsidRPr="00E52C22">
        <w:rPr>
          <w:b/>
        </w:rPr>
        <w:t>)</w:t>
      </w:r>
    </w:p>
    <w:p w14:paraId="03FD1F10" w14:textId="4CBCC10F" w:rsidR="00964CA9" w:rsidRDefault="00964CA9" w:rsidP="00964CA9">
      <w:pPr>
        <w:pStyle w:val="LI-BodyTextNumbered"/>
        <w:spacing w:after="240"/>
        <w:ind w:left="567" w:firstLine="0"/>
      </w:pPr>
      <w:r w:rsidRPr="00E52C22">
        <w:t>Omit</w:t>
      </w:r>
      <w:r>
        <w:t xml:space="preserve"> “Where</w:t>
      </w:r>
      <w:r w:rsidR="009642AA">
        <w:t>”</w:t>
      </w:r>
      <w:r w:rsidR="00EA284B">
        <w:t>, substitute</w:t>
      </w:r>
      <w:r w:rsidR="00A6061B">
        <w:t xml:space="preserve"> “</w:t>
      </w:r>
      <w:r w:rsidR="00894219">
        <w:t>Subject to subrule (4), w</w:t>
      </w:r>
      <w:r w:rsidR="00894219" w:rsidRPr="00F76596">
        <w:t>here</w:t>
      </w:r>
      <w:r w:rsidR="00894219">
        <w:t>”</w:t>
      </w:r>
      <w:r>
        <w:t>.</w:t>
      </w:r>
    </w:p>
    <w:p w14:paraId="68334621" w14:textId="315941F7" w:rsidR="00C87600" w:rsidRPr="00E52C22" w:rsidRDefault="00BF2CF3" w:rsidP="00C87600">
      <w:pPr>
        <w:pStyle w:val="LI-BodyTextNumbered"/>
        <w:ind w:left="567"/>
        <w:rPr>
          <w:b/>
          <w:i/>
          <w:iCs/>
        </w:rPr>
      </w:pPr>
      <w:r>
        <w:rPr>
          <w:b/>
        </w:rPr>
        <w:t>6</w:t>
      </w:r>
      <w:r w:rsidR="00C87600" w:rsidRPr="00E52C22">
        <w:rPr>
          <w:b/>
        </w:rPr>
        <w:tab/>
        <w:t>Subrule 2.2.</w:t>
      </w:r>
      <w:r w:rsidR="00C87600">
        <w:rPr>
          <w:b/>
        </w:rPr>
        <w:t>2</w:t>
      </w:r>
      <w:r w:rsidR="00C87600" w:rsidRPr="00E52C22">
        <w:rPr>
          <w:b/>
        </w:rPr>
        <w:t>(</w:t>
      </w:r>
      <w:r w:rsidR="00207E8B">
        <w:rPr>
          <w:b/>
        </w:rPr>
        <w:t>2</w:t>
      </w:r>
      <w:r w:rsidR="00C87600" w:rsidRPr="00E52C22">
        <w:rPr>
          <w:b/>
        </w:rPr>
        <w:t>)</w:t>
      </w:r>
    </w:p>
    <w:p w14:paraId="12164286" w14:textId="5FB62ED1" w:rsidR="00C87600" w:rsidRPr="00E52C22" w:rsidRDefault="00C87600" w:rsidP="00C87600">
      <w:pPr>
        <w:pStyle w:val="LI-BodyTextNumbered"/>
        <w:spacing w:after="240"/>
        <w:ind w:left="567" w:firstLine="0"/>
      </w:pPr>
      <w:r w:rsidRPr="00E52C22">
        <w:t>Omit</w:t>
      </w:r>
      <w:r>
        <w:t xml:space="preserve"> “</w:t>
      </w:r>
      <w:r w:rsidR="00207E8B">
        <w:t>subrule</w:t>
      </w:r>
      <w:r w:rsidR="00E77CF0">
        <w:t xml:space="preserve"> (3)</w:t>
      </w:r>
      <w:r>
        <w:t>”, substitute “</w:t>
      </w:r>
      <w:r w:rsidR="00E77CF0">
        <w:t xml:space="preserve">subrules (3) and </w:t>
      </w:r>
      <w:r>
        <w:t>(4)”.</w:t>
      </w:r>
    </w:p>
    <w:p w14:paraId="5DDE0FB8" w14:textId="26CAE79C" w:rsidR="00BF2CF3" w:rsidRPr="00E52C22" w:rsidRDefault="00BF2CF3" w:rsidP="00BF2CF3">
      <w:pPr>
        <w:pStyle w:val="LI-BodyTextNumbered"/>
        <w:ind w:left="567"/>
        <w:rPr>
          <w:b/>
          <w:i/>
          <w:iCs/>
        </w:rPr>
      </w:pPr>
      <w:r>
        <w:rPr>
          <w:b/>
        </w:rPr>
        <w:t>7</w:t>
      </w:r>
      <w:r w:rsidRPr="00E52C22">
        <w:rPr>
          <w:b/>
        </w:rPr>
        <w:tab/>
      </w:r>
      <w:r w:rsidR="006F72FE">
        <w:rPr>
          <w:b/>
        </w:rPr>
        <w:t xml:space="preserve">Rule </w:t>
      </w:r>
      <w:r w:rsidRPr="00E52C22">
        <w:rPr>
          <w:b/>
        </w:rPr>
        <w:t>2.2.</w:t>
      </w:r>
      <w:r>
        <w:rPr>
          <w:b/>
        </w:rPr>
        <w:t>2</w:t>
      </w:r>
      <w:r w:rsidR="006F72FE">
        <w:rPr>
          <w:b/>
        </w:rPr>
        <w:t xml:space="preserve"> (after subrule</w:t>
      </w:r>
      <w:r w:rsidRPr="00E52C22">
        <w:rPr>
          <w:b/>
        </w:rPr>
        <w:t>(</w:t>
      </w:r>
      <w:r>
        <w:rPr>
          <w:b/>
        </w:rPr>
        <w:t>3</w:t>
      </w:r>
      <w:r w:rsidRPr="00E52C22">
        <w:rPr>
          <w:b/>
        </w:rPr>
        <w:t>)</w:t>
      </w:r>
      <w:r w:rsidR="00A0303C">
        <w:rPr>
          <w:b/>
        </w:rPr>
        <w:t>)</w:t>
      </w:r>
    </w:p>
    <w:p w14:paraId="0F765AB9" w14:textId="77777777" w:rsidR="00E0425F" w:rsidRDefault="00A0303C" w:rsidP="00BF2CF3">
      <w:pPr>
        <w:pStyle w:val="LI-BodyTextNumbered"/>
        <w:spacing w:after="240"/>
        <w:ind w:left="567" w:firstLine="0"/>
      </w:pPr>
      <w:r>
        <w:t>Insert</w:t>
      </w:r>
      <w:r w:rsidR="00E0425F">
        <w:t>:</w:t>
      </w:r>
    </w:p>
    <w:p w14:paraId="1ABC0D3E" w14:textId="78ED94B8" w:rsidR="00073A4E" w:rsidRPr="00F76596" w:rsidRDefault="00073A4E" w:rsidP="00073A4E">
      <w:pPr>
        <w:pStyle w:val="MIRBodyText"/>
      </w:pPr>
      <w:r>
        <w:t xml:space="preserve">(4) A Reporting Entity is not required to comply with the requirements of subrule (1) in relation to information about an OTC Derivative that has been reported to a Prescribed Repository </w:t>
      </w:r>
      <w:r w:rsidR="00811612">
        <w:t>before</w:t>
      </w:r>
      <w:r>
        <w:t xml:space="preserve"> 20 October 2025.</w:t>
      </w:r>
    </w:p>
    <w:p w14:paraId="2BBE1FAF" w14:textId="64385721" w:rsidR="00BD6AB8" w:rsidRPr="00BD6AB8" w:rsidRDefault="0032542E" w:rsidP="00BD6AB8">
      <w:pPr>
        <w:pStyle w:val="LI-BodyTextNumbered"/>
        <w:ind w:left="567"/>
        <w:rPr>
          <w:b/>
          <w:i/>
          <w:iCs/>
        </w:rPr>
      </w:pPr>
      <w:r>
        <w:rPr>
          <w:b/>
        </w:rPr>
        <w:t>8</w:t>
      </w:r>
      <w:r w:rsidR="00BD6AB8" w:rsidRPr="00BD6AB8">
        <w:rPr>
          <w:b/>
        </w:rPr>
        <w:tab/>
      </w:r>
      <w:r w:rsidR="00BD6AB8">
        <w:rPr>
          <w:b/>
        </w:rPr>
        <w:t>Subrule</w:t>
      </w:r>
      <w:r w:rsidR="00995105">
        <w:rPr>
          <w:b/>
        </w:rPr>
        <w:t xml:space="preserve"> </w:t>
      </w:r>
      <w:r w:rsidR="00BD6AB8" w:rsidRPr="00BD6AB8">
        <w:rPr>
          <w:b/>
        </w:rPr>
        <w:t>2.2.</w:t>
      </w:r>
      <w:r w:rsidR="00995105">
        <w:rPr>
          <w:b/>
        </w:rPr>
        <w:t>9</w:t>
      </w:r>
      <w:r w:rsidR="00BD6AB8" w:rsidRPr="00BD6AB8">
        <w:rPr>
          <w:b/>
        </w:rPr>
        <w:t>(</w:t>
      </w:r>
      <w:r w:rsidR="00995105">
        <w:rPr>
          <w:b/>
        </w:rPr>
        <w:t>1</w:t>
      </w:r>
      <w:r w:rsidR="00BD6AB8" w:rsidRPr="00BD6AB8">
        <w:rPr>
          <w:b/>
        </w:rPr>
        <w:t>)</w:t>
      </w:r>
    </w:p>
    <w:p w14:paraId="72700366" w14:textId="51FC9B24" w:rsidR="00335D8C" w:rsidRDefault="00BD6AB8" w:rsidP="00E26017">
      <w:pPr>
        <w:pStyle w:val="LI-BodyTextNumbered"/>
        <w:spacing w:after="240"/>
        <w:ind w:left="567" w:firstLine="0"/>
        <w:rPr>
          <w:b/>
          <w:kern w:val="28"/>
          <w:sz w:val="32"/>
        </w:rPr>
      </w:pPr>
      <w:r w:rsidRPr="00BD6AB8">
        <w:t xml:space="preserve">Omit </w:t>
      </w:r>
      <w:r w:rsidR="00995105">
        <w:t>the note.</w:t>
      </w:r>
      <w:r w:rsidR="00335D8C">
        <w:br w:type="page"/>
      </w:r>
    </w:p>
    <w:p w14:paraId="6625E634" w14:textId="2AD08D40" w:rsidR="002F6861" w:rsidRPr="00F61B09" w:rsidRDefault="002F6861" w:rsidP="002F6861">
      <w:pPr>
        <w:pStyle w:val="LI-Heading1"/>
      </w:pPr>
      <w:bookmarkStart w:id="44" w:name="_Toc170218457"/>
      <w:bookmarkStart w:id="45" w:name="_Toc175132710"/>
      <w:bookmarkStart w:id="46" w:name="_Toc175135975"/>
      <w:r>
        <w:lastRenderedPageBreak/>
        <w:t xml:space="preserve">Schedule </w:t>
      </w:r>
      <w:r w:rsidR="007E2F1B">
        <w:t>5</w:t>
      </w:r>
      <w:r w:rsidRPr="00F61B09">
        <w:t>—</w:t>
      </w:r>
      <w:r>
        <w:t>Amendments</w:t>
      </w:r>
      <w:bookmarkEnd w:id="44"/>
      <w:bookmarkEnd w:id="45"/>
      <w:bookmarkEnd w:id="46"/>
    </w:p>
    <w:p w14:paraId="56FD46BC" w14:textId="3FED85FB" w:rsidR="002F6861" w:rsidRPr="006A0395" w:rsidRDefault="002F6861" w:rsidP="002F6861">
      <w:pPr>
        <w:pStyle w:val="LI-Heading2"/>
        <w:rPr>
          <w:i/>
          <w:iCs/>
          <w:sz w:val="28"/>
          <w:szCs w:val="28"/>
        </w:rPr>
      </w:pPr>
      <w:bookmarkStart w:id="47" w:name="_Toc170218458"/>
      <w:bookmarkStart w:id="48" w:name="_Toc175132711"/>
      <w:bookmarkStart w:id="49" w:name="_Toc175135976"/>
      <w:r w:rsidRPr="5368F293">
        <w:rPr>
          <w:i/>
          <w:iCs/>
          <w:sz w:val="28"/>
          <w:szCs w:val="28"/>
        </w:rPr>
        <w:t>ASIC Derivative Transaction Rules (</w:t>
      </w:r>
      <w:r w:rsidR="00791AF8">
        <w:rPr>
          <w:i/>
          <w:iCs/>
          <w:sz w:val="28"/>
          <w:szCs w:val="28"/>
        </w:rPr>
        <w:t>Clearing</w:t>
      </w:r>
      <w:r w:rsidRPr="5368F293">
        <w:rPr>
          <w:i/>
          <w:iCs/>
          <w:sz w:val="28"/>
          <w:szCs w:val="28"/>
        </w:rPr>
        <w:t>) 20</w:t>
      </w:r>
      <w:r w:rsidR="00791AF8">
        <w:rPr>
          <w:i/>
          <w:iCs/>
          <w:sz w:val="28"/>
          <w:szCs w:val="28"/>
        </w:rPr>
        <w:t>15</w:t>
      </w:r>
      <w:bookmarkEnd w:id="47"/>
      <w:bookmarkEnd w:id="48"/>
      <w:bookmarkEnd w:id="49"/>
    </w:p>
    <w:p w14:paraId="4D8F7F13" w14:textId="6602E2EE" w:rsidR="002F6861" w:rsidRPr="000E0924" w:rsidRDefault="002F6861" w:rsidP="002F6861">
      <w:pPr>
        <w:pStyle w:val="LI-BodyTextNumbered"/>
        <w:ind w:left="567"/>
        <w:rPr>
          <w:b/>
          <w:i/>
          <w:iCs/>
        </w:rPr>
      </w:pPr>
      <w:r w:rsidRPr="00CA3A25">
        <w:rPr>
          <w:b/>
        </w:rPr>
        <w:t>1</w:t>
      </w:r>
      <w:r w:rsidRPr="00CA3A25">
        <w:rPr>
          <w:b/>
        </w:rPr>
        <w:tab/>
      </w:r>
      <w:r>
        <w:rPr>
          <w:b/>
        </w:rPr>
        <w:t>Rule 1.2.</w:t>
      </w:r>
      <w:r w:rsidR="008335D4">
        <w:rPr>
          <w:b/>
        </w:rPr>
        <w:t>1</w:t>
      </w:r>
      <w:r>
        <w:rPr>
          <w:b/>
        </w:rPr>
        <w:t xml:space="preserve"> (definition of </w:t>
      </w:r>
      <w:r w:rsidR="008335D4">
        <w:rPr>
          <w:b/>
          <w:i/>
          <w:iCs/>
        </w:rPr>
        <w:t>Derivative Transaction</w:t>
      </w:r>
      <w:r>
        <w:rPr>
          <w:b/>
          <w:i/>
          <w:iCs/>
        </w:rPr>
        <w:t>)</w:t>
      </w:r>
    </w:p>
    <w:p w14:paraId="150AE182" w14:textId="77777777" w:rsidR="002F6861" w:rsidRDefault="002F6861" w:rsidP="002F6861">
      <w:pPr>
        <w:pStyle w:val="LI-BodyTextNumbered"/>
      </w:pPr>
      <w:r>
        <w:t>Omit “section 761A”, substitute “section 9”.</w:t>
      </w:r>
    </w:p>
    <w:p w14:paraId="50FA7A88" w14:textId="3EFAA5B9" w:rsidR="006A2415" w:rsidRPr="000E0924" w:rsidRDefault="006A2415" w:rsidP="006A2415">
      <w:pPr>
        <w:pStyle w:val="LI-BodyTextNumbered"/>
        <w:ind w:left="567"/>
        <w:rPr>
          <w:b/>
          <w:i/>
          <w:iCs/>
        </w:rPr>
      </w:pPr>
      <w:r>
        <w:rPr>
          <w:b/>
        </w:rPr>
        <w:t>2</w:t>
      </w:r>
      <w:r w:rsidRPr="00CA3A25">
        <w:rPr>
          <w:b/>
        </w:rPr>
        <w:tab/>
      </w:r>
      <w:r>
        <w:rPr>
          <w:b/>
        </w:rPr>
        <w:t>Rule 1.2.1 (</w:t>
      </w:r>
      <w:r w:rsidR="00CB3E81">
        <w:rPr>
          <w:b/>
        </w:rPr>
        <w:t xml:space="preserve">note to </w:t>
      </w:r>
      <w:r>
        <w:rPr>
          <w:b/>
        </w:rPr>
        <w:t xml:space="preserve">definition of </w:t>
      </w:r>
      <w:r>
        <w:rPr>
          <w:b/>
          <w:i/>
          <w:iCs/>
        </w:rPr>
        <w:t>De</w:t>
      </w:r>
      <w:r w:rsidR="00CB3E81">
        <w:rPr>
          <w:b/>
          <w:i/>
          <w:iCs/>
        </w:rPr>
        <w:t>termined Clearing Class</w:t>
      </w:r>
      <w:r>
        <w:rPr>
          <w:b/>
          <w:i/>
          <w:iCs/>
        </w:rPr>
        <w:t>)</w:t>
      </w:r>
    </w:p>
    <w:p w14:paraId="343B8621" w14:textId="28DEC4D4" w:rsidR="006A2415" w:rsidRDefault="006A2415" w:rsidP="006A2415">
      <w:pPr>
        <w:pStyle w:val="LI-BodyTextNumbered"/>
      </w:pPr>
      <w:r>
        <w:t xml:space="preserve">Omit “section </w:t>
      </w:r>
      <w:r w:rsidR="0033574B">
        <w:t>5</w:t>
      </w:r>
      <w:r>
        <w:t xml:space="preserve">”, substitute “section </w:t>
      </w:r>
      <w:r w:rsidR="007F367D">
        <w:t>7</w:t>
      </w:r>
      <w:r>
        <w:t>”.</w:t>
      </w:r>
    </w:p>
    <w:p w14:paraId="59A67D96" w14:textId="110AF31A" w:rsidR="007F367D" w:rsidRPr="000E0924" w:rsidRDefault="007F367D" w:rsidP="007F367D">
      <w:pPr>
        <w:pStyle w:val="LI-BodyTextNumbered"/>
        <w:ind w:left="567"/>
        <w:rPr>
          <w:b/>
          <w:i/>
          <w:iCs/>
        </w:rPr>
      </w:pPr>
      <w:r>
        <w:rPr>
          <w:b/>
        </w:rPr>
        <w:t>3</w:t>
      </w:r>
      <w:r w:rsidRPr="00CA3A25">
        <w:rPr>
          <w:b/>
        </w:rPr>
        <w:tab/>
      </w:r>
      <w:r>
        <w:rPr>
          <w:b/>
        </w:rPr>
        <w:t xml:space="preserve">Rule 1.2.1 (note to definition of </w:t>
      </w:r>
      <w:r>
        <w:rPr>
          <w:b/>
          <w:i/>
          <w:iCs/>
        </w:rPr>
        <w:t>Determined Clearing Class)</w:t>
      </w:r>
    </w:p>
    <w:p w14:paraId="632CD382" w14:textId="2B266AB7" w:rsidR="007F367D" w:rsidRDefault="007F367D" w:rsidP="007F367D">
      <w:pPr>
        <w:pStyle w:val="LI-BodyTextNumbered"/>
      </w:pPr>
      <w:r>
        <w:t>Omit “2013”, substitute “2023”.</w:t>
      </w:r>
    </w:p>
    <w:p w14:paraId="08C8FE69" w14:textId="614D4AB3" w:rsidR="007F367D" w:rsidRPr="000E0924" w:rsidRDefault="007F367D" w:rsidP="007F367D">
      <w:pPr>
        <w:pStyle w:val="LI-BodyTextNumbered"/>
        <w:ind w:left="567"/>
        <w:rPr>
          <w:b/>
          <w:i/>
          <w:iCs/>
        </w:rPr>
      </w:pPr>
      <w:r>
        <w:rPr>
          <w:b/>
        </w:rPr>
        <w:t>4</w:t>
      </w:r>
      <w:r w:rsidRPr="00CA3A25">
        <w:rPr>
          <w:b/>
        </w:rPr>
        <w:tab/>
      </w:r>
      <w:r>
        <w:rPr>
          <w:b/>
        </w:rPr>
        <w:t xml:space="preserve">Rule 1.2.1 (definition of </w:t>
      </w:r>
      <w:r>
        <w:rPr>
          <w:b/>
          <w:i/>
          <w:iCs/>
        </w:rPr>
        <w:t>Exempt Financial Market)</w:t>
      </w:r>
    </w:p>
    <w:p w14:paraId="21D4A85C" w14:textId="2E85D518" w:rsidR="007F367D" w:rsidRDefault="00316100" w:rsidP="007F367D">
      <w:pPr>
        <w:pStyle w:val="LI-BodyTextNumbered"/>
      </w:pPr>
      <w:r>
        <w:t>Repeal the definition.</w:t>
      </w:r>
    </w:p>
    <w:p w14:paraId="4AF8478C" w14:textId="4C6C58A3" w:rsidR="00981D5A" w:rsidRPr="000E0924" w:rsidRDefault="00981D5A" w:rsidP="00981D5A">
      <w:pPr>
        <w:pStyle w:val="LI-BodyTextNumbered"/>
        <w:ind w:left="567"/>
        <w:rPr>
          <w:b/>
          <w:i/>
          <w:iCs/>
        </w:rPr>
      </w:pPr>
      <w:r>
        <w:rPr>
          <w:b/>
        </w:rPr>
        <w:t>5</w:t>
      </w:r>
      <w:r w:rsidRPr="00CA3A25">
        <w:rPr>
          <w:b/>
        </w:rPr>
        <w:tab/>
      </w:r>
      <w:r>
        <w:rPr>
          <w:b/>
        </w:rPr>
        <w:t xml:space="preserve">Rule 1.2.1 (definition of </w:t>
      </w:r>
      <w:r>
        <w:rPr>
          <w:b/>
          <w:i/>
          <w:iCs/>
        </w:rPr>
        <w:t>Licensed CS Facility)</w:t>
      </w:r>
    </w:p>
    <w:p w14:paraId="31DD9BE1" w14:textId="77777777" w:rsidR="00981D5A" w:rsidRDefault="00981D5A" w:rsidP="00981D5A">
      <w:pPr>
        <w:pStyle w:val="LI-BodyTextNumbered"/>
      </w:pPr>
      <w:r>
        <w:t>Omit “section 761A”, substitute “section 9”.</w:t>
      </w:r>
    </w:p>
    <w:p w14:paraId="36662E03" w14:textId="4D4D33CA" w:rsidR="000070DA" w:rsidRPr="000E0924" w:rsidRDefault="000070DA" w:rsidP="000070DA">
      <w:pPr>
        <w:pStyle w:val="LI-BodyTextNumbered"/>
        <w:ind w:left="567"/>
        <w:rPr>
          <w:b/>
          <w:i/>
          <w:iCs/>
        </w:rPr>
      </w:pPr>
      <w:r>
        <w:rPr>
          <w:b/>
        </w:rPr>
        <w:t>6</w:t>
      </w:r>
      <w:r w:rsidRPr="00CA3A25">
        <w:rPr>
          <w:b/>
        </w:rPr>
        <w:tab/>
      </w:r>
      <w:r>
        <w:rPr>
          <w:b/>
        </w:rPr>
        <w:t xml:space="preserve">Rule 1.2.1 (definition of </w:t>
      </w:r>
      <w:r>
        <w:rPr>
          <w:b/>
          <w:i/>
          <w:iCs/>
        </w:rPr>
        <w:t>Part 7.2A Market)</w:t>
      </w:r>
    </w:p>
    <w:p w14:paraId="08FFE809" w14:textId="77777777" w:rsidR="000070DA" w:rsidRDefault="000070DA" w:rsidP="000070DA">
      <w:pPr>
        <w:pStyle w:val="LI-BodyTextNumbered"/>
      </w:pPr>
      <w:r>
        <w:t>Repeal the definition.</w:t>
      </w:r>
    </w:p>
    <w:p w14:paraId="257FA544" w14:textId="1B546332" w:rsidR="00A71904" w:rsidRPr="000E0924" w:rsidRDefault="00A71904" w:rsidP="00A71904">
      <w:pPr>
        <w:pStyle w:val="LI-BodyTextNumbered"/>
        <w:ind w:left="567"/>
        <w:rPr>
          <w:b/>
          <w:i/>
          <w:iCs/>
        </w:rPr>
      </w:pPr>
      <w:r>
        <w:rPr>
          <w:b/>
        </w:rPr>
        <w:t>7</w:t>
      </w:r>
      <w:r w:rsidRPr="00CA3A25">
        <w:rPr>
          <w:b/>
        </w:rPr>
        <w:tab/>
      </w:r>
      <w:r>
        <w:rPr>
          <w:b/>
        </w:rPr>
        <w:t xml:space="preserve">Rule 1.2.1 (after the definition of </w:t>
      </w:r>
      <w:r>
        <w:rPr>
          <w:b/>
          <w:i/>
          <w:iCs/>
        </w:rPr>
        <w:t>Overnight Index Swap)</w:t>
      </w:r>
    </w:p>
    <w:p w14:paraId="2CF3E105" w14:textId="77777777" w:rsidR="00A71904" w:rsidRDefault="00A71904" w:rsidP="00A71904">
      <w:pPr>
        <w:pStyle w:val="LI-BodyTextNumbered"/>
      </w:pPr>
      <w:r>
        <w:t>Insert:</w:t>
      </w:r>
    </w:p>
    <w:p w14:paraId="230C42F4" w14:textId="6D4D0583" w:rsidR="00A71904" w:rsidRDefault="009108D6" w:rsidP="00A71904">
      <w:pPr>
        <w:pStyle w:val="MIRBodyText"/>
      </w:pPr>
      <w:r>
        <w:rPr>
          <w:b/>
          <w:bCs/>
          <w:i/>
          <w:iCs/>
        </w:rPr>
        <w:t xml:space="preserve">OTC Derivative </w:t>
      </w:r>
      <w:r>
        <w:t>has the meaning given by rule 1.2.4 of the Reporting Rules.</w:t>
      </w:r>
    </w:p>
    <w:p w14:paraId="0BC81EC9" w14:textId="1DC02022" w:rsidR="00655632" w:rsidRPr="000E0924" w:rsidRDefault="00072FDB" w:rsidP="00655632">
      <w:pPr>
        <w:pStyle w:val="LI-BodyTextNumbered"/>
        <w:ind w:left="567"/>
        <w:rPr>
          <w:b/>
          <w:i/>
          <w:iCs/>
        </w:rPr>
      </w:pPr>
      <w:r>
        <w:rPr>
          <w:b/>
        </w:rPr>
        <w:t>8</w:t>
      </w:r>
      <w:r w:rsidR="00655632" w:rsidRPr="00CA3A25">
        <w:rPr>
          <w:b/>
        </w:rPr>
        <w:tab/>
      </w:r>
      <w:r w:rsidR="00655632">
        <w:rPr>
          <w:b/>
        </w:rPr>
        <w:t xml:space="preserve">Rule 1.2.1 (definition of </w:t>
      </w:r>
      <w:r w:rsidR="00655632">
        <w:rPr>
          <w:b/>
          <w:i/>
          <w:iCs/>
        </w:rPr>
        <w:t>Regulated Foreign Market)</w:t>
      </w:r>
    </w:p>
    <w:p w14:paraId="1751B1E8" w14:textId="77777777" w:rsidR="00655632" w:rsidRDefault="00655632" w:rsidP="00655632">
      <w:pPr>
        <w:pStyle w:val="LI-BodyTextNumbered"/>
      </w:pPr>
      <w:r>
        <w:t>Repeal the definition.</w:t>
      </w:r>
    </w:p>
    <w:p w14:paraId="219D4E5E" w14:textId="0FE3A55A" w:rsidR="00635E1F" w:rsidRPr="000E0924" w:rsidRDefault="00072FDB" w:rsidP="00635E1F">
      <w:pPr>
        <w:pStyle w:val="LI-BodyTextNumbered"/>
        <w:ind w:left="567"/>
        <w:rPr>
          <w:b/>
          <w:i/>
          <w:iCs/>
        </w:rPr>
      </w:pPr>
      <w:r>
        <w:rPr>
          <w:b/>
        </w:rPr>
        <w:t>9</w:t>
      </w:r>
      <w:r w:rsidR="00635E1F" w:rsidRPr="00CA3A25">
        <w:rPr>
          <w:b/>
        </w:rPr>
        <w:tab/>
      </w:r>
      <w:r w:rsidR="00F35033">
        <w:rPr>
          <w:b/>
        </w:rPr>
        <w:t>Subr</w:t>
      </w:r>
      <w:r w:rsidR="00635E1F">
        <w:rPr>
          <w:b/>
        </w:rPr>
        <w:t>ule 1.2.</w:t>
      </w:r>
      <w:r w:rsidR="00F35033">
        <w:rPr>
          <w:b/>
        </w:rPr>
        <w:t>3(1)</w:t>
      </w:r>
    </w:p>
    <w:p w14:paraId="2AD430B6" w14:textId="614DF86F" w:rsidR="00635E1F" w:rsidRDefault="00D569AB" w:rsidP="00635E1F">
      <w:pPr>
        <w:pStyle w:val="LI-BodyTextNumbered"/>
      </w:pPr>
      <w:r>
        <w:t>Omit the subrule, substitute:</w:t>
      </w:r>
    </w:p>
    <w:p w14:paraId="467A2651" w14:textId="77777777" w:rsidR="000F1761" w:rsidRPr="003D42A5" w:rsidRDefault="000F1761" w:rsidP="000F1761">
      <w:pPr>
        <w:pStyle w:val="MIRBodyText"/>
      </w:pPr>
      <w:r w:rsidRPr="003D42A5">
        <w:t>(1) Subject to subrules (6) to (</w:t>
      </w:r>
      <w:r>
        <w:t>7</w:t>
      </w:r>
      <w:r w:rsidRPr="003D42A5">
        <w:t xml:space="preserve">), a Derivative is a </w:t>
      </w:r>
      <w:r w:rsidRPr="003D42A5">
        <w:rPr>
          <w:b/>
          <w:bCs/>
          <w:i/>
          <w:iCs/>
        </w:rPr>
        <w:t xml:space="preserve">Clearing Derivative </w:t>
      </w:r>
      <w:r w:rsidRPr="003D42A5">
        <w:t>if the Derivative:</w:t>
      </w:r>
    </w:p>
    <w:p w14:paraId="571CD082" w14:textId="77777777" w:rsidR="000F1761" w:rsidRDefault="000F1761" w:rsidP="000F1761">
      <w:pPr>
        <w:pStyle w:val="MIRSubpara"/>
        <w:tabs>
          <w:tab w:val="clear" w:pos="1134"/>
          <w:tab w:val="num" w:pos="1276"/>
        </w:tabs>
        <w:ind w:left="1276"/>
      </w:pPr>
      <w:r>
        <w:t>is an OTC Derivative; and</w:t>
      </w:r>
    </w:p>
    <w:p w14:paraId="0777F853" w14:textId="77777777" w:rsidR="000F1761" w:rsidRPr="003D42A5" w:rsidRDefault="000F1761" w:rsidP="000F1761">
      <w:pPr>
        <w:pStyle w:val="MIRSubpara"/>
        <w:tabs>
          <w:tab w:val="clear" w:pos="1134"/>
          <w:tab w:val="num" w:pos="1276"/>
        </w:tabs>
        <w:ind w:left="1276"/>
      </w:pPr>
      <w:r w:rsidRPr="003D42A5">
        <w:t>is in a Determined Clearing Class; and</w:t>
      </w:r>
    </w:p>
    <w:p w14:paraId="207E4D9D" w14:textId="77777777" w:rsidR="000F1761" w:rsidRPr="003D42A5" w:rsidRDefault="000F1761" w:rsidP="000F1761">
      <w:pPr>
        <w:pStyle w:val="MIRSubpara"/>
        <w:tabs>
          <w:tab w:val="clear" w:pos="1134"/>
          <w:tab w:val="num" w:pos="1276"/>
        </w:tabs>
        <w:ind w:left="1276"/>
      </w:pPr>
      <w:r w:rsidRPr="003D42A5">
        <w:t>is a Basis Swap, Fixed-to-Floating Swap, Forward Rate Agreement or Overnight Index Swap; and</w:t>
      </w:r>
    </w:p>
    <w:p w14:paraId="28744220" w14:textId="77777777" w:rsidR="000F1761" w:rsidRPr="003D42A5" w:rsidRDefault="000F1761" w:rsidP="000F1761">
      <w:pPr>
        <w:pStyle w:val="MIRSubpara"/>
        <w:tabs>
          <w:tab w:val="clear" w:pos="1134"/>
          <w:tab w:val="num" w:pos="1276"/>
        </w:tabs>
        <w:ind w:left="1276"/>
      </w:pPr>
      <w:r w:rsidRPr="003D42A5">
        <w:t>meets the IRD Class Specifications.</w:t>
      </w:r>
    </w:p>
    <w:p w14:paraId="1EE1F7C0" w14:textId="2FEDC5CD" w:rsidR="00ED3323" w:rsidRPr="000E0924" w:rsidRDefault="00072FDB" w:rsidP="00ED3323">
      <w:pPr>
        <w:pStyle w:val="LI-BodyTextNumbered"/>
        <w:ind w:left="567"/>
        <w:rPr>
          <w:b/>
          <w:i/>
          <w:iCs/>
        </w:rPr>
      </w:pPr>
      <w:r>
        <w:rPr>
          <w:b/>
        </w:rPr>
        <w:lastRenderedPageBreak/>
        <w:t>10</w:t>
      </w:r>
      <w:r w:rsidR="00ED3323" w:rsidRPr="00CA3A25">
        <w:rPr>
          <w:b/>
        </w:rPr>
        <w:tab/>
      </w:r>
      <w:r w:rsidR="00ED3323">
        <w:rPr>
          <w:b/>
        </w:rPr>
        <w:t>Subrule 1.2.3(7)</w:t>
      </w:r>
    </w:p>
    <w:p w14:paraId="5DEA3D37" w14:textId="0B9561D4" w:rsidR="00ED3323" w:rsidRDefault="001B422C" w:rsidP="00ED3323">
      <w:pPr>
        <w:pStyle w:val="LI-BodyTextNumbered"/>
      </w:pPr>
      <w:r>
        <w:t xml:space="preserve">Repeal the </w:t>
      </w:r>
      <w:r w:rsidR="00ED3323">
        <w:t>subrule</w:t>
      </w:r>
      <w:r>
        <w:t>.</w:t>
      </w:r>
    </w:p>
    <w:p w14:paraId="4437769C" w14:textId="5B148D15" w:rsidR="001B422C" w:rsidRPr="000E0924" w:rsidRDefault="001B422C" w:rsidP="001B422C">
      <w:pPr>
        <w:pStyle w:val="LI-BodyTextNumbered"/>
        <w:ind w:left="567"/>
        <w:rPr>
          <w:b/>
          <w:i/>
          <w:iCs/>
        </w:rPr>
      </w:pPr>
      <w:r>
        <w:rPr>
          <w:b/>
        </w:rPr>
        <w:t>11</w:t>
      </w:r>
      <w:r w:rsidRPr="00CA3A25">
        <w:rPr>
          <w:b/>
        </w:rPr>
        <w:tab/>
      </w:r>
      <w:r>
        <w:rPr>
          <w:b/>
        </w:rPr>
        <w:t>Subrule 1.2.3(8)</w:t>
      </w:r>
    </w:p>
    <w:p w14:paraId="1ECE2AA5" w14:textId="718E9B32" w:rsidR="001B422C" w:rsidRDefault="00CF28BC" w:rsidP="001B422C">
      <w:pPr>
        <w:pStyle w:val="LI-BodyTextNumbered"/>
      </w:pPr>
      <w:r>
        <w:t>Omit “(8)”, substitute “(7)”.</w:t>
      </w:r>
    </w:p>
    <w:sectPr w:rsidR="001B422C" w:rsidSect="00086852">
      <w:headerReference w:type="default" r:id="rId35"/>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F7419" w14:textId="77777777" w:rsidR="007D5233" w:rsidRDefault="007D5233" w:rsidP="00715914">
      <w:pPr>
        <w:spacing w:line="240" w:lineRule="auto"/>
      </w:pPr>
      <w:r>
        <w:separator/>
      </w:r>
    </w:p>
  </w:endnote>
  <w:endnote w:type="continuationSeparator" w:id="0">
    <w:p w14:paraId="5A36FEF8" w14:textId="77777777" w:rsidR="007D5233" w:rsidRDefault="007D5233" w:rsidP="00715914">
      <w:pPr>
        <w:spacing w:line="240" w:lineRule="auto"/>
      </w:pPr>
      <w:r>
        <w:continuationSeparator/>
      </w:r>
    </w:p>
  </w:endnote>
  <w:endnote w:type="continuationNotice" w:id="1">
    <w:p w14:paraId="5C8C2473" w14:textId="77777777" w:rsidR="007D5233" w:rsidRDefault="007D52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12DD0F2D-8F72-43BC-9626-7BCC81C41FA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313"/>
    </w:tblGrid>
    <w:tr w:rsidR="00102CA6" w:rsidRPr="00081794" w14:paraId="68B9BDAA" w14:textId="77777777" w:rsidTr="00081794">
      <w:tc>
        <w:tcPr>
          <w:tcW w:w="8472" w:type="dxa"/>
          <w:shd w:val="clear" w:color="auto" w:fill="auto"/>
        </w:tcPr>
        <w:p w14:paraId="52E9A708" w14:textId="08AAFAF0" w:rsidR="00102CA6" w:rsidRPr="00081794" w:rsidRDefault="00A31D73" w:rsidP="00081794">
          <w:pPr>
            <w:jc w:val="right"/>
            <w:rPr>
              <w:sz w:val="18"/>
            </w:rPr>
          </w:pPr>
          <w:r>
            <w:rPr>
              <w:noProof/>
            </w:rPr>
            <mc:AlternateContent>
              <mc:Choice Requires="wps">
                <w:drawing>
                  <wp:anchor distT="0" distB="0" distL="114300" distR="114300" simplePos="0" relativeHeight="251658243" behindDoc="1" locked="0" layoutInCell="1" allowOverlap="1" wp14:anchorId="6BAAF0B4" wp14:editId="324E80AB">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44783770" w14:textId="404448BD"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BB7829">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AF0B4"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44783770" w14:textId="404448BD"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BB7829">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06250C" w:rsidRPr="00081794">
            <w:rPr>
              <w:i/>
              <w:noProof/>
              <w:sz w:val="18"/>
            </w:rPr>
            <w:t>I14KE197.v07.docx</w:t>
          </w:r>
          <w:r w:rsidR="00102CA6" w:rsidRPr="00081794">
            <w:rPr>
              <w:i/>
              <w:sz w:val="18"/>
            </w:rPr>
            <w:t xml:space="preserve"> </w:t>
          </w:r>
          <w:r w:rsidR="0006250C" w:rsidRPr="00081794">
            <w:rPr>
              <w:i/>
              <w:noProof/>
              <w:sz w:val="18"/>
            </w:rPr>
            <w:t>25/6/2014 3:37 PM</w:t>
          </w:r>
        </w:p>
      </w:tc>
    </w:tr>
  </w:tbl>
  <w:p w14:paraId="38AE01D8" w14:textId="77777777" w:rsidR="00102CA6" w:rsidRPr="007500C8" w:rsidRDefault="00102CA6"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CA59" w14:textId="13FF50DF" w:rsidR="00102CA6" w:rsidRDefault="00A31D73" w:rsidP="007500C8">
    <w:pPr>
      <w:pStyle w:val="Footer"/>
    </w:pPr>
    <w:r>
      <w:rPr>
        <w:noProof/>
      </w:rPr>
      <mc:AlternateContent>
        <mc:Choice Requires="wps">
          <w:drawing>
            <wp:anchor distT="0" distB="0" distL="114300" distR="114300" simplePos="0" relativeHeight="251658242" behindDoc="1" locked="0" layoutInCell="1" allowOverlap="1" wp14:anchorId="17E10DCC" wp14:editId="60B17C6D">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5F7E0D6"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10DCC"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65F7E0D6" w14:textId="77777777" w:rsidR="00102CA6" w:rsidRPr="00284719" w:rsidRDefault="00102CA6"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102CA6" w:rsidRPr="00081794" w14:paraId="6E9BFA6F" w14:textId="77777777" w:rsidTr="00081794">
      <w:tc>
        <w:tcPr>
          <w:tcW w:w="8472" w:type="dxa"/>
          <w:shd w:val="clear" w:color="auto" w:fill="auto"/>
        </w:tcPr>
        <w:p w14:paraId="23E3A0C9" w14:textId="77777777" w:rsidR="00102CA6" w:rsidRPr="00081794" w:rsidRDefault="00102CA6" w:rsidP="00102CA6">
          <w:pPr>
            <w:rPr>
              <w:sz w:val="18"/>
            </w:rPr>
          </w:pPr>
        </w:p>
      </w:tc>
    </w:tr>
  </w:tbl>
  <w:p w14:paraId="70E37619" w14:textId="77777777" w:rsidR="00102CA6" w:rsidRPr="007500C8" w:rsidRDefault="00102CA6"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D68D" w14:textId="77777777" w:rsidR="00102CA6" w:rsidRPr="00ED79B6" w:rsidRDefault="00102CA6"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4F47" w14:textId="77777777" w:rsidR="00102CA6" w:rsidRPr="00E2168B"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1890" w14:textId="77777777" w:rsidR="00102CA6" w:rsidRPr="00E33C1C" w:rsidRDefault="008945E0" w:rsidP="00243EC0">
    <w:pPr>
      <w:pStyle w:val="LI-Footer"/>
      <w:rPr>
        <w:sz w:val="16"/>
        <w:szCs w:val="16"/>
      </w:rPr>
    </w:pPr>
    <w:r w:rsidRPr="00A52B0F">
      <w:tab/>
    </w:r>
    <w:r w:rsidR="00D73C22">
      <w:t xml:space="preserve">Page </w:t>
    </w:r>
    <w:r w:rsidRPr="00A52B0F">
      <w:fldChar w:fldCharType="begin"/>
    </w:r>
    <w:r w:rsidRPr="00A52B0F">
      <w:instrText xml:space="preserve"> PAGE  \* Arabic  \* MERGEFORMAT </w:instrText>
    </w:r>
    <w:r w:rsidRPr="00A52B0F">
      <w:fldChar w:fldCharType="separate"/>
    </w:r>
    <w:r w:rsidR="00D66303">
      <w:rPr>
        <w:noProof/>
      </w:rPr>
      <w:t>5</w:t>
    </w:r>
    <w:r w:rsidRPr="00A52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E1AA" w14:textId="77777777" w:rsidR="00102CA6" w:rsidRPr="00243EC0"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4</w:t>
    </w:r>
    <w:r w:rsidRPr="00A52B0F">
      <w:fldChar w:fldCharType="end"/>
    </w:r>
    <w:r>
      <w:t xml:space="preserve"> </w:t>
    </w:r>
    <w:r w:rsidR="00243EC0"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EA42" w14:textId="77777777" w:rsidR="00102CA6" w:rsidRPr="00E33C1C" w:rsidRDefault="00102CA6"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102CA6" w:rsidRPr="00081794" w14:paraId="0FCADCAD" w14:textId="77777777" w:rsidTr="00081794">
      <w:tc>
        <w:tcPr>
          <w:tcW w:w="1384" w:type="dxa"/>
          <w:tcBorders>
            <w:top w:val="nil"/>
            <w:left w:val="nil"/>
            <w:bottom w:val="nil"/>
            <w:right w:val="nil"/>
          </w:tcBorders>
          <w:shd w:val="clear" w:color="auto" w:fill="auto"/>
        </w:tcPr>
        <w:p w14:paraId="3849BD92" w14:textId="77777777" w:rsidR="00102CA6" w:rsidRPr="00081794" w:rsidRDefault="00102CA6" w:rsidP="00081794">
          <w:pPr>
            <w:spacing w:line="0" w:lineRule="atLeast"/>
            <w:rPr>
              <w:sz w:val="18"/>
            </w:rPr>
          </w:pPr>
        </w:p>
      </w:tc>
      <w:tc>
        <w:tcPr>
          <w:tcW w:w="6379" w:type="dxa"/>
          <w:tcBorders>
            <w:top w:val="nil"/>
            <w:left w:val="nil"/>
            <w:bottom w:val="nil"/>
            <w:right w:val="nil"/>
          </w:tcBorders>
          <w:shd w:val="clear" w:color="auto" w:fill="auto"/>
        </w:tcPr>
        <w:p w14:paraId="7FFA4A79" w14:textId="14E0880D" w:rsidR="00102CA6" w:rsidRPr="00081794" w:rsidRDefault="00102CA6"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sidR="00BB7829">
            <w:rPr>
              <w:i/>
              <w:sz w:val="18"/>
            </w:rPr>
            <w:t>Australian Securities and Investments Commission Class Order 13/1050</w:t>
          </w:r>
          <w:r w:rsidRPr="00081794">
            <w:rPr>
              <w:i/>
              <w:sz w:val="18"/>
            </w:rPr>
            <w:fldChar w:fldCharType="end"/>
          </w:r>
        </w:p>
      </w:tc>
      <w:tc>
        <w:tcPr>
          <w:tcW w:w="709" w:type="dxa"/>
          <w:tcBorders>
            <w:top w:val="nil"/>
            <w:left w:val="nil"/>
            <w:bottom w:val="nil"/>
            <w:right w:val="nil"/>
          </w:tcBorders>
          <w:shd w:val="clear" w:color="auto" w:fill="auto"/>
        </w:tcPr>
        <w:p w14:paraId="40080C40" w14:textId="77777777" w:rsidR="00102CA6" w:rsidRPr="00081794" w:rsidRDefault="00102CA6"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sidR="00BC7183" w:rsidRPr="00081794">
            <w:rPr>
              <w:i/>
              <w:noProof/>
              <w:sz w:val="18"/>
            </w:rPr>
            <w:t>4</w:t>
          </w:r>
          <w:r w:rsidRPr="00081794">
            <w:rPr>
              <w:i/>
              <w:sz w:val="18"/>
            </w:rPr>
            <w:fldChar w:fldCharType="end"/>
          </w:r>
        </w:p>
      </w:tc>
    </w:tr>
    <w:tr w:rsidR="00102CA6" w:rsidRPr="00081794" w14:paraId="05D89832"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7480A220" w14:textId="77777777" w:rsidR="00102CA6" w:rsidRPr="00081794" w:rsidRDefault="00FA31DE" w:rsidP="00102CA6">
          <w:pPr>
            <w:rPr>
              <w:sz w:val="18"/>
            </w:rPr>
          </w:pPr>
          <w:r w:rsidRPr="00081794">
            <w:rPr>
              <w:i/>
              <w:noProof/>
              <w:sz w:val="18"/>
            </w:rPr>
            <w:t>I14KE197.v01.docx</w:t>
          </w:r>
          <w:r w:rsidR="00102CA6" w:rsidRPr="00081794">
            <w:rPr>
              <w:i/>
              <w:sz w:val="18"/>
            </w:rPr>
            <w:t xml:space="preserve"> </w:t>
          </w:r>
          <w:r w:rsidRPr="00081794">
            <w:rPr>
              <w:i/>
              <w:noProof/>
              <w:sz w:val="18"/>
            </w:rPr>
            <w:t>13/6/2014 3:07 PM</w:t>
          </w:r>
        </w:p>
      </w:tc>
    </w:tr>
  </w:tbl>
  <w:p w14:paraId="61535F4C" w14:textId="77777777" w:rsidR="00102CA6" w:rsidRPr="00ED79B6" w:rsidRDefault="00102CA6" w:rsidP="007500C8">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FF8D" w14:textId="77777777" w:rsidR="003C2E28" w:rsidRPr="00E33C1C" w:rsidRDefault="003C2E28" w:rsidP="00FE0DD7">
    <w:pPr>
      <w:pStyle w:val="LI-Footer"/>
      <w:tabs>
        <w:tab w:val="clear" w:pos="8313"/>
        <w:tab w:val="right" w:pos="13750"/>
      </w:tabs>
      <w:rPr>
        <w:sz w:val="16"/>
        <w:szCs w:val="16"/>
      </w:rPr>
    </w:pPr>
    <w:r w:rsidRPr="00A52B0F">
      <w:tab/>
    </w:r>
    <w:r>
      <w:t xml:space="preserve">Page </w:t>
    </w:r>
    <w:r w:rsidRPr="00A52B0F">
      <w:fldChar w:fldCharType="begin"/>
    </w:r>
    <w:r w:rsidRPr="00A52B0F">
      <w:instrText xml:space="preserve"> PAGE  \* Arabic  \* MERGEFORMAT </w:instrText>
    </w:r>
    <w:r w:rsidRPr="00A52B0F">
      <w:fldChar w:fldCharType="separate"/>
    </w:r>
    <w:r>
      <w:rPr>
        <w:noProof/>
      </w:rPr>
      <w:t>5</w:t>
    </w:r>
    <w:r w:rsidRPr="00A52B0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D7608" w14:textId="77777777" w:rsidR="007D5233" w:rsidRDefault="007D5233" w:rsidP="00715914">
      <w:pPr>
        <w:spacing w:line="240" w:lineRule="auto"/>
      </w:pPr>
      <w:r>
        <w:separator/>
      </w:r>
    </w:p>
  </w:footnote>
  <w:footnote w:type="continuationSeparator" w:id="0">
    <w:p w14:paraId="11DA69C0" w14:textId="77777777" w:rsidR="007D5233" w:rsidRDefault="007D5233" w:rsidP="00715914">
      <w:pPr>
        <w:spacing w:line="240" w:lineRule="auto"/>
      </w:pPr>
      <w:r>
        <w:continuationSeparator/>
      </w:r>
    </w:p>
  </w:footnote>
  <w:footnote w:type="continuationNotice" w:id="1">
    <w:p w14:paraId="3D9397EE" w14:textId="77777777" w:rsidR="007D5233" w:rsidRDefault="007D52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4754" w14:textId="7E4C7838" w:rsidR="00102CA6" w:rsidRPr="005F1388" w:rsidRDefault="00A31D73"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75D63EFA" wp14:editId="18CCA7C2">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FDB0DDF" w14:textId="25D41E90"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BB7829">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63EFA"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2FDB0DDF" w14:textId="25D41E90"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BB7829">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26D8" w14:textId="77777777" w:rsidR="003C2E28" w:rsidRPr="00243EC0" w:rsidRDefault="003C2E28"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379"/>
      <w:gridCol w:w="1934"/>
    </w:tblGrid>
    <w:tr w:rsidR="003C2E28" w:rsidRPr="00E40FF8" w14:paraId="33724F20" w14:textId="77777777" w:rsidTr="0011587F">
      <w:tc>
        <w:tcPr>
          <w:tcW w:w="6379" w:type="dxa"/>
          <w:shd w:val="clear" w:color="auto" w:fill="auto"/>
        </w:tcPr>
        <w:p w14:paraId="366A8486" w14:textId="75402458" w:rsidR="003C2E28" w:rsidRDefault="003C2E28" w:rsidP="00E40FF8">
          <w:pPr>
            <w:pStyle w:val="LI-Header"/>
            <w:pBdr>
              <w:bottom w:val="none" w:sz="0" w:space="0" w:color="auto"/>
            </w:pBdr>
            <w:jc w:val="left"/>
          </w:pPr>
          <w:r>
            <w:fldChar w:fldCharType="begin"/>
          </w:r>
          <w:r>
            <w:instrText>STYLEREF  "LI - Title"</w:instrText>
          </w:r>
          <w:r>
            <w:fldChar w:fldCharType="separate"/>
          </w:r>
          <w:r w:rsidR="003142F6">
            <w:rPr>
              <w:noProof/>
            </w:rPr>
            <w:t>ASIC Derivative Transaction Rules (Reporting and Clearing) Amendment Instrument 2024/416</w:t>
          </w:r>
          <w:r>
            <w:fldChar w:fldCharType="end"/>
          </w:r>
        </w:p>
      </w:tc>
      <w:tc>
        <w:tcPr>
          <w:tcW w:w="1934" w:type="dxa"/>
          <w:shd w:val="clear" w:color="auto" w:fill="auto"/>
        </w:tcPr>
        <w:p w14:paraId="2F6AE8D0" w14:textId="1AA1B503" w:rsidR="003C2E28" w:rsidRDefault="003C2E28" w:rsidP="00E40FF8">
          <w:pPr>
            <w:pStyle w:val="LI-Header"/>
            <w:pBdr>
              <w:bottom w:val="none" w:sz="0" w:space="0" w:color="auto"/>
            </w:pBdr>
          </w:pPr>
          <w:r>
            <w:fldChar w:fldCharType="begin"/>
          </w:r>
          <w:r>
            <w:instrText>STYLEREF  "LI - Heading 1"</w:instrText>
          </w:r>
          <w:r>
            <w:fldChar w:fldCharType="separate"/>
          </w:r>
          <w:r w:rsidR="003142F6">
            <w:rPr>
              <w:noProof/>
            </w:rPr>
            <w:t>Schedule 2—Amendments</w:t>
          </w:r>
          <w:r>
            <w:fldChar w:fldCharType="end"/>
          </w:r>
        </w:p>
      </w:tc>
    </w:tr>
  </w:tbl>
  <w:p w14:paraId="4352571E" w14:textId="77777777" w:rsidR="003C2E28" w:rsidRPr="00F4215A" w:rsidRDefault="003C2E28" w:rsidP="00F421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260" w:type="dxa"/>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946"/>
      <w:gridCol w:w="7314"/>
    </w:tblGrid>
    <w:tr w:rsidR="00595FB8" w:rsidRPr="00E40FF8" w14:paraId="33374436" w14:textId="77777777" w:rsidTr="00A55870">
      <w:tc>
        <w:tcPr>
          <w:tcW w:w="6946" w:type="dxa"/>
          <w:shd w:val="clear" w:color="auto" w:fill="auto"/>
        </w:tcPr>
        <w:p w14:paraId="0FA16B47" w14:textId="7EDD56E3" w:rsidR="003C2E28" w:rsidRDefault="003C2E28" w:rsidP="00E40FF8">
          <w:pPr>
            <w:pStyle w:val="LI-Header"/>
            <w:pBdr>
              <w:bottom w:val="none" w:sz="0" w:space="0" w:color="auto"/>
            </w:pBdr>
            <w:jc w:val="left"/>
          </w:pPr>
          <w:r>
            <w:fldChar w:fldCharType="begin"/>
          </w:r>
          <w:r>
            <w:instrText>STYLEREF  "LI - Title"</w:instrText>
          </w:r>
          <w:r>
            <w:fldChar w:fldCharType="separate"/>
          </w:r>
          <w:r w:rsidR="003142F6">
            <w:rPr>
              <w:noProof/>
            </w:rPr>
            <w:t>ASIC Derivative Transaction Rules (Reporting and Clearing) Amendment Instrument 2024/416</w:t>
          </w:r>
          <w:r>
            <w:fldChar w:fldCharType="end"/>
          </w:r>
        </w:p>
      </w:tc>
      <w:tc>
        <w:tcPr>
          <w:tcW w:w="7314" w:type="dxa"/>
          <w:shd w:val="clear" w:color="auto" w:fill="auto"/>
        </w:tcPr>
        <w:p w14:paraId="3E9D4A46" w14:textId="22A69CA1" w:rsidR="003C2E28" w:rsidRDefault="003C2E28" w:rsidP="00E40FF8">
          <w:pPr>
            <w:pStyle w:val="LI-Header"/>
            <w:pBdr>
              <w:bottom w:val="none" w:sz="0" w:space="0" w:color="auto"/>
            </w:pBdr>
          </w:pPr>
          <w:r>
            <w:fldChar w:fldCharType="begin"/>
          </w:r>
          <w:r>
            <w:instrText>STYLEREF  "LI - Heading 1"</w:instrText>
          </w:r>
          <w:r>
            <w:fldChar w:fldCharType="separate"/>
          </w:r>
          <w:r w:rsidR="003142F6">
            <w:rPr>
              <w:noProof/>
            </w:rPr>
            <w:t>Schedule 3—Amendments</w:t>
          </w:r>
          <w:r>
            <w:fldChar w:fldCharType="end"/>
          </w:r>
        </w:p>
      </w:tc>
    </w:tr>
  </w:tbl>
  <w:p w14:paraId="6A408ADB" w14:textId="77777777" w:rsidR="003C2E28" w:rsidRPr="00F4215A" w:rsidRDefault="003C2E28" w:rsidP="00F421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91" w:type="dxa"/>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663"/>
      <w:gridCol w:w="1928"/>
    </w:tblGrid>
    <w:tr w:rsidR="004E645B" w:rsidRPr="00E40FF8" w14:paraId="2FCA18DB" w14:textId="77777777" w:rsidTr="004E645B">
      <w:tc>
        <w:tcPr>
          <w:tcW w:w="6663" w:type="dxa"/>
          <w:shd w:val="clear" w:color="auto" w:fill="auto"/>
        </w:tcPr>
        <w:p w14:paraId="1FB47078" w14:textId="3B6334EB" w:rsidR="00174CA7" w:rsidRDefault="00174CA7" w:rsidP="00E40FF8">
          <w:pPr>
            <w:pStyle w:val="LI-Header"/>
            <w:pBdr>
              <w:bottom w:val="none" w:sz="0" w:space="0" w:color="auto"/>
            </w:pBdr>
            <w:jc w:val="left"/>
          </w:pPr>
          <w:r>
            <w:fldChar w:fldCharType="begin"/>
          </w:r>
          <w:r>
            <w:instrText>STYLEREF  "LI - Title"</w:instrText>
          </w:r>
          <w:r>
            <w:fldChar w:fldCharType="separate"/>
          </w:r>
          <w:r w:rsidR="003142F6">
            <w:rPr>
              <w:noProof/>
            </w:rPr>
            <w:t>ASIC Derivative Transaction Rules (Reporting and Clearing) Amendment Instrument 2024/416</w:t>
          </w:r>
          <w:r>
            <w:fldChar w:fldCharType="end"/>
          </w:r>
        </w:p>
      </w:tc>
      <w:tc>
        <w:tcPr>
          <w:tcW w:w="1928" w:type="dxa"/>
          <w:shd w:val="clear" w:color="auto" w:fill="auto"/>
        </w:tcPr>
        <w:p w14:paraId="684B6762" w14:textId="45D50742" w:rsidR="00174CA7" w:rsidRDefault="00174CA7" w:rsidP="00E40FF8">
          <w:pPr>
            <w:pStyle w:val="LI-Header"/>
            <w:pBdr>
              <w:bottom w:val="none" w:sz="0" w:space="0" w:color="auto"/>
            </w:pBdr>
          </w:pPr>
          <w:r>
            <w:fldChar w:fldCharType="begin"/>
          </w:r>
          <w:r>
            <w:instrText>STYLEREF  "LI - Heading 1"</w:instrText>
          </w:r>
          <w:r>
            <w:fldChar w:fldCharType="separate"/>
          </w:r>
          <w:r w:rsidR="003142F6">
            <w:rPr>
              <w:noProof/>
            </w:rPr>
            <w:t>Schedule 5—Amendments</w:t>
          </w:r>
          <w:r>
            <w:fldChar w:fldCharType="end"/>
          </w:r>
        </w:p>
      </w:tc>
    </w:tr>
  </w:tbl>
  <w:p w14:paraId="772865DE" w14:textId="77777777" w:rsidR="00174CA7" w:rsidRPr="00F4215A" w:rsidRDefault="00174CA7" w:rsidP="00F4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9A0B" w14:textId="7B9B6B87" w:rsidR="00102CA6" w:rsidRPr="005F1388" w:rsidRDefault="00A31D73"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373AF3E2" wp14:editId="1E674A55">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6C19057"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AF3E2"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56C19057" w14:textId="77777777" w:rsidR="00102CA6" w:rsidRPr="00284719" w:rsidRDefault="00102CA6"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65A7" w14:textId="77777777" w:rsidR="00102CA6" w:rsidRPr="005F1388" w:rsidRDefault="00102CA6"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EB40B" w14:textId="77777777" w:rsidR="00102CA6" w:rsidRDefault="00E2168B"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12456E23" w14:textId="77777777" w:rsidTr="00BF75C9">
      <w:tc>
        <w:tcPr>
          <w:tcW w:w="6804" w:type="dxa"/>
          <w:shd w:val="clear" w:color="auto" w:fill="auto"/>
        </w:tcPr>
        <w:p w14:paraId="2E0B8F3D" w14:textId="724DEF48" w:rsidR="00F4215A" w:rsidRDefault="00B2799D" w:rsidP="00E40FF8">
          <w:pPr>
            <w:pStyle w:val="LI-Header"/>
            <w:pBdr>
              <w:bottom w:val="none" w:sz="0" w:space="0" w:color="auto"/>
            </w:pBdr>
            <w:jc w:val="left"/>
          </w:pPr>
          <w:r>
            <w:fldChar w:fldCharType="begin"/>
          </w:r>
          <w:r>
            <w:instrText>STYLEREF  "LI - Title"</w:instrText>
          </w:r>
          <w:r>
            <w:fldChar w:fldCharType="separate"/>
          </w:r>
          <w:r w:rsidR="003142F6">
            <w:rPr>
              <w:noProof/>
            </w:rPr>
            <w:t>ASIC Derivative Transaction Rules (Reporting and Clearing) Amendment Instrument 2024/416</w:t>
          </w:r>
          <w:r>
            <w:fldChar w:fldCharType="end"/>
          </w:r>
        </w:p>
      </w:tc>
      <w:tc>
        <w:tcPr>
          <w:tcW w:w="1509" w:type="dxa"/>
          <w:shd w:val="clear" w:color="auto" w:fill="auto"/>
        </w:tcPr>
        <w:p w14:paraId="0C82D581" w14:textId="77777777" w:rsidR="00F4215A" w:rsidRDefault="00F4215A" w:rsidP="00E40FF8">
          <w:pPr>
            <w:pStyle w:val="LI-Header"/>
            <w:pBdr>
              <w:bottom w:val="none" w:sz="0" w:space="0" w:color="auto"/>
            </w:pBdr>
          </w:pPr>
        </w:p>
      </w:tc>
    </w:tr>
  </w:tbl>
  <w:p w14:paraId="0C9EF801" w14:textId="77777777" w:rsidR="00102CA6" w:rsidRPr="008945E0" w:rsidRDefault="00102CA6"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E5A0" w14:textId="77777777" w:rsidR="00102CA6" w:rsidRPr="00ED79B6" w:rsidRDefault="00102CA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8A95" w14:textId="77777777" w:rsidR="00102CA6" w:rsidRPr="00243EC0" w:rsidRDefault="00243EC0"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 xml:space="preserve">Part </w:t>
    </w:r>
    <w:r w:rsidR="00E2168B">
      <w:t>2</w:t>
    </w:r>
    <w:r>
      <w:t>—</w:t>
    </w:r>
    <w:r w:rsidR="00E2168B">
      <w:t>Exemption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14:paraId="55B038D3" w14:textId="77777777" w:rsidTr="00F73856">
      <w:trPr>
        <w:trHeight w:val="142"/>
      </w:trPr>
      <w:tc>
        <w:tcPr>
          <w:tcW w:w="6804" w:type="dxa"/>
          <w:shd w:val="clear" w:color="auto" w:fill="auto"/>
        </w:tcPr>
        <w:p w14:paraId="13A1663C" w14:textId="6EFE03C8" w:rsidR="00F4215A" w:rsidRDefault="00B2799D" w:rsidP="00E40FF8">
          <w:pPr>
            <w:pStyle w:val="LI-Header"/>
            <w:pBdr>
              <w:bottom w:val="none" w:sz="0" w:space="0" w:color="auto"/>
            </w:pBdr>
            <w:jc w:val="left"/>
          </w:pPr>
          <w:r>
            <w:fldChar w:fldCharType="begin"/>
          </w:r>
          <w:r>
            <w:instrText>STYLEREF  "LI - Title"</w:instrText>
          </w:r>
          <w:r>
            <w:fldChar w:fldCharType="separate"/>
          </w:r>
          <w:r w:rsidR="003142F6">
            <w:rPr>
              <w:noProof/>
            </w:rPr>
            <w:t>ASIC Derivative Transaction Rules (Reporting and Clearing) Amendment Instrument 2024/416</w:t>
          </w:r>
          <w:r>
            <w:fldChar w:fldCharType="end"/>
          </w:r>
        </w:p>
      </w:tc>
      <w:tc>
        <w:tcPr>
          <w:tcW w:w="1509" w:type="dxa"/>
          <w:shd w:val="clear" w:color="auto" w:fill="auto"/>
        </w:tcPr>
        <w:p w14:paraId="31DBBB61" w14:textId="452D1D80" w:rsidR="00F4215A" w:rsidRDefault="00B2799D" w:rsidP="00E40FF8">
          <w:pPr>
            <w:pStyle w:val="LI-Header"/>
            <w:pBdr>
              <w:bottom w:val="none" w:sz="0" w:space="0" w:color="auto"/>
            </w:pBdr>
          </w:pPr>
          <w:r>
            <w:fldChar w:fldCharType="begin"/>
          </w:r>
          <w:r>
            <w:instrText>STYLEREF  "LI - Heading 1"</w:instrText>
          </w:r>
          <w:r>
            <w:fldChar w:fldCharType="separate"/>
          </w:r>
          <w:r w:rsidR="003142F6">
            <w:rPr>
              <w:noProof/>
            </w:rPr>
            <w:t>Part 1—Preliminary</w:t>
          </w:r>
          <w:r>
            <w:fldChar w:fldCharType="end"/>
          </w:r>
        </w:p>
      </w:tc>
    </w:tr>
  </w:tbl>
  <w:p w14:paraId="6480E685" w14:textId="77777777" w:rsidR="00D341C4" w:rsidRPr="00F4215A" w:rsidRDefault="00D341C4" w:rsidP="00F421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8E0D" w14:textId="77777777" w:rsidR="00102CA6" w:rsidRPr="007A1328" w:rsidRDefault="00102CA6"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B0124"/>
    <w:multiLevelType w:val="multilevel"/>
    <w:tmpl w:val="E38C0EAE"/>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15:restartNumberingAfterBreak="0">
    <w:nsid w:val="022C04DB"/>
    <w:multiLevelType w:val="hybridMultilevel"/>
    <w:tmpl w:val="7236018C"/>
    <w:lvl w:ilvl="0" w:tplc="FFFFFFFF">
      <w:start w:val="1"/>
      <w:numFmt w:val="lowerRoman"/>
      <w:lvlText w:val="(%1)"/>
      <w:lvlJc w:val="left"/>
      <w:pPr>
        <w:ind w:left="2415" w:hanging="360"/>
      </w:pPr>
      <w:rPr>
        <w:rFonts w:hint="default"/>
      </w:rPr>
    </w:lvl>
    <w:lvl w:ilvl="1" w:tplc="FFFFFFFF" w:tentative="1">
      <w:start w:val="1"/>
      <w:numFmt w:val="lowerLetter"/>
      <w:lvlText w:val="%2."/>
      <w:lvlJc w:val="left"/>
      <w:pPr>
        <w:ind w:left="3135" w:hanging="360"/>
      </w:pPr>
    </w:lvl>
    <w:lvl w:ilvl="2" w:tplc="FFFFFFFF" w:tentative="1">
      <w:start w:val="1"/>
      <w:numFmt w:val="lowerRoman"/>
      <w:lvlText w:val="%3."/>
      <w:lvlJc w:val="right"/>
      <w:pPr>
        <w:ind w:left="3855" w:hanging="180"/>
      </w:pPr>
    </w:lvl>
    <w:lvl w:ilvl="3" w:tplc="FFFFFFFF" w:tentative="1">
      <w:start w:val="1"/>
      <w:numFmt w:val="decimal"/>
      <w:lvlText w:val="%4."/>
      <w:lvlJc w:val="left"/>
      <w:pPr>
        <w:ind w:left="4575" w:hanging="360"/>
      </w:pPr>
    </w:lvl>
    <w:lvl w:ilvl="4" w:tplc="FFFFFFFF" w:tentative="1">
      <w:start w:val="1"/>
      <w:numFmt w:val="lowerLetter"/>
      <w:lvlText w:val="%5."/>
      <w:lvlJc w:val="left"/>
      <w:pPr>
        <w:ind w:left="5295" w:hanging="360"/>
      </w:pPr>
    </w:lvl>
    <w:lvl w:ilvl="5" w:tplc="FFFFFFFF" w:tentative="1">
      <w:start w:val="1"/>
      <w:numFmt w:val="lowerRoman"/>
      <w:lvlText w:val="%6."/>
      <w:lvlJc w:val="right"/>
      <w:pPr>
        <w:ind w:left="6015" w:hanging="180"/>
      </w:pPr>
    </w:lvl>
    <w:lvl w:ilvl="6" w:tplc="FFFFFFFF" w:tentative="1">
      <w:start w:val="1"/>
      <w:numFmt w:val="decimal"/>
      <w:lvlText w:val="%7."/>
      <w:lvlJc w:val="left"/>
      <w:pPr>
        <w:ind w:left="6735" w:hanging="360"/>
      </w:pPr>
    </w:lvl>
    <w:lvl w:ilvl="7" w:tplc="FFFFFFFF" w:tentative="1">
      <w:start w:val="1"/>
      <w:numFmt w:val="lowerLetter"/>
      <w:lvlText w:val="%8."/>
      <w:lvlJc w:val="left"/>
      <w:pPr>
        <w:ind w:left="7455" w:hanging="360"/>
      </w:pPr>
    </w:lvl>
    <w:lvl w:ilvl="8" w:tplc="FFFFFFFF" w:tentative="1">
      <w:start w:val="1"/>
      <w:numFmt w:val="lowerRoman"/>
      <w:lvlText w:val="%9."/>
      <w:lvlJc w:val="right"/>
      <w:pPr>
        <w:ind w:left="8175" w:hanging="180"/>
      </w:pPr>
    </w:lvl>
  </w:abstractNum>
  <w:abstractNum w:abstractNumId="12" w15:restartNumberingAfterBreak="0">
    <w:nsid w:val="055A0796"/>
    <w:multiLevelType w:val="hybridMultilevel"/>
    <w:tmpl w:val="0AD04306"/>
    <w:lvl w:ilvl="0" w:tplc="26306D9E">
      <w:start w:val="1"/>
      <w:numFmt w:val="lowerLetter"/>
      <w:lvlText w:val="(%1)"/>
      <w:lvlJc w:val="left"/>
      <w:pPr>
        <w:ind w:left="3762"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214BD0"/>
    <w:multiLevelType w:val="hybridMultilevel"/>
    <w:tmpl w:val="FC6EA584"/>
    <w:lvl w:ilvl="0" w:tplc="FD7AD81A">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CDD209C"/>
    <w:multiLevelType w:val="hybridMultilevel"/>
    <w:tmpl w:val="BEF09F2E"/>
    <w:lvl w:ilvl="0" w:tplc="FFFFFFFF">
      <w:start w:val="1"/>
      <w:numFmt w:val="lowerLetter"/>
      <w:lvlText w:val="(%1)"/>
      <w:lvlJc w:val="left"/>
      <w:pPr>
        <w:ind w:left="3628" w:hanging="360"/>
      </w:pPr>
      <w:rPr>
        <w:rFonts w:hint="default"/>
      </w:rPr>
    </w:lvl>
    <w:lvl w:ilvl="1" w:tplc="FFFFFFFF">
      <w:start w:val="1"/>
      <w:numFmt w:val="lowerLetter"/>
      <w:lvlText w:val="%2."/>
      <w:lvlJc w:val="left"/>
      <w:pPr>
        <w:ind w:left="4348" w:hanging="360"/>
      </w:pPr>
    </w:lvl>
    <w:lvl w:ilvl="2" w:tplc="FFFFFFFF" w:tentative="1">
      <w:start w:val="1"/>
      <w:numFmt w:val="lowerRoman"/>
      <w:lvlText w:val="%3."/>
      <w:lvlJc w:val="right"/>
      <w:pPr>
        <w:ind w:left="5068" w:hanging="180"/>
      </w:pPr>
    </w:lvl>
    <w:lvl w:ilvl="3" w:tplc="FFFFFFFF" w:tentative="1">
      <w:start w:val="1"/>
      <w:numFmt w:val="decimal"/>
      <w:lvlText w:val="%4."/>
      <w:lvlJc w:val="left"/>
      <w:pPr>
        <w:ind w:left="5788" w:hanging="360"/>
      </w:pPr>
    </w:lvl>
    <w:lvl w:ilvl="4" w:tplc="FFFFFFFF" w:tentative="1">
      <w:start w:val="1"/>
      <w:numFmt w:val="lowerLetter"/>
      <w:lvlText w:val="%5."/>
      <w:lvlJc w:val="left"/>
      <w:pPr>
        <w:ind w:left="6508" w:hanging="360"/>
      </w:pPr>
    </w:lvl>
    <w:lvl w:ilvl="5" w:tplc="FFFFFFFF" w:tentative="1">
      <w:start w:val="1"/>
      <w:numFmt w:val="lowerRoman"/>
      <w:lvlText w:val="%6."/>
      <w:lvlJc w:val="right"/>
      <w:pPr>
        <w:ind w:left="7228" w:hanging="180"/>
      </w:pPr>
    </w:lvl>
    <w:lvl w:ilvl="6" w:tplc="FFFFFFFF" w:tentative="1">
      <w:start w:val="1"/>
      <w:numFmt w:val="decimal"/>
      <w:lvlText w:val="%7."/>
      <w:lvlJc w:val="left"/>
      <w:pPr>
        <w:ind w:left="7948" w:hanging="360"/>
      </w:pPr>
    </w:lvl>
    <w:lvl w:ilvl="7" w:tplc="FFFFFFFF" w:tentative="1">
      <w:start w:val="1"/>
      <w:numFmt w:val="lowerLetter"/>
      <w:lvlText w:val="%8."/>
      <w:lvlJc w:val="left"/>
      <w:pPr>
        <w:ind w:left="8668" w:hanging="360"/>
      </w:pPr>
    </w:lvl>
    <w:lvl w:ilvl="8" w:tplc="FFFFFFFF" w:tentative="1">
      <w:start w:val="1"/>
      <w:numFmt w:val="lowerRoman"/>
      <w:lvlText w:val="%9."/>
      <w:lvlJc w:val="right"/>
      <w:pPr>
        <w:ind w:left="9388" w:hanging="180"/>
      </w:pPr>
    </w:lvl>
  </w:abstractNum>
  <w:abstractNum w:abstractNumId="17" w15:restartNumberingAfterBreak="0">
    <w:nsid w:val="11F048C9"/>
    <w:multiLevelType w:val="hybridMultilevel"/>
    <w:tmpl w:val="D9CE36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53C5999"/>
    <w:multiLevelType w:val="hybridMultilevel"/>
    <w:tmpl w:val="8D846220"/>
    <w:lvl w:ilvl="0" w:tplc="FFFFFFFF">
      <w:start w:val="1"/>
      <w:numFmt w:val="lowerLetter"/>
      <w:lvlText w:val="(%1)"/>
      <w:lvlJc w:val="left"/>
      <w:pPr>
        <w:ind w:left="36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5A76053"/>
    <w:multiLevelType w:val="hybridMultilevel"/>
    <w:tmpl w:val="821E3D18"/>
    <w:lvl w:ilvl="0" w:tplc="14847AE8">
      <w:start w:val="1"/>
      <w:numFmt w:val="decimal"/>
      <w:lvlText w:val="(%1)"/>
      <w:lvlJc w:val="left"/>
      <w:pPr>
        <w:ind w:left="1494" w:hanging="360"/>
      </w:pPr>
      <w:rPr>
        <w:rFonts w:ascii="Times New Roman" w:eastAsia="Times New Roman" w:hAnsi="Times New Roman" w:cs="Times New Roman"/>
      </w:rPr>
    </w:lvl>
    <w:lvl w:ilvl="1" w:tplc="26306D9E">
      <w:start w:val="1"/>
      <w:numFmt w:val="lowerLetter"/>
      <w:lvlText w:val="(%2)"/>
      <w:lvlJc w:val="left"/>
      <w:pPr>
        <w:ind w:left="2214" w:hanging="360"/>
      </w:pPr>
      <w:rPr>
        <w:rFonts w:hint="default"/>
      </w:rPr>
    </w:lvl>
    <w:lvl w:ilvl="2" w:tplc="0C09001B">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0" w15:restartNumberingAfterBreak="0">
    <w:nsid w:val="181046BF"/>
    <w:multiLevelType w:val="multilevel"/>
    <w:tmpl w:val="132A82A4"/>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1" w15:restartNumberingAfterBreak="0">
    <w:nsid w:val="1DD702B3"/>
    <w:multiLevelType w:val="hybridMultilevel"/>
    <w:tmpl w:val="0A9A2C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0D6641"/>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1CF13E6"/>
    <w:multiLevelType w:val="hybridMultilevel"/>
    <w:tmpl w:val="993AAC70"/>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820C1B"/>
    <w:multiLevelType w:val="multilevel"/>
    <w:tmpl w:val="97D2EEA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3BDE060B"/>
    <w:multiLevelType w:val="hybridMultilevel"/>
    <w:tmpl w:val="2B5CE92A"/>
    <w:lvl w:ilvl="0" w:tplc="26306D9E">
      <w:start w:val="1"/>
      <w:numFmt w:val="lowerLetter"/>
      <w:lvlText w:val="(%1)"/>
      <w:lvlJc w:val="left"/>
      <w:pPr>
        <w:ind w:left="22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7E1ADD"/>
    <w:multiLevelType w:val="hybridMultilevel"/>
    <w:tmpl w:val="9204272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EEF1577"/>
    <w:multiLevelType w:val="hybridMultilevel"/>
    <w:tmpl w:val="9204272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40CC1D43"/>
    <w:multiLevelType w:val="hybridMultilevel"/>
    <w:tmpl w:val="34A61F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0A45BD"/>
    <w:multiLevelType w:val="hybridMultilevel"/>
    <w:tmpl w:val="9204272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0E64662"/>
    <w:multiLevelType w:val="multilevel"/>
    <w:tmpl w:val="00E46E7A"/>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Arial" w:hint="default"/>
        <w:b w:val="0"/>
        <w:bCs w:val="0"/>
        <w:i w:val="0"/>
        <w:iCs w:val="0"/>
        <w:caps w:val="0"/>
        <w:smallCaps w:val="0"/>
        <w:strike w:val="0"/>
        <w:dstrike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3" w15:restartNumberingAfterBreak="0">
    <w:nsid w:val="519741CD"/>
    <w:multiLevelType w:val="hybridMultilevel"/>
    <w:tmpl w:val="4C6085E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4" w15:restartNumberingAfterBreak="0">
    <w:nsid w:val="521C4D48"/>
    <w:multiLevelType w:val="hybridMultilevel"/>
    <w:tmpl w:val="04F0A5AC"/>
    <w:lvl w:ilvl="0" w:tplc="26306D9E">
      <w:start w:val="1"/>
      <w:numFmt w:val="lowerLetter"/>
      <w:lvlText w:val="(%1)"/>
      <w:lvlJc w:val="left"/>
      <w:pPr>
        <w:ind w:left="810"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35" w15:restartNumberingAfterBreak="0">
    <w:nsid w:val="5BE81A35"/>
    <w:multiLevelType w:val="hybridMultilevel"/>
    <w:tmpl w:val="A2B68C52"/>
    <w:lvl w:ilvl="0" w:tplc="26306D9E">
      <w:start w:val="1"/>
      <w:numFmt w:val="lowerLetter"/>
      <w:lvlText w:val="(%1)"/>
      <w:lvlJc w:val="left"/>
      <w:pPr>
        <w:ind w:left="2214" w:hanging="360"/>
      </w:pPr>
      <w:rPr>
        <w:rFonts w:hint="default"/>
      </w:r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abstractNum w:abstractNumId="36" w15:restartNumberingAfterBreak="0">
    <w:nsid w:val="5D217374"/>
    <w:multiLevelType w:val="hybridMultilevel"/>
    <w:tmpl w:val="D9CE36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7D11F0"/>
    <w:multiLevelType w:val="hybridMultilevel"/>
    <w:tmpl w:val="FF949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6B2ED2"/>
    <w:multiLevelType w:val="multilevel"/>
    <w:tmpl w:val="17AC68E2"/>
    <w:lvl w:ilvl="0">
      <w:start w:val="233"/>
      <w:numFmt w:val="none"/>
      <w:pStyle w:val="MIRBodyText"/>
      <w:lvlText w:val=""/>
      <w:lvlJc w:val="left"/>
      <w:pPr>
        <w:ind w:left="851" w:firstLine="0"/>
      </w:pPr>
      <w:rPr>
        <w:rFonts w:hint="default"/>
        <w:sz w:val="18"/>
      </w:rPr>
    </w:lvl>
    <w:lvl w:ilvl="1">
      <w:start w:val="1"/>
      <w:numFmt w:val="lowerLetter"/>
      <w:pStyle w:val="MIRSubpara"/>
      <w:lvlText w:val="(%2)"/>
      <w:lvlJc w:val="left"/>
      <w:pPr>
        <w:tabs>
          <w:tab w:val="num" w:pos="1134"/>
        </w:tabs>
        <w:ind w:left="1134"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MIRSubsubpara"/>
      <w:lvlText w:val="(%3)"/>
      <w:lvlJc w:val="left"/>
      <w:pPr>
        <w:tabs>
          <w:tab w:val="num" w:pos="1985"/>
        </w:tabs>
        <w:ind w:left="1985" w:hanging="425"/>
      </w:pPr>
      <w:rPr>
        <w:rFonts w:hint="default"/>
        <w:sz w:val="18"/>
      </w:rPr>
    </w:lvl>
    <w:lvl w:ilvl="3">
      <w:start w:val="1"/>
      <w:numFmt w:val="upperLetter"/>
      <w:pStyle w:val="MIRsubsubsubpara"/>
      <w:lvlText w:val="(%4)"/>
      <w:lvlJc w:val="left"/>
      <w:pPr>
        <w:tabs>
          <w:tab w:val="num" w:pos="2126"/>
        </w:tabs>
        <w:ind w:left="2126" w:hanging="425"/>
      </w:pPr>
      <w:rPr>
        <w:rFonts w:hint="default"/>
        <w:sz w:val="16"/>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39" w15:restartNumberingAfterBreak="0">
    <w:nsid w:val="79312DB2"/>
    <w:multiLevelType w:val="hybridMultilevel"/>
    <w:tmpl w:val="856E65CE"/>
    <w:lvl w:ilvl="0" w:tplc="FFFFFFFF">
      <w:start w:val="1"/>
      <w:numFmt w:val="lowerLetter"/>
      <w:lvlText w:val="(%1)"/>
      <w:lvlJc w:val="left"/>
      <w:pPr>
        <w:ind w:left="927" w:hanging="360"/>
      </w:pPr>
      <w:rPr>
        <w:rFonts w:hint="default"/>
      </w:rPr>
    </w:lvl>
    <w:lvl w:ilvl="1" w:tplc="0C090019" w:tentative="1">
      <w:start w:val="1"/>
      <w:numFmt w:val="lowerLetter"/>
      <w:lvlText w:val="%2."/>
      <w:lvlJc w:val="left"/>
      <w:pPr>
        <w:ind w:left="-547" w:hanging="360"/>
      </w:pPr>
    </w:lvl>
    <w:lvl w:ilvl="2" w:tplc="0C09001B" w:tentative="1">
      <w:start w:val="1"/>
      <w:numFmt w:val="lowerRoman"/>
      <w:lvlText w:val="%3."/>
      <w:lvlJc w:val="right"/>
      <w:pPr>
        <w:ind w:left="173" w:hanging="180"/>
      </w:pPr>
    </w:lvl>
    <w:lvl w:ilvl="3" w:tplc="0C09000F" w:tentative="1">
      <w:start w:val="1"/>
      <w:numFmt w:val="decimal"/>
      <w:lvlText w:val="%4."/>
      <w:lvlJc w:val="left"/>
      <w:pPr>
        <w:ind w:left="893" w:hanging="360"/>
      </w:pPr>
    </w:lvl>
    <w:lvl w:ilvl="4" w:tplc="0C090019" w:tentative="1">
      <w:start w:val="1"/>
      <w:numFmt w:val="lowerLetter"/>
      <w:lvlText w:val="%5."/>
      <w:lvlJc w:val="left"/>
      <w:pPr>
        <w:ind w:left="1613" w:hanging="360"/>
      </w:pPr>
    </w:lvl>
    <w:lvl w:ilvl="5" w:tplc="0C09001B" w:tentative="1">
      <w:start w:val="1"/>
      <w:numFmt w:val="lowerRoman"/>
      <w:lvlText w:val="%6."/>
      <w:lvlJc w:val="right"/>
      <w:pPr>
        <w:ind w:left="2333" w:hanging="180"/>
      </w:pPr>
    </w:lvl>
    <w:lvl w:ilvl="6" w:tplc="0C09000F" w:tentative="1">
      <w:start w:val="1"/>
      <w:numFmt w:val="decimal"/>
      <w:lvlText w:val="%7."/>
      <w:lvlJc w:val="left"/>
      <w:pPr>
        <w:ind w:left="3053" w:hanging="360"/>
      </w:pPr>
    </w:lvl>
    <w:lvl w:ilvl="7" w:tplc="0C090019" w:tentative="1">
      <w:start w:val="1"/>
      <w:numFmt w:val="lowerLetter"/>
      <w:lvlText w:val="%8."/>
      <w:lvlJc w:val="left"/>
      <w:pPr>
        <w:ind w:left="3773" w:hanging="360"/>
      </w:pPr>
    </w:lvl>
    <w:lvl w:ilvl="8" w:tplc="0C09001B" w:tentative="1">
      <w:start w:val="1"/>
      <w:numFmt w:val="lowerRoman"/>
      <w:lvlText w:val="%9."/>
      <w:lvlJc w:val="right"/>
      <w:pPr>
        <w:ind w:left="4493" w:hanging="180"/>
      </w:pPr>
    </w:lvl>
  </w:abstractNum>
  <w:abstractNum w:abstractNumId="40" w15:restartNumberingAfterBreak="0">
    <w:nsid w:val="7A58449E"/>
    <w:multiLevelType w:val="hybridMultilevel"/>
    <w:tmpl w:val="8D846220"/>
    <w:lvl w:ilvl="0" w:tplc="FFFFFFFF">
      <w:start w:val="1"/>
      <w:numFmt w:val="lowerLetter"/>
      <w:lvlText w:val="(%1)"/>
      <w:lvlJc w:val="left"/>
      <w:pPr>
        <w:ind w:left="36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F736DA"/>
    <w:multiLevelType w:val="hybridMultilevel"/>
    <w:tmpl w:val="9C04D8B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7B5E29C1"/>
    <w:multiLevelType w:val="hybridMultilevel"/>
    <w:tmpl w:val="F9EA3810"/>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B9C53C4"/>
    <w:multiLevelType w:val="multilevel"/>
    <w:tmpl w:val="97D2EEA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4" w15:restartNumberingAfterBreak="0">
    <w:nsid w:val="7DDC44CE"/>
    <w:multiLevelType w:val="hybridMultilevel"/>
    <w:tmpl w:val="8D846220"/>
    <w:lvl w:ilvl="0" w:tplc="C4823932">
      <w:start w:val="1"/>
      <w:numFmt w:val="lowerLetter"/>
      <w:lvlText w:val="(%1)"/>
      <w:lvlJc w:val="left"/>
      <w:pPr>
        <w:ind w:left="36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530C7C"/>
    <w:multiLevelType w:val="hybridMultilevel"/>
    <w:tmpl w:val="92042724"/>
    <w:lvl w:ilvl="0" w:tplc="C482393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385176314">
    <w:abstractNumId w:val="9"/>
  </w:num>
  <w:num w:numId="2" w16cid:durableId="1695421024">
    <w:abstractNumId w:val="7"/>
  </w:num>
  <w:num w:numId="3" w16cid:durableId="1030226348">
    <w:abstractNumId w:val="6"/>
  </w:num>
  <w:num w:numId="4" w16cid:durableId="1856729308">
    <w:abstractNumId w:val="5"/>
  </w:num>
  <w:num w:numId="5" w16cid:durableId="1129980912">
    <w:abstractNumId w:val="4"/>
  </w:num>
  <w:num w:numId="6" w16cid:durableId="2002806017">
    <w:abstractNumId w:val="8"/>
  </w:num>
  <w:num w:numId="7" w16cid:durableId="1436242837">
    <w:abstractNumId w:val="3"/>
  </w:num>
  <w:num w:numId="8" w16cid:durableId="1057053609">
    <w:abstractNumId w:val="2"/>
  </w:num>
  <w:num w:numId="9" w16cid:durableId="866717371">
    <w:abstractNumId w:val="1"/>
  </w:num>
  <w:num w:numId="10" w16cid:durableId="1010835685">
    <w:abstractNumId w:val="0"/>
  </w:num>
  <w:num w:numId="11" w16cid:durableId="1326665191">
    <w:abstractNumId w:val="25"/>
  </w:num>
  <w:num w:numId="12" w16cid:durableId="2089618277">
    <w:abstractNumId w:val="13"/>
  </w:num>
  <w:num w:numId="13" w16cid:durableId="1931813894">
    <w:abstractNumId w:val="15"/>
  </w:num>
  <w:num w:numId="14" w16cid:durableId="1954708386">
    <w:abstractNumId w:val="30"/>
  </w:num>
  <w:num w:numId="15" w16cid:durableId="2122021755">
    <w:abstractNumId w:val="14"/>
  </w:num>
  <w:num w:numId="16" w16cid:durableId="1001471143">
    <w:abstractNumId w:val="33"/>
  </w:num>
  <w:num w:numId="17" w16cid:durableId="1811284141">
    <w:abstractNumId w:val="33"/>
  </w:num>
  <w:num w:numId="18" w16cid:durableId="1367221031">
    <w:abstractNumId w:val="45"/>
  </w:num>
  <w:num w:numId="19" w16cid:durableId="1967083637">
    <w:abstractNumId w:val="34"/>
  </w:num>
  <w:num w:numId="20" w16cid:durableId="444424679">
    <w:abstractNumId w:val="44"/>
  </w:num>
  <w:num w:numId="21" w16cid:durableId="1722249574">
    <w:abstractNumId w:val="36"/>
  </w:num>
  <w:num w:numId="22" w16cid:durableId="1010521975">
    <w:abstractNumId w:val="17"/>
  </w:num>
  <w:num w:numId="23" w16cid:durableId="120803491">
    <w:abstractNumId w:val="16"/>
  </w:num>
  <w:num w:numId="24" w16cid:durableId="774907803">
    <w:abstractNumId w:val="22"/>
  </w:num>
  <w:num w:numId="25" w16cid:durableId="1226448233">
    <w:abstractNumId w:val="27"/>
  </w:num>
  <w:num w:numId="26" w16cid:durableId="998121410">
    <w:abstractNumId w:val="29"/>
  </w:num>
  <w:num w:numId="27" w16cid:durableId="809443979">
    <w:abstractNumId w:val="37"/>
  </w:num>
  <w:num w:numId="28" w16cid:durableId="254479418">
    <w:abstractNumId w:val="20"/>
  </w:num>
  <w:num w:numId="29" w16cid:durableId="11201439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8913635">
    <w:abstractNumId w:val="40"/>
  </w:num>
  <w:num w:numId="31" w16cid:durableId="463081133">
    <w:abstractNumId w:val="18"/>
  </w:num>
  <w:num w:numId="32" w16cid:durableId="980382340">
    <w:abstractNumId w:val="39"/>
  </w:num>
  <w:num w:numId="33" w16cid:durableId="947156006">
    <w:abstractNumId w:val="28"/>
  </w:num>
  <w:num w:numId="34" w16cid:durableId="1852912972">
    <w:abstractNumId w:val="12"/>
  </w:num>
  <w:num w:numId="35" w16cid:durableId="1755396567">
    <w:abstractNumId w:val="11"/>
  </w:num>
  <w:num w:numId="36" w16cid:durableId="1832523181">
    <w:abstractNumId w:val="31"/>
  </w:num>
  <w:num w:numId="37" w16cid:durableId="1578397815">
    <w:abstractNumId w:val="19"/>
  </w:num>
  <w:num w:numId="38" w16cid:durableId="1130781028">
    <w:abstractNumId w:val="35"/>
  </w:num>
  <w:num w:numId="39" w16cid:durableId="680619613">
    <w:abstractNumId w:val="26"/>
  </w:num>
  <w:num w:numId="40" w16cid:durableId="1808467980">
    <w:abstractNumId w:val="38"/>
  </w:num>
  <w:num w:numId="41" w16cid:durableId="4212364">
    <w:abstractNumId w:val="21"/>
  </w:num>
  <w:num w:numId="42" w16cid:durableId="792331203">
    <w:abstractNumId w:val="41"/>
  </w:num>
  <w:num w:numId="43" w16cid:durableId="1936402030">
    <w:abstractNumId w:val="43"/>
  </w:num>
  <w:num w:numId="44" w16cid:durableId="1051727607">
    <w:abstractNumId w:val="42"/>
  </w:num>
  <w:num w:numId="45" w16cid:durableId="164126241">
    <w:abstractNumId w:val="23"/>
  </w:num>
  <w:num w:numId="46" w16cid:durableId="1204560874">
    <w:abstractNumId w:val="32"/>
  </w:num>
  <w:num w:numId="47" w16cid:durableId="1898319277">
    <w:abstractNumId w:val="24"/>
  </w:num>
  <w:num w:numId="48" w16cid:durableId="777799553">
    <w:abstractNumId w:val="10"/>
  </w:num>
  <w:num w:numId="49" w16cid:durableId="1905367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saveSubsetFonts/>
  <w:hideSpellingErrors/>
  <w:hideGrammaticalErrors/>
  <w:proofState w:spelling="clean" w:grammar="clean"/>
  <w:attachedTemplate r:id="rId1"/>
  <w:stylePaneSortMethod w:val="000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1381"/>
    <w:rsid w:val="00002994"/>
    <w:rsid w:val="00003230"/>
    <w:rsid w:val="00004470"/>
    <w:rsid w:val="0000533E"/>
    <w:rsid w:val="00005446"/>
    <w:rsid w:val="00005551"/>
    <w:rsid w:val="000070DA"/>
    <w:rsid w:val="000079B7"/>
    <w:rsid w:val="00012F97"/>
    <w:rsid w:val="00013691"/>
    <w:rsid w:val="000136AF"/>
    <w:rsid w:val="00013941"/>
    <w:rsid w:val="00013B8D"/>
    <w:rsid w:val="00014991"/>
    <w:rsid w:val="000158F2"/>
    <w:rsid w:val="00020A83"/>
    <w:rsid w:val="00020D3A"/>
    <w:rsid w:val="000210C4"/>
    <w:rsid w:val="00021188"/>
    <w:rsid w:val="000213B3"/>
    <w:rsid w:val="00021560"/>
    <w:rsid w:val="000216AF"/>
    <w:rsid w:val="00021DFC"/>
    <w:rsid w:val="00023D53"/>
    <w:rsid w:val="00025C3C"/>
    <w:rsid w:val="00026727"/>
    <w:rsid w:val="00027216"/>
    <w:rsid w:val="000307E9"/>
    <w:rsid w:val="00031344"/>
    <w:rsid w:val="00031802"/>
    <w:rsid w:val="00031C80"/>
    <w:rsid w:val="000336FF"/>
    <w:rsid w:val="000404A7"/>
    <w:rsid w:val="000437C1"/>
    <w:rsid w:val="00044222"/>
    <w:rsid w:val="00044596"/>
    <w:rsid w:val="0004660F"/>
    <w:rsid w:val="000474ED"/>
    <w:rsid w:val="00047C82"/>
    <w:rsid w:val="00051C94"/>
    <w:rsid w:val="00052886"/>
    <w:rsid w:val="00052D9C"/>
    <w:rsid w:val="00052E6C"/>
    <w:rsid w:val="0005365D"/>
    <w:rsid w:val="00053940"/>
    <w:rsid w:val="00054419"/>
    <w:rsid w:val="00054428"/>
    <w:rsid w:val="00054C70"/>
    <w:rsid w:val="0005747B"/>
    <w:rsid w:val="000614BF"/>
    <w:rsid w:val="0006202F"/>
    <w:rsid w:val="0006250C"/>
    <w:rsid w:val="000628B3"/>
    <w:rsid w:val="00064831"/>
    <w:rsid w:val="00064D47"/>
    <w:rsid w:val="00065721"/>
    <w:rsid w:val="0006734E"/>
    <w:rsid w:val="00067F87"/>
    <w:rsid w:val="00070F3E"/>
    <w:rsid w:val="0007290C"/>
    <w:rsid w:val="00072FDB"/>
    <w:rsid w:val="00073A4E"/>
    <w:rsid w:val="00073C95"/>
    <w:rsid w:val="00074F8C"/>
    <w:rsid w:val="00076D05"/>
    <w:rsid w:val="0007706F"/>
    <w:rsid w:val="00081794"/>
    <w:rsid w:val="000834C6"/>
    <w:rsid w:val="00083D16"/>
    <w:rsid w:val="000840B6"/>
    <w:rsid w:val="00086068"/>
    <w:rsid w:val="00086852"/>
    <w:rsid w:val="00086954"/>
    <w:rsid w:val="00087E19"/>
    <w:rsid w:val="000920E7"/>
    <w:rsid w:val="00093497"/>
    <w:rsid w:val="00093D70"/>
    <w:rsid w:val="00094279"/>
    <w:rsid w:val="000A0574"/>
    <w:rsid w:val="000A0D6F"/>
    <w:rsid w:val="000A142F"/>
    <w:rsid w:val="000A1655"/>
    <w:rsid w:val="000A251D"/>
    <w:rsid w:val="000A267E"/>
    <w:rsid w:val="000A3043"/>
    <w:rsid w:val="000A63FC"/>
    <w:rsid w:val="000A6C39"/>
    <w:rsid w:val="000B227A"/>
    <w:rsid w:val="000B2835"/>
    <w:rsid w:val="000B4199"/>
    <w:rsid w:val="000B4635"/>
    <w:rsid w:val="000B58FA"/>
    <w:rsid w:val="000B5A43"/>
    <w:rsid w:val="000B7CA4"/>
    <w:rsid w:val="000C04CC"/>
    <w:rsid w:val="000C1967"/>
    <w:rsid w:val="000C29BF"/>
    <w:rsid w:val="000C2F3C"/>
    <w:rsid w:val="000C4172"/>
    <w:rsid w:val="000C4740"/>
    <w:rsid w:val="000C4ED8"/>
    <w:rsid w:val="000C55A0"/>
    <w:rsid w:val="000C6721"/>
    <w:rsid w:val="000C7418"/>
    <w:rsid w:val="000C7A0E"/>
    <w:rsid w:val="000D05EF"/>
    <w:rsid w:val="000D23D7"/>
    <w:rsid w:val="000D3398"/>
    <w:rsid w:val="000D40A4"/>
    <w:rsid w:val="000D413D"/>
    <w:rsid w:val="000D461D"/>
    <w:rsid w:val="000D47F8"/>
    <w:rsid w:val="000E0924"/>
    <w:rsid w:val="000E0C65"/>
    <w:rsid w:val="000E1B56"/>
    <w:rsid w:val="000E2261"/>
    <w:rsid w:val="000E299F"/>
    <w:rsid w:val="000E3581"/>
    <w:rsid w:val="000E3C2E"/>
    <w:rsid w:val="000E3EF6"/>
    <w:rsid w:val="000E474E"/>
    <w:rsid w:val="000E4969"/>
    <w:rsid w:val="000E5B6E"/>
    <w:rsid w:val="000E5CAA"/>
    <w:rsid w:val="000E5CDA"/>
    <w:rsid w:val="000E654B"/>
    <w:rsid w:val="000E6E2F"/>
    <w:rsid w:val="000E7185"/>
    <w:rsid w:val="000E79B2"/>
    <w:rsid w:val="000F0C7B"/>
    <w:rsid w:val="000F1027"/>
    <w:rsid w:val="000F1761"/>
    <w:rsid w:val="000F21C1"/>
    <w:rsid w:val="000F3B6C"/>
    <w:rsid w:val="000F6D72"/>
    <w:rsid w:val="0010005A"/>
    <w:rsid w:val="001001BC"/>
    <w:rsid w:val="00101A41"/>
    <w:rsid w:val="00102307"/>
    <w:rsid w:val="001023A4"/>
    <w:rsid w:val="00102CA6"/>
    <w:rsid w:val="00103F8E"/>
    <w:rsid w:val="0010517E"/>
    <w:rsid w:val="00105935"/>
    <w:rsid w:val="001073A4"/>
    <w:rsid w:val="0010745C"/>
    <w:rsid w:val="001120A8"/>
    <w:rsid w:val="0011487D"/>
    <w:rsid w:val="0011505E"/>
    <w:rsid w:val="0011587F"/>
    <w:rsid w:val="0011620F"/>
    <w:rsid w:val="001167F3"/>
    <w:rsid w:val="00117CD4"/>
    <w:rsid w:val="00117F41"/>
    <w:rsid w:val="00120985"/>
    <w:rsid w:val="00120E8E"/>
    <w:rsid w:val="00122117"/>
    <w:rsid w:val="00124867"/>
    <w:rsid w:val="00125A67"/>
    <w:rsid w:val="00125D02"/>
    <w:rsid w:val="00131DC0"/>
    <w:rsid w:val="001324FC"/>
    <w:rsid w:val="00132B7B"/>
    <w:rsid w:val="00132CEB"/>
    <w:rsid w:val="00134611"/>
    <w:rsid w:val="00135958"/>
    <w:rsid w:val="00136A22"/>
    <w:rsid w:val="0014036F"/>
    <w:rsid w:val="001408A9"/>
    <w:rsid w:val="00140F52"/>
    <w:rsid w:val="00141B1A"/>
    <w:rsid w:val="00141FE7"/>
    <w:rsid w:val="00142B62"/>
    <w:rsid w:val="00142DEE"/>
    <w:rsid w:val="00143349"/>
    <w:rsid w:val="00144082"/>
    <w:rsid w:val="0014786E"/>
    <w:rsid w:val="001513AB"/>
    <w:rsid w:val="00152109"/>
    <w:rsid w:val="00154B3C"/>
    <w:rsid w:val="00154E70"/>
    <w:rsid w:val="001574CC"/>
    <w:rsid w:val="00157B8B"/>
    <w:rsid w:val="00157C80"/>
    <w:rsid w:val="00157D51"/>
    <w:rsid w:val="001604A8"/>
    <w:rsid w:val="001607CE"/>
    <w:rsid w:val="001609F6"/>
    <w:rsid w:val="00160B5D"/>
    <w:rsid w:val="00160D36"/>
    <w:rsid w:val="00163B2C"/>
    <w:rsid w:val="00166C2F"/>
    <w:rsid w:val="001677FF"/>
    <w:rsid w:val="00170209"/>
    <w:rsid w:val="00170C79"/>
    <w:rsid w:val="00170CE8"/>
    <w:rsid w:val="0017146F"/>
    <w:rsid w:val="00171A6E"/>
    <w:rsid w:val="001720D2"/>
    <w:rsid w:val="00172652"/>
    <w:rsid w:val="0017393A"/>
    <w:rsid w:val="00174CA7"/>
    <w:rsid w:val="00174E81"/>
    <w:rsid w:val="001755A8"/>
    <w:rsid w:val="00176552"/>
    <w:rsid w:val="00176D80"/>
    <w:rsid w:val="00177A6E"/>
    <w:rsid w:val="001809D7"/>
    <w:rsid w:val="00180A96"/>
    <w:rsid w:val="00180AA6"/>
    <w:rsid w:val="00180BD0"/>
    <w:rsid w:val="00180DB1"/>
    <w:rsid w:val="00181032"/>
    <w:rsid w:val="0018242C"/>
    <w:rsid w:val="00183B5B"/>
    <w:rsid w:val="001850D6"/>
    <w:rsid w:val="001858BC"/>
    <w:rsid w:val="00186907"/>
    <w:rsid w:val="001877D9"/>
    <w:rsid w:val="001928DE"/>
    <w:rsid w:val="00192BD9"/>
    <w:rsid w:val="001939E1"/>
    <w:rsid w:val="00194580"/>
    <w:rsid w:val="00194C3E"/>
    <w:rsid w:val="00195382"/>
    <w:rsid w:val="00195770"/>
    <w:rsid w:val="00195BD4"/>
    <w:rsid w:val="00195F8A"/>
    <w:rsid w:val="0019749C"/>
    <w:rsid w:val="00197E80"/>
    <w:rsid w:val="00197F45"/>
    <w:rsid w:val="001A1302"/>
    <w:rsid w:val="001A1B84"/>
    <w:rsid w:val="001A1F2E"/>
    <w:rsid w:val="001A2385"/>
    <w:rsid w:val="001A3030"/>
    <w:rsid w:val="001A494E"/>
    <w:rsid w:val="001A5AA7"/>
    <w:rsid w:val="001A6421"/>
    <w:rsid w:val="001A6AAB"/>
    <w:rsid w:val="001A6B76"/>
    <w:rsid w:val="001B1934"/>
    <w:rsid w:val="001B2864"/>
    <w:rsid w:val="001B422C"/>
    <w:rsid w:val="001B5CD2"/>
    <w:rsid w:val="001B7369"/>
    <w:rsid w:val="001B788C"/>
    <w:rsid w:val="001C006F"/>
    <w:rsid w:val="001C16C9"/>
    <w:rsid w:val="001C1990"/>
    <w:rsid w:val="001C21B0"/>
    <w:rsid w:val="001C23EC"/>
    <w:rsid w:val="001C39FB"/>
    <w:rsid w:val="001C3AFE"/>
    <w:rsid w:val="001C427F"/>
    <w:rsid w:val="001C5161"/>
    <w:rsid w:val="001C5B0D"/>
    <w:rsid w:val="001C61C5"/>
    <w:rsid w:val="001C69C4"/>
    <w:rsid w:val="001C6ED6"/>
    <w:rsid w:val="001C7CD5"/>
    <w:rsid w:val="001C7DD6"/>
    <w:rsid w:val="001D0421"/>
    <w:rsid w:val="001D0CDA"/>
    <w:rsid w:val="001D181D"/>
    <w:rsid w:val="001D1DD5"/>
    <w:rsid w:val="001D36AD"/>
    <w:rsid w:val="001D37EF"/>
    <w:rsid w:val="001E0BF5"/>
    <w:rsid w:val="001E0DDF"/>
    <w:rsid w:val="001E3590"/>
    <w:rsid w:val="001E362B"/>
    <w:rsid w:val="001E3B6A"/>
    <w:rsid w:val="001E4749"/>
    <w:rsid w:val="001E7407"/>
    <w:rsid w:val="001F03BC"/>
    <w:rsid w:val="001F2EE6"/>
    <w:rsid w:val="001F2F1D"/>
    <w:rsid w:val="001F5115"/>
    <w:rsid w:val="001F5D5E"/>
    <w:rsid w:val="001F6219"/>
    <w:rsid w:val="001F6CD4"/>
    <w:rsid w:val="001F77AC"/>
    <w:rsid w:val="002031A4"/>
    <w:rsid w:val="00203A8D"/>
    <w:rsid w:val="00204094"/>
    <w:rsid w:val="002063EC"/>
    <w:rsid w:val="00206B9F"/>
    <w:rsid w:val="00206C4D"/>
    <w:rsid w:val="00207247"/>
    <w:rsid w:val="00207E8B"/>
    <w:rsid w:val="0021053C"/>
    <w:rsid w:val="00211716"/>
    <w:rsid w:val="00212811"/>
    <w:rsid w:val="00214397"/>
    <w:rsid w:val="00215499"/>
    <w:rsid w:val="00215AF1"/>
    <w:rsid w:val="00217FF3"/>
    <w:rsid w:val="0022096F"/>
    <w:rsid w:val="00220D45"/>
    <w:rsid w:val="002221EA"/>
    <w:rsid w:val="0022353D"/>
    <w:rsid w:val="00223B29"/>
    <w:rsid w:val="00227108"/>
    <w:rsid w:val="002273B0"/>
    <w:rsid w:val="002321E8"/>
    <w:rsid w:val="00232B24"/>
    <w:rsid w:val="002333AC"/>
    <w:rsid w:val="00233F27"/>
    <w:rsid w:val="00234CFE"/>
    <w:rsid w:val="00234F88"/>
    <w:rsid w:val="002357E0"/>
    <w:rsid w:val="00236068"/>
    <w:rsid w:val="0023627A"/>
    <w:rsid w:val="00236EEC"/>
    <w:rsid w:val="00237AA5"/>
    <w:rsid w:val="0024010F"/>
    <w:rsid w:val="00240749"/>
    <w:rsid w:val="0024113F"/>
    <w:rsid w:val="002422CD"/>
    <w:rsid w:val="0024289A"/>
    <w:rsid w:val="00243018"/>
    <w:rsid w:val="0024309A"/>
    <w:rsid w:val="00243EC0"/>
    <w:rsid w:val="00244742"/>
    <w:rsid w:val="002466F5"/>
    <w:rsid w:val="00251BC9"/>
    <w:rsid w:val="00252A57"/>
    <w:rsid w:val="00252C45"/>
    <w:rsid w:val="002532E8"/>
    <w:rsid w:val="00254FDE"/>
    <w:rsid w:val="00255007"/>
    <w:rsid w:val="002564A4"/>
    <w:rsid w:val="0026041F"/>
    <w:rsid w:val="002609C4"/>
    <w:rsid w:val="002613C1"/>
    <w:rsid w:val="00264627"/>
    <w:rsid w:val="0026736C"/>
    <w:rsid w:val="00271804"/>
    <w:rsid w:val="00272ACA"/>
    <w:rsid w:val="00272F07"/>
    <w:rsid w:val="00275518"/>
    <w:rsid w:val="0027553B"/>
    <w:rsid w:val="00275619"/>
    <w:rsid w:val="0027606C"/>
    <w:rsid w:val="002767DC"/>
    <w:rsid w:val="002770E4"/>
    <w:rsid w:val="00280944"/>
    <w:rsid w:val="00281308"/>
    <w:rsid w:val="00281716"/>
    <w:rsid w:val="00281813"/>
    <w:rsid w:val="00284719"/>
    <w:rsid w:val="002850AE"/>
    <w:rsid w:val="002851A6"/>
    <w:rsid w:val="0028534A"/>
    <w:rsid w:val="00287B53"/>
    <w:rsid w:val="00287FCC"/>
    <w:rsid w:val="00297725"/>
    <w:rsid w:val="00297853"/>
    <w:rsid w:val="00297ECB"/>
    <w:rsid w:val="002A1983"/>
    <w:rsid w:val="002A2575"/>
    <w:rsid w:val="002A4D7A"/>
    <w:rsid w:val="002A4F6D"/>
    <w:rsid w:val="002A50DB"/>
    <w:rsid w:val="002A5DF4"/>
    <w:rsid w:val="002A7BCF"/>
    <w:rsid w:val="002B0DE3"/>
    <w:rsid w:val="002B19F3"/>
    <w:rsid w:val="002B375E"/>
    <w:rsid w:val="002B4A0D"/>
    <w:rsid w:val="002B4C94"/>
    <w:rsid w:val="002B4FAA"/>
    <w:rsid w:val="002C18C7"/>
    <w:rsid w:val="002C3196"/>
    <w:rsid w:val="002C319E"/>
    <w:rsid w:val="002C3D5F"/>
    <w:rsid w:val="002C40C9"/>
    <w:rsid w:val="002C5294"/>
    <w:rsid w:val="002C5E0E"/>
    <w:rsid w:val="002D043A"/>
    <w:rsid w:val="002D0C22"/>
    <w:rsid w:val="002D1338"/>
    <w:rsid w:val="002D1959"/>
    <w:rsid w:val="002D3ED3"/>
    <w:rsid w:val="002D41A6"/>
    <w:rsid w:val="002D5C05"/>
    <w:rsid w:val="002D6080"/>
    <w:rsid w:val="002D6224"/>
    <w:rsid w:val="002D7466"/>
    <w:rsid w:val="002E0ECA"/>
    <w:rsid w:val="002E198C"/>
    <w:rsid w:val="002E309F"/>
    <w:rsid w:val="002E3F4B"/>
    <w:rsid w:val="002E49DE"/>
    <w:rsid w:val="002E5BB5"/>
    <w:rsid w:val="002E6B0B"/>
    <w:rsid w:val="002F178D"/>
    <w:rsid w:val="002F20EC"/>
    <w:rsid w:val="002F24DD"/>
    <w:rsid w:val="002F2EA3"/>
    <w:rsid w:val="002F3CAA"/>
    <w:rsid w:val="002F454E"/>
    <w:rsid w:val="002F45C3"/>
    <w:rsid w:val="002F4980"/>
    <w:rsid w:val="002F646C"/>
    <w:rsid w:val="002F6861"/>
    <w:rsid w:val="003017B3"/>
    <w:rsid w:val="003023DD"/>
    <w:rsid w:val="00302622"/>
    <w:rsid w:val="00303CAB"/>
    <w:rsid w:val="00303FBF"/>
    <w:rsid w:val="00304942"/>
    <w:rsid w:val="0030496F"/>
    <w:rsid w:val="00304F8B"/>
    <w:rsid w:val="003067BE"/>
    <w:rsid w:val="00310572"/>
    <w:rsid w:val="00310E3E"/>
    <w:rsid w:val="00311893"/>
    <w:rsid w:val="00311DFE"/>
    <w:rsid w:val="00312C0B"/>
    <w:rsid w:val="00313260"/>
    <w:rsid w:val="00313CB7"/>
    <w:rsid w:val="00313D57"/>
    <w:rsid w:val="003142F6"/>
    <w:rsid w:val="00314900"/>
    <w:rsid w:val="003155F1"/>
    <w:rsid w:val="00316100"/>
    <w:rsid w:val="0031669E"/>
    <w:rsid w:val="00316F66"/>
    <w:rsid w:val="00317370"/>
    <w:rsid w:val="00317591"/>
    <w:rsid w:val="00317601"/>
    <w:rsid w:val="003179A9"/>
    <w:rsid w:val="003201DD"/>
    <w:rsid w:val="00321083"/>
    <w:rsid w:val="00321C91"/>
    <w:rsid w:val="00322E18"/>
    <w:rsid w:val="00323957"/>
    <w:rsid w:val="0032542E"/>
    <w:rsid w:val="00325E71"/>
    <w:rsid w:val="00326980"/>
    <w:rsid w:val="00327DDF"/>
    <w:rsid w:val="0033075F"/>
    <w:rsid w:val="00330AA0"/>
    <w:rsid w:val="003317A4"/>
    <w:rsid w:val="003318F1"/>
    <w:rsid w:val="00332903"/>
    <w:rsid w:val="003332BC"/>
    <w:rsid w:val="00333D8F"/>
    <w:rsid w:val="003354D2"/>
    <w:rsid w:val="0033574B"/>
    <w:rsid w:val="00335BC6"/>
    <w:rsid w:val="00335D8C"/>
    <w:rsid w:val="00336CDA"/>
    <w:rsid w:val="0033701F"/>
    <w:rsid w:val="003370C2"/>
    <w:rsid w:val="00337792"/>
    <w:rsid w:val="0034084A"/>
    <w:rsid w:val="003415D3"/>
    <w:rsid w:val="0034388F"/>
    <w:rsid w:val="00344356"/>
    <w:rsid w:val="00344701"/>
    <w:rsid w:val="00346454"/>
    <w:rsid w:val="00346D1A"/>
    <w:rsid w:val="00346FC2"/>
    <w:rsid w:val="003474BD"/>
    <w:rsid w:val="00347D51"/>
    <w:rsid w:val="00351206"/>
    <w:rsid w:val="003528DA"/>
    <w:rsid w:val="0035296F"/>
    <w:rsid w:val="00352B0F"/>
    <w:rsid w:val="00354FC2"/>
    <w:rsid w:val="003556D6"/>
    <w:rsid w:val="00356690"/>
    <w:rsid w:val="0035734A"/>
    <w:rsid w:val="003578DA"/>
    <w:rsid w:val="00357FFE"/>
    <w:rsid w:val="0036001A"/>
    <w:rsid w:val="00360459"/>
    <w:rsid w:val="00360AAB"/>
    <w:rsid w:val="00360BC5"/>
    <w:rsid w:val="00361626"/>
    <w:rsid w:val="003627CE"/>
    <w:rsid w:val="00364F21"/>
    <w:rsid w:val="00365497"/>
    <w:rsid w:val="003658B7"/>
    <w:rsid w:val="00365EB4"/>
    <w:rsid w:val="00365F2D"/>
    <w:rsid w:val="003708CA"/>
    <w:rsid w:val="003709DB"/>
    <w:rsid w:val="00372535"/>
    <w:rsid w:val="00374DDD"/>
    <w:rsid w:val="00380993"/>
    <w:rsid w:val="00381A5D"/>
    <w:rsid w:val="00382085"/>
    <w:rsid w:val="00384285"/>
    <w:rsid w:val="0038432E"/>
    <w:rsid w:val="00385A15"/>
    <w:rsid w:val="00386660"/>
    <w:rsid w:val="00387A12"/>
    <w:rsid w:val="00387A96"/>
    <w:rsid w:val="00390800"/>
    <w:rsid w:val="00390A86"/>
    <w:rsid w:val="003910C9"/>
    <w:rsid w:val="00391273"/>
    <w:rsid w:val="00391EDA"/>
    <w:rsid w:val="003926A1"/>
    <w:rsid w:val="00392BDC"/>
    <w:rsid w:val="00395735"/>
    <w:rsid w:val="003A2A48"/>
    <w:rsid w:val="003A5B10"/>
    <w:rsid w:val="003A7AFE"/>
    <w:rsid w:val="003B0EE2"/>
    <w:rsid w:val="003B11DE"/>
    <w:rsid w:val="003B18B1"/>
    <w:rsid w:val="003B2D6B"/>
    <w:rsid w:val="003B3B56"/>
    <w:rsid w:val="003B41AB"/>
    <w:rsid w:val="003B5223"/>
    <w:rsid w:val="003B6115"/>
    <w:rsid w:val="003B6DD2"/>
    <w:rsid w:val="003B732F"/>
    <w:rsid w:val="003B7333"/>
    <w:rsid w:val="003C1DCF"/>
    <w:rsid w:val="003C2E28"/>
    <w:rsid w:val="003C2FC2"/>
    <w:rsid w:val="003C3D7D"/>
    <w:rsid w:val="003C4E23"/>
    <w:rsid w:val="003C60F6"/>
    <w:rsid w:val="003C6231"/>
    <w:rsid w:val="003C79E0"/>
    <w:rsid w:val="003D02A3"/>
    <w:rsid w:val="003D0BFE"/>
    <w:rsid w:val="003D3032"/>
    <w:rsid w:val="003D4B43"/>
    <w:rsid w:val="003D5408"/>
    <w:rsid w:val="003D5700"/>
    <w:rsid w:val="003D57CA"/>
    <w:rsid w:val="003D7A53"/>
    <w:rsid w:val="003E06D1"/>
    <w:rsid w:val="003E071A"/>
    <w:rsid w:val="003E0F99"/>
    <w:rsid w:val="003E1742"/>
    <w:rsid w:val="003E3305"/>
    <w:rsid w:val="003E341B"/>
    <w:rsid w:val="003E39CB"/>
    <w:rsid w:val="003E3C63"/>
    <w:rsid w:val="003E412E"/>
    <w:rsid w:val="003E5DA9"/>
    <w:rsid w:val="003E62FF"/>
    <w:rsid w:val="003E6391"/>
    <w:rsid w:val="003E7D89"/>
    <w:rsid w:val="003F029C"/>
    <w:rsid w:val="003F6896"/>
    <w:rsid w:val="003F7E1B"/>
    <w:rsid w:val="0040053F"/>
    <w:rsid w:val="00401234"/>
    <w:rsid w:val="00401449"/>
    <w:rsid w:val="004038C9"/>
    <w:rsid w:val="00405488"/>
    <w:rsid w:val="00405CB5"/>
    <w:rsid w:val="004060DD"/>
    <w:rsid w:val="0041018F"/>
    <w:rsid w:val="00410F89"/>
    <w:rsid w:val="00411529"/>
    <w:rsid w:val="004116CD"/>
    <w:rsid w:val="004123E7"/>
    <w:rsid w:val="00413E3F"/>
    <w:rsid w:val="004140AB"/>
    <w:rsid w:val="004144EC"/>
    <w:rsid w:val="00414A79"/>
    <w:rsid w:val="00416C18"/>
    <w:rsid w:val="0041748B"/>
    <w:rsid w:val="0041748C"/>
    <w:rsid w:val="00417EB9"/>
    <w:rsid w:val="0042116C"/>
    <w:rsid w:val="0042159E"/>
    <w:rsid w:val="00421C4F"/>
    <w:rsid w:val="00422613"/>
    <w:rsid w:val="004230E2"/>
    <w:rsid w:val="00423618"/>
    <w:rsid w:val="00423D01"/>
    <w:rsid w:val="00424BF7"/>
    <w:rsid w:val="00424CA9"/>
    <w:rsid w:val="00426332"/>
    <w:rsid w:val="00431C3B"/>
    <w:rsid w:val="00431E9B"/>
    <w:rsid w:val="004328AD"/>
    <w:rsid w:val="00433531"/>
    <w:rsid w:val="00435801"/>
    <w:rsid w:val="00435F39"/>
    <w:rsid w:val="00436541"/>
    <w:rsid w:val="0043783C"/>
    <w:rsid w:val="004379E3"/>
    <w:rsid w:val="0044015E"/>
    <w:rsid w:val="004412D3"/>
    <w:rsid w:val="00441AB3"/>
    <w:rsid w:val="0044291A"/>
    <w:rsid w:val="0044295D"/>
    <w:rsid w:val="00444ABD"/>
    <w:rsid w:val="004468DD"/>
    <w:rsid w:val="00447DB4"/>
    <w:rsid w:val="004513DF"/>
    <w:rsid w:val="00451883"/>
    <w:rsid w:val="00451B53"/>
    <w:rsid w:val="00451C7E"/>
    <w:rsid w:val="004521E9"/>
    <w:rsid w:val="004539F1"/>
    <w:rsid w:val="00454C60"/>
    <w:rsid w:val="0045641C"/>
    <w:rsid w:val="00456F41"/>
    <w:rsid w:val="0046014C"/>
    <w:rsid w:val="00460F1D"/>
    <w:rsid w:val="00465281"/>
    <w:rsid w:val="00466B0D"/>
    <w:rsid w:val="00467661"/>
    <w:rsid w:val="004705B7"/>
    <w:rsid w:val="004715B6"/>
    <w:rsid w:val="00471756"/>
    <w:rsid w:val="00472DBE"/>
    <w:rsid w:val="00474A19"/>
    <w:rsid w:val="00476AFC"/>
    <w:rsid w:val="00476E0E"/>
    <w:rsid w:val="004770C0"/>
    <w:rsid w:val="00480DBC"/>
    <w:rsid w:val="00480F4F"/>
    <w:rsid w:val="0048171E"/>
    <w:rsid w:val="00481B83"/>
    <w:rsid w:val="004823C0"/>
    <w:rsid w:val="0048276B"/>
    <w:rsid w:val="004832A8"/>
    <w:rsid w:val="00487285"/>
    <w:rsid w:val="00492379"/>
    <w:rsid w:val="004949EE"/>
    <w:rsid w:val="0049529E"/>
    <w:rsid w:val="00495E42"/>
    <w:rsid w:val="00496B5F"/>
    <w:rsid w:val="00496F97"/>
    <w:rsid w:val="0049734D"/>
    <w:rsid w:val="004A093D"/>
    <w:rsid w:val="004A0B24"/>
    <w:rsid w:val="004A31C5"/>
    <w:rsid w:val="004A35C3"/>
    <w:rsid w:val="004A44FC"/>
    <w:rsid w:val="004A4BD8"/>
    <w:rsid w:val="004A58EB"/>
    <w:rsid w:val="004A5986"/>
    <w:rsid w:val="004A679A"/>
    <w:rsid w:val="004A6CE5"/>
    <w:rsid w:val="004A78CF"/>
    <w:rsid w:val="004B3951"/>
    <w:rsid w:val="004B3B00"/>
    <w:rsid w:val="004B5808"/>
    <w:rsid w:val="004C0C0E"/>
    <w:rsid w:val="004C205C"/>
    <w:rsid w:val="004C35C6"/>
    <w:rsid w:val="004C4678"/>
    <w:rsid w:val="004C4845"/>
    <w:rsid w:val="004D13BD"/>
    <w:rsid w:val="004D22EF"/>
    <w:rsid w:val="004D38DB"/>
    <w:rsid w:val="004D4456"/>
    <w:rsid w:val="004E063A"/>
    <w:rsid w:val="004E1D03"/>
    <w:rsid w:val="004E39C8"/>
    <w:rsid w:val="004E5704"/>
    <w:rsid w:val="004E645B"/>
    <w:rsid w:val="004E717E"/>
    <w:rsid w:val="004E7386"/>
    <w:rsid w:val="004E76D3"/>
    <w:rsid w:val="004E77D9"/>
    <w:rsid w:val="004E7BEC"/>
    <w:rsid w:val="004F1829"/>
    <w:rsid w:val="004F2C34"/>
    <w:rsid w:val="004F3494"/>
    <w:rsid w:val="004F4674"/>
    <w:rsid w:val="004F7115"/>
    <w:rsid w:val="004F7AE8"/>
    <w:rsid w:val="0050044F"/>
    <w:rsid w:val="005013DC"/>
    <w:rsid w:val="00504BB9"/>
    <w:rsid w:val="00505D3D"/>
    <w:rsid w:val="00506AF6"/>
    <w:rsid w:val="005074EA"/>
    <w:rsid w:val="0051448C"/>
    <w:rsid w:val="00514971"/>
    <w:rsid w:val="005166A1"/>
    <w:rsid w:val="00516B8D"/>
    <w:rsid w:val="00516CE5"/>
    <w:rsid w:val="00517E56"/>
    <w:rsid w:val="00520886"/>
    <w:rsid w:val="00520F99"/>
    <w:rsid w:val="00521B95"/>
    <w:rsid w:val="005241DB"/>
    <w:rsid w:val="0052711C"/>
    <w:rsid w:val="00527FE9"/>
    <w:rsid w:val="00530968"/>
    <w:rsid w:val="00532049"/>
    <w:rsid w:val="005321E5"/>
    <w:rsid w:val="0053296E"/>
    <w:rsid w:val="00533A50"/>
    <w:rsid w:val="005341FE"/>
    <w:rsid w:val="005356A7"/>
    <w:rsid w:val="00537600"/>
    <w:rsid w:val="00537FBC"/>
    <w:rsid w:val="00541544"/>
    <w:rsid w:val="005415BB"/>
    <w:rsid w:val="00542FFE"/>
    <w:rsid w:val="0054340C"/>
    <w:rsid w:val="005452D3"/>
    <w:rsid w:val="00547F35"/>
    <w:rsid w:val="00550C83"/>
    <w:rsid w:val="0055190F"/>
    <w:rsid w:val="005520AE"/>
    <w:rsid w:val="005547AC"/>
    <w:rsid w:val="005558EA"/>
    <w:rsid w:val="00557008"/>
    <w:rsid w:val="005574D1"/>
    <w:rsid w:val="00561FE2"/>
    <w:rsid w:val="00564FD4"/>
    <w:rsid w:val="005657FE"/>
    <w:rsid w:val="00567331"/>
    <w:rsid w:val="00570210"/>
    <w:rsid w:val="0057042C"/>
    <w:rsid w:val="00572118"/>
    <w:rsid w:val="00572BB1"/>
    <w:rsid w:val="00574656"/>
    <w:rsid w:val="005754D6"/>
    <w:rsid w:val="005759CB"/>
    <w:rsid w:val="00576452"/>
    <w:rsid w:val="005767A5"/>
    <w:rsid w:val="0058432E"/>
    <w:rsid w:val="00584811"/>
    <w:rsid w:val="00585612"/>
    <w:rsid w:val="00585784"/>
    <w:rsid w:val="0058579D"/>
    <w:rsid w:val="00586AE0"/>
    <w:rsid w:val="00586D11"/>
    <w:rsid w:val="0058749E"/>
    <w:rsid w:val="00592025"/>
    <w:rsid w:val="00592DB3"/>
    <w:rsid w:val="00593AA6"/>
    <w:rsid w:val="00594161"/>
    <w:rsid w:val="0059440E"/>
    <w:rsid w:val="00594749"/>
    <w:rsid w:val="00595FB8"/>
    <w:rsid w:val="00596064"/>
    <w:rsid w:val="005961FF"/>
    <w:rsid w:val="005978BD"/>
    <w:rsid w:val="005A0A09"/>
    <w:rsid w:val="005A1C6A"/>
    <w:rsid w:val="005A216C"/>
    <w:rsid w:val="005A2ECA"/>
    <w:rsid w:val="005A545C"/>
    <w:rsid w:val="005A5785"/>
    <w:rsid w:val="005A6106"/>
    <w:rsid w:val="005A7C27"/>
    <w:rsid w:val="005B0C04"/>
    <w:rsid w:val="005B123C"/>
    <w:rsid w:val="005B1D21"/>
    <w:rsid w:val="005B2D2F"/>
    <w:rsid w:val="005B364B"/>
    <w:rsid w:val="005B383A"/>
    <w:rsid w:val="005B3E1D"/>
    <w:rsid w:val="005B4067"/>
    <w:rsid w:val="005B5774"/>
    <w:rsid w:val="005B6C17"/>
    <w:rsid w:val="005B780C"/>
    <w:rsid w:val="005B7A5C"/>
    <w:rsid w:val="005C00E6"/>
    <w:rsid w:val="005C1C22"/>
    <w:rsid w:val="005C1F38"/>
    <w:rsid w:val="005C2D9D"/>
    <w:rsid w:val="005C3F41"/>
    <w:rsid w:val="005D0489"/>
    <w:rsid w:val="005D05C8"/>
    <w:rsid w:val="005D08B4"/>
    <w:rsid w:val="005D0DD1"/>
    <w:rsid w:val="005D2D09"/>
    <w:rsid w:val="005D31B1"/>
    <w:rsid w:val="005D3414"/>
    <w:rsid w:val="005D665E"/>
    <w:rsid w:val="005D773F"/>
    <w:rsid w:val="005D7909"/>
    <w:rsid w:val="005E2CDA"/>
    <w:rsid w:val="005E30C2"/>
    <w:rsid w:val="005E3D84"/>
    <w:rsid w:val="005E4810"/>
    <w:rsid w:val="005E5775"/>
    <w:rsid w:val="005E5E08"/>
    <w:rsid w:val="005F1015"/>
    <w:rsid w:val="005F3432"/>
    <w:rsid w:val="005F3FAB"/>
    <w:rsid w:val="005F43B4"/>
    <w:rsid w:val="005F480B"/>
    <w:rsid w:val="005F506D"/>
    <w:rsid w:val="005F65CD"/>
    <w:rsid w:val="00600219"/>
    <w:rsid w:val="0060291B"/>
    <w:rsid w:val="00603C4D"/>
    <w:rsid w:val="00603DC4"/>
    <w:rsid w:val="00604E20"/>
    <w:rsid w:val="00606D71"/>
    <w:rsid w:val="0060728B"/>
    <w:rsid w:val="00607569"/>
    <w:rsid w:val="00607A71"/>
    <w:rsid w:val="00610A64"/>
    <w:rsid w:val="0061356F"/>
    <w:rsid w:val="00613D34"/>
    <w:rsid w:val="00614EC3"/>
    <w:rsid w:val="0061693F"/>
    <w:rsid w:val="0061733F"/>
    <w:rsid w:val="00617C4C"/>
    <w:rsid w:val="00620076"/>
    <w:rsid w:val="00621220"/>
    <w:rsid w:val="006224CC"/>
    <w:rsid w:val="00623836"/>
    <w:rsid w:val="006242D4"/>
    <w:rsid w:val="006304C2"/>
    <w:rsid w:val="00632AEB"/>
    <w:rsid w:val="00633645"/>
    <w:rsid w:val="0063580D"/>
    <w:rsid w:val="00635D86"/>
    <w:rsid w:val="00635E1F"/>
    <w:rsid w:val="006374B8"/>
    <w:rsid w:val="00640161"/>
    <w:rsid w:val="006415BB"/>
    <w:rsid w:val="006418BE"/>
    <w:rsid w:val="00644A98"/>
    <w:rsid w:val="0064598B"/>
    <w:rsid w:val="00646010"/>
    <w:rsid w:val="00646277"/>
    <w:rsid w:val="00646AD5"/>
    <w:rsid w:val="00647598"/>
    <w:rsid w:val="00647AE2"/>
    <w:rsid w:val="00647C14"/>
    <w:rsid w:val="00650869"/>
    <w:rsid w:val="00650E03"/>
    <w:rsid w:val="006515C1"/>
    <w:rsid w:val="0065237A"/>
    <w:rsid w:val="00652769"/>
    <w:rsid w:val="0065542F"/>
    <w:rsid w:val="00655449"/>
    <w:rsid w:val="006554FF"/>
    <w:rsid w:val="00655632"/>
    <w:rsid w:val="00655874"/>
    <w:rsid w:val="00660853"/>
    <w:rsid w:val="0066141E"/>
    <w:rsid w:val="006621AB"/>
    <w:rsid w:val="00663343"/>
    <w:rsid w:val="006635D0"/>
    <w:rsid w:val="00665003"/>
    <w:rsid w:val="00665BA2"/>
    <w:rsid w:val="00665C0F"/>
    <w:rsid w:val="00666EA8"/>
    <w:rsid w:val="00667B49"/>
    <w:rsid w:val="0067066A"/>
    <w:rsid w:val="00670EA1"/>
    <w:rsid w:val="0067258D"/>
    <w:rsid w:val="00674B91"/>
    <w:rsid w:val="00675442"/>
    <w:rsid w:val="00675A63"/>
    <w:rsid w:val="00676069"/>
    <w:rsid w:val="0067623E"/>
    <w:rsid w:val="00676ACB"/>
    <w:rsid w:val="00677CC2"/>
    <w:rsid w:val="00677F99"/>
    <w:rsid w:val="00680577"/>
    <w:rsid w:val="00680BB9"/>
    <w:rsid w:val="00681C3A"/>
    <w:rsid w:val="0068402D"/>
    <w:rsid w:val="006852EA"/>
    <w:rsid w:val="0068729D"/>
    <w:rsid w:val="00687FEC"/>
    <w:rsid w:val="006905DE"/>
    <w:rsid w:val="0069207B"/>
    <w:rsid w:val="006925C3"/>
    <w:rsid w:val="006927EC"/>
    <w:rsid w:val="00692AD8"/>
    <w:rsid w:val="0069465D"/>
    <w:rsid w:val="006A2415"/>
    <w:rsid w:val="006A349E"/>
    <w:rsid w:val="006A64D9"/>
    <w:rsid w:val="006A7A8A"/>
    <w:rsid w:val="006B02D7"/>
    <w:rsid w:val="006B047D"/>
    <w:rsid w:val="006B240A"/>
    <w:rsid w:val="006B352E"/>
    <w:rsid w:val="006B39A6"/>
    <w:rsid w:val="006B509F"/>
    <w:rsid w:val="006B5789"/>
    <w:rsid w:val="006B5EC7"/>
    <w:rsid w:val="006B7676"/>
    <w:rsid w:val="006C0438"/>
    <w:rsid w:val="006C0536"/>
    <w:rsid w:val="006C08A2"/>
    <w:rsid w:val="006C22C4"/>
    <w:rsid w:val="006C27D4"/>
    <w:rsid w:val="006C30C5"/>
    <w:rsid w:val="006C48A4"/>
    <w:rsid w:val="006C48FA"/>
    <w:rsid w:val="006C50FA"/>
    <w:rsid w:val="006C575F"/>
    <w:rsid w:val="006C7F8C"/>
    <w:rsid w:val="006D0304"/>
    <w:rsid w:val="006D1C08"/>
    <w:rsid w:val="006D2D82"/>
    <w:rsid w:val="006D4C28"/>
    <w:rsid w:val="006D5D8C"/>
    <w:rsid w:val="006E07F6"/>
    <w:rsid w:val="006E090F"/>
    <w:rsid w:val="006E0FA5"/>
    <w:rsid w:val="006E22EE"/>
    <w:rsid w:val="006E38FB"/>
    <w:rsid w:val="006E40F5"/>
    <w:rsid w:val="006E516D"/>
    <w:rsid w:val="006E5320"/>
    <w:rsid w:val="006E566D"/>
    <w:rsid w:val="006E6246"/>
    <w:rsid w:val="006E64F8"/>
    <w:rsid w:val="006E6E56"/>
    <w:rsid w:val="006F00A7"/>
    <w:rsid w:val="006F08ED"/>
    <w:rsid w:val="006F0B70"/>
    <w:rsid w:val="006F16F1"/>
    <w:rsid w:val="006F2E01"/>
    <w:rsid w:val="006F318F"/>
    <w:rsid w:val="006F4226"/>
    <w:rsid w:val="006F635B"/>
    <w:rsid w:val="006F6EFE"/>
    <w:rsid w:val="006F6F6C"/>
    <w:rsid w:val="006F71AF"/>
    <w:rsid w:val="006F72FE"/>
    <w:rsid w:val="006F737E"/>
    <w:rsid w:val="006F796A"/>
    <w:rsid w:val="0070017E"/>
    <w:rsid w:val="00700B2C"/>
    <w:rsid w:val="00701A9D"/>
    <w:rsid w:val="00702678"/>
    <w:rsid w:val="007050A2"/>
    <w:rsid w:val="00705D52"/>
    <w:rsid w:val="00706E98"/>
    <w:rsid w:val="007070A7"/>
    <w:rsid w:val="007078C2"/>
    <w:rsid w:val="00710402"/>
    <w:rsid w:val="00711A4C"/>
    <w:rsid w:val="007127F1"/>
    <w:rsid w:val="00713084"/>
    <w:rsid w:val="007137C9"/>
    <w:rsid w:val="00713DFD"/>
    <w:rsid w:val="00714F20"/>
    <w:rsid w:val="0071590F"/>
    <w:rsid w:val="00715914"/>
    <w:rsid w:val="00715B3F"/>
    <w:rsid w:val="0072135B"/>
    <w:rsid w:val="007229B7"/>
    <w:rsid w:val="00722B95"/>
    <w:rsid w:val="00723218"/>
    <w:rsid w:val="0072332D"/>
    <w:rsid w:val="00723EAA"/>
    <w:rsid w:val="00724F7A"/>
    <w:rsid w:val="00725B0D"/>
    <w:rsid w:val="00725E74"/>
    <w:rsid w:val="007273CF"/>
    <w:rsid w:val="00730186"/>
    <w:rsid w:val="00731BF9"/>
    <w:rsid w:val="00731E00"/>
    <w:rsid w:val="00732527"/>
    <w:rsid w:val="00737B4F"/>
    <w:rsid w:val="007415D8"/>
    <w:rsid w:val="00741E20"/>
    <w:rsid w:val="00741EE8"/>
    <w:rsid w:val="007440B7"/>
    <w:rsid w:val="007442DB"/>
    <w:rsid w:val="007446FA"/>
    <w:rsid w:val="007475DF"/>
    <w:rsid w:val="00747B58"/>
    <w:rsid w:val="007500C8"/>
    <w:rsid w:val="0075106E"/>
    <w:rsid w:val="00751154"/>
    <w:rsid w:val="00755BC9"/>
    <w:rsid w:val="0075618E"/>
    <w:rsid w:val="00756272"/>
    <w:rsid w:val="007565ED"/>
    <w:rsid w:val="0075679E"/>
    <w:rsid w:val="0075693D"/>
    <w:rsid w:val="00760AF1"/>
    <w:rsid w:val="007624F2"/>
    <w:rsid w:val="007628EA"/>
    <w:rsid w:val="00762EEE"/>
    <w:rsid w:val="00763E7C"/>
    <w:rsid w:val="00764891"/>
    <w:rsid w:val="00764D46"/>
    <w:rsid w:val="007660DF"/>
    <w:rsid w:val="007662B5"/>
    <w:rsid w:val="00766639"/>
    <w:rsid w:val="0076681A"/>
    <w:rsid w:val="00767957"/>
    <w:rsid w:val="007700F8"/>
    <w:rsid w:val="0077029F"/>
    <w:rsid w:val="00770685"/>
    <w:rsid w:val="0077093B"/>
    <w:rsid w:val="007715C9"/>
    <w:rsid w:val="00771613"/>
    <w:rsid w:val="00772121"/>
    <w:rsid w:val="00772137"/>
    <w:rsid w:val="007728CB"/>
    <w:rsid w:val="00772B7A"/>
    <w:rsid w:val="0077364F"/>
    <w:rsid w:val="00774EDD"/>
    <w:rsid w:val="007757EC"/>
    <w:rsid w:val="00775ACC"/>
    <w:rsid w:val="00775F63"/>
    <w:rsid w:val="007764DD"/>
    <w:rsid w:val="00776886"/>
    <w:rsid w:val="00777535"/>
    <w:rsid w:val="007776A5"/>
    <w:rsid w:val="007804DE"/>
    <w:rsid w:val="00781A35"/>
    <w:rsid w:val="00782961"/>
    <w:rsid w:val="00782FC2"/>
    <w:rsid w:val="00783E89"/>
    <w:rsid w:val="00784135"/>
    <w:rsid w:val="00785A9E"/>
    <w:rsid w:val="00785DEA"/>
    <w:rsid w:val="0078746C"/>
    <w:rsid w:val="00790BCB"/>
    <w:rsid w:val="00791AD8"/>
    <w:rsid w:val="00791AF8"/>
    <w:rsid w:val="0079216A"/>
    <w:rsid w:val="00792EFB"/>
    <w:rsid w:val="00793915"/>
    <w:rsid w:val="00794516"/>
    <w:rsid w:val="0079545F"/>
    <w:rsid w:val="007957CE"/>
    <w:rsid w:val="007A1989"/>
    <w:rsid w:val="007A2CDE"/>
    <w:rsid w:val="007A2E6B"/>
    <w:rsid w:val="007A3DBC"/>
    <w:rsid w:val="007A60EE"/>
    <w:rsid w:val="007A6DC4"/>
    <w:rsid w:val="007A714D"/>
    <w:rsid w:val="007A7AB6"/>
    <w:rsid w:val="007B099D"/>
    <w:rsid w:val="007B3702"/>
    <w:rsid w:val="007B49E6"/>
    <w:rsid w:val="007B4C4F"/>
    <w:rsid w:val="007B5E9C"/>
    <w:rsid w:val="007B7DFA"/>
    <w:rsid w:val="007C2253"/>
    <w:rsid w:val="007C2A11"/>
    <w:rsid w:val="007C2D8B"/>
    <w:rsid w:val="007C4682"/>
    <w:rsid w:val="007C5A2C"/>
    <w:rsid w:val="007C61D2"/>
    <w:rsid w:val="007D230B"/>
    <w:rsid w:val="007D48AE"/>
    <w:rsid w:val="007D4DDA"/>
    <w:rsid w:val="007D5233"/>
    <w:rsid w:val="007D7CE0"/>
    <w:rsid w:val="007E163D"/>
    <w:rsid w:val="007E28B8"/>
    <w:rsid w:val="007E2E25"/>
    <w:rsid w:val="007E2EBB"/>
    <w:rsid w:val="007E2F1B"/>
    <w:rsid w:val="007E40B6"/>
    <w:rsid w:val="007E667A"/>
    <w:rsid w:val="007E7B4E"/>
    <w:rsid w:val="007F1491"/>
    <w:rsid w:val="007F1AA2"/>
    <w:rsid w:val="007F2714"/>
    <w:rsid w:val="007F28C9"/>
    <w:rsid w:val="007F367D"/>
    <w:rsid w:val="007F3F78"/>
    <w:rsid w:val="007F6883"/>
    <w:rsid w:val="00801BAB"/>
    <w:rsid w:val="0080264D"/>
    <w:rsid w:val="0080312D"/>
    <w:rsid w:val="00803587"/>
    <w:rsid w:val="008060E8"/>
    <w:rsid w:val="00806E33"/>
    <w:rsid w:val="00810A67"/>
    <w:rsid w:val="008115A6"/>
    <w:rsid w:val="00811612"/>
    <w:rsid w:val="008117E9"/>
    <w:rsid w:val="00814BF0"/>
    <w:rsid w:val="00815EE3"/>
    <w:rsid w:val="00816888"/>
    <w:rsid w:val="00821428"/>
    <w:rsid w:val="00824498"/>
    <w:rsid w:val="0082759A"/>
    <w:rsid w:val="00830D6C"/>
    <w:rsid w:val="00832448"/>
    <w:rsid w:val="00832B5F"/>
    <w:rsid w:val="008335D4"/>
    <w:rsid w:val="00840442"/>
    <w:rsid w:val="0084109D"/>
    <w:rsid w:val="008420C0"/>
    <w:rsid w:val="00845168"/>
    <w:rsid w:val="00845C8C"/>
    <w:rsid w:val="00846D76"/>
    <w:rsid w:val="0084764B"/>
    <w:rsid w:val="008477D9"/>
    <w:rsid w:val="00850C3F"/>
    <w:rsid w:val="00850F56"/>
    <w:rsid w:val="008510FA"/>
    <w:rsid w:val="00851F1E"/>
    <w:rsid w:val="008527C0"/>
    <w:rsid w:val="008541B0"/>
    <w:rsid w:val="00855E08"/>
    <w:rsid w:val="00856A31"/>
    <w:rsid w:val="00860B58"/>
    <w:rsid w:val="00860C89"/>
    <w:rsid w:val="0086109D"/>
    <w:rsid w:val="008626F8"/>
    <w:rsid w:val="00863884"/>
    <w:rsid w:val="00863F29"/>
    <w:rsid w:val="008654E4"/>
    <w:rsid w:val="00865ADF"/>
    <w:rsid w:val="00866643"/>
    <w:rsid w:val="00867B37"/>
    <w:rsid w:val="00871315"/>
    <w:rsid w:val="00873A7E"/>
    <w:rsid w:val="0087465E"/>
    <w:rsid w:val="00875454"/>
    <w:rsid w:val="008754D0"/>
    <w:rsid w:val="00876DB7"/>
    <w:rsid w:val="00877058"/>
    <w:rsid w:val="00880512"/>
    <w:rsid w:val="008814C6"/>
    <w:rsid w:val="00882402"/>
    <w:rsid w:val="0088370F"/>
    <w:rsid w:val="00883788"/>
    <w:rsid w:val="008855C9"/>
    <w:rsid w:val="00886456"/>
    <w:rsid w:val="00891A8F"/>
    <w:rsid w:val="00893F84"/>
    <w:rsid w:val="00894219"/>
    <w:rsid w:val="00894450"/>
    <w:rsid w:val="008945E0"/>
    <w:rsid w:val="00894C89"/>
    <w:rsid w:val="00894F91"/>
    <w:rsid w:val="0089527F"/>
    <w:rsid w:val="00896134"/>
    <w:rsid w:val="008A099A"/>
    <w:rsid w:val="008A09F8"/>
    <w:rsid w:val="008A2357"/>
    <w:rsid w:val="008A362B"/>
    <w:rsid w:val="008A46E1"/>
    <w:rsid w:val="008A4F43"/>
    <w:rsid w:val="008A5741"/>
    <w:rsid w:val="008B01EE"/>
    <w:rsid w:val="008B2706"/>
    <w:rsid w:val="008B321E"/>
    <w:rsid w:val="008B4321"/>
    <w:rsid w:val="008B4B7F"/>
    <w:rsid w:val="008B58C5"/>
    <w:rsid w:val="008B6496"/>
    <w:rsid w:val="008B6F50"/>
    <w:rsid w:val="008B76F9"/>
    <w:rsid w:val="008C0F29"/>
    <w:rsid w:val="008C1572"/>
    <w:rsid w:val="008D0EE0"/>
    <w:rsid w:val="008D0F3F"/>
    <w:rsid w:val="008D1974"/>
    <w:rsid w:val="008D3422"/>
    <w:rsid w:val="008D600D"/>
    <w:rsid w:val="008E0150"/>
    <w:rsid w:val="008E1A6D"/>
    <w:rsid w:val="008E27EF"/>
    <w:rsid w:val="008E290E"/>
    <w:rsid w:val="008E51AE"/>
    <w:rsid w:val="008E6067"/>
    <w:rsid w:val="008F047F"/>
    <w:rsid w:val="008F0AF9"/>
    <w:rsid w:val="008F2896"/>
    <w:rsid w:val="008F3D4A"/>
    <w:rsid w:val="008F4B45"/>
    <w:rsid w:val="008F54E7"/>
    <w:rsid w:val="008F62DE"/>
    <w:rsid w:val="008F6639"/>
    <w:rsid w:val="008F6654"/>
    <w:rsid w:val="008F6CEE"/>
    <w:rsid w:val="008F7709"/>
    <w:rsid w:val="0090055E"/>
    <w:rsid w:val="00900861"/>
    <w:rsid w:val="009020FA"/>
    <w:rsid w:val="00902B9E"/>
    <w:rsid w:val="00903422"/>
    <w:rsid w:val="00903BEE"/>
    <w:rsid w:val="00904B01"/>
    <w:rsid w:val="00905728"/>
    <w:rsid w:val="009072E3"/>
    <w:rsid w:val="009108D6"/>
    <w:rsid w:val="0091090F"/>
    <w:rsid w:val="00911652"/>
    <w:rsid w:val="00911948"/>
    <w:rsid w:val="00911C02"/>
    <w:rsid w:val="00915208"/>
    <w:rsid w:val="009157B9"/>
    <w:rsid w:val="00915988"/>
    <w:rsid w:val="00915C5C"/>
    <w:rsid w:val="00915DF9"/>
    <w:rsid w:val="00917794"/>
    <w:rsid w:val="009202D5"/>
    <w:rsid w:val="00920926"/>
    <w:rsid w:val="009232C9"/>
    <w:rsid w:val="009244DF"/>
    <w:rsid w:val="00924DDC"/>
    <w:rsid w:val="009254C3"/>
    <w:rsid w:val="00926204"/>
    <w:rsid w:val="009268D9"/>
    <w:rsid w:val="00927A88"/>
    <w:rsid w:val="00930A0A"/>
    <w:rsid w:val="00931078"/>
    <w:rsid w:val="0093150E"/>
    <w:rsid w:val="009315A3"/>
    <w:rsid w:val="00932377"/>
    <w:rsid w:val="00933A51"/>
    <w:rsid w:val="00942303"/>
    <w:rsid w:val="009449B0"/>
    <w:rsid w:val="00946D93"/>
    <w:rsid w:val="00947302"/>
    <w:rsid w:val="00947D5A"/>
    <w:rsid w:val="00951690"/>
    <w:rsid w:val="00951E4E"/>
    <w:rsid w:val="009523D0"/>
    <w:rsid w:val="009532A5"/>
    <w:rsid w:val="0095359C"/>
    <w:rsid w:val="00954464"/>
    <w:rsid w:val="009551BB"/>
    <w:rsid w:val="0095528E"/>
    <w:rsid w:val="00957BEF"/>
    <w:rsid w:val="00961764"/>
    <w:rsid w:val="00962120"/>
    <w:rsid w:val="00964261"/>
    <w:rsid w:val="009642AA"/>
    <w:rsid w:val="00964C43"/>
    <w:rsid w:val="00964CA9"/>
    <w:rsid w:val="00964F42"/>
    <w:rsid w:val="00964F63"/>
    <w:rsid w:val="0096563B"/>
    <w:rsid w:val="00965B6E"/>
    <w:rsid w:val="009670AA"/>
    <w:rsid w:val="0096753E"/>
    <w:rsid w:val="009678CF"/>
    <w:rsid w:val="00967E7C"/>
    <w:rsid w:val="0097073E"/>
    <w:rsid w:val="009736EA"/>
    <w:rsid w:val="00974BC6"/>
    <w:rsid w:val="00975820"/>
    <w:rsid w:val="009762EC"/>
    <w:rsid w:val="00977CD8"/>
    <w:rsid w:val="00981D5A"/>
    <w:rsid w:val="00982242"/>
    <w:rsid w:val="00982958"/>
    <w:rsid w:val="00982F86"/>
    <w:rsid w:val="00983638"/>
    <w:rsid w:val="00986574"/>
    <w:rsid w:val="009868E9"/>
    <w:rsid w:val="00987EDD"/>
    <w:rsid w:val="00991552"/>
    <w:rsid w:val="00993E86"/>
    <w:rsid w:val="009944E6"/>
    <w:rsid w:val="009948F2"/>
    <w:rsid w:val="00995105"/>
    <w:rsid w:val="0099528C"/>
    <w:rsid w:val="00995B6D"/>
    <w:rsid w:val="00996565"/>
    <w:rsid w:val="009967F0"/>
    <w:rsid w:val="009970EB"/>
    <w:rsid w:val="00997575"/>
    <w:rsid w:val="009A49C9"/>
    <w:rsid w:val="009A5A34"/>
    <w:rsid w:val="009B1CB8"/>
    <w:rsid w:val="009B2429"/>
    <w:rsid w:val="009B41F6"/>
    <w:rsid w:val="009B4AC3"/>
    <w:rsid w:val="009B5CFB"/>
    <w:rsid w:val="009B6508"/>
    <w:rsid w:val="009B69D4"/>
    <w:rsid w:val="009B7656"/>
    <w:rsid w:val="009B7FD9"/>
    <w:rsid w:val="009C14A0"/>
    <w:rsid w:val="009C364E"/>
    <w:rsid w:val="009C4C16"/>
    <w:rsid w:val="009C6564"/>
    <w:rsid w:val="009D1648"/>
    <w:rsid w:val="009D1818"/>
    <w:rsid w:val="009D3B83"/>
    <w:rsid w:val="009D5285"/>
    <w:rsid w:val="009D66E0"/>
    <w:rsid w:val="009D6740"/>
    <w:rsid w:val="009D6C93"/>
    <w:rsid w:val="009D7D97"/>
    <w:rsid w:val="009E0B05"/>
    <w:rsid w:val="009E2005"/>
    <w:rsid w:val="009E3BF4"/>
    <w:rsid w:val="009E574E"/>
    <w:rsid w:val="009E5CFC"/>
    <w:rsid w:val="009E7D45"/>
    <w:rsid w:val="009F0047"/>
    <w:rsid w:val="009F00A7"/>
    <w:rsid w:val="009F0E4B"/>
    <w:rsid w:val="009F6247"/>
    <w:rsid w:val="00A014D7"/>
    <w:rsid w:val="00A022B4"/>
    <w:rsid w:val="00A0303C"/>
    <w:rsid w:val="00A0322C"/>
    <w:rsid w:val="00A03A8A"/>
    <w:rsid w:val="00A0466B"/>
    <w:rsid w:val="00A048D4"/>
    <w:rsid w:val="00A079CB"/>
    <w:rsid w:val="00A07ACD"/>
    <w:rsid w:val="00A11A9A"/>
    <w:rsid w:val="00A11FD9"/>
    <w:rsid w:val="00A12128"/>
    <w:rsid w:val="00A12DAD"/>
    <w:rsid w:val="00A12E9A"/>
    <w:rsid w:val="00A12F48"/>
    <w:rsid w:val="00A138CA"/>
    <w:rsid w:val="00A15512"/>
    <w:rsid w:val="00A16CF6"/>
    <w:rsid w:val="00A1748D"/>
    <w:rsid w:val="00A2023F"/>
    <w:rsid w:val="00A20836"/>
    <w:rsid w:val="00A20FCE"/>
    <w:rsid w:val="00A22C98"/>
    <w:rsid w:val="00A231E2"/>
    <w:rsid w:val="00A23527"/>
    <w:rsid w:val="00A30E61"/>
    <w:rsid w:val="00A31A66"/>
    <w:rsid w:val="00A31D73"/>
    <w:rsid w:val="00A32DA0"/>
    <w:rsid w:val="00A32DE3"/>
    <w:rsid w:val="00A33D55"/>
    <w:rsid w:val="00A35B5A"/>
    <w:rsid w:val="00A40424"/>
    <w:rsid w:val="00A41D51"/>
    <w:rsid w:val="00A41FC9"/>
    <w:rsid w:val="00A42244"/>
    <w:rsid w:val="00A455EB"/>
    <w:rsid w:val="00A46746"/>
    <w:rsid w:val="00A46A3E"/>
    <w:rsid w:val="00A47282"/>
    <w:rsid w:val="00A47850"/>
    <w:rsid w:val="00A52B0F"/>
    <w:rsid w:val="00A530C4"/>
    <w:rsid w:val="00A537A2"/>
    <w:rsid w:val="00A53D45"/>
    <w:rsid w:val="00A54ABE"/>
    <w:rsid w:val="00A55870"/>
    <w:rsid w:val="00A5632E"/>
    <w:rsid w:val="00A56C34"/>
    <w:rsid w:val="00A57911"/>
    <w:rsid w:val="00A6061B"/>
    <w:rsid w:val="00A62A62"/>
    <w:rsid w:val="00A6400A"/>
    <w:rsid w:val="00A64912"/>
    <w:rsid w:val="00A65A1A"/>
    <w:rsid w:val="00A66168"/>
    <w:rsid w:val="00A67FEA"/>
    <w:rsid w:val="00A7081D"/>
    <w:rsid w:val="00A70A74"/>
    <w:rsid w:val="00A71904"/>
    <w:rsid w:val="00A7340A"/>
    <w:rsid w:val="00A74878"/>
    <w:rsid w:val="00A76FAC"/>
    <w:rsid w:val="00A800A8"/>
    <w:rsid w:val="00A80E7A"/>
    <w:rsid w:val="00A81F7B"/>
    <w:rsid w:val="00A82C16"/>
    <w:rsid w:val="00A83037"/>
    <w:rsid w:val="00A83CD1"/>
    <w:rsid w:val="00A8594A"/>
    <w:rsid w:val="00A907EB"/>
    <w:rsid w:val="00A90A8E"/>
    <w:rsid w:val="00A91966"/>
    <w:rsid w:val="00A9250D"/>
    <w:rsid w:val="00A92693"/>
    <w:rsid w:val="00A940C6"/>
    <w:rsid w:val="00A954C9"/>
    <w:rsid w:val="00A96B6A"/>
    <w:rsid w:val="00AA07E6"/>
    <w:rsid w:val="00AA274B"/>
    <w:rsid w:val="00AA40FC"/>
    <w:rsid w:val="00AA66AC"/>
    <w:rsid w:val="00AA671D"/>
    <w:rsid w:val="00AA78AD"/>
    <w:rsid w:val="00AB6F93"/>
    <w:rsid w:val="00AC0886"/>
    <w:rsid w:val="00AC1F70"/>
    <w:rsid w:val="00AC2919"/>
    <w:rsid w:val="00AC3E7B"/>
    <w:rsid w:val="00AC6509"/>
    <w:rsid w:val="00AC71DE"/>
    <w:rsid w:val="00AC756B"/>
    <w:rsid w:val="00AD0363"/>
    <w:rsid w:val="00AD066C"/>
    <w:rsid w:val="00AD1D96"/>
    <w:rsid w:val="00AD3075"/>
    <w:rsid w:val="00AD3AFA"/>
    <w:rsid w:val="00AD5315"/>
    <w:rsid w:val="00AD5641"/>
    <w:rsid w:val="00AD5F66"/>
    <w:rsid w:val="00AD6F7C"/>
    <w:rsid w:val="00AD7628"/>
    <w:rsid w:val="00AD7889"/>
    <w:rsid w:val="00AE3719"/>
    <w:rsid w:val="00AE4ABF"/>
    <w:rsid w:val="00AE530D"/>
    <w:rsid w:val="00AE648C"/>
    <w:rsid w:val="00AE6E04"/>
    <w:rsid w:val="00AE7708"/>
    <w:rsid w:val="00AE7A76"/>
    <w:rsid w:val="00AF021B"/>
    <w:rsid w:val="00AF06CF"/>
    <w:rsid w:val="00AF0BA4"/>
    <w:rsid w:val="00AF0EFF"/>
    <w:rsid w:val="00AF2EEB"/>
    <w:rsid w:val="00B01511"/>
    <w:rsid w:val="00B03112"/>
    <w:rsid w:val="00B067B5"/>
    <w:rsid w:val="00B0688F"/>
    <w:rsid w:val="00B07CDB"/>
    <w:rsid w:val="00B10353"/>
    <w:rsid w:val="00B106A8"/>
    <w:rsid w:val="00B10FB0"/>
    <w:rsid w:val="00B11C6A"/>
    <w:rsid w:val="00B14E6D"/>
    <w:rsid w:val="00B156BC"/>
    <w:rsid w:val="00B156FC"/>
    <w:rsid w:val="00B15E2F"/>
    <w:rsid w:val="00B15EFC"/>
    <w:rsid w:val="00B16067"/>
    <w:rsid w:val="00B16A31"/>
    <w:rsid w:val="00B17DFD"/>
    <w:rsid w:val="00B22347"/>
    <w:rsid w:val="00B229C0"/>
    <w:rsid w:val="00B22E64"/>
    <w:rsid w:val="00B2340C"/>
    <w:rsid w:val="00B25242"/>
    <w:rsid w:val="00B2799D"/>
    <w:rsid w:val="00B27C45"/>
    <w:rsid w:val="00B307FB"/>
    <w:rsid w:val="00B308FE"/>
    <w:rsid w:val="00B30C1F"/>
    <w:rsid w:val="00B31CCC"/>
    <w:rsid w:val="00B331F8"/>
    <w:rsid w:val="00B33709"/>
    <w:rsid w:val="00B33B3C"/>
    <w:rsid w:val="00B34A96"/>
    <w:rsid w:val="00B35D97"/>
    <w:rsid w:val="00B35D98"/>
    <w:rsid w:val="00B364C3"/>
    <w:rsid w:val="00B36FBA"/>
    <w:rsid w:val="00B4121E"/>
    <w:rsid w:val="00B41376"/>
    <w:rsid w:val="00B420B3"/>
    <w:rsid w:val="00B42159"/>
    <w:rsid w:val="00B42C17"/>
    <w:rsid w:val="00B42E9E"/>
    <w:rsid w:val="00B430F3"/>
    <w:rsid w:val="00B44110"/>
    <w:rsid w:val="00B50ADC"/>
    <w:rsid w:val="00B5169C"/>
    <w:rsid w:val="00B535C9"/>
    <w:rsid w:val="00B566B1"/>
    <w:rsid w:val="00B57D29"/>
    <w:rsid w:val="00B60D0B"/>
    <w:rsid w:val="00B628DE"/>
    <w:rsid w:val="00B62DA1"/>
    <w:rsid w:val="00B63834"/>
    <w:rsid w:val="00B63BE9"/>
    <w:rsid w:val="00B63E07"/>
    <w:rsid w:val="00B67BC3"/>
    <w:rsid w:val="00B70B51"/>
    <w:rsid w:val="00B70E7B"/>
    <w:rsid w:val="00B724F6"/>
    <w:rsid w:val="00B72734"/>
    <w:rsid w:val="00B73332"/>
    <w:rsid w:val="00B74C54"/>
    <w:rsid w:val="00B758DF"/>
    <w:rsid w:val="00B75A11"/>
    <w:rsid w:val="00B77787"/>
    <w:rsid w:val="00B800C0"/>
    <w:rsid w:val="00B80199"/>
    <w:rsid w:val="00B828AC"/>
    <w:rsid w:val="00B82D81"/>
    <w:rsid w:val="00B83204"/>
    <w:rsid w:val="00B84D95"/>
    <w:rsid w:val="00B85999"/>
    <w:rsid w:val="00B87CAC"/>
    <w:rsid w:val="00B9345E"/>
    <w:rsid w:val="00B94272"/>
    <w:rsid w:val="00B94368"/>
    <w:rsid w:val="00B94BA2"/>
    <w:rsid w:val="00B97303"/>
    <w:rsid w:val="00BA0E23"/>
    <w:rsid w:val="00BA14B3"/>
    <w:rsid w:val="00BA220B"/>
    <w:rsid w:val="00BA227A"/>
    <w:rsid w:val="00BA2950"/>
    <w:rsid w:val="00BA2AA6"/>
    <w:rsid w:val="00BA300A"/>
    <w:rsid w:val="00BA3356"/>
    <w:rsid w:val="00BA3A57"/>
    <w:rsid w:val="00BA42AD"/>
    <w:rsid w:val="00BA4BE9"/>
    <w:rsid w:val="00BA4F4A"/>
    <w:rsid w:val="00BA5845"/>
    <w:rsid w:val="00BB02AF"/>
    <w:rsid w:val="00BB1309"/>
    <w:rsid w:val="00BB1F09"/>
    <w:rsid w:val="00BB208C"/>
    <w:rsid w:val="00BB374B"/>
    <w:rsid w:val="00BB4082"/>
    <w:rsid w:val="00BB4E1A"/>
    <w:rsid w:val="00BB5895"/>
    <w:rsid w:val="00BB5C17"/>
    <w:rsid w:val="00BB76A5"/>
    <w:rsid w:val="00BB7829"/>
    <w:rsid w:val="00BB7F1B"/>
    <w:rsid w:val="00BC0113"/>
    <w:rsid w:val="00BC015E"/>
    <w:rsid w:val="00BC07D2"/>
    <w:rsid w:val="00BC0ACC"/>
    <w:rsid w:val="00BC1CE2"/>
    <w:rsid w:val="00BC2DE4"/>
    <w:rsid w:val="00BC4CCE"/>
    <w:rsid w:val="00BC4EAE"/>
    <w:rsid w:val="00BC5883"/>
    <w:rsid w:val="00BC5BD9"/>
    <w:rsid w:val="00BC6871"/>
    <w:rsid w:val="00BC7183"/>
    <w:rsid w:val="00BC76AC"/>
    <w:rsid w:val="00BD0AC6"/>
    <w:rsid w:val="00BD0ECB"/>
    <w:rsid w:val="00BD1365"/>
    <w:rsid w:val="00BD27F5"/>
    <w:rsid w:val="00BD2B7D"/>
    <w:rsid w:val="00BD4F47"/>
    <w:rsid w:val="00BD518E"/>
    <w:rsid w:val="00BD5BEC"/>
    <w:rsid w:val="00BD69D9"/>
    <w:rsid w:val="00BD6AB8"/>
    <w:rsid w:val="00BD76CB"/>
    <w:rsid w:val="00BD78A1"/>
    <w:rsid w:val="00BE035E"/>
    <w:rsid w:val="00BE0B5F"/>
    <w:rsid w:val="00BE0FDD"/>
    <w:rsid w:val="00BE1B57"/>
    <w:rsid w:val="00BE2155"/>
    <w:rsid w:val="00BE2213"/>
    <w:rsid w:val="00BE2F15"/>
    <w:rsid w:val="00BE4EA0"/>
    <w:rsid w:val="00BE6AA5"/>
    <w:rsid w:val="00BE719A"/>
    <w:rsid w:val="00BE720A"/>
    <w:rsid w:val="00BE7DA8"/>
    <w:rsid w:val="00BF0098"/>
    <w:rsid w:val="00BF09D5"/>
    <w:rsid w:val="00BF0D73"/>
    <w:rsid w:val="00BF0DFC"/>
    <w:rsid w:val="00BF11CE"/>
    <w:rsid w:val="00BF2465"/>
    <w:rsid w:val="00BF2CF3"/>
    <w:rsid w:val="00BF361A"/>
    <w:rsid w:val="00BF4084"/>
    <w:rsid w:val="00BF65DE"/>
    <w:rsid w:val="00BF75C9"/>
    <w:rsid w:val="00C017CB"/>
    <w:rsid w:val="00C01C14"/>
    <w:rsid w:val="00C02D44"/>
    <w:rsid w:val="00C03162"/>
    <w:rsid w:val="00C033CF"/>
    <w:rsid w:val="00C03C94"/>
    <w:rsid w:val="00C04246"/>
    <w:rsid w:val="00C045F4"/>
    <w:rsid w:val="00C04B0C"/>
    <w:rsid w:val="00C04D8D"/>
    <w:rsid w:val="00C04DFB"/>
    <w:rsid w:val="00C0544A"/>
    <w:rsid w:val="00C05849"/>
    <w:rsid w:val="00C06C60"/>
    <w:rsid w:val="00C07E06"/>
    <w:rsid w:val="00C10930"/>
    <w:rsid w:val="00C10ABB"/>
    <w:rsid w:val="00C11452"/>
    <w:rsid w:val="00C114C2"/>
    <w:rsid w:val="00C120AB"/>
    <w:rsid w:val="00C1227F"/>
    <w:rsid w:val="00C17964"/>
    <w:rsid w:val="00C217B8"/>
    <w:rsid w:val="00C21D7D"/>
    <w:rsid w:val="00C21EEC"/>
    <w:rsid w:val="00C22264"/>
    <w:rsid w:val="00C22AAA"/>
    <w:rsid w:val="00C236F1"/>
    <w:rsid w:val="00C239C4"/>
    <w:rsid w:val="00C256C5"/>
    <w:rsid w:val="00C25E7F"/>
    <w:rsid w:val="00C26328"/>
    <w:rsid w:val="00C2746F"/>
    <w:rsid w:val="00C305D2"/>
    <w:rsid w:val="00C30A3E"/>
    <w:rsid w:val="00C31510"/>
    <w:rsid w:val="00C317E4"/>
    <w:rsid w:val="00C31816"/>
    <w:rsid w:val="00C31C01"/>
    <w:rsid w:val="00C31ED4"/>
    <w:rsid w:val="00C324A0"/>
    <w:rsid w:val="00C32F4D"/>
    <w:rsid w:val="00C3300F"/>
    <w:rsid w:val="00C35875"/>
    <w:rsid w:val="00C35923"/>
    <w:rsid w:val="00C36A52"/>
    <w:rsid w:val="00C408C4"/>
    <w:rsid w:val="00C40BD7"/>
    <w:rsid w:val="00C41D1B"/>
    <w:rsid w:val="00C42BF8"/>
    <w:rsid w:val="00C45171"/>
    <w:rsid w:val="00C454B5"/>
    <w:rsid w:val="00C4762D"/>
    <w:rsid w:val="00C50043"/>
    <w:rsid w:val="00C50B97"/>
    <w:rsid w:val="00C50DFC"/>
    <w:rsid w:val="00C51297"/>
    <w:rsid w:val="00C51715"/>
    <w:rsid w:val="00C54569"/>
    <w:rsid w:val="00C56EE9"/>
    <w:rsid w:val="00C57BFB"/>
    <w:rsid w:val="00C61126"/>
    <w:rsid w:val="00C6186A"/>
    <w:rsid w:val="00C61B12"/>
    <w:rsid w:val="00C626BB"/>
    <w:rsid w:val="00C6287C"/>
    <w:rsid w:val="00C6434E"/>
    <w:rsid w:val="00C65684"/>
    <w:rsid w:val="00C66D18"/>
    <w:rsid w:val="00C70CA8"/>
    <w:rsid w:val="00C71950"/>
    <w:rsid w:val="00C74A65"/>
    <w:rsid w:val="00C75268"/>
    <w:rsid w:val="00C7573B"/>
    <w:rsid w:val="00C77D96"/>
    <w:rsid w:val="00C82861"/>
    <w:rsid w:val="00C82D8E"/>
    <w:rsid w:val="00C83C1F"/>
    <w:rsid w:val="00C864C3"/>
    <w:rsid w:val="00C8716F"/>
    <w:rsid w:val="00C87600"/>
    <w:rsid w:val="00C904E6"/>
    <w:rsid w:val="00C91E23"/>
    <w:rsid w:val="00C93C03"/>
    <w:rsid w:val="00C9489B"/>
    <w:rsid w:val="00C9541B"/>
    <w:rsid w:val="00C95F27"/>
    <w:rsid w:val="00C965C4"/>
    <w:rsid w:val="00CA28DA"/>
    <w:rsid w:val="00CA3A25"/>
    <w:rsid w:val="00CA66DC"/>
    <w:rsid w:val="00CA7897"/>
    <w:rsid w:val="00CB06C0"/>
    <w:rsid w:val="00CB0D0D"/>
    <w:rsid w:val="00CB143B"/>
    <w:rsid w:val="00CB1892"/>
    <w:rsid w:val="00CB2C8E"/>
    <w:rsid w:val="00CB372F"/>
    <w:rsid w:val="00CB39A8"/>
    <w:rsid w:val="00CB3E81"/>
    <w:rsid w:val="00CB602E"/>
    <w:rsid w:val="00CB7B7A"/>
    <w:rsid w:val="00CC0E71"/>
    <w:rsid w:val="00CC1067"/>
    <w:rsid w:val="00CC2FB3"/>
    <w:rsid w:val="00CC3BFA"/>
    <w:rsid w:val="00CC6DD2"/>
    <w:rsid w:val="00CC7307"/>
    <w:rsid w:val="00CD0B10"/>
    <w:rsid w:val="00CD158F"/>
    <w:rsid w:val="00CD1ED0"/>
    <w:rsid w:val="00CD2E90"/>
    <w:rsid w:val="00CD67A2"/>
    <w:rsid w:val="00CD69B9"/>
    <w:rsid w:val="00CD6E4A"/>
    <w:rsid w:val="00CE051D"/>
    <w:rsid w:val="00CE0902"/>
    <w:rsid w:val="00CE0935"/>
    <w:rsid w:val="00CE0FA6"/>
    <w:rsid w:val="00CE1284"/>
    <w:rsid w:val="00CE1335"/>
    <w:rsid w:val="00CE2032"/>
    <w:rsid w:val="00CE272F"/>
    <w:rsid w:val="00CE3D2A"/>
    <w:rsid w:val="00CE493D"/>
    <w:rsid w:val="00CE5DCA"/>
    <w:rsid w:val="00CF07FA"/>
    <w:rsid w:val="00CF0BB2"/>
    <w:rsid w:val="00CF1B31"/>
    <w:rsid w:val="00CF28BC"/>
    <w:rsid w:val="00CF3EE8"/>
    <w:rsid w:val="00CF43DC"/>
    <w:rsid w:val="00CF4E4F"/>
    <w:rsid w:val="00CF520B"/>
    <w:rsid w:val="00D003F4"/>
    <w:rsid w:val="00D00C0C"/>
    <w:rsid w:val="00D02259"/>
    <w:rsid w:val="00D02647"/>
    <w:rsid w:val="00D0434A"/>
    <w:rsid w:val="00D047C3"/>
    <w:rsid w:val="00D04F78"/>
    <w:rsid w:val="00D04FE7"/>
    <w:rsid w:val="00D050E6"/>
    <w:rsid w:val="00D1103E"/>
    <w:rsid w:val="00D120A1"/>
    <w:rsid w:val="00D12614"/>
    <w:rsid w:val="00D12BBB"/>
    <w:rsid w:val="00D13441"/>
    <w:rsid w:val="00D150E7"/>
    <w:rsid w:val="00D16CAC"/>
    <w:rsid w:val="00D17E95"/>
    <w:rsid w:val="00D20154"/>
    <w:rsid w:val="00D20511"/>
    <w:rsid w:val="00D212D5"/>
    <w:rsid w:val="00D22AC4"/>
    <w:rsid w:val="00D23303"/>
    <w:rsid w:val="00D24053"/>
    <w:rsid w:val="00D27231"/>
    <w:rsid w:val="00D27807"/>
    <w:rsid w:val="00D27E21"/>
    <w:rsid w:val="00D30E90"/>
    <w:rsid w:val="00D32A74"/>
    <w:rsid w:val="00D32F65"/>
    <w:rsid w:val="00D341C4"/>
    <w:rsid w:val="00D34755"/>
    <w:rsid w:val="00D35072"/>
    <w:rsid w:val="00D35ACB"/>
    <w:rsid w:val="00D42079"/>
    <w:rsid w:val="00D42B89"/>
    <w:rsid w:val="00D43A03"/>
    <w:rsid w:val="00D43C48"/>
    <w:rsid w:val="00D45E5D"/>
    <w:rsid w:val="00D46112"/>
    <w:rsid w:val="00D4727F"/>
    <w:rsid w:val="00D476C7"/>
    <w:rsid w:val="00D477A1"/>
    <w:rsid w:val="00D50F2C"/>
    <w:rsid w:val="00D52DC2"/>
    <w:rsid w:val="00D53BCC"/>
    <w:rsid w:val="00D54AB4"/>
    <w:rsid w:val="00D54EC2"/>
    <w:rsid w:val="00D55124"/>
    <w:rsid w:val="00D56358"/>
    <w:rsid w:val="00D5678E"/>
    <w:rsid w:val="00D569AB"/>
    <w:rsid w:val="00D5718B"/>
    <w:rsid w:val="00D571A0"/>
    <w:rsid w:val="00D57A75"/>
    <w:rsid w:val="00D57C07"/>
    <w:rsid w:val="00D61AB4"/>
    <w:rsid w:val="00D65D13"/>
    <w:rsid w:val="00D65E68"/>
    <w:rsid w:val="00D66303"/>
    <w:rsid w:val="00D66C38"/>
    <w:rsid w:val="00D67041"/>
    <w:rsid w:val="00D67BA9"/>
    <w:rsid w:val="00D702DE"/>
    <w:rsid w:val="00D70731"/>
    <w:rsid w:val="00D70DFB"/>
    <w:rsid w:val="00D72490"/>
    <w:rsid w:val="00D731EA"/>
    <w:rsid w:val="00D73C22"/>
    <w:rsid w:val="00D74710"/>
    <w:rsid w:val="00D7567C"/>
    <w:rsid w:val="00D75701"/>
    <w:rsid w:val="00D757AD"/>
    <w:rsid w:val="00D766DF"/>
    <w:rsid w:val="00D8151D"/>
    <w:rsid w:val="00D84A13"/>
    <w:rsid w:val="00D84B1B"/>
    <w:rsid w:val="00D853DA"/>
    <w:rsid w:val="00D90017"/>
    <w:rsid w:val="00D927B2"/>
    <w:rsid w:val="00D92A0A"/>
    <w:rsid w:val="00D92B44"/>
    <w:rsid w:val="00D93801"/>
    <w:rsid w:val="00D93A70"/>
    <w:rsid w:val="00D94823"/>
    <w:rsid w:val="00D955A2"/>
    <w:rsid w:val="00D96484"/>
    <w:rsid w:val="00D9672C"/>
    <w:rsid w:val="00D975A7"/>
    <w:rsid w:val="00D97AFA"/>
    <w:rsid w:val="00DA15C0"/>
    <w:rsid w:val="00DA186E"/>
    <w:rsid w:val="00DA2B6D"/>
    <w:rsid w:val="00DA30CD"/>
    <w:rsid w:val="00DA4116"/>
    <w:rsid w:val="00DA41D5"/>
    <w:rsid w:val="00DA46D3"/>
    <w:rsid w:val="00DA5321"/>
    <w:rsid w:val="00DA6D35"/>
    <w:rsid w:val="00DA7511"/>
    <w:rsid w:val="00DA7A6E"/>
    <w:rsid w:val="00DA7AFA"/>
    <w:rsid w:val="00DA7B63"/>
    <w:rsid w:val="00DB039B"/>
    <w:rsid w:val="00DB1842"/>
    <w:rsid w:val="00DB2161"/>
    <w:rsid w:val="00DB251C"/>
    <w:rsid w:val="00DB2E0B"/>
    <w:rsid w:val="00DB38AD"/>
    <w:rsid w:val="00DB40C0"/>
    <w:rsid w:val="00DB45F1"/>
    <w:rsid w:val="00DB4630"/>
    <w:rsid w:val="00DB5B86"/>
    <w:rsid w:val="00DB6C12"/>
    <w:rsid w:val="00DC2C4C"/>
    <w:rsid w:val="00DC40CB"/>
    <w:rsid w:val="00DC4445"/>
    <w:rsid w:val="00DC4F88"/>
    <w:rsid w:val="00DC60BE"/>
    <w:rsid w:val="00DD3D40"/>
    <w:rsid w:val="00DD4C87"/>
    <w:rsid w:val="00DD5738"/>
    <w:rsid w:val="00DD5AE6"/>
    <w:rsid w:val="00DD6158"/>
    <w:rsid w:val="00DD64C7"/>
    <w:rsid w:val="00DD71E3"/>
    <w:rsid w:val="00DD7F59"/>
    <w:rsid w:val="00DE03A1"/>
    <w:rsid w:val="00DE03E6"/>
    <w:rsid w:val="00DE0611"/>
    <w:rsid w:val="00DE1958"/>
    <w:rsid w:val="00DE6964"/>
    <w:rsid w:val="00DE7495"/>
    <w:rsid w:val="00DE79F9"/>
    <w:rsid w:val="00DF08B6"/>
    <w:rsid w:val="00DF256E"/>
    <w:rsid w:val="00DF25EB"/>
    <w:rsid w:val="00DF2A80"/>
    <w:rsid w:val="00DF3032"/>
    <w:rsid w:val="00DF43A8"/>
    <w:rsid w:val="00DF55AB"/>
    <w:rsid w:val="00DF58EB"/>
    <w:rsid w:val="00DF660F"/>
    <w:rsid w:val="00DF6CF5"/>
    <w:rsid w:val="00E018B2"/>
    <w:rsid w:val="00E03785"/>
    <w:rsid w:val="00E03D0C"/>
    <w:rsid w:val="00E0425F"/>
    <w:rsid w:val="00E05704"/>
    <w:rsid w:val="00E06CC3"/>
    <w:rsid w:val="00E073A3"/>
    <w:rsid w:val="00E10034"/>
    <w:rsid w:val="00E10EE3"/>
    <w:rsid w:val="00E11E44"/>
    <w:rsid w:val="00E12649"/>
    <w:rsid w:val="00E1335A"/>
    <w:rsid w:val="00E1348B"/>
    <w:rsid w:val="00E13AFA"/>
    <w:rsid w:val="00E16670"/>
    <w:rsid w:val="00E16767"/>
    <w:rsid w:val="00E207D3"/>
    <w:rsid w:val="00E2092E"/>
    <w:rsid w:val="00E20F58"/>
    <w:rsid w:val="00E2168B"/>
    <w:rsid w:val="00E218E3"/>
    <w:rsid w:val="00E21F03"/>
    <w:rsid w:val="00E22015"/>
    <w:rsid w:val="00E230AF"/>
    <w:rsid w:val="00E24BDC"/>
    <w:rsid w:val="00E24EDD"/>
    <w:rsid w:val="00E25626"/>
    <w:rsid w:val="00E259F4"/>
    <w:rsid w:val="00E25B30"/>
    <w:rsid w:val="00E26017"/>
    <w:rsid w:val="00E3189E"/>
    <w:rsid w:val="00E31D2B"/>
    <w:rsid w:val="00E31E82"/>
    <w:rsid w:val="00E31F63"/>
    <w:rsid w:val="00E320D9"/>
    <w:rsid w:val="00E338EF"/>
    <w:rsid w:val="00E33D68"/>
    <w:rsid w:val="00E36E13"/>
    <w:rsid w:val="00E40FF8"/>
    <w:rsid w:val="00E414B5"/>
    <w:rsid w:val="00E41EA5"/>
    <w:rsid w:val="00E43091"/>
    <w:rsid w:val="00E44D48"/>
    <w:rsid w:val="00E47464"/>
    <w:rsid w:val="00E479AD"/>
    <w:rsid w:val="00E50FCF"/>
    <w:rsid w:val="00E515EF"/>
    <w:rsid w:val="00E51C73"/>
    <w:rsid w:val="00E528A9"/>
    <w:rsid w:val="00E52C22"/>
    <w:rsid w:val="00E53BAA"/>
    <w:rsid w:val="00E53CE1"/>
    <w:rsid w:val="00E5437E"/>
    <w:rsid w:val="00E544BB"/>
    <w:rsid w:val="00E54CB7"/>
    <w:rsid w:val="00E578EC"/>
    <w:rsid w:val="00E60423"/>
    <w:rsid w:val="00E613D1"/>
    <w:rsid w:val="00E61BB3"/>
    <w:rsid w:val="00E630C3"/>
    <w:rsid w:val="00E64578"/>
    <w:rsid w:val="00E64A4E"/>
    <w:rsid w:val="00E653AE"/>
    <w:rsid w:val="00E6609D"/>
    <w:rsid w:val="00E662CB"/>
    <w:rsid w:val="00E70F2D"/>
    <w:rsid w:val="00E71262"/>
    <w:rsid w:val="00E71560"/>
    <w:rsid w:val="00E71838"/>
    <w:rsid w:val="00E7261B"/>
    <w:rsid w:val="00E74DC7"/>
    <w:rsid w:val="00E763DA"/>
    <w:rsid w:val="00E76C21"/>
    <w:rsid w:val="00E773A4"/>
    <w:rsid w:val="00E77CF0"/>
    <w:rsid w:val="00E8075A"/>
    <w:rsid w:val="00E818A6"/>
    <w:rsid w:val="00E81EB1"/>
    <w:rsid w:val="00E8688D"/>
    <w:rsid w:val="00E86920"/>
    <w:rsid w:val="00E86D96"/>
    <w:rsid w:val="00E87263"/>
    <w:rsid w:val="00E90312"/>
    <w:rsid w:val="00E910D1"/>
    <w:rsid w:val="00E945E4"/>
    <w:rsid w:val="00E94D5E"/>
    <w:rsid w:val="00E9566F"/>
    <w:rsid w:val="00E95BB0"/>
    <w:rsid w:val="00E97F2D"/>
    <w:rsid w:val="00EA03B7"/>
    <w:rsid w:val="00EA12DC"/>
    <w:rsid w:val="00EA1445"/>
    <w:rsid w:val="00EA1447"/>
    <w:rsid w:val="00EA197C"/>
    <w:rsid w:val="00EA1E3C"/>
    <w:rsid w:val="00EA1F14"/>
    <w:rsid w:val="00EA284B"/>
    <w:rsid w:val="00EA3992"/>
    <w:rsid w:val="00EA7100"/>
    <w:rsid w:val="00EA7F9F"/>
    <w:rsid w:val="00EB08ED"/>
    <w:rsid w:val="00EB1274"/>
    <w:rsid w:val="00EB7421"/>
    <w:rsid w:val="00EB74A9"/>
    <w:rsid w:val="00EB7986"/>
    <w:rsid w:val="00EC094F"/>
    <w:rsid w:val="00EC159E"/>
    <w:rsid w:val="00EC1BD6"/>
    <w:rsid w:val="00EC324E"/>
    <w:rsid w:val="00EC40B7"/>
    <w:rsid w:val="00EC46A9"/>
    <w:rsid w:val="00EC4757"/>
    <w:rsid w:val="00EC55FC"/>
    <w:rsid w:val="00EC5B0B"/>
    <w:rsid w:val="00EC5D66"/>
    <w:rsid w:val="00EC78AA"/>
    <w:rsid w:val="00EC7E49"/>
    <w:rsid w:val="00EC7EDB"/>
    <w:rsid w:val="00ED1046"/>
    <w:rsid w:val="00ED166C"/>
    <w:rsid w:val="00ED1A08"/>
    <w:rsid w:val="00ED27E6"/>
    <w:rsid w:val="00ED2BB6"/>
    <w:rsid w:val="00ED2EBD"/>
    <w:rsid w:val="00ED3323"/>
    <w:rsid w:val="00ED34E1"/>
    <w:rsid w:val="00ED3B8D"/>
    <w:rsid w:val="00EE0C24"/>
    <w:rsid w:val="00EE10BB"/>
    <w:rsid w:val="00EE31BD"/>
    <w:rsid w:val="00EE397F"/>
    <w:rsid w:val="00EE428A"/>
    <w:rsid w:val="00EE4866"/>
    <w:rsid w:val="00EE629B"/>
    <w:rsid w:val="00EE7856"/>
    <w:rsid w:val="00EF1EBA"/>
    <w:rsid w:val="00EF2CB0"/>
    <w:rsid w:val="00EF2E3A"/>
    <w:rsid w:val="00F02C67"/>
    <w:rsid w:val="00F02E96"/>
    <w:rsid w:val="00F02EF9"/>
    <w:rsid w:val="00F04049"/>
    <w:rsid w:val="00F040FC"/>
    <w:rsid w:val="00F041B6"/>
    <w:rsid w:val="00F04515"/>
    <w:rsid w:val="00F04B80"/>
    <w:rsid w:val="00F04CF8"/>
    <w:rsid w:val="00F0555A"/>
    <w:rsid w:val="00F05CE1"/>
    <w:rsid w:val="00F072A7"/>
    <w:rsid w:val="00F078DC"/>
    <w:rsid w:val="00F07B87"/>
    <w:rsid w:val="00F07F06"/>
    <w:rsid w:val="00F10F93"/>
    <w:rsid w:val="00F112E3"/>
    <w:rsid w:val="00F12167"/>
    <w:rsid w:val="00F14593"/>
    <w:rsid w:val="00F164CF"/>
    <w:rsid w:val="00F171A1"/>
    <w:rsid w:val="00F176C6"/>
    <w:rsid w:val="00F226ED"/>
    <w:rsid w:val="00F22DE0"/>
    <w:rsid w:val="00F23451"/>
    <w:rsid w:val="00F24276"/>
    <w:rsid w:val="00F24623"/>
    <w:rsid w:val="00F26455"/>
    <w:rsid w:val="00F265F4"/>
    <w:rsid w:val="00F2673F"/>
    <w:rsid w:val="00F26DB4"/>
    <w:rsid w:val="00F30315"/>
    <w:rsid w:val="00F32BA8"/>
    <w:rsid w:val="00F33956"/>
    <w:rsid w:val="00F349F1"/>
    <w:rsid w:val="00F35033"/>
    <w:rsid w:val="00F35D83"/>
    <w:rsid w:val="00F371BC"/>
    <w:rsid w:val="00F37390"/>
    <w:rsid w:val="00F4215A"/>
    <w:rsid w:val="00F4350D"/>
    <w:rsid w:val="00F4426F"/>
    <w:rsid w:val="00F47153"/>
    <w:rsid w:val="00F476C7"/>
    <w:rsid w:val="00F478CD"/>
    <w:rsid w:val="00F47E5F"/>
    <w:rsid w:val="00F47EE9"/>
    <w:rsid w:val="00F50532"/>
    <w:rsid w:val="00F51DB6"/>
    <w:rsid w:val="00F52127"/>
    <w:rsid w:val="00F52765"/>
    <w:rsid w:val="00F52F84"/>
    <w:rsid w:val="00F53320"/>
    <w:rsid w:val="00F53584"/>
    <w:rsid w:val="00F55E96"/>
    <w:rsid w:val="00F567F7"/>
    <w:rsid w:val="00F579DD"/>
    <w:rsid w:val="00F6021C"/>
    <w:rsid w:val="00F60F2F"/>
    <w:rsid w:val="00F61879"/>
    <w:rsid w:val="00F61B09"/>
    <w:rsid w:val="00F62036"/>
    <w:rsid w:val="00F62A00"/>
    <w:rsid w:val="00F63682"/>
    <w:rsid w:val="00F63980"/>
    <w:rsid w:val="00F63D67"/>
    <w:rsid w:val="00F64944"/>
    <w:rsid w:val="00F649BE"/>
    <w:rsid w:val="00F65B52"/>
    <w:rsid w:val="00F66EBA"/>
    <w:rsid w:val="00F67BCA"/>
    <w:rsid w:val="00F710F2"/>
    <w:rsid w:val="00F71876"/>
    <w:rsid w:val="00F73856"/>
    <w:rsid w:val="00F73BD6"/>
    <w:rsid w:val="00F75921"/>
    <w:rsid w:val="00F75CC9"/>
    <w:rsid w:val="00F81ACC"/>
    <w:rsid w:val="00F82860"/>
    <w:rsid w:val="00F8358D"/>
    <w:rsid w:val="00F83989"/>
    <w:rsid w:val="00F84BA5"/>
    <w:rsid w:val="00F85099"/>
    <w:rsid w:val="00F86593"/>
    <w:rsid w:val="00F86B70"/>
    <w:rsid w:val="00F8723B"/>
    <w:rsid w:val="00F9379C"/>
    <w:rsid w:val="00F93A11"/>
    <w:rsid w:val="00F9469F"/>
    <w:rsid w:val="00F9632C"/>
    <w:rsid w:val="00F9642C"/>
    <w:rsid w:val="00FA0AC8"/>
    <w:rsid w:val="00FA1E52"/>
    <w:rsid w:val="00FA31DE"/>
    <w:rsid w:val="00FA32B3"/>
    <w:rsid w:val="00FA3F0E"/>
    <w:rsid w:val="00FA44F9"/>
    <w:rsid w:val="00FA5C23"/>
    <w:rsid w:val="00FA7D17"/>
    <w:rsid w:val="00FB0292"/>
    <w:rsid w:val="00FB10AE"/>
    <w:rsid w:val="00FB1940"/>
    <w:rsid w:val="00FB2D6F"/>
    <w:rsid w:val="00FB2F56"/>
    <w:rsid w:val="00FB35B5"/>
    <w:rsid w:val="00FB411F"/>
    <w:rsid w:val="00FC3395"/>
    <w:rsid w:val="00FC3EB8"/>
    <w:rsid w:val="00FC3F4A"/>
    <w:rsid w:val="00FC4EAB"/>
    <w:rsid w:val="00FC79B3"/>
    <w:rsid w:val="00FC7D25"/>
    <w:rsid w:val="00FD226B"/>
    <w:rsid w:val="00FD2FF3"/>
    <w:rsid w:val="00FD378A"/>
    <w:rsid w:val="00FD4197"/>
    <w:rsid w:val="00FD50BF"/>
    <w:rsid w:val="00FD6F56"/>
    <w:rsid w:val="00FE0704"/>
    <w:rsid w:val="00FE0DD7"/>
    <w:rsid w:val="00FE0EDD"/>
    <w:rsid w:val="00FE4688"/>
    <w:rsid w:val="00FE4BD0"/>
    <w:rsid w:val="00FE5F52"/>
    <w:rsid w:val="00FE6FB7"/>
    <w:rsid w:val="00FE72D6"/>
    <w:rsid w:val="00FE79D0"/>
    <w:rsid w:val="00FF1918"/>
    <w:rsid w:val="00FF1F92"/>
    <w:rsid w:val="00FF2A38"/>
    <w:rsid w:val="00FF5909"/>
    <w:rsid w:val="00FF5A13"/>
    <w:rsid w:val="00FF607C"/>
    <w:rsid w:val="00FF6DFE"/>
    <w:rsid w:val="0C930604"/>
    <w:rsid w:val="11440A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134C6"/>
  <w15:chartTrackingRefBased/>
  <w15:docId w15:val="{F0964AA6-7563-4B3A-9128-7FE01077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customStyle="1" w:styleId="acthead5">
    <w:name w:val="acthead5"/>
    <w:basedOn w:val="Normal"/>
    <w:rsid w:val="005C1C22"/>
    <w:pPr>
      <w:spacing w:before="100" w:beforeAutospacing="1" w:after="100" w:afterAutospacing="1" w:line="240" w:lineRule="auto"/>
    </w:pPr>
    <w:rPr>
      <w:rFonts w:eastAsia="Times New Roman"/>
      <w:sz w:val="24"/>
      <w:szCs w:val="24"/>
      <w:lang w:eastAsia="en-AU"/>
    </w:rPr>
  </w:style>
  <w:style w:type="character" w:customStyle="1" w:styleId="LI-SectionsubsubparaAChar">
    <w:name w:val="LI - Section subsubpara (A) Char"/>
    <w:link w:val="LI-SectionsubsubparaA"/>
    <w:rsid w:val="006554FF"/>
    <w:rPr>
      <w:rFonts w:eastAsia="Times New Roman"/>
      <w:sz w:val="24"/>
      <w:szCs w:val="24"/>
    </w:rPr>
  </w:style>
  <w:style w:type="character" w:customStyle="1" w:styleId="charsectno0">
    <w:name w:val="charsectno"/>
    <w:rsid w:val="005C1C22"/>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semiHidden/>
    <w:unhideWhenUsed/>
    <w:rsid w:val="00D702DE"/>
    <w:rPr>
      <w:sz w:val="16"/>
      <w:szCs w:val="16"/>
    </w:rPr>
  </w:style>
  <w:style w:type="paragraph" w:styleId="CommentText">
    <w:name w:val="annotation text"/>
    <w:basedOn w:val="Normal"/>
    <w:link w:val="CommentTextChar"/>
    <w:unhideWhenUsed/>
    <w:rsid w:val="00D702DE"/>
    <w:rPr>
      <w:sz w:val="20"/>
    </w:rPr>
  </w:style>
  <w:style w:type="character" w:customStyle="1" w:styleId="CommentTextChar">
    <w:name w:val="Comment Text Char"/>
    <w:link w:val="CommentText"/>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paragraph" w:customStyle="1" w:styleId="subsection">
    <w:name w:val="subsection"/>
    <w:basedOn w:val="Normal"/>
    <w:rsid w:val="005C1C22"/>
    <w:pPr>
      <w:spacing w:before="100" w:beforeAutospacing="1" w:after="100" w:afterAutospacing="1" w:line="240" w:lineRule="auto"/>
    </w:pPr>
    <w:rPr>
      <w:rFonts w:eastAsia="Times New Roman"/>
      <w:sz w:val="24"/>
      <w:szCs w:val="24"/>
      <w:lang w:eastAsia="en-AU"/>
    </w:rPr>
  </w:style>
  <w:style w:type="character" w:customStyle="1" w:styleId="LI-SubtitleChar">
    <w:name w:val="LI - Subtitle Char"/>
    <w:link w:val="LI-Subtitle"/>
    <w:rsid w:val="00243EC0"/>
    <w:rPr>
      <w:b/>
      <w:sz w:val="28"/>
      <w:szCs w:val="28"/>
    </w:rPr>
  </w:style>
  <w:style w:type="paragraph" w:customStyle="1" w:styleId="tbltext">
    <w:name w:val="tbl text"/>
    <w:basedOn w:val="Normal"/>
    <w:link w:val="tbltextChar"/>
    <w:rsid w:val="004E77D9"/>
    <w:pPr>
      <w:widowControl w:val="0"/>
      <w:spacing w:before="120" w:line="240" w:lineRule="atLeast"/>
    </w:pPr>
    <w:rPr>
      <w:rFonts w:ascii="Arial" w:eastAsia="Times New Roman" w:hAnsi="Arial" w:cs="Arial"/>
      <w:sz w:val="18"/>
      <w:szCs w:val="18"/>
      <w:lang w:eastAsia="en-AU"/>
    </w:rPr>
  </w:style>
  <w:style w:type="character" w:customStyle="1" w:styleId="tbltextChar">
    <w:name w:val="tbl text Char"/>
    <w:basedOn w:val="DefaultParagraphFont"/>
    <w:link w:val="tbltext"/>
    <w:rsid w:val="004E77D9"/>
    <w:rPr>
      <w:rFonts w:ascii="Arial" w:eastAsia="Times New Roman" w:hAnsi="Arial" w:cs="Arial"/>
      <w:sz w:val="18"/>
      <w:szCs w:val="18"/>
    </w:rPr>
  </w:style>
  <w:style w:type="paragraph" w:styleId="Revision">
    <w:name w:val="Revision"/>
    <w:hidden/>
    <w:uiPriority w:val="99"/>
    <w:semiHidden/>
    <w:rsid w:val="00CE0902"/>
    <w:rPr>
      <w:sz w:val="22"/>
      <w:lang w:eastAsia="en-US"/>
    </w:rPr>
  </w:style>
  <w:style w:type="character" w:styleId="UnresolvedMention">
    <w:name w:val="Unresolved Mention"/>
    <w:basedOn w:val="DefaultParagraphFont"/>
    <w:uiPriority w:val="99"/>
    <w:semiHidden/>
    <w:unhideWhenUsed/>
    <w:rsid w:val="00F51DB6"/>
    <w:rPr>
      <w:color w:val="605E5C"/>
      <w:shd w:val="clear" w:color="auto" w:fill="E1DFDD"/>
    </w:rPr>
  </w:style>
  <w:style w:type="paragraph" w:customStyle="1" w:styleId="MIRSubpara">
    <w:name w:val="MIR Subpara"/>
    <w:basedOn w:val="Normal"/>
    <w:link w:val="MIRSubparaChar"/>
    <w:qFormat/>
    <w:rsid w:val="00927A88"/>
    <w:pPr>
      <w:numPr>
        <w:ilvl w:val="1"/>
        <w:numId w:val="40"/>
      </w:numPr>
      <w:spacing w:before="100" w:line="300" w:lineRule="atLeast"/>
    </w:pPr>
    <w:rPr>
      <w:rFonts w:eastAsia="Times New Roman"/>
      <w:szCs w:val="22"/>
      <w:lang w:eastAsia="en-AU"/>
    </w:rPr>
  </w:style>
  <w:style w:type="character" w:customStyle="1" w:styleId="MIRSubparaChar">
    <w:name w:val="MIR Subpara Char"/>
    <w:basedOn w:val="DefaultParagraphFont"/>
    <w:link w:val="MIRSubpara"/>
    <w:rsid w:val="00927A88"/>
    <w:rPr>
      <w:rFonts w:eastAsia="Times New Roman"/>
      <w:sz w:val="22"/>
      <w:szCs w:val="22"/>
    </w:rPr>
  </w:style>
  <w:style w:type="paragraph" w:customStyle="1" w:styleId="MIRsubsubsubpara">
    <w:name w:val="MIR subsubsubpara"/>
    <w:basedOn w:val="Normal"/>
    <w:link w:val="MIRsubsubsubparaChar"/>
    <w:qFormat/>
    <w:rsid w:val="00927A88"/>
    <w:pPr>
      <w:numPr>
        <w:ilvl w:val="3"/>
        <w:numId w:val="40"/>
      </w:numPr>
      <w:spacing w:before="100" w:line="300" w:lineRule="atLeast"/>
    </w:pPr>
    <w:rPr>
      <w:rFonts w:eastAsia="Times New Roman"/>
      <w:szCs w:val="22"/>
      <w:lang w:eastAsia="en-AU"/>
    </w:rPr>
  </w:style>
  <w:style w:type="character" w:customStyle="1" w:styleId="MIRsubsubsubparaChar">
    <w:name w:val="MIR subsubsubpara Char"/>
    <w:basedOn w:val="DefaultParagraphFont"/>
    <w:link w:val="MIRsubsubsubpara"/>
    <w:rsid w:val="00927A88"/>
    <w:rPr>
      <w:rFonts w:eastAsia="Times New Roman"/>
      <w:sz w:val="22"/>
      <w:szCs w:val="22"/>
    </w:rPr>
  </w:style>
  <w:style w:type="paragraph" w:customStyle="1" w:styleId="MIRBodyText">
    <w:name w:val="MIR Body Text"/>
    <w:basedOn w:val="Normal"/>
    <w:link w:val="MIRBodyTextChar"/>
    <w:qFormat/>
    <w:rsid w:val="00927A88"/>
    <w:pPr>
      <w:numPr>
        <w:numId w:val="40"/>
      </w:numPr>
      <w:tabs>
        <w:tab w:val="left" w:pos="851"/>
      </w:tabs>
      <w:spacing w:before="200" w:line="300" w:lineRule="atLeast"/>
    </w:pPr>
    <w:rPr>
      <w:rFonts w:eastAsia="Times New Roman"/>
      <w:szCs w:val="22"/>
      <w:lang w:eastAsia="en-AU"/>
    </w:rPr>
  </w:style>
  <w:style w:type="character" w:customStyle="1" w:styleId="MIRBodyTextChar">
    <w:name w:val="MIR Body Text Char"/>
    <w:basedOn w:val="DefaultParagraphFont"/>
    <w:link w:val="MIRBodyText"/>
    <w:rsid w:val="00927A88"/>
    <w:rPr>
      <w:rFonts w:eastAsia="Times New Roman"/>
      <w:sz w:val="22"/>
      <w:szCs w:val="22"/>
    </w:rPr>
  </w:style>
  <w:style w:type="paragraph" w:customStyle="1" w:styleId="MIRSubsubpara">
    <w:name w:val="MIR Subsubpara"/>
    <w:basedOn w:val="Normal"/>
    <w:link w:val="MIRSubsubparaChar"/>
    <w:qFormat/>
    <w:rsid w:val="00927A88"/>
    <w:pPr>
      <w:numPr>
        <w:ilvl w:val="2"/>
        <w:numId w:val="40"/>
      </w:numPr>
      <w:spacing w:before="100" w:line="300" w:lineRule="atLeast"/>
    </w:pPr>
    <w:rPr>
      <w:rFonts w:eastAsia="Times New Roman"/>
      <w:szCs w:val="22"/>
      <w:lang w:eastAsia="en-AU"/>
    </w:rPr>
  </w:style>
  <w:style w:type="character" w:customStyle="1" w:styleId="MIRSubsubparaChar">
    <w:name w:val="MIR Subsubpara Char"/>
    <w:basedOn w:val="DefaultParagraphFont"/>
    <w:link w:val="MIRSubsubpara"/>
    <w:rsid w:val="00927A88"/>
    <w:rPr>
      <w:rFonts w:eastAsia="Times New Roman"/>
      <w:sz w:val="22"/>
      <w:szCs w:val="22"/>
    </w:rPr>
  </w:style>
  <w:style w:type="paragraph" w:customStyle="1" w:styleId="MIRNote">
    <w:name w:val="MIR Note"/>
    <w:basedOn w:val="Normal"/>
    <w:link w:val="MIRNoteChar"/>
    <w:qFormat/>
    <w:rsid w:val="004E39C8"/>
    <w:pPr>
      <w:spacing w:before="200" w:line="240" w:lineRule="atLeast"/>
      <w:ind w:left="1701"/>
    </w:pPr>
    <w:rPr>
      <w:rFonts w:eastAsia="Times New Roman"/>
      <w:sz w:val="18"/>
      <w:szCs w:val="22"/>
      <w:lang w:eastAsia="en-AU"/>
    </w:rPr>
  </w:style>
  <w:style w:type="character" w:customStyle="1" w:styleId="MIRNoteChar">
    <w:name w:val="MIR Note Char"/>
    <w:basedOn w:val="DefaultParagraphFont"/>
    <w:link w:val="MIRNote"/>
    <w:rsid w:val="004E39C8"/>
    <w:rPr>
      <w:rFonts w:eastAsia="Times New Roman"/>
      <w:sz w:val="18"/>
      <w:szCs w:val="22"/>
    </w:rPr>
  </w:style>
  <w:style w:type="paragraph" w:styleId="ListParagraph">
    <w:name w:val="List Paragraph"/>
    <w:basedOn w:val="Normal"/>
    <w:uiPriority w:val="34"/>
    <w:qFormat/>
    <w:rsid w:val="006304C2"/>
    <w:pPr>
      <w:spacing w:after="240" w:line="240" w:lineRule="auto"/>
      <w:ind w:left="720"/>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2591">
      <w:bodyDiv w:val="1"/>
      <w:marLeft w:val="0"/>
      <w:marRight w:val="0"/>
      <w:marTop w:val="0"/>
      <w:marBottom w:val="0"/>
      <w:divBdr>
        <w:top w:val="none" w:sz="0" w:space="0" w:color="auto"/>
        <w:left w:val="none" w:sz="0" w:space="0" w:color="auto"/>
        <w:bottom w:val="none" w:sz="0" w:space="0" w:color="auto"/>
        <w:right w:val="none" w:sz="0" w:space="0" w:color="auto"/>
      </w:divBdr>
    </w:div>
    <w:div w:id="1118790348">
      <w:bodyDiv w:val="1"/>
      <w:marLeft w:val="0"/>
      <w:marRight w:val="0"/>
      <w:marTop w:val="0"/>
      <w:marBottom w:val="0"/>
      <w:divBdr>
        <w:top w:val="none" w:sz="0" w:space="0" w:color="auto"/>
        <w:left w:val="none" w:sz="0" w:space="0" w:color="auto"/>
        <w:bottom w:val="none" w:sz="0" w:space="0" w:color="auto"/>
        <w:right w:val="none" w:sz="0" w:space="0" w:color="auto"/>
      </w:divBdr>
    </w:div>
    <w:div w:id="149206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8.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header" Target="header1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F47466A5CC0C5D48A446AD5782D8375F" ma:contentTypeVersion="25" ma:contentTypeDescription="" ma:contentTypeScope="" ma:versionID="148d241763d0a62f8d73e71868ace057">
  <xsd:schema xmlns:xsd="http://www.w3.org/2001/XMLSchema" xmlns:xs="http://www.w3.org/2001/XMLSchema" xmlns:p="http://schemas.microsoft.com/office/2006/metadata/properties" xmlns:ns2="db2b92ca-6ed0-4085-802d-4c686a2e8c3f" xmlns:ns3="eb44715b-cd74-4c79-92c4-f0e9f1a86440" targetNamespace="http://schemas.microsoft.com/office/2006/metadata/properties" ma:root="true" ma:fieldsID="ca9183128b26ec4aa5920e47800ebf57" ns2:_="" ns3:_="">
    <xsd:import namespace="db2b92ca-6ed0-4085-802d-4c686a2e8c3f"/>
    <xsd:import namespace="eb44715b-cd74-4c79-92c4-f0e9f1a86440"/>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fce34cc-bad1-49e6-aa59-6651be61fae6}"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fce34cc-bad1-49e6-aa59-6651be61fae6}"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1abb5e704a84578aa4b8ef0390c3b25>
    <DocumentNotes xmlns="db2b92ca-6ed0-4085-802d-4c686a2e8c3f" xsi:nil="true"/>
    <NAPReason xmlns="db2b92ca-6ed0-4085-802d-4c686a2e8c3f" xsi:nil="true"/>
    <_dlc_DocId xmlns="eb44715b-cd74-4c79-92c4-f0e9f1a86440">001055-1122178031-4655</_dlc_DocId>
    <_dlc_DocIdUrl xmlns="eb44715b-cd74-4c79-92c4-f0e9f1a86440">
      <Url>https://asiclink.sharepoint.com/teams/001055/_layouts/15/DocIdRedir.aspx?ID=001055-1122178031-4655</Url>
      <Description>001055-1122178031-4655</Description>
    </_dlc_DocIdUrl>
    <TaxCatchAll xmlns="db2b92ca-6ed0-4085-802d-4c686a2e8c3f">
      <Value>8</Value>
    </TaxCatchAll>
  </documentManagement>
</p:properties>
</file>

<file path=customXml/item6.xml><?xml version="1.0" encoding="utf-8"?>
<?mso-contentType ?>
<SharedContentType xmlns="Microsoft.SharePoint.Taxonomy.ContentTypeSync" SourceId="af302855-5de3-48f9-83c2-fc1acc0f760b" ContentTypeId="0x010100B5F685A1365F544391EF8C813B164F3A"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5EE0C-A98B-4692-A5D7-01A78ADE5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BB042-F2E9-4003-BC90-328991AC2DEE}">
  <ds:schemaRefs>
    <ds:schemaRef ds:uri="http://schemas.microsoft.com/office/2006/metadata/longProperties"/>
  </ds:schemaRefs>
</ds:datastoreItem>
</file>

<file path=customXml/itemProps3.xml><?xml version="1.0" encoding="utf-8"?>
<ds:datastoreItem xmlns:ds="http://schemas.openxmlformats.org/officeDocument/2006/customXml" ds:itemID="{419BA9FD-5AAD-45C9-8DF3-5F22624877E7}">
  <ds:schemaRefs>
    <ds:schemaRef ds:uri="http://schemas.microsoft.com/sharepoint/events"/>
  </ds:schemaRefs>
</ds:datastoreItem>
</file>

<file path=customXml/itemProps4.xml><?xml version="1.0" encoding="utf-8"?>
<ds:datastoreItem xmlns:ds="http://schemas.openxmlformats.org/officeDocument/2006/customXml" ds:itemID="{10431D6E-320C-45A4-B226-5420C16DBC05}">
  <ds:schemaRefs>
    <ds:schemaRef ds:uri="http://schemas.microsoft.com/sharepoint/v3/contenttype/forms"/>
  </ds:schemaRefs>
</ds:datastoreItem>
</file>

<file path=customXml/itemProps5.xml><?xml version="1.0" encoding="utf-8"?>
<ds:datastoreItem xmlns:ds="http://schemas.openxmlformats.org/officeDocument/2006/customXml" ds:itemID="{E31789F3-F682-45D9-8B9D-64FA1972108D}">
  <ds:schemaRefs>
    <ds:schemaRef ds:uri="http://schemas.microsoft.com/office/2006/metadata/properties"/>
    <ds:schemaRef ds:uri="http://schemas.microsoft.com/office/infopath/2007/PartnerControls"/>
    <ds:schemaRef ds:uri="db2b92ca-6ed0-4085-802d-4c686a2e8c3f"/>
    <ds:schemaRef ds:uri="eb44715b-cd74-4c79-92c4-f0e9f1a86440"/>
  </ds:schemaRefs>
</ds:datastoreItem>
</file>

<file path=customXml/itemProps6.xml><?xml version="1.0" encoding="utf-8"?>
<ds:datastoreItem xmlns:ds="http://schemas.openxmlformats.org/officeDocument/2006/customXml" ds:itemID="{EBA3D1B1-998C-4995-B953-2780C5DDAE74}">
  <ds:schemaRefs>
    <ds:schemaRef ds:uri="Microsoft.SharePoint.Taxonomy.ContentTypeSync"/>
  </ds:schemaRefs>
</ds:datastoreItem>
</file>

<file path=customXml/itemProps7.xml><?xml version="1.0" encoding="utf-8"?>
<ds:datastoreItem xmlns:ds="http://schemas.openxmlformats.org/officeDocument/2006/customXml" ds:itemID="{E70C2D01-A4D8-4E04-BF10-9381274B2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66</TotalTime>
  <Pages>14</Pages>
  <Words>2561</Words>
  <Characters>14603</Characters>
  <Application>Microsoft Office Word</Application>
  <DocSecurity>0</DocSecurity>
  <PresentationFormat/>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17130</CharactersWithSpaces>
  <SharedDoc>false</SharedDoc>
  <HyperlinkBase/>
  <HLinks>
    <vt:vector size="96" baseType="variant">
      <vt:variant>
        <vt:i4>6946865</vt:i4>
      </vt:variant>
      <vt:variant>
        <vt:i4>93</vt:i4>
      </vt:variant>
      <vt:variant>
        <vt:i4>0</vt:i4>
      </vt:variant>
      <vt:variant>
        <vt:i4>5</vt:i4>
      </vt:variant>
      <vt:variant>
        <vt:lpwstr>http://www.legislation.gov.au/</vt:lpwstr>
      </vt:variant>
      <vt:variant>
        <vt:lpwstr/>
      </vt:variant>
      <vt:variant>
        <vt:i4>1114164</vt:i4>
      </vt:variant>
      <vt:variant>
        <vt:i4>86</vt:i4>
      </vt:variant>
      <vt:variant>
        <vt:i4>0</vt:i4>
      </vt:variant>
      <vt:variant>
        <vt:i4>5</vt:i4>
      </vt:variant>
      <vt:variant>
        <vt:lpwstr/>
      </vt:variant>
      <vt:variant>
        <vt:lpwstr>_Toc166900394</vt:lpwstr>
      </vt:variant>
      <vt:variant>
        <vt:i4>1114164</vt:i4>
      </vt:variant>
      <vt:variant>
        <vt:i4>80</vt:i4>
      </vt:variant>
      <vt:variant>
        <vt:i4>0</vt:i4>
      </vt:variant>
      <vt:variant>
        <vt:i4>5</vt:i4>
      </vt:variant>
      <vt:variant>
        <vt:lpwstr/>
      </vt:variant>
      <vt:variant>
        <vt:lpwstr>_Toc166900393</vt:lpwstr>
      </vt:variant>
      <vt:variant>
        <vt:i4>1114164</vt:i4>
      </vt:variant>
      <vt:variant>
        <vt:i4>74</vt:i4>
      </vt:variant>
      <vt:variant>
        <vt:i4>0</vt:i4>
      </vt:variant>
      <vt:variant>
        <vt:i4>5</vt:i4>
      </vt:variant>
      <vt:variant>
        <vt:lpwstr/>
      </vt:variant>
      <vt:variant>
        <vt:lpwstr>_Toc166900392</vt:lpwstr>
      </vt:variant>
      <vt:variant>
        <vt:i4>1114164</vt:i4>
      </vt:variant>
      <vt:variant>
        <vt:i4>68</vt:i4>
      </vt:variant>
      <vt:variant>
        <vt:i4>0</vt:i4>
      </vt:variant>
      <vt:variant>
        <vt:i4>5</vt:i4>
      </vt:variant>
      <vt:variant>
        <vt:lpwstr/>
      </vt:variant>
      <vt:variant>
        <vt:lpwstr>_Toc166900391</vt:lpwstr>
      </vt:variant>
      <vt:variant>
        <vt:i4>1114164</vt:i4>
      </vt:variant>
      <vt:variant>
        <vt:i4>62</vt:i4>
      </vt:variant>
      <vt:variant>
        <vt:i4>0</vt:i4>
      </vt:variant>
      <vt:variant>
        <vt:i4>5</vt:i4>
      </vt:variant>
      <vt:variant>
        <vt:lpwstr/>
      </vt:variant>
      <vt:variant>
        <vt:lpwstr>_Toc166900390</vt:lpwstr>
      </vt:variant>
      <vt:variant>
        <vt:i4>1048628</vt:i4>
      </vt:variant>
      <vt:variant>
        <vt:i4>56</vt:i4>
      </vt:variant>
      <vt:variant>
        <vt:i4>0</vt:i4>
      </vt:variant>
      <vt:variant>
        <vt:i4>5</vt:i4>
      </vt:variant>
      <vt:variant>
        <vt:lpwstr/>
      </vt:variant>
      <vt:variant>
        <vt:lpwstr>_Toc166900389</vt:lpwstr>
      </vt:variant>
      <vt:variant>
        <vt:i4>1048628</vt:i4>
      </vt:variant>
      <vt:variant>
        <vt:i4>50</vt:i4>
      </vt:variant>
      <vt:variant>
        <vt:i4>0</vt:i4>
      </vt:variant>
      <vt:variant>
        <vt:i4>5</vt:i4>
      </vt:variant>
      <vt:variant>
        <vt:lpwstr/>
      </vt:variant>
      <vt:variant>
        <vt:lpwstr>_Toc166900388</vt:lpwstr>
      </vt:variant>
      <vt:variant>
        <vt:i4>1048628</vt:i4>
      </vt:variant>
      <vt:variant>
        <vt:i4>44</vt:i4>
      </vt:variant>
      <vt:variant>
        <vt:i4>0</vt:i4>
      </vt:variant>
      <vt:variant>
        <vt:i4>5</vt:i4>
      </vt:variant>
      <vt:variant>
        <vt:lpwstr/>
      </vt:variant>
      <vt:variant>
        <vt:lpwstr>_Toc166900387</vt:lpwstr>
      </vt:variant>
      <vt:variant>
        <vt:i4>1048628</vt:i4>
      </vt:variant>
      <vt:variant>
        <vt:i4>38</vt:i4>
      </vt:variant>
      <vt:variant>
        <vt:i4>0</vt:i4>
      </vt:variant>
      <vt:variant>
        <vt:i4>5</vt:i4>
      </vt:variant>
      <vt:variant>
        <vt:lpwstr/>
      </vt:variant>
      <vt:variant>
        <vt:lpwstr>_Toc166900386</vt:lpwstr>
      </vt:variant>
      <vt:variant>
        <vt:i4>1048628</vt:i4>
      </vt:variant>
      <vt:variant>
        <vt:i4>32</vt:i4>
      </vt:variant>
      <vt:variant>
        <vt:i4>0</vt:i4>
      </vt:variant>
      <vt:variant>
        <vt:i4>5</vt:i4>
      </vt:variant>
      <vt:variant>
        <vt:lpwstr/>
      </vt:variant>
      <vt:variant>
        <vt:lpwstr>_Toc166900385</vt:lpwstr>
      </vt:variant>
      <vt:variant>
        <vt:i4>1048628</vt:i4>
      </vt:variant>
      <vt:variant>
        <vt:i4>26</vt:i4>
      </vt:variant>
      <vt:variant>
        <vt:i4>0</vt:i4>
      </vt:variant>
      <vt:variant>
        <vt:i4>5</vt:i4>
      </vt:variant>
      <vt:variant>
        <vt:lpwstr/>
      </vt:variant>
      <vt:variant>
        <vt:lpwstr>_Toc166900384</vt:lpwstr>
      </vt:variant>
      <vt:variant>
        <vt:i4>1048628</vt:i4>
      </vt:variant>
      <vt:variant>
        <vt:i4>20</vt:i4>
      </vt:variant>
      <vt:variant>
        <vt:i4>0</vt:i4>
      </vt:variant>
      <vt:variant>
        <vt:i4>5</vt:i4>
      </vt:variant>
      <vt:variant>
        <vt:lpwstr/>
      </vt:variant>
      <vt:variant>
        <vt:lpwstr>_Toc166900383</vt:lpwstr>
      </vt:variant>
      <vt:variant>
        <vt:i4>1048628</vt:i4>
      </vt:variant>
      <vt:variant>
        <vt:i4>14</vt:i4>
      </vt:variant>
      <vt:variant>
        <vt:i4>0</vt:i4>
      </vt:variant>
      <vt:variant>
        <vt:i4>5</vt:i4>
      </vt:variant>
      <vt:variant>
        <vt:lpwstr/>
      </vt:variant>
      <vt:variant>
        <vt:lpwstr>_Toc166900382</vt:lpwstr>
      </vt:variant>
      <vt:variant>
        <vt:i4>1048628</vt:i4>
      </vt:variant>
      <vt:variant>
        <vt:i4>8</vt:i4>
      </vt:variant>
      <vt:variant>
        <vt:i4>0</vt:i4>
      </vt:variant>
      <vt:variant>
        <vt:i4>5</vt:i4>
      </vt:variant>
      <vt:variant>
        <vt:lpwstr/>
      </vt:variant>
      <vt:variant>
        <vt:lpwstr>_Toc166900381</vt:lpwstr>
      </vt:variant>
      <vt:variant>
        <vt:i4>1048628</vt:i4>
      </vt:variant>
      <vt:variant>
        <vt:i4>2</vt:i4>
      </vt:variant>
      <vt:variant>
        <vt:i4>0</vt:i4>
      </vt:variant>
      <vt:variant>
        <vt:i4>5</vt:i4>
      </vt:variant>
      <vt:variant>
        <vt:lpwstr/>
      </vt:variant>
      <vt:variant>
        <vt:lpwstr>_Toc166900380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Graham</dc:creator>
  <cp:keywords/>
  <cp:lastModifiedBy>Narelle Kane</cp:lastModifiedBy>
  <cp:revision>28</cp:revision>
  <cp:lastPrinted>2024-08-12T03:22:00Z</cp:lastPrinted>
  <dcterms:created xsi:type="dcterms:W3CDTF">2024-08-20T05:54:00Z</dcterms:created>
  <dcterms:modified xsi:type="dcterms:W3CDTF">2024-08-21T03:23:00Z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A4330952</vt:lpwstr>
  </property>
  <property fmtid="{D5CDD505-2E9C-101B-9397-08002B2CF9AE}" pid="20" name="Objective-Title">
    <vt:lpwstr>ASIC Template (Amending or Repealing Legislative Instruments - May 2015)</vt:lpwstr>
  </property>
  <property fmtid="{D5CDD505-2E9C-101B-9397-08002B2CF9AE}" pid="21" name="Objective-Comment">
    <vt:lpwstr/>
  </property>
  <property fmtid="{D5CDD505-2E9C-101B-9397-08002B2CF9AE}" pid="22" name="Objective-CreationStamp">
    <vt:filetime>2014-11-19T05:21:22Z</vt:filetime>
  </property>
  <property fmtid="{D5CDD505-2E9C-101B-9397-08002B2CF9AE}" pid="23" name="Objective-IsApproved">
    <vt:bool>false</vt:bool>
  </property>
  <property fmtid="{D5CDD505-2E9C-101B-9397-08002B2CF9AE}" pid="24" name="Objective-IsPublished">
    <vt:bool>true</vt:bool>
  </property>
  <property fmtid="{D5CDD505-2E9C-101B-9397-08002B2CF9AE}" pid="25" name="Objective-DatePublished">
    <vt:filetime>2015-09-03T04:58:00Z</vt:filetime>
  </property>
  <property fmtid="{D5CDD505-2E9C-101B-9397-08002B2CF9AE}" pid="26" name="Objective-ModificationStamp">
    <vt:filetime>2015-09-03T04:58:00Z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Published</vt:lpwstr>
  </property>
  <property fmtid="{D5CDD505-2E9C-101B-9397-08002B2CF9AE}" pid="31" name="Objective-Version">
    <vt:lpwstr>3.0</vt:lpwstr>
  </property>
  <property fmtid="{D5CDD505-2E9C-101B-9397-08002B2CF9AE}" pid="32" name="Objective-VersionNumber">
    <vt:i4>16</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{a099b343-bdc0-4199-a0ae-3a06ab89fbde}</vt:lpwstr>
  </property>
  <property fmtid="{D5CDD505-2E9C-101B-9397-08002B2CF9AE}" pid="44" name="RecordPoint_ActiveItemWebId">
    <vt:lpwstr>{6fdf923d-1605-456d-9034-49e4c2a6593d}</vt:lpwstr>
  </property>
  <property fmtid="{D5CDD505-2E9C-101B-9397-08002B2CF9AE}" pid="45" name="SecurityClassification">
    <vt:lpwstr>8;#Sensitive|19fd2cb8-3e97-4464-ae71-8c2c2095d028</vt:lpwstr>
  </property>
  <property fmtid="{D5CDD505-2E9C-101B-9397-08002B2CF9AE}" pid="46" name="IconOverlay">
    <vt:lpwstr/>
  </property>
  <property fmtid="{D5CDD505-2E9C-101B-9397-08002B2CF9AE}" pid="47" name="RecordNumber">
    <vt:lpwstr>R20150000005024</vt:lpwstr>
  </property>
  <property fmtid="{D5CDD505-2E9C-101B-9397-08002B2CF9AE}" pid="48" name="RecordPoint_SubmissionCompleted">
    <vt:lpwstr>2022-03-31T09:28:32.1801734+11:00</vt:lpwstr>
  </property>
  <property fmtid="{D5CDD505-2E9C-101B-9397-08002B2CF9AE}" pid="49" name="RecordPoint_RecordNumberSubmitted">
    <vt:lpwstr>R20150000005024</vt:lpwstr>
  </property>
  <property fmtid="{D5CDD505-2E9C-101B-9397-08002B2CF9AE}" pid="50" name="ObjectiveID">
    <vt:lpwstr/>
  </property>
  <property fmtid="{D5CDD505-2E9C-101B-9397-08002B2CF9AE}" pid="51" name="SignificantFlag">
    <vt:lpwstr>0</vt:lpwstr>
  </property>
  <property fmtid="{D5CDD505-2E9C-101B-9397-08002B2CF9AE}" pid="52" name="SenateOrder12">
    <vt:lpwstr>0</vt:lpwstr>
  </property>
  <property fmtid="{D5CDD505-2E9C-101B-9397-08002B2CF9AE}" pid="53" name="ded95d7ab059406991d558011d18c177">
    <vt:lpwstr/>
  </property>
  <property fmtid="{D5CDD505-2E9C-101B-9397-08002B2CF9AE}" pid="54" name="Approvers">
    <vt:lpwstr/>
  </property>
  <property fmtid="{D5CDD505-2E9C-101B-9397-08002B2CF9AE}" pid="55" name="Reviewers">
    <vt:lpwstr/>
  </property>
  <property fmtid="{D5CDD505-2E9C-101B-9397-08002B2CF9AE}" pid="56" name="SignificantReason">
    <vt:lpwstr/>
  </property>
  <property fmtid="{D5CDD505-2E9C-101B-9397-08002B2CF9AE}" pid="57" name="NotesLinks">
    <vt:lpwstr/>
  </property>
  <property fmtid="{D5CDD505-2E9C-101B-9397-08002B2CF9AE}" pid="58" name="MailSubject">
    <vt:lpwstr/>
  </property>
  <property fmtid="{D5CDD505-2E9C-101B-9397-08002B2CF9AE}" pid="59" name="MailIn-Reply-To0">
    <vt:lpwstr/>
  </property>
  <property fmtid="{D5CDD505-2E9C-101B-9397-08002B2CF9AE}" pid="60" name="display_urn:schemas-microsoft-com:office:office#Editor">
    <vt:lpwstr>Anthony Graham</vt:lpwstr>
  </property>
  <property fmtid="{D5CDD505-2E9C-101B-9397-08002B2CF9AE}" pid="61" name="MailTo">
    <vt:lpwstr/>
  </property>
  <property fmtid="{D5CDD505-2E9C-101B-9397-08002B2CF9AE}" pid="62" name="MailCc">
    <vt:lpwstr/>
  </property>
  <property fmtid="{D5CDD505-2E9C-101B-9397-08002B2CF9AE}" pid="63" name="display_urn:schemas-microsoft-com:office:office#Author">
    <vt:lpwstr>Grant Moodie</vt:lpwstr>
  </property>
  <property fmtid="{D5CDD505-2E9C-101B-9397-08002B2CF9AE}" pid="64" name="DocumentSetDescription">
    <vt:lpwstr/>
  </property>
  <property fmtid="{D5CDD505-2E9C-101B-9397-08002B2CF9AE}" pid="65" name="ContentTypeId">
    <vt:lpwstr>0x010100B5F685A1365F544391EF8C813B164F3A00F47466A5CC0C5D48A446AD5782D8375F</vt:lpwstr>
  </property>
  <property fmtid="{D5CDD505-2E9C-101B-9397-08002B2CF9AE}" pid="66" name="MailDate">
    <vt:lpwstr/>
  </property>
  <property fmtid="{D5CDD505-2E9C-101B-9397-08002B2CF9AE}" pid="67" name="MailReferences">
    <vt:lpwstr/>
  </property>
  <property fmtid="{D5CDD505-2E9C-101B-9397-08002B2CF9AE}" pid="68" name="URL">
    <vt:lpwstr/>
  </property>
  <property fmtid="{D5CDD505-2E9C-101B-9397-08002B2CF9AE}" pid="69" name="MailFrom">
    <vt:lpwstr/>
  </property>
  <property fmtid="{D5CDD505-2E9C-101B-9397-08002B2CF9AE}" pid="70" name="MailOriginalSubject">
    <vt:lpwstr/>
  </property>
  <property fmtid="{D5CDD505-2E9C-101B-9397-08002B2CF9AE}" pid="71" name="MailAttachments">
    <vt:lpwstr/>
  </property>
  <property fmtid="{D5CDD505-2E9C-101B-9397-08002B2CF9AE}" pid="72" name="MailReply-To0">
    <vt:lpwstr/>
  </property>
  <property fmtid="{D5CDD505-2E9C-101B-9397-08002B2CF9AE}" pid="73" name="_dlc_DocId">
    <vt:lpwstr>000853-1726373233-5</vt:lpwstr>
  </property>
  <property fmtid="{D5CDD505-2E9C-101B-9397-08002B2CF9AE}" pid="74" name="_dlc_DocIdItemGuid">
    <vt:lpwstr>3d59a828-68b6-4e64-ada4-9937502ccab8</vt:lpwstr>
  </property>
  <property fmtid="{D5CDD505-2E9C-101B-9397-08002B2CF9AE}" pid="75" name="_dlc_DocIdUrl">
    <vt:lpwstr>https://asiclink.sharepoint.com/teams/000853/_layouts/15/DocIdRedir.aspx?ID=000853-1726373233-5, 000853-1726373233-5</vt:lpwstr>
  </property>
  <property fmtid="{D5CDD505-2E9C-101B-9397-08002B2CF9AE}" pid="76" name="MSIP_Label_a6aead41-07f8-4767-ac8e-ef1c9c793766_Enabled">
    <vt:lpwstr>true</vt:lpwstr>
  </property>
  <property fmtid="{D5CDD505-2E9C-101B-9397-08002B2CF9AE}" pid="77" name="MSIP_Label_a6aead41-07f8-4767-ac8e-ef1c9c793766_SetDate">
    <vt:lpwstr>2023-06-13T23:25:15Z</vt:lpwstr>
  </property>
  <property fmtid="{D5CDD505-2E9C-101B-9397-08002B2CF9AE}" pid="78" name="MSIP_Label_a6aead41-07f8-4767-ac8e-ef1c9c793766_Method">
    <vt:lpwstr>Standard</vt:lpwstr>
  </property>
  <property fmtid="{D5CDD505-2E9C-101B-9397-08002B2CF9AE}" pid="79" name="MSIP_Label_a6aead41-07f8-4767-ac8e-ef1c9c793766_Name">
    <vt:lpwstr>OFFICIAL</vt:lpwstr>
  </property>
  <property fmtid="{D5CDD505-2E9C-101B-9397-08002B2CF9AE}" pid="80" name="MSIP_Label_a6aead41-07f8-4767-ac8e-ef1c9c793766_SiteId">
    <vt:lpwstr>5f1de7c6-55cd-4bb2-902d-514c78cf10f4</vt:lpwstr>
  </property>
  <property fmtid="{D5CDD505-2E9C-101B-9397-08002B2CF9AE}" pid="81" name="MSIP_Label_a6aead41-07f8-4767-ac8e-ef1c9c793766_ActionId">
    <vt:lpwstr>378843a0-1763-4d26-b06d-4674f2a9de77</vt:lpwstr>
  </property>
  <property fmtid="{D5CDD505-2E9C-101B-9397-08002B2CF9AE}" pid="82" name="MSIP_Label_a6aead41-07f8-4767-ac8e-ef1c9c793766_ContentBits">
    <vt:lpwstr>0</vt:lpwstr>
  </property>
  <property fmtid="{D5CDD505-2E9C-101B-9397-08002B2CF9AE}" pid="83" name="bdf3bab5a81c426f8b5cbfa0265a271c">
    <vt:lpwstr/>
  </property>
  <property fmtid="{D5CDD505-2E9C-101B-9397-08002B2CF9AE}" pid="84" name="PolicyWorkDocumentType">
    <vt:lpwstr/>
  </property>
</Properties>
</file>