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CC83" w14:textId="0657C74E" w:rsidR="00976332" w:rsidRPr="00D9085C" w:rsidRDefault="00C848E8" w:rsidP="00380FEE">
      <w:pPr>
        <w:pStyle w:val="Heading"/>
        <w:spacing w:before="120" w:after="240"/>
        <w:jc w:val="center"/>
        <w:rPr>
          <w:rFonts w:ascii="Times New Roman" w:hAnsi="Times New Roman"/>
          <w:sz w:val="24"/>
          <w:szCs w:val="24"/>
        </w:rPr>
      </w:pPr>
      <w:r w:rsidRPr="00D9085C">
        <w:rPr>
          <w:rFonts w:ascii="Times New Roman" w:hAnsi="Times New Roman"/>
          <w:sz w:val="24"/>
          <w:szCs w:val="24"/>
        </w:rPr>
        <w:t>Banking, Insurance, Life Insurance</w:t>
      </w:r>
      <w:r w:rsidR="003F282D">
        <w:rPr>
          <w:rFonts w:ascii="Times New Roman" w:hAnsi="Times New Roman"/>
          <w:sz w:val="24"/>
          <w:szCs w:val="24"/>
        </w:rPr>
        <w:t xml:space="preserve"> and </w:t>
      </w:r>
      <w:r w:rsidRPr="00D9085C">
        <w:rPr>
          <w:rFonts w:ascii="Times New Roman" w:hAnsi="Times New Roman"/>
          <w:sz w:val="24"/>
          <w:szCs w:val="24"/>
        </w:rPr>
        <w:t xml:space="preserve">Health Insurance (prudential standard) </w:t>
      </w:r>
      <w:r w:rsidR="00976332" w:rsidRPr="00D9085C">
        <w:rPr>
          <w:rFonts w:ascii="Times New Roman" w:hAnsi="Times New Roman"/>
          <w:sz w:val="24"/>
          <w:szCs w:val="24"/>
        </w:rPr>
        <w:t>determination No</w:t>
      </w:r>
      <w:r w:rsidR="00976332" w:rsidRPr="00A965CB">
        <w:rPr>
          <w:rFonts w:ascii="Times New Roman" w:hAnsi="Times New Roman"/>
          <w:sz w:val="24"/>
          <w:szCs w:val="24"/>
        </w:rPr>
        <w:t xml:space="preserve">. </w:t>
      </w:r>
      <w:r w:rsidR="00B75466" w:rsidRPr="00A965CB">
        <w:rPr>
          <w:rFonts w:ascii="Times New Roman" w:hAnsi="Times New Roman"/>
          <w:sz w:val="24"/>
          <w:szCs w:val="24"/>
        </w:rPr>
        <w:t>1</w:t>
      </w:r>
      <w:r w:rsidR="00976332" w:rsidRPr="00D9085C">
        <w:rPr>
          <w:rFonts w:ascii="Times New Roman" w:hAnsi="Times New Roman"/>
          <w:sz w:val="24"/>
          <w:szCs w:val="24"/>
        </w:rPr>
        <w:t xml:space="preserve"> of 202</w:t>
      </w:r>
      <w:r w:rsidR="00C24ED0">
        <w:rPr>
          <w:rFonts w:ascii="Times New Roman" w:hAnsi="Times New Roman"/>
          <w:sz w:val="24"/>
          <w:szCs w:val="24"/>
        </w:rPr>
        <w:t>4</w:t>
      </w:r>
    </w:p>
    <w:p w14:paraId="4247969B" w14:textId="77777777" w:rsidR="00976332" w:rsidRPr="00D9085C" w:rsidRDefault="00976332" w:rsidP="00380FEE">
      <w:pPr>
        <w:pStyle w:val="Heading"/>
        <w:tabs>
          <w:tab w:val="left" w:pos="360"/>
        </w:tabs>
        <w:spacing w:after="240"/>
        <w:jc w:val="center"/>
        <w:rPr>
          <w:rFonts w:ascii="Times New Roman" w:hAnsi="Times New Roman"/>
          <w:sz w:val="24"/>
          <w:szCs w:val="24"/>
          <w:u w:val="single"/>
        </w:rPr>
      </w:pPr>
      <w:bookmarkStart w:id="0" w:name="bkInstrumentSubTitle"/>
      <w:bookmarkStart w:id="1" w:name="_Hlk83890998"/>
      <w:bookmarkEnd w:id="0"/>
      <w:r w:rsidRPr="00D9085C">
        <w:rPr>
          <w:rFonts w:ascii="Times New Roman" w:hAnsi="Times New Roman"/>
          <w:sz w:val="24"/>
          <w:szCs w:val="24"/>
          <w:u w:val="single"/>
        </w:rPr>
        <w:t>EXPLANATORY STATEMENT</w:t>
      </w:r>
    </w:p>
    <w:bookmarkEnd w:id="1"/>
    <w:p w14:paraId="338D0C41" w14:textId="77777777" w:rsidR="005E06E9" w:rsidRPr="00D9085C" w:rsidRDefault="005E06E9" w:rsidP="00380FEE">
      <w:pPr>
        <w:pStyle w:val="Heading"/>
        <w:spacing w:after="240"/>
        <w:jc w:val="center"/>
        <w:rPr>
          <w:rFonts w:ascii="Times New Roman" w:hAnsi="Times New Roman"/>
          <w:sz w:val="24"/>
          <w:szCs w:val="24"/>
        </w:rPr>
      </w:pPr>
      <w:r w:rsidRPr="00D9085C">
        <w:rPr>
          <w:rFonts w:ascii="Times New Roman" w:hAnsi="Times New Roman"/>
          <w:sz w:val="24"/>
          <w:szCs w:val="24"/>
        </w:rPr>
        <w:t>Prepared by the Australian Prudential Regulation Authority (APRA)</w:t>
      </w:r>
    </w:p>
    <w:p w14:paraId="5B51E694" w14:textId="77777777" w:rsidR="005E06E9" w:rsidRPr="00D9085C" w:rsidRDefault="005E06E9" w:rsidP="00380FEE">
      <w:pPr>
        <w:pStyle w:val="Heading"/>
        <w:tabs>
          <w:tab w:val="left" w:pos="360"/>
        </w:tabs>
        <w:spacing w:after="240"/>
        <w:jc w:val="center"/>
        <w:rPr>
          <w:rFonts w:ascii="Times New Roman" w:hAnsi="Times New Roman"/>
          <w:b w:val="0"/>
          <w:i/>
          <w:sz w:val="24"/>
          <w:szCs w:val="24"/>
        </w:rPr>
      </w:pPr>
      <w:r w:rsidRPr="00D9085C">
        <w:rPr>
          <w:rFonts w:ascii="Times New Roman" w:hAnsi="Times New Roman"/>
          <w:b w:val="0"/>
          <w:i/>
          <w:sz w:val="24"/>
          <w:szCs w:val="24"/>
        </w:rPr>
        <w:t xml:space="preserve">Banking Act 1959, </w:t>
      </w:r>
      <w:r w:rsidRPr="00D9085C">
        <w:rPr>
          <w:rFonts w:ascii="Times New Roman" w:hAnsi="Times New Roman"/>
          <w:b w:val="0"/>
          <w:sz w:val="24"/>
          <w:szCs w:val="24"/>
        </w:rPr>
        <w:t>section 11AF</w:t>
      </w:r>
    </w:p>
    <w:p w14:paraId="72671A69" w14:textId="77777777" w:rsidR="005E06E9" w:rsidRPr="00D9085C" w:rsidRDefault="005E06E9" w:rsidP="00380FEE">
      <w:pPr>
        <w:pStyle w:val="Heading"/>
        <w:tabs>
          <w:tab w:val="left" w:pos="360"/>
        </w:tabs>
        <w:spacing w:after="240"/>
        <w:jc w:val="center"/>
        <w:rPr>
          <w:rFonts w:ascii="Times New Roman" w:hAnsi="Times New Roman"/>
          <w:b w:val="0"/>
          <w:i/>
          <w:sz w:val="24"/>
          <w:szCs w:val="24"/>
        </w:rPr>
      </w:pPr>
      <w:r w:rsidRPr="00D9085C">
        <w:rPr>
          <w:rFonts w:ascii="Times New Roman" w:hAnsi="Times New Roman"/>
          <w:b w:val="0"/>
          <w:i/>
          <w:sz w:val="24"/>
          <w:szCs w:val="24"/>
        </w:rPr>
        <w:t xml:space="preserve">Insurance Act 1973, </w:t>
      </w:r>
      <w:r w:rsidRPr="00D9085C">
        <w:rPr>
          <w:rFonts w:ascii="Times New Roman" w:hAnsi="Times New Roman"/>
          <w:b w:val="0"/>
          <w:sz w:val="24"/>
          <w:szCs w:val="24"/>
        </w:rPr>
        <w:t>section 32</w:t>
      </w:r>
    </w:p>
    <w:p w14:paraId="3EE951E2" w14:textId="5F23C44F" w:rsidR="005E06E9" w:rsidRPr="00D9085C" w:rsidRDefault="005E06E9" w:rsidP="00380FEE">
      <w:pPr>
        <w:pStyle w:val="Heading"/>
        <w:tabs>
          <w:tab w:val="left" w:pos="360"/>
        </w:tabs>
        <w:spacing w:after="240"/>
        <w:jc w:val="center"/>
      </w:pPr>
      <w:r w:rsidRPr="00D9085C">
        <w:rPr>
          <w:rFonts w:ascii="Times New Roman" w:hAnsi="Times New Roman"/>
          <w:b w:val="0"/>
          <w:i/>
          <w:sz w:val="24"/>
          <w:szCs w:val="24"/>
        </w:rPr>
        <w:t xml:space="preserve">Life Insurance Act 1995, </w:t>
      </w:r>
      <w:r w:rsidRPr="00D9085C">
        <w:rPr>
          <w:rFonts w:ascii="Times New Roman" w:hAnsi="Times New Roman"/>
          <w:b w:val="0"/>
          <w:sz w:val="24"/>
          <w:szCs w:val="24"/>
        </w:rPr>
        <w:t>section 230A</w:t>
      </w:r>
    </w:p>
    <w:p w14:paraId="0F869EDC" w14:textId="44AD141C" w:rsidR="005E06E9" w:rsidRPr="00D9085C" w:rsidRDefault="005E06E9" w:rsidP="00380FEE">
      <w:pPr>
        <w:pStyle w:val="Heading"/>
        <w:tabs>
          <w:tab w:val="left" w:pos="360"/>
        </w:tabs>
        <w:spacing w:after="240"/>
        <w:jc w:val="center"/>
        <w:rPr>
          <w:rFonts w:ascii="Times New Roman" w:hAnsi="Times New Roman"/>
          <w:b w:val="0"/>
          <w:i/>
          <w:sz w:val="24"/>
          <w:szCs w:val="24"/>
        </w:rPr>
      </w:pPr>
      <w:r w:rsidRPr="00D9085C">
        <w:rPr>
          <w:rFonts w:ascii="Times New Roman" w:hAnsi="Times New Roman"/>
          <w:b w:val="0"/>
          <w:i/>
          <w:sz w:val="24"/>
          <w:szCs w:val="24"/>
        </w:rPr>
        <w:t xml:space="preserve">Private Health Insurance (Prudential Supervision) Act 2015, </w:t>
      </w:r>
      <w:r w:rsidRPr="00D9085C">
        <w:rPr>
          <w:rFonts w:ascii="Times New Roman" w:hAnsi="Times New Roman"/>
          <w:b w:val="0"/>
          <w:sz w:val="24"/>
          <w:szCs w:val="24"/>
        </w:rPr>
        <w:t>section 92</w:t>
      </w:r>
    </w:p>
    <w:p w14:paraId="482CBF63" w14:textId="5A07E345" w:rsidR="00EE1552" w:rsidRPr="003F282D" w:rsidRDefault="00FC1108" w:rsidP="00380FEE">
      <w:pPr>
        <w:spacing w:after="240" w:line="240" w:lineRule="auto"/>
        <w:jc w:val="both"/>
        <w:rPr>
          <w:rFonts w:ascii="Times New Roman" w:hAnsi="Times New Roman" w:cs="Times New Roman"/>
          <w:sz w:val="24"/>
          <w:szCs w:val="24"/>
        </w:rPr>
      </w:pPr>
      <w:r w:rsidRPr="003F282D">
        <w:rPr>
          <w:rFonts w:ascii="Times New Roman" w:hAnsi="Times New Roman" w:cs="Times New Roman"/>
          <w:sz w:val="24"/>
          <w:szCs w:val="24"/>
        </w:rPr>
        <w:t xml:space="preserve">Under the above provisions, </w:t>
      </w:r>
      <w:r w:rsidR="00EE1552" w:rsidRPr="003F282D">
        <w:rPr>
          <w:rFonts w:ascii="Times New Roman" w:hAnsi="Times New Roman" w:cs="Times New Roman"/>
          <w:sz w:val="24"/>
          <w:szCs w:val="24"/>
        </w:rPr>
        <w:t xml:space="preserve">APRA may, in writing, </w:t>
      </w:r>
      <w:r w:rsidR="00E01D64" w:rsidRPr="003F282D">
        <w:rPr>
          <w:rFonts w:ascii="Times New Roman" w:hAnsi="Times New Roman" w:cs="Times New Roman"/>
          <w:sz w:val="24"/>
          <w:szCs w:val="24"/>
        </w:rPr>
        <w:t xml:space="preserve">determine, </w:t>
      </w:r>
      <w:r w:rsidR="00EE1552" w:rsidRPr="003F282D">
        <w:rPr>
          <w:rFonts w:ascii="Times New Roman" w:hAnsi="Times New Roman" w:cs="Times New Roman"/>
          <w:sz w:val="24"/>
          <w:szCs w:val="24"/>
        </w:rPr>
        <w:t xml:space="preserve">vary or revoke a prudential standard that applies to an APRA-regulated </w:t>
      </w:r>
      <w:r w:rsidR="00B770DD" w:rsidRPr="003F282D">
        <w:rPr>
          <w:rFonts w:ascii="Times New Roman" w:hAnsi="Times New Roman" w:cs="Times New Roman"/>
          <w:sz w:val="24"/>
          <w:szCs w:val="24"/>
        </w:rPr>
        <w:t>entity</w:t>
      </w:r>
      <w:r w:rsidR="00E01D64" w:rsidRPr="003F282D">
        <w:rPr>
          <w:rFonts w:ascii="Times New Roman" w:hAnsi="Times New Roman" w:cs="Times New Roman"/>
          <w:sz w:val="24"/>
          <w:szCs w:val="24"/>
        </w:rPr>
        <w:t>.</w:t>
      </w:r>
    </w:p>
    <w:p w14:paraId="2054B335" w14:textId="2E5BAC85" w:rsidR="003F282D" w:rsidRPr="003F282D" w:rsidRDefault="008B0EB8" w:rsidP="00380FEE">
      <w:pPr>
        <w:spacing w:after="240" w:line="240" w:lineRule="auto"/>
        <w:jc w:val="both"/>
        <w:rPr>
          <w:rFonts w:ascii="Times New Roman" w:hAnsi="Times New Roman" w:cs="Times New Roman"/>
          <w:sz w:val="24"/>
          <w:szCs w:val="24"/>
        </w:rPr>
      </w:pPr>
      <w:r w:rsidRPr="003F282D">
        <w:rPr>
          <w:rFonts w:ascii="Times New Roman" w:hAnsi="Times New Roman" w:cs="Times New Roman"/>
          <w:sz w:val="24"/>
          <w:szCs w:val="24"/>
        </w:rPr>
        <w:t xml:space="preserve">On </w:t>
      </w:r>
      <w:r w:rsidR="00164BB7">
        <w:rPr>
          <w:rFonts w:ascii="Times New Roman" w:hAnsi="Times New Roman" w:cs="Times New Roman"/>
          <w:sz w:val="24"/>
          <w:szCs w:val="24"/>
        </w:rPr>
        <w:t>13</w:t>
      </w:r>
      <w:r w:rsidR="00001370" w:rsidRPr="003F282D">
        <w:rPr>
          <w:rFonts w:ascii="Times New Roman" w:hAnsi="Times New Roman" w:cs="Times New Roman"/>
          <w:sz w:val="24"/>
          <w:szCs w:val="24"/>
        </w:rPr>
        <w:t xml:space="preserve"> </w:t>
      </w:r>
      <w:r w:rsidR="003F282D" w:rsidRPr="003F282D">
        <w:rPr>
          <w:rFonts w:ascii="Times New Roman" w:hAnsi="Times New Roman" w:cs="Times New Roman"/>
          <w:sz w:val="24"/>
          <w:szCs w:val="24"/>
        </w:rPr>
        <w:t>August</w:t>
      </w:r>
      <w:r w:rsidR="00A30B90" w:rsidRPr="003F282D">
        <w:rPr>
          <w:rFonts w:ascii="Times New Roman" w:hAnsi="Times New Roman" w:cs="Times New Roman"/>
          <w:sz w:val="24"/>
          <w:szCs w:val="24"/>
        </w:rPr>
        <w:t xml:space="preserve"> </w:t>
      </w:r>
      <w:r w:rsidRPr="003F282D">
        <w:rPr>
          <w:rFonts w:ascii="Times New Roman" w:hAnsi="Times New Roman" w:cs="Times New Roman"/>
          <w:sz w:val="24"/>
          <w:szCs w:val="24"/>
        </w:rPr>
        <w:t>202</w:t>
      </w:r>
      <w:r w:rsidR="00A30B90" w:rsidRPr="003F282D">
        <w:rPr>
          <w:rFonts w:ascii="Times New Roman" w:hAnsi="Times New Roman" w:cs="Times New Roman"/>
          <w:sz w:val="24"/>
          <w:szCs w:val="24"/>
        </w:rPr>
        <w:t>4</w:t>
      </w:r>
      <w:r w:rsidRPr="003F282D">
        <w:rPr>
          <w:rFonts w:ascii="Times New Roman" w:hAnsi="Times New Roman" w:cs="Times New Roman"/>
          <w:sz w:val="24"/>
          <w:szCs w:val="24"/>
        </w:rPr>
        <w:t xml:space="preserve">, APRA made </w:t>
      </w:r>
      <w:r w:rsidRPr="00A965CB">
        <w:rPr>
          <w:rFonts w:ascii="Times New Roman" w:hAnsi="Times New Roman" w:cs="Times New Roman"/>
          <w:i/>
          <w:sz w:val="24"/>
          <w:szCs w:val="24"/>
        </w:rPr>
        <w:t>Banking, Insurance, Life Insurance</w:t>
      </w:r>
      <w:r w:rsidR="003F282D" w:rsidRPr="00A965CB">
        <w:rPr>
          <w:rFonts w:ascii="Times New Roman" w:hAnsi="Times New Roman" w:cs="Times New Roman"/>
          <w:i/>
          <w:sz w:val="24"/>
          <w:szCs w:val="24"/>
        </w:rPr>
        <w:t xml:space="preserve"> and </w:t>
      </w:r>
      <w:r w:rsidR="00A83B38" w:rsidRPr="00A965CB">
        <w:rPr>
          <w:rFonts w:ascii="Times New Roman" w:hAnsi="Times New Roman" w:cs="Times New Roman"/>
          <w:i/>
          <w:sz w:val="24"/>
          <w:szCs w:val="24"/>
        </w:rPr>
        <w:t>Health Insurance</w:t>
      </w:r>
      <w:r w:rsidRPr="00A965CB">
        <w:rPr>
          <w:rFonts w:ascii="Times New Roman" w:hAnsi="Times New Roman" w:cs="Times New Roman"/>
          <w:i/>
          <w:sz w:val="24"/>
          <w:szCs w:val="24"/>
        </w:rPr>
        <w:t xml:space="preserve"> (prudential standard) determination No</w:t>
      </w:r>
      <w:r w:rsidR="00EF3320" w:rsidRPr="00A965CB">
        <w:rPr>
          <w:rFonts w:ascii="Times New Roman" w:hAnsi="Times New Roman" w:cs="Times New Roman"/>
          <w:i/>
          <w:sz w:val="24"/>
          <w:szCs w:val="24"/>
        </w:rPr>
        <w:t>.</w:t>
      </w:r>
      <w:r w:rsidRPr="00A965CB">
        <w:rPr>
          <w:rFonts w:ascii="Times New Roman" w:hAnsi="Times New Roman" w:cs="Times New Roman"/>
          <w:i/>
          <w:sz w:val="24"/>
          <w:szCs w:val="24"/>
        </w:rPr>
        <w:t xml:space="preserve"> </w:t>
      </w:r>
      <w:r w:rsidR="006018E3">
        <w:rPr>
          <w:rFonts w:ascii="Times New Roman" w:hAnsi="Times New Roman" w:cs="Times New Roman"/>
          <w:i/>
          <w:sz w:val="24"/>
          <w:szCs w:val="24"/>
        </w:rPr>
        <w:t>1</w:t>
      </w:r>
      <w:r w:rsidRPr="00A965CB">
        <w:rPr>
          <w:rFonts w:ascii="Times New Roman" w:hAnsi="Times New Roman" w:cs="Times New Roman"/>
          <w:i/>
          <w:sz w:val="24"/>
          <w:szCs w:val="24"/>
        </w:rPr>
        <w:t xml:space="preserve"> of 202</w:t>
      </w:r>
      <w:r w:rsidR="00A30B90" w:rsidRPr="00A965CB">
        <w:rPr>
          <w:rFonts w:ascii="Times New Roman" w:hAnsi="Times New Roman" w:cs="Times New Roman"/>
          <w:i/>
          <w:sz w:val="24"/>
          <w:szCs w:val="24"/>
        </w:rPr>
        <w:t>4</w:t>
      </w:r>
      <w:r w:rsidRPr="003F282D">
        <w:rPr>
          <w:rFonts w:ascii="Times New Roman" w:hAnsi="Times New Roman" w:cs="Times New Roman"/>
          <w:sz w:val="24"/>
          <w:szCs w:val="24"/>
        </w:rPr>
        <w:t xml:space="preserve"> (the instrument)</w:t>
      </w:r>
      <w:r w:rsidR="00001370" w:rsidRPr="003F282D">
        <w:rPr>
          <w:rFonts w:ascii="Times New Roman" w:hAnsi="Times New Roman" w:cs="Times New Roman"/>
          <w:sz w:val="24"/>
          <w:szCs w:val="24"/>
        </w:rPr>
        <w:t xml:space="preserve"> </w:t>
      </w:r>
      <w:r w:rsidR="00AA23DF">
        <w:rPr>
          <w:rFonts w:ascii="Times New Roman" w:hAnsi="Times New Roman" w:cs="Times New Roman"/>
          <w:sz w:val="24"/>
          <w:szCs w:val="24"/>
        </w:rPr>
        <w:t xml:space="preserve">which determines </w:t>
      </w:r>
      <w:r w:rsidR="00AA23DF" w:rsidRPr="00AA23DF">
        <w:rPr>
          <w:rFonts w:ascii="Times New Roman" w:hAnsi="Times New Roman" w:cs="Times New Roman"/>
          <w:i/>
          <w:sz w:val="24"/>
          <w:szCs w:val="24"/>
        </w:rPr>
        <w:t>Prudential Standard CPS 001 Defined terms</w:t>
      </w:r>
      <w:r w:rsidR="00AA23DF" w:rsidRPr="00AA23DF">
        <w:rPr>
          <w:rFonts w:ascii="Times New Roman" w:hAnsi="Times New Roman" w:cs="Times New Roman"/>
          <w:sz w:val="24"/>
          <w:szCs w:val="24"/>
        </w:rPr>
        <w:t xml:space="preserve"> (</w:t>
      </w:r>
      <w:r w:rsidR="00AA23DF">
        <w:rPr>
          <w:rFonts w:ascii="Times New Roman" w:hAnsi="Times New Roman" w:cs="Times New Roman"/>
          <w:sz w:val="24"/>
          <w:szCs w:val="24"/>
        </w:rPr>
        <w:t>C</w:t>
      </w:r>
      <w:r w:rsidR="00AA23DF" w:rsidRPr="00AA23DF">
        <w:rPr>
          <w:rFonts w:ascii="Times New Roman" w:hAnsi="Times New Roman" w:cs="Times New Roman"/>
          <w:sz w:val="24"/>
          <w:szCs w:val="24"/>
        </w:rPr>
        <w:t xml:space="preserve">PS </w:t>
      </w:r>
      <w:r w:rsidR="009D63AA">
        <w:rPr>
          <w:rFonts w:ascii="Times New Roman" w:hAnsi="Times New Roman" w:cs="Times New Roman"/>
          <w:sz w:val="24"/>
          <w:szCs w:val="24"/>
        </w:rPr>
        <w:t>0</w:t>
      </w:r>
      <w:r w:rsidR="00AA23DF" w:rsidRPr="00AA23DF">
        <w:rPr>
          <w:rFonts w:ascii="Times New Roman" w:hAnsi="Times New Roman" w:cs="Times New Roman"/>
          <w:sz w:val="24"/>
          <w:szCs w:val="24"/>
        </w:rPr>
        <w:t>0</w:t>
      </w:r>
      <w:r w:rsidR="009D63AA">
        <w:rPr>
          <w:rFonts w:ascii="Times New Roman" w:hAnsi="Times New Roman" w:cs="Times New Roman"/>
          <w:sz w:val="24"/>
          <w:szCs w:val="24"/>
        </w:rPr>
        <w:t>1</w:t>
      </w:r>
      <w:r w:rsidR="00AA23DF" w:rsidRPr="00AA23DF">
        <w:rPr>
          <w:rFonts w:ascii="Times New Roman" w:hAnsi="Times New Roman" w:cs="Times New Roman"/>
          <w:sz w:val="24"/>
          <w:szCs w:val="24"/>
        </w:rPr>
        <w:t>)</w:t>
      </w:r>
      <w:r w:rsidR="00AA23DF">
        <w:rPr>
          <w:rFonts w:ascii="Times New Roman" w:hAnsi="Times New Roman" w:cs="Times New Roman"/>
          <w:sz w:val="24"/>
          <w:szCs w:val="24"/>
        </w:rPr>
        <w:t xml:space="preserve"> and </w:t>
      </w:r>
      <w:r w:rsidR="003F282D" w:rsidRPr="003F282D">
        <w:rPr>
          <w:rFonts w:ascii="Times New Roman" w:hAnsi="Times New Roman" w:cs="Times New Roman"/>
          <w:sz w:val="24"/>
          <w:szCs w:val="24"/>
        </w:rPr>
        <w:t>revokes:</w:t>
      </w:r>
    </w:p>
    <w:p w14:paraId="65BCD5A3" w14:textId="37224931" w:rsidR="00BC3F37" w:rsidRPr="008A1BD4" w:rsidRDefault="003F282D" w:rsidP="005231D6">
      <w:pPr>
        <w:pStyle w:val="ListBullet"/>
        <w:spacing w:after="240" w:line="240" w:lineRule="auto"/>
        <w:ind w:left="357" w:hanging="357"/>
        <w:contextualSpacing/>
        <w:rPr>
          <w:rFonts w:ascii="Times New Roman" w:hAnsi="Times New Roman" w:cs="Times New Roman"/>
          <w:sz w:val="24"/>
          <w:szCs w:val="24"/>
        </w:rPr>
      </w:pPr>
      <w:r w:rsidRPr="008A1BD4">
        <w:rPr>
          <w:rFonts w:ascii="Times New Roman" w:hAnsi="Times New Roman" w:cs="Times New Roman"/>
          <w:i/>
          <w:sz w:val="24"/>
          <w:szCs w:val="24"/>
        </w:rPr>
        <w:t>Prudential Standard APS 001 Definitions</w:t>
      </w:r>
      <w:r w:rsidRPr="008A1BD4">
        <w:rPr>
          <w:rFonts w:ascii="Times New Roman" w:hAnsi="Times New Roman" w:cs="Times New Roman"/>
          <w:sz w:val="24"/>
          <w:szCs w:val="24"/>
        </w:rPr>
        <w:t xml:space="preserve"> </w:t>
      </w:r>
      <w:r w:rsidR="00B356B9">
        <w:rPr>
          <w:rFonts w:ascii="Times New Roman" w:hAnsi="Times New Roman" w:cs="Times New Roman"/>
          <w:sz w:val="24"/>
          <w:szCs w:val="24"/>
        </w:rPr>
        <w:t xml:space="preserve">(APS 001) </w:t>
      </w:r>
      <w:r w:rsidRPr="008A1BD4">
        <w:rPr>
          <w:rFonts w:ascii="Times New Roman" w:hAnsi="Times New Roman" w:cs="Times New Roman"/>
          <w:sz w:val="24"/>
          <w:szCs w:val="24"/>
        </w:rPr>
        <w:t xml:space="preserve">made under </w:t>
      </w:r>
      <w:r w:rsidR="008A1BD4" w:rsidRPr="008A1BD4">
        <w:rPr>
          <w:rFonts w:ascii="Times New Roman" w:hAnsi="Times New Roman" w:cs="Times New Roman"/>
          <w:sz w:val="24"/>
          <w:szCs w:val="24"/>
        </w:rPr>
        <w:t xml:space="preserve">Banking (prudential standard) determination No. 2 of </w:t>
      </w:r>
      <w:proofErr w:type="gramStart"/>
      <w:r w:rsidR="008A1BD4" w:rsidRPr="008A1BD4">
        <w:rPr>
          <w:rFonts w:ascii="Times New Roman" w:hAnsi="Times New Roman" w:cs="Times New Roman"/>
          <w:sz w:val="24"/>
          <w:szCs w:val="24"/>
        </w:rPr>
        <w:t>2022;</w:t>
      </w:r>
      <w:proofErr w:type="gramEnd"/>
    </w:p>
    <w:p w14:paraId="0AE69A8C" w14:textId="279AAD50" w:rsidR="008A1BD4" w:rsidRPr="008A1BD4" w:rsidRDefault="008A1BD4" w:rsidP="005231D6">
      <w:pPr>
        <w:pStyle w:val="ListBullet"/>
        <w:spacing w:after="240" w:line="240" w:lineRule="auto"/>
        <w:ind w:left="357" w:hanging="357"/>
        <w:contextualSpacing/>
        <w:rPr>
          <w:rFonts w:ascii="Times New Roman" w:hAnsi="Times New Roman" w:cs="Times New Roman"/>
          <w:sz w:val="24"/>
          <w:szCs w:val="24"/>
        </w:rPr>
      </w:pPr>
      <w:r w:rsidRPr="008A1BD4">
        <w:rPr>
          <w:rFonts w:ascii="Times New Roman" w:hAnsi="Times New Roman" w:cs="Times New Roman"/>
          <w:i/>
          <w:sz w:val="24"/>
          <w:szCs w:val="24"/>
        </w:rPr>
        <w:t>Prudential Standard GPS 001 Definitions</w:t>
      </w:r>
      <w:r w:rsidRPr="008A1BD4">
        <w:rPr>
          <w:rFonts w:ascii="Times New Roman" w:hAnsi="Times New Roman" w:cs="Times New Roman"/>
          <w:sz w:val="24"/>
          <w:szCs w:val="24"/>
        </w:rPr>
        <w:t xml:space="preserve"> </w:t>
      </w:r>
      <w:r w:rsidR="00B356B9">
        <w:rPr>
          <w:rFonts w:ascii="Times New Roman" w:hAnsi="Times New Roman" w:cs="Times New Roman"/>
          <w:sz w:val="24"/>
          <w:szCs w:val="24"/>
        </w:rPr>
        <w:t xml:space="preserve">(GPS 001) </w:t>
      </w:r>
      <w:r w:rsidRPr="008A1BD4">
        <w:rPr>
          <w:rFonts w:ascii="Times New Roman" w:hAnsi="Times New Roman" w:cs="Times New Roman"/>
          <w:sz w:val="24"/>
          <w:szCs w:val="24"/>
        </w:rPr>
        <w:t xml:space="preserve">made under Insurance (prudential standard) determination No. 1 of </w:t>
      </w:r>
      <w:proofErr w:type="gramStart"/>
      <w:r w:rsidRPr="008A1BD4">
        <w:rPr>
          <w:rFonts w:ascii="Times New Roman" w:hAnsi="Times New Roman" w:cs="Times New Roman"/>
          <w:sz w:val="24"/>
          <w:szCs w:val="24"/>
        </w:rPr>
        <w:t>2023;</w:t>
      </w:r>
      <w:proofErr w:type="gramEnd"/>
    </w:p>
    <w:p w14:paraId="03D0A923" w14:textId="05D237D3" w:rsidR="008A1BD4" w:rsidRPr="008A1BD4" w:rsidRDefault="008A1BD4" w:rsidP="005231D6">
      <w:pPr>
        <w:pStyle w:val="ListBullet"/>
        <w:spacing w:after="240" w:line="240" w:lineRule="auto"/>
        <w:ind w:left="357" w:hanging="357"/>
        <w:contextualSpacing/>
        <w:rPr>
          <w:rFonts w:ascii="Times New Roman" w:hAnsi="Times New Roman" w:cs="Times New Roman"/>
          <w:sz w:val="24"/>
          <w:szCs w:val="24"/>
        </w:rPr>
      </w:pPr>
      <w:r w:rsidRPr="008A1BD4">
        <w:rPr>
          <w:rFonts w:ascii="Times New Roman" w:hAnsi="Times New Roman" w:cs="Times New Roman"/>
          <w:i/>
          <w:sz w:val="24"/>
          <w:szCs w:val="24"/>
        </w:rPr>
        <w:t>Prudential Standard LPS 001 Definitions</w:t>
      </w:r>
      <w:r w:rsidRPr="008A1BD4">
        <w:rPr>
          <w:rFonts w:ascii="Times New Roman" w:hAnsi="Times New Roman" w:cs="Times New Roman"/>
          <w:sz w:val="24"/>
          <w:szCs w:val="24"/>
        </w:rPr>
        <w:t xml:space="preserve"> </w:t>
      </w:r>
      <w:r w:rsidR="00B356B9">
        <w:rPr>
          <w:rFonts w:ascii="Times New Roman" w:hAnsi="Times New Roman" w:cs="Times New Roman"/>
          <w:sz w:val="24"/>
          <w:szCs w:val="24"/>
        </w:rPr>
        <w:t xml:space="preserve">(LPS 001) </w:t>
      </w:r>
      <w:r w:rsidRPr="008A1BD4">
        <w:rPr>
          <w:rFonts w:ascii="Times New Roman" w:hAnsi="Times New Roman" w:cs="Times New Roman"/>
          <w:sz w:val="24"/>
          <w:szCs w:val="24"/>
        </w:rPr>
        <w:t xml:space="preserve">made under Life Insurance (prudential standard) determination No. 5 of </w:t>
      </w:r>
      <w:proofErr w:type="gramStart"/>
      <w:r w:rsidRPr="008A1BD4">
        <w:rPr>
          <w:rFonts w:ascii="Times New Roman" w:hAnsi="Times New Roman" w:cs="Times New Roman"/>
          <w:sz w:val="24"/>
          <w:szCs w:val="24"/>
        </w:rPr>
        <w:t>2023;</w:t>
      </w:r>
      <w:proofErr w:type="gramEnd"/>
    </w:p>
    <w:p w14:paraId="3E0CA22B" w14:textId="7E4DF90D" w:rsidR="008A1BD4" w:rsidRPr="008A1BD4" w:rsidRDefault="008A1BD4" w:rsidP="005231D6">
      <w:pPr>
        <w:pStyle w:val="ListBullet"/>
        <w:spacing w:after="240" w:line="240" w:lineRule="auto"/>
        <w:ind w:left="357" w:hanging="357"/>
        <w:contextualSpacing/>
        <w:rPr>
          <w:rFonts w:ascii="Times New Roman" w:hAnsi="Times New Roman" w:cs="Times New Roman"/>
          <w:sz w:val="24"/>
          <w:szCs w:val="24"/>
        </w:rPr>
      </w:pPr>
      <w:r w:rsidRPr="008A1BD4">
        <w:rPr>
          <w:rFonts w:ascii="Times New Roman" w:hAnsi="Times New Roman" w:cs="Times New Roman"/>
          <w:i/>
          <w:sz w:val="24"/>
          <w:szCs w:val="24"/>
        </w:rPr>
        <w:t>Prudential Standard HPS 001 Definitions</w:t>
      </w:r>
      <w:r w:rsidRPr="008A1BD4">
        <w:rPr>
          <w:rFonts w:ascii="Times New Roman" w:hAnsi="Times New Roman" w:cs="Times New Roman"/>
          <w:sz w:val="24"/>
          <w:szCs w:val="24"/>
        </w:rPr>
        <w:t xml:space="preserve"> </w:t>
      </w:r>
      <w:r w:rsidR="00B356B9">
        <w:rPr>
          <w:rFonts w:ascii="Times New Roman" w:hAnsi="Times New Roman" w:cs="Times New Roman"/>
          <w:sz w:val="24"/>
          <w:szCs w:val="24"/>
        </w:rPr>
        <w:t xml:space="preserve">(HPS 001) </w:t>
      </w:r>
      <w:r w:rsidRPr="008A1BD4">
        <w:rPr>
          <w:rFonts w:ascii="Times New Roman" w:hAnsi="Times New Roman" w:cs="Times New Roman"/>
          <w:sz w:val="24"/>
          <w:szCs w:val="24"/>
        </w:rPr>
        <w:t>made under Health Insurance (prudential standard) determination No. 1 of 2023; and</w:t>
      </w:r>
    </w:p>
    <w:p w14:paraId="7C51CEB9" w14:textId="5DA5C2E0" w:rsidR="008A1BD4" w:rsidRPr="008A1BD4" w:rsidRDefault="008A1BD4" w:rsidP="005231D6">
      <w:pPr>
        <w:pStyle w:val="ListBullet"/>
        <w:spacing w:after="240" w:line="240" w:lineRule="auto"/>
        <w:ind w:left="357" w:hanging="357"/>
        <w:contextualSpacing/>
        <w:rPr>
          <w:rFonts w:ascii="Times New Roman" w:hAnsi="Times New Roman" w:cs="Times New Roman"/>
          <w:sz w:val="24"/>
          <w:szCs w:val="24"/>
        </w:rPr>
      </w:pPr>
      <w:r w:rsidRPr="008A1BD4">
        <w:rPr>
          <w:rFonts w:ascii="Times New Roman" w:hAnsi="Times New Roman" w:cs="Times New Roman"/>
          <w:i/>
          <w:sz w:val="24"/>
          <w:szCs w:val="24"/>
        </w:rPr>
        <w:t>Prudential Standard 3PS 001 Definitions</w:t>
      </w:r>
      <w:r w:rsidRPr="008A1BD4">
        <w:rPr>
          <w:rFonts w:ascii="Times New Roman" w:hAnsi="Times New Roman" w:cs="Times New Roman"/>
          <w:sz w:val="24"/>
          <w:szCs w:val="24"/>
        </w:rPr>
        <w:t xml:space="preserve"> </w:t>
      </w:r>
      <w:r w:rsidR="00B356B9">
        <w:rPr>
          <w:rFonts w:ascii="Times New Roman" w:hAnsi="Times New Roman" w:cs="Times New Roman"/>
          <w:sz w:val="24"/>
          <w:szCs w:val="24"/>
        </w:rPr>
        <w:t xml:space="preserve">(3PS 001) </w:t>
      </w:r>
      <w:r w:rsidRPr="008A1BD4">
        <w:rPr>
          <w:rFonts w:ascii="Times New Roman" w:hAnsi="Times New Roman" w:cs="Times New Roman"/>
          <w:sz w:val="24"/>
          <w:szCs w:val="24"/>
        </w:rPr>
        <w:t>made under Banking, Insurance and Life Insurance (prudential standard) determination No. 1 of 2016.</w:t>
      </w:r>
    </w:p>
    <w:p w14:paraId="72C23AF0" w14:textId="4C2AC27C" w:rsidR="00BF572C" w:rsidRPr="00D9085C" w:rsidRDefault="008B0EB8" w:rsidP="005231D6">
      <w:pPr>
        <w:spacing w:after="240" w:line="240" w:lineRule="auto"/>
        <w:jc w:val="both"/>
        <w:rPr>
          <w:rFonts w:ascii="Times New Roman" w:hAnsi="Times New Roman" w:cs="Times New Roman"/>
          <w:sz w:val="24"/>
          <w:szCs w:val="24"/>
        </w:rPr>
      </w:pPr>
      <w:r w:rsidRPr="00D9085C">
        <w:rPr>
          <w:rFonts w:ascii="Times New Roman" w:hAnsi="Times New Roman" w:cs="Times New Roman"/>
          <w:sz w:val="24"/>
          <w:szCs w:val="24"/>
        </w:rPr>
        <w:t xml:space="preserve">The instrument commences on 1 </w:t>
      </w:r>
      <w:r w:rsidR="00AA23DF">
        <w:rPr>
          <w:rFonts w:ascii="Times New Roman" w:hAnsi="Times New Roman" w:cs="Times New Roman"/>
          <w:sz w:val="24"/>
          <w:szCs w:val="24"/>
        </w:rPr>
        <w:t xml:space="preserve">October </w:t>
      </w:r>
      <w:r w:rsidRPr="00D9085C">
        <w:rPr>
          <w:rFonts w:ascii="Times New Roman" w:hAnsi="Times New Roman" w:cs="Times New Roman"/>
          <w:sz w:val="24"/>
          <w:szCs w:val="24"/>
        </w:rPr>
        <w:t>202</w:t>
      </w:r>
      <w:r w:rsidR="00AA23DF">
        <w:rPr>
          <w:rFonts w:ascii="Times New Roman" w:hAnsi="Times New Roman" w:cs="Times New Roman"/>
          <w:sz w:val="24"/>
          <w:szCs w:val="24"/>
        </w:rPr>
        <w:t>4</w:t>
      </w:r>
      <w:r w:rsidRPr="00D9085C">
        <w:rPr>
          <w:rFonts w:ascii="Times New Roman" w:hAnsi="Times New Roman" w:cs="Times New Roman"/>
          <w:sz w:val="24"/>
          <w:szCs w:val="24"/>
        </w:rPr>
        <w:t>.</w:t>
      </w:r>
    </w:p>
    <w:p w14:paraId="26D38409" w14:textId="10A99E2E" w:rsidR="00197A23" w:rsidRPr="00D9085C" w:rsidRDefault="00197A23" w:rsidP="00FC44D7">
      <w:pPr>
        <w:pStyle w:val="ListParagraph"/>
        <w:numPr>
          <w:ilvl w:val="0"/>
          <w:numId w:val="11"/>
        </w:numPr>
        <w:spacing w:after="240" w:line="240" w:lineRule="auto"/>
        <w:ind w:left="567" w:hanging="567"/>
        <w:contextualSpacing w:val="0"/>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Background</w:t>
      </w:r>
    </w:p>
    <w:p w14:paraId="413DE3FF" w14:textId="23E75C44" w:rsidR="007A0146" w:rsidRPr="007A0146" w:rsidRDefault="00AA23DF" w:rsidP="005231D6">
      <w:pPr>
        <w:spacing w:after="240" w:line="240" w:lineRule="auto"/>
        <w:jc w:val="both"/>
        <w:rPr>
          <w:rFonts w:ascii="Times New Roman" w:hAnsi="Times New Roman" w:cs="Times New Roman"/>
          <w:sz w:val="24"/>
          <w:szCs w:val="24"/>
          <w:lang w:eastAsia="en-US"/>
        </w:rPr>
      </w:pPr>
      <w:r w:rsidRPr="00AA23DF">
        <w:rPr>
          <w:rFonts w:ascii="Times New Roman" w:hAnsi="Times New Roman" w:cs="Times New Roman"/>
          <w:sz w:val="24"/>
          <w:szCs w:val="24"/>
          <w:lang w:eastAsia="en-US"/>
        </w:rPr>
        <w:t>APRA’s role is to protect the financial interests of Australians by maintaining the safety and soundness of financial institutions. To do this, APRA sets legal requirements and guidance for the entities it regulates (the prudential framework).</w:t>
      </w:r>
    </w:p>
    <w:p w14:paraId="773F5EE1" w14:textId="77777777" w:rsidR="007A0146" w:rsidRPr="007A0146" w:rsidRDefault="007A0146" w:rsidP="005231D6">
      <w:pPr>
        <w:spacing w:after="240" w:line="240" w:lineRule="auto"/>
        <w:jc w:val="both"/>
        <w:rPr>
          <w:rFonts w:ascii="Times New Roman" w:hAnsi="Times New Roman" w:cs="Times New Roman"/>
          <w:sz w:val="24"/>
          <w:szCs w:val="24"/>
          <w:lang w:eastAsia="en-US"/>
        </w:rPr>
      </w:pPr>
      <w:r w:rsidRPr="007A0146">
        <w:rPr>
          <w:rFonts w:ascii="Times New Roman" w:hAnsi="Times New Roman" w:cs="Times New Roman"/>
          <w:sz w:val="24"/>
          <w:szCs w:val="24"/>
          <w:lang w:eastAsia="en-US"/>
        </w:rPr>
        <w:t>The prudential framework comprises:</w:t>
      </w:r>
    </w:p>
    <w:p w14:paraId="729499A9" w14:textId="717CE47C" w:rsidR="007A0146" w:rsidRPr="007A0146" w:rsidRDefault="007A0146" w:rsidP="003F1203">
      <w:pPr>
        <w:pStyle w:val="ListBullet"/>
        <w:spacing w:line="240" w:lineRule="auto"/>
        <w:ind w:left="714" w:hanging="357"/>
        <w:contextualSpacing/>
        <w:rPr>
          <w:rFonts w:ascii="Times New Roman" w:hAnsi="Times New Roman" w:cs="Times New Roman"/>
          <w:sz w:val="24"/>
          <w:szCs w:val="24"/>
          <w:lang w:eastAsia="en-US"/>
        </w:rPr>
      </w:pPr>
      <w:r w:rsidRPr="007A0146">
        <w:rPr>
          <w:rFonts w:ascii="Times New Roman" w:hAnsi="Times New Roman" w:cs="Times New Roman"/>
          <w:sz w:val="24"/>
          <w:szCs w:val="24"/>
          <w:lang w:eastAsia="en-US"/>
        </w:rPr>
        <w:t xml:space="preserve">legally binding prudential </w:t>
      </w:r>
      <w:proofErr w:type="gramStart"/>
      <w:r w:rsidRPr="007A0146">
        <w:rPr>
          <w:rFonts w:ascii="Times New Roman" w:hAnsi="Times New Roman" w:cs="Times New Roman"/>
          <w:sz w:val="24"/>
          <w:szCs w:val="24"/>
          <w:lang w:eastAsia="en-US"/>
        </w:rPr>
        <w:t>standards;</w:t>
      </w:r>
      <w:proofErr w:type="gramEnd"/>
    </w:p>
    <w:p w14:paraId="49D7E42D" w14:textId="71FA2436" w:rsidR="007A0146" w:rsidRPr="007A0146" w:rsidRDefault="007A0146" w:rsidP="003F1203">
      <w:pPr>
        <w:pStyle w:val="ListBullet"/>
        <w:spacing w:line="240" w:lineRule="auto"/>
        <w:ind w:left="714" w:hanging="357"/>
        <w:contextualSpacing/>
        <w:rPr>
          <w:rFonts w:ascii="Times New Roman" w:hAnsi="Times New Roman" w:cs="Times New Roman"/>
          <w:sz w:val="24"/>
          <w:szCs w:val="24"/>
          <w:lang w:eastAsia="en-US"/>
        </w:rPr>
      </w:pPr>
      <w:r w:rsidRPr="007A0146">
        <w:rPr>
          <w:rFonts w:ascii="Times New Roman" w:hAnsi="Times New Roman" w:cs="Times New Roman"/>
          <w:sz w:val="24"/>
          <w:szCs w:val="24"/>
          <w:lang w:eastAsia="en-US"/>
        </w:rPr>
        <w:t>legally binding reporting standards; and</w:t>
      </w:r>
    </w:p>
    <w:p w14:paraId="7A596EE2" w14:textId="6294536B" w:rsidR="007A0146" w:rsidRDefault="007A0146" w:rsidP="003F1203">
      <w:pPr>
        <w:pStyle w:val="ListBullet"/>
        <w:spacing w:line="240" w:lineRule="auto"/>
        <w:ind w:left="714" w:hanging="357"/>
        <w:contextualSpacing/>
        <w:rPr>
          <w:rFonts w:ascii="Times New Roman" w:hAnsi="Times New Roman" w:cs="Times New Roman"/>
          <w:sz w:val="24"/>
          <w:szCs w:val="24"/>
          <w:lang w:eastAsia="en-US"/>
        </w:rPr>
      </w:pPr>
      <w:r w:rsidRPr="007A0146">
        <w:rPr>
          <w:rFonts w:ascii="Times New Roman" w:hAnsi="Times New Roman" w:cs="Times New Roman"/>
          <w:sz w:val="24"/>
          <w:szCs w:val="24"/>
          <w:lang w:eastAsia="en-US"/>
        </w:rPr>
        <w:t>supporting guidance (such as prudential practice guides).</w:t>
      </w:r>
    </w:p>
    <w:p w14:paraId="5E6C93BE" w14:textId="009EE151" w:rsidR="00B1503B" w:rsidRPr="00D9085C" w:rsidRDefault="00A15BFB" w:rsidP="005231D6">
      <w:pPr>
        <w:spacing w:after="240" w:line="240" w:lineRule="auto"/>
        <w:jc w:val="both"/>
        <w:rPr>
          <w:rFonts w:ascii="Times New Roman" w:hAnsi="Times New Roman" w:cs="Times New Roman"/>
          <w:sz w:val="24"/>
          <w:szCs w:val="24"/>
        </w:rPr>
      </w:pPr>
      <w:r w:rsidRPr="00A15BFB">
        <w:rPr>
          <w:rFonts w:ascii="Times New Roman" w:hAnsi="Times New Roman"/>
          <w:sz w:val="24"/>
          <w:szCs w:val="24"/>
        </w:rPr>
        <w:t xml:space="preserve">CPS </w:t>
      </w:r>
      <w:r w:rsidR="00AA23DF">
        <w:rPr>
          <w:rFonts w:ascii="Times New Roman" w:hAnsi="Times New Roman"/>
          <w:sz w:val="24"/>
          <w:szCs w:val="24"/>
        </w:rPr>
        <w:t>001</w:t>
      </w:r>
      <w:r w:rsidRPr="00A15BFB">
        <w:rPr>
          <w:rFonts w:ascii="Times New Roman" w:hAnsi="Times New Roman"/>
          <w:sz w:val="24"/>
          <w:szCs w:val="24"/>
        </w:rPr>
        <w:t xml:space="preserve"> is a legally binding prudential standard</w:t>
      </w:r>
      <w:r w:rsidR="00212C99">
        <w:rPr>
          <w:rFonts w:ascii="Times New Roman" w:hAnsi="Times New Roman"/>
          <w:sz w:val="24"/>
          <w:szCs w:val="24"/>
        </w:rPr>
        <w:t xml:space="preserve"> that will come into effect on 1 </w:t>
      </w:r>
      <w:r w:rsidR="00AA23DF">
        <w:rPr>
          <w:rFonts w:ascii="Times New Roman" w:hAnsi="Times New Roman"/>
          <w:sz w:val="24"/>
          <w:szCs w:val="24"/>
        </w:rPr>
        <w:t>October</w:t>
      </w:r>
      <w:r w:rsidR="00212C99">
        <w:rPr>
          <w:rFonts w:ascii="Times New Roman" w:hAnsi="Times New Roman"/>
          <w:sz w:val="24"/>
          <w:szCs w:val="24"/>
        </w:rPr>
        <w:t xml:space="preserve"> 202</w:t>
      </w:r>
      <w:r w:rsidR="00AA23DF">
        <w:rPr>
          <w:rFonts w:ascii="Times New Roman" w:hAnsi="Times New Roman"/>
          <w:sz w:val="24"/>
          <w:szCs w:val="24"/>
        </w:rPr>
        <w:t>4</w:t>
      </w:r>
      <w:r w:rsidRPr="00A15BFB">
        <w:rPr>
          <w:rFonts w:ascii="Times New Roman" w:hAnsi="Times New Roman"/>
          <w:sz w:val="24"/>
          <w:szCs w:val="24"/>
        </w:rPr>
        <w:t xml:space="preserve">. </w:t>
      </w:r>
      <w:r w:rsidR="00AA23DF">
        <w:rPr>
          <w:rFonts w:ascii="Times New Roman" w:hAnsi="Times New Roman" w:cs="Times New Roman"/>
          <w:sz w:val="24"/>
          <w:szCs w:val="24"/>
        </w:rPr>
        <w:t xml:space="preserve">It </w:t>
      </w:r>
      <w:r w:rsidR="00AA23DF" w:rsidRPr="00AA23DF">
        <w:rPr>
          <w:rFonts w:ascii="Times New Roman" w:hAnsi="Times New Roman" w:cs="Times New Roman"/>
          <w:sz w:val="24"/>
          <w:szCs w:val="24"/>
        </w:rPr>
        <w:t>supports interpretation of APRA’s prudential framework</w:t>
      </w:r>
      <w:r w:rsidR="00B356B9">
        <w:rPr>
          <w:rFonts w:ascii="Times New Roman" w:hAnsi="Times New Roman" w:cs="Times New Roman"/>
          <w:sz w:val="24"/>
          <w:szCs w:val="24"/>
        </w:rPr>
        <w:t>.</w:t>
      </w:r>
    </w:p>
    <w:p w14:paraId="080AA574" w14:textId="05FC1C6A" w:rsidR="0012246A" w:rsidRPr="00D9085C" w:rsidRDefault="0012246A" w:rsidP="00FC44D7">
      <w:pPr>
        <w:pStyle w:val="ListParagraph"/>
        <w:keepNext/>
        <w:numPr>
          <w:ilvl w:val="0"/>
          <w:numId w:val="10"/>
        </w:numPr>
        <w:spacing w:after="240" w:line="240" w:lineRule="auto"/>
        <w:ind w:left="567" w:hanging="567"/>
        <w:contextualSpacing w:val="0"/>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lastRenderedPageBreak/>
        <w:t>Purpose and operation of the instrument</w:t>
      </w:r>
    </w:p>
    <w:p w14:paraId="3CD8F5EC" w14:textId="00E2D544" w:rsidR="00DC2E31" w:rsidRDefault="00B356B9" w:rsidP="003F1203">
      <w:pPr>
        <w:keepNext/>
        <w:spacing w:after="240" w:line="240" w:lineRule="auto"/>
        <w:jc w:val="both"/>
        <w:rPr>
          <w:rFonts w:ascii="Times New Roman" w:hAnsi="Times New Roman" w:cs="Times New Roman"/>
          <w:sz w:val="24"/>
          <w:szCs w:val="24"/>
          <w:lang w:eastAsia="en-US"/>
        </w:rPr>
      </w:pPr>
      <w:r w:rsidRPr="00B356B9">
        <w:rPr>
          <w:rFonts w:ascii="Times New Roman" w:hAnsi="Times New Roman" w:cs="Times New Roman"/>
          <w:sz w:val="24"/>
          <w:szCs w:val="24"/>
          <w:lang w:eastAsia="en-US"/>
        </w:rPr>
        <w:t xml:space="preserve">The purpose of the instrument is to revoke </w:t>
      </w:r>
      <w:r>
        <w:rPr>
          <w:rFonts w:ascii="Times New Roman" w:hAnsi="Times New Roman" w:cs="Times New Roman"/>
          <w:sz w:val="24"/>
          <w:szCs w:val="24"/>
          <w:lang w:eastAsia="en-US"/>
        </w:rPr>
        <w:t>APS 001, GPS 001, LPS 001, HPS 001 and 3PS</w:t>
      </w:r>
      <w:r w:rsidR="00DC2E31">
        <w:rPr>
          <w:rFonts w:ascii="Times New Roman" w:hAnsi="Times New Roman" w:cs="Times New Roman"/>
          <w:sz w:val="24"/>
          <w:szCs w:val="24"/>
          <w:lang w:eastAsia="en-US"/>
        </w:rPr>
        <w:t> </w:t>
      </w:r>
      <w:r>
        <w:rPr>
          <w:rFonts w:ascii="Times New Roman" w:hAnsi="Times New Roman" w:cs="Times New Roman"/>
          <w:sz w:val="24"/>
          <w:szCs w:val="24"/>
          <w:lang w:eastAsia="en-US"/>
        </w:rPr>
        <w:t>001</w:t>
      </w:r>
      <w:r w:rsidRPr="00B356B9">
        <w:rPr>
          <w:rFonts w:ascii="Times New Roman" w:hAnsi="Times New Roman" w:cs="Times New Roman"/>
          <w:sz w:val="24"/>
          <w:szCs w:val="24"/>
          <w:lang w:eastAsia="en-US"/>
        </w:rPr>
        <w:t xml:space="preserve"> and replace </w:t>
      </w:r>
      <w:r w:rsidR="006F6D00">
        <w:rPr>
          <w:rFonts w:ascii="Times New Roman" w:hAnsi="Times New Roman" w:cs="Times New Roman"/>
          <w:sz w:val="24"/>
          <w:szCs w:val="24"/>
          <w:lang w:eastAsia="en-US"/>
        </w:rPr>
        <w:t>them</w:t>
      </w:r>
      <w:r w:rsidRPr="00B356B9">
        <w:rPr>
          <w:rFonts w:ascii="Times New Roman" w:hAnsi="Times New Roman" w:cs="Times New Roman"/>
          <w:sz w:val="24"/>
          <w:szCs w:val="24"/>
          <w:lang w:eastAsia="en-US"/>
        </w:rPr>
        <w:t xml:space="preserve"> with a new </w:t>
      </w:r>
      <w:r>
        <w:rPr>
          <w:rFonts w:ascii="Times New Roman" w:hAnsi="Times New Roman" w:cs="Times New Roman"/>
          <w:sz w:val="24"/>
          <w:szCs w:val="24"/>
          <w:lang w:eastAsia="en-US"/>
        </w:rPr>
        <w:t>prudential standard</w:t>
      </w:r>
      <w:r w:rsidRPr="00B356B9">
        <w:rPr>
          <w:rFonts w:ascii="Times New Roman" w:hAnsi="Times New Roman" w:cs="Times New Roman"/>
          <w:sz w:val="24"/>
          <w:szCs w:val="24"/>
          <w:lang w:eastAsia="en-US"/>
        </w:rPr>
        <w:t xml:space="preserve">. The new </w:t>
      </w:r>
      <w:r>
        <w:rPr>
          <w:rFonts w:ascii="Times New Roman" w:hAnsi="Times New Roman" w:cs="Times New Roman"/>
          <w:sz w:val="24"/>
          <w:szCs w:val="24"/>
          <w:lang w:eastAsia="en-US"/>
        </w:rPr>
        <w:t>prudential standard is CPS 001</w:t>
      </w:r>
      <w:r w:rsidR="00DC2E31">
        <w:rPr>
          <w:rFonts w:ascii="Times New Roman" w:hAnsi="Times New Roman" w:cs="Times New Roman"/>
          <w:sz w:val="24"/>
          <w:szCs w:val="24"/>
          <w:lang w:eastAsia="en-US"/>
        </w:rPr>
        <w:t>.</w:t>
      </w:r>
    </w:p>
    <w:p w14:paraId="586C186E" w14:textId="31A7A1B8" w:rsidR="00DC2E31" w:rsidRDefault="00DC2E31" w:rsidP="005231D6">
      <w:pPr>
        <w:spacing w:after="24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CPS 001 </w:t>
      </w:r>
      <w:r w:rsidR="00B356B9" w:rsidRPr="00B356B9">
        <w:rPr>
          <w:rFonts w:ascii="Times New Roman" w:hAnsi="Times New Roman" w:cs="Times New Roman"/>
          <w:sz w:val="24"/>
          <w:szCs w:val="24"/>
          <w:lang w:eastAsia="en-US"/>
        </w:rPr>
        <w:t>centralises defined terms used in the ADI and insurance prudential frameworks within one prudential standard</w:t>
      </w:r>
      <w:r w:rsidR="00B356B9">
        <w:rPr>
          <w:rFonts w:ascii="Times New Roman" w:hAnsi="Times New Roman" w:cs="Times New Roman"/>
          <w:sz w:val="24"/>
          <w:szCs w:val="24"/>
          <w:lang w:eastAsia="en-US"/>
        </w:rPr>
        <w:t>.</w:t>
      </w:r>
      <w:r w:rsidRPr="00DC2E31">
        <w:rPr>
          <w:rFonts w:ascii="Times New Roman" w:hAnsi="Times New Roman" w:cs="Times New Roman"/>
          <w:sz w:val="24"/>
          <w:szCs w:val="24"/>
          <w:lang w:eastAsia="en-US"/>
        </w:rPr>
        <w:t xml:space="preserve"> The standard also explicitly links each defined term to the industries it applies to, making it easier to understand and apply the prudential framework.</w:t>
      </w:r>
      <w:r w:rsidR="00A96291">
        <w:rPr>
          <w:rFonts w:ascii="Times New Roman" w:hAnsi="Times New Roman" w:cs="Times New Roman"/>
          <w:sz w:val="24"/>
          <w:szCs w:val="24"/>
          <w:lang w:eastAsia="en-US"/>
        </w:rPr>
        <w:t xml:space="preserve"> These defined terms</w:t>
      </w:r>
      <w:r w:rsidR="008351C8">
        <w:rPr>
          <w:rFonts w:ascii="Times New Roman" w:hAnsi="Times New Roman" w:cs="Times New Roman"/>
          <w:sz w:val="24"/>
          <w:szCs w:val="24"/>
          <w:lang w:eastAsia="en-US"/>
        </w:rPr>
        <w:t xml:space="preserve"> are read with other prudential standards </w:t>
      </w:r>
      <w:r w:rsidR="00BE5059">
        <w:rPr>
          <w:rFonts w:ascii="Times New Roman" w:hAnsi="Times New Roman" w:cs="Times New Roman"/>
          <w:sz w:val="24"/>
          <w:szCs w:val="24"/>
          <w:lang w:eastAsia="en-US"/>
        </w:rPr>
        <w:t>which impose prudential requirements</w:t>
      </w:r>
      <w:r w:rsidR="00F942DF">
        <w:rPr>
          <w:rFonts w:ascii="Times New Roman" w:hAnsi="Times New Roman" w:cs="Times New Roman"/>
          <w:sz w:val="24"/>
          <w:szCs w:val="24"/>
          <w:lang w:eastAsia="en-US"/>
        </w:rPr>
        <w:t>.</w:t>
      </w:r>
    </w:p>
    <w:p w14:paraId="648DD1D0" w14:textId="685B8227" w:rsidR="00B356B9" w:rsidRDefault="00B356B9" w:rsidP="005231D6">
      <w:pPr>
        <w:spacing w:after="240" w:line="240" w:lineRule="auto"/>
        <w:jc w:val="both"/>
        <w:rPr>
          <w:rFonts w:ascii="Times New Roman" w:hAnsi="Times New Roman" w:cs="Times New Roman"/>
          <w:sz w:val="24"/>
          <w:szCs w:val="24"/>
          <w:lang w:eastAsia="en-US"/>
        </w:rPr>
      </w:pPr>
      <w:r w:rsidRPr="00B356B9">
        <w:rPr>
          <w:rFonts w:ascii="Times New Roman" w:hAnsi="Times New Roman" w:cs="Times New Roman"/>
          <w:sz w:val="24"/>
          <w:szCs w:val="24"/>
          <w:lang w:eastAsia="en-US"/>
        </w:rPr>
        <w:t xml:space="preserve">The </w:t>
      </w:r>
      <w:r w:rsidR="00B65B1D">
        <w:rPr>
          <w:rFonts w:ascii="Times New Roman" w:hAnsi="Times New Roman" w:cs="Times New Roman"/>
          <w:sz w:val="24"/>
          <w:szCs w:val="24"/>
          <w:lang w:eastAsia="en-US"/>
        </w:rPr>
        <w:t xml:space="preserve">description of </w:t>
      </w:r>
      <w:r w:rsidR="00E50BC1">
        <w:rPr>
          <w:rFonts w:ascii="Times New Roman" w:hAnsi="Times New Roman" w:cs="Times New Roman"/>
          <w:sz w:val="24"/>
          <w:szCs w:val="24"/>
          <w:lang w:eastAsia="en-US"/>
        </w:rPr>
        <w:t xml:space="preserve">provisions </w:t>
      </w:r>
      <w:r w:rsidR="00E64C73">
        <w:rPr>
          <w:rFonts w:ascii="Times New Roman" w:hAnsi="Times New Roman" w:cs="Times New Roman"/>
          <w:sz w:val="24"/>
          <w:szCs w:val="24"/>
          <w:lang w:eastAsia="en-US"/>
        </w:rPr>
        <w:t xml:space="preserve">of </w:t>
      </w:r>
      <w:r w:rsidR="00242ED7">
        <w:rPr>
          <w:rFonts w:ascii="Times New Roman" w:hAnsi="Times New Roman" w:cs="Times New Roman"/>
          <w:sz w:val="24"/>
          <w:szCs w:val="24"/>
          <w:lang w:eastAsia="en-US"/>
        </w:rPr>
        <w:t>C</w:t>
      </w:r>
      <w:r w:rsidRPr="00B356B9">
        <w:rPr>
          <w:rFonts w:ascii="Times New Roman" w:hAnsi="Times New Roman" w:cs="Times New Roman"/>
          <w:sz w:val="24"/>
          <w:szCs w:val="24"/>
          <w:lang w:eastAsia="en-US"/>
        </w:rPr>
        <w:t xml:space="preserve">PS </w:t>
      </w:r>
      <w:r w:rsidR="00242ED7">
        <w:rPr>
          <w:rFonts w:ascii="Times New Roman" w:hAnsi="Times New Roman" w:cs="Times New Roman"/>
          <w:sz w:val="24"/>
          <w:szCs w:val="24"/>
          <w:lang w:eastAsia="en-US"/>
        </w:rPr>
        <w:t>0</w:t>
      </w:r>
      <w:r w:rsidRPr="00B356B9">
        <w:rPr>
          <w:rFonts w:ascii="Times New Roman" w:hAnsi="Times New Roman" w:cs="Times New Roman"/>
          <w:sz w:val="24"/>
          <w:szCs w:val="24"/>
          <w:lang w:eastAsia="en-US"/>
        </w:rPr>
        <w:t>0</w:t>
      </w:r>
      <w:r w:rsidR="00242ED7">
        <w:rPr>
          <w:rFonts w:ascii="Times New Roman" w:hAnsi="Times New Roman" w:cs="Times New Roman"/>
          <w:sz w:val="24"/>
          <w:szCs w:val="24"/>
          <w:lang w:eastAsia="en-US"/>
        </w:rPr>
        <w:t>1</w:t>
      </w:r>
      <w:r w:rsidRPr="00B356B9">
        <w:rPr>
          <w:rFonts w:ascii="Times New Roman" w:hAnsi="Times New Roman" w:cs="Times New Roman"/>
          <w:sz w:val="24"/>
          <w:szCs w:val="24"/>
          <w:lang w:eastAsia="en-US"/>
        </w:rPr>
        <w:t xml:space="preserve"> </w:t>
      </w:r>
      <w:r w:rsidR="00142968">
        <w:rPr>
          <w:rFonts w:ascii="Times New Roman" w:hAnsi="Times New Roman" w:cs="Times New Roman"/>
          <w:sz w:val="24"/>
          <w:szCs w:val="24"/>
          <w:lang w:eastAsia="en-US"/>
        </w:rPr>
        <w:t xml:space="preserve">is </w:t>
      </w:r>
      <w:r w:rsidRPr="00B356B9">
        <w:rPr>
          <w:rFonts w:ascii="Times New Roman" w:hAnsi="Times New Roman" w:cs="Times New Roman"/>
          <w:sz w:val="24"/>
          <w:szCs w:val="24"/>
          <w:lang w:eastAsia="en-US"/>
        </w:rPr>
        <w:t>set out in Attachment A to this Explanatory Statement.</w:t>
      </w:r>
    </w:p>
    <w:p w14:paraId="185D9F5D" w14:textId="5D20C545" w:rsidR="00F7768A" w:rsidRPr="00F7768A" w:rsidRDefault="00F7768A" w:rsidP="00FC44D7">
      <w:pPr>
        <w:pStyle w:val="ListParagraph"/>
        <w:numPr>
          <w:ilvl w:val="0"/>
          <w:numId w:val="10"/>
        </w:numPr>
        <w:spacing w:after="240" w:line="240" w:lineRule="auto"/>
        <w:ind w:left="567" w:hanging="567"/>
        <w:contextualSpacing w:val="0"/>
        <w:jc w:val="both"/>
        <w:rPr>
          <w:rFonts w:ascii="Times New Roman" w:hAnsi="Times New Roman" w:cs="Times New Roman"/>
          <w:b/>
          <w:sz w:val="24"/>
          <w:szCs w:val="24"/>
        </w:rPr>
      </w:pPr>
      <w:r w:rsidRPr="00F7768A">
        <w:rPr>
          <w:rFonts w:ascii="Times New Roman" w:hAnsi="Times New Roman" w:cs="Times New Roman"/>
          <w:b/>
          <w:sz w:val="24"/>
          <w:szCs w:val="24"/>
        </w:rPr>
        <w:t>Consultation</w:t>
      </w:r>
    </w:p>
    <w:p w14:paraId="292B84A8" w14:textId="78078177" w:rsidR="00183B36" w:rsidRDefault="00F7768A" w:rsidP="005231D6">
      <w:pPr>
        <w:spacing w:after="240" w:line="240" w:lineRule="auto"/>
        <w:jc w:val="both"/>
        <w:rPr>
          <w:rFonts w:ascii="Times New Roman" w:hAnsi="Times New Roman" w:cs="Times New Roman"/>
          <w:sz w:val="24"/>
          <w:szCs w:val="24"/>
        </w:rPr>
      </w:pPr>
      <w:r w:rsidRPr="00F7768A">
        <w:rPr>
          <w:rFonts w:ascii="Times New Roman" w:hAnsi="Times New Roman" w:cs="Times New Roman"/>
          <w:sz w:val="24"/>
          <w:szCs w:val="24"/>
        </w:rPr>
        <w:t xml:space="preserve">APRA </w:t>
      </w:r>
      <w:r w:rsidR="00D8288D">
        <w:rPr>
          <w:rFonts w:ascii="Times New Roman" w:hAnsi="Times New Roman" w:cs="Times New Roman"/>
          <w:sz w:val="24"/>
          <w:szCs w:val="24"/>
        </w:rPr>
        <w:t>undertook public consultation</w:t>
      </w:r>
      <w:r w:rsidRPr="00F7768A">
        <w:rPr>
          <w:rFonts w:ascii="Times New Roman" w:hAnsi="Times New Roman" w:cs="Times New Roman"/>
          <w:sz w:val="24"/>
          <w:szCs w:val="24"/>
        </w:rPr>
        <w:t xml:space="preserve"> on </w:t>
      </w:r>
      <w:r w:rsidR="004028C8">
        <w:rPr>
          <w:rFonts w:ascii="Times New Roman" w:hAnsi="Times New Roman" w:cs="Times New Roman"/>
          <w:sz w:val="24"/>
          <w:szCs w:val="24"/>
        </w:rPr>
        <w:t>the draft version of CPS 001</w:t>
      </w:r>
      <w:r w:rsidR="62103300">
        <w:rPr>
          <w:rFonts w:ascii="Times New Roman" w:hAnsi="Times New Roman" w:cs="Times New Roman"/>
          <w:sz w:val="24"/>
          <w:szCs w:val="24"/>
        </w:rPr>
        <w:t xml:space="preserve"> </w:t>
      </w:r>
      <w:r w:rsidR="00D8288D">
        <w:rPr>
          <w:rFonts w:ascii="Times New Roman" w:hAnsi="Times New Roman" w:cs="Times New Roman"/>
          <w:sz w:val="24"/>
          <w:szCs w:val="24"/>
        </w:rPr>
        <w:t>from 27 November 2023 to 8 March 2024.</w:t>
      </w:r>
      <w:r w:rsidR="00D8288D" w:rsidRPr="41DB39EC">
        <w:rPr>
          <w:rStyle w:val="FootnoteReference"/>
          <w:rFonts w:ascii="Times New Roman" w:hAnsi="Times New Roman" w:cs="Times New Roman"/>
        </w:rPr>
        <w:footnoteReference w:id="2"/>
      </w:r>
    </w:p>
    <w:p w14:paraId="3859BE91" w14:textId="6B4755D9" w:rsidR="00B20F13" w:rsidRDefault="00B20F13" w:rsidP="005231D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APRA received three submissions in response to the consultation. </w:t>
      </w:r>
      <w:r w:rsidR="00E41A0F">
        <w:rPr>
          <w:rFonts w:ascii="Times New Roman" w:hAnsi="Times New Roman" w:cs="Times New Roman"/>
          <w:sz w:val="24"/>
          <w:szCs w:val="24"/>
        </w:rPr>
        <w:t xml:space="preserve">Respondents supported consolidation and suggested further </w:t>
      </w:r>
      <w:r w:rsidR="00106D14">
        <w:rPr>
          <w:rFonts w:ascii="Times New Roman" w:hAnsi="Times New Roman" w:cs="Times New Roman"/>
          <w:sz w:val="24"/>
          <w:szCs w:val="24"/>
        </w:rPr>
        <w:t xml:space="preserve">ways the defined terms could be streamlined across APRA’s prudential framework. </w:t>
      </w:r>
      <w:r w:rsidR="00A81601">
        <w:rPr>
          <w:rFonts w:ascii="Times New Roman" w:hAnsi="Times New Roman" w:cs="Times New Roman"/>
          <w:sz w:val="24"/>
          <w:szCs w:val="24"/>
        </w:rPr>
        <w:t>APRA will</w:t>
      </w:r>
      <w:r w:rsidR="00917F85">
        <w:rPr>
          <w:rFonts w:ascii="Times New Roman" w:hAnsi="Times New Roman" w:cs="Times New Roman"/>
          <w:sz w:val="24"/>
          <w:szCs w:val="24"/>
        </w:rPr>
        <w:t xml:space="preserve"> </w:t>
      </w:r>
      <w:r w:rsidR="007A395B">
        <w:rPr>
          <w:rFonts w:ascii="Times New Roman" w:hAnsi="Times New Roman" w:cs="Times New Roman"/>
          <w:sz w:val="24"/>
          <w:szCs w:val="24"/>
        </w:rPr>
        <w:t xml:space="preserve">consider these </w:t>
      </w:r>
      <w:r w:rsidR="0016313B">
        <w:rPr>
          <w:rFonts w:ascii="Times New Roman" w:hAnsi="Times New Roman" w:cs="Times New Roman"/>
          <w:sz w:val="24"/>
          <w:szCs w:val="24"/>
        </w:rPr>
        <w:t xml:space="preserve">improvements </w:t>
      </w:r>
      <w:r w:rsidR="007A395B">
        <w:rPr>
          <w:rFonts w:ascii="Times New Roman" w:hAnsi="Times New Roman" w:cs="Times New Roman"/>
          <w:sz w:val="24"/>
          <w:szCs w:val="24"/>
        </w:rPr>
        <w:t xml:space="preserve">when reviewing </w:t>
      </w:r>
      <w:r w:rsidR="00D65FCE">
        <w:rPr>
          <w:rFonts w:ascii="Times New Roman" w:hAnsi="Times New Roman" w:cs="Times New Roman"/>
          <w:sz w:val="24"/>
          <w:szCs w:val="24"/>
        </w:rPr>
        <w:t xml:space="preserve">the prudential standards </w:t>
      </w:r>
      <w:r w:rsidR="00756CE4">
        <w:rPr>
          <w:rFonts w:ascii="Times New Roman" w:hAnsi="Times New Roman" w:cs="Times New Roman"/>
          <w:sz w:val="24"/>
          <w:szCs w:val="24"/>
        </w:rPr>
        <w:t>in</w:t>
      </w:r>
      <w:r w:rsidR="00D65FCE">
        <w:rPr>
          <w:rFonts w:ascii="Times New Roman" w:hAnsi="Times New Roman" w:cs="Times New Roman"/>
          <w:sz w:val="24"/>
          <w:szCs w:val="24"/>
        </w:rPr>
        <w:t xml:space="preserve"> which these terms apply.</w:t>
      </w:r>
    </w:p>
    <w:p w14:paraId="2652D066" w14:textId="338249B3" w:rsidR="00F7768A" w:rsidRPr="00D3440C" w:rsidRDefault="00183B36" w:rsidP="6BFD02B1">
      <w:pPr>
        <w:pStyle w:val="ListParagraph"/>
        <w:numPr>
          <w:ilvl w:val="0"/>
          <w:numId w:val="10"/>
        </w:numPr>
        <w:spacing w:after="240" w:line="240" w:lineRule="auto"/>
        <w:ind w:left="567" w:hanging="567"/>
        <w:jc w:val="both"/>
        <w:rPr>
          <w:rFonts w:ascii="Times New Roman" w:hAnsi="Times New Roman" w:cs="Times New Roman"/>
          <w:b/>
          <w:bCs/>
          <w:sz w:val="24"/>
          <w:szCs w:val="24"/>
        </w:rPr>
      </w:pPr>
      <w:r w:rsidRPr="6BFD02B1">
        <w:rPr>
          <w:rFonts w:ascii="Times New Roman" w:hAnsi="Times New Roman" w:cs="Times New Roman"/>
          <w:b/>
          <w:bCs/>
          <w:sz w:val="24"/>
          <w:szCs w:val="24"/>
        </w:rPr>
        <w:t>Scope of administrative powers</w:t>
      </w:r>
    </w:p>
    <w:p w14:paraId="784E1B65" w14:textId="55754F86" w:rsidR="00E439DD" w:rsidRPr="00122D8A" w:rsidRDefault="00122D8A" w:rsidP="003F1203">
      <w:pPr>
        <w:spacing w:after="240" w:line="240" w:lineRule="auto"/>
        <w:jc w:val="both"/>
        <w:rPr>
          <w:rFonts w:ascii="Times New Roman" w:hAnsi="Times New Roman" w:cs="Times New Roman"/>
          <w:b/>
          <w:i/>
          <w:sz w:val="24"/>
          <w:szCs w:val="24"/>
        </w:rPr>
      </w:pPr>
      <w:r w:rsidRPr="00122D8A">
        <w:rPr>
          <w:rFonts w:ascii="Times New Roman" w:hAnsi="Times New Roman" w:cs="Times New Roman"/>
          <w:b/>
          <w:i/>
          <w:sz w:val="24"/>
          <w:szCs w:val="24"/>
        </w:rPr>
        <w:t>Exercise of discretion by APRA</w:t>
      </w:r>
    </w:p>
    <w:p w14:paraId="683A577E" w14:textId="3BD443C2" w:rsidR="00D52566" w:rsidRDefault="00D52566" w:rsidP="003F1203">
      <w:pPr>
        <w:spacing w:after="240" w:line="240" w:lineRule="auto"/>
        <w:jc w:val="both"/>
        <w:rPr>
          <w:rFonts w:ascii="Times New Roman" w:hAnsi="Times New Roman" w:cs="Times New Roman"/>
          <w:sz w:val="24"/>
          <w:szCs w:val="24"/>
        </w:rPr>
      </w:pPr>
      <w:r w:rsidRPr="41DB39EC">
        <w:rPr>
          <w:rFonts w:ascii="Times New Roman" w:hAnsi="Times New Roman" w:cs="Times New Roman"/>
          <w:sz w:val="24"/>
          <w:szCs w:val="24"/>
        </w:rPr>
        <w:t>CPS 0</w:t>
      </w:r>
      <w:r w:rsidR="00183B36" w:rsidRPr="41DB39EC">
        <w:rPr>
          <w:rFonts w:ascii="Times New Roman" w:hAnsi="Times New Roman" w:cs="Times New Roman"/>
          <w:sz w:val="24"/>
          <w:szCs w:val="24"/>
        </w:rPr>
        <w:t>01</w:t>
      </w:r>
      <w:r w:rsidRPr="41DB39EC">
        <w:rPr>
          <w:rFonts w:ascii="Times New Roman" w:hAnsi="Times New Roman" w:cs="Times New Roman"/>
          <w:sz w:val="24"/>
          <w:szCs w:val="24"/>
        </w:rPr>
        <w:t xml:space="preserve"> provides for APRA to exercise various discretions. Decisions made by APRA in exercising those discretions are not subject to merits review. This is because these decisions are preliminary decisions that may facilitate or lead to substantive decisions which are subject to merits review.</w:t>
      </w:r>
    </w:p>
    <w:p w14:paraId="213B7689" w14:textId="40485E3D" w:rsidR="00D52566" w:rsidRDefault="00D52566" w:rsidP="003F120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w:t>
      </w:r>
      <w:r w:rsidRPr="0060201E">
        <w:rPr>
          <w:rFonts w:ascii="Times New Roman" w:hAnsi="Times New Roman" w:cs="Times New Roman"/>
          <w:i/>
          <w:sz w:val="24"/>
          <w:szCs w:val="24"/>
        </w:rPr>
        <w:t>Banking Act</w:t>
      </w:r>
      <w:r w:rsidR="00B44296" w:rsidRPr="0060201E">
        <w:rPr>
          <w:rFonts w:ascii="Times New Roman" w:hAnsi="Times New Roman" w:cs="Times New Roman"/>
          <w:i/>
          <w:sz w:val="24"/>
          <w:szCs w:val="24"/>
        </w:rPr>
        <w:t xml:space="preserve"> 1959</w:t>
      </w:r>
      <w:r>
        <w:rPr>
          <w:rFonts w:ascii="Times New Roman" w:hAnsi="Times New Roman" w:cs="Times New Roman"/>
          <w:sz w:val="24"/>
          <w:szCs w:val="24"/>
        </w:rPr>
        <w:t xml:space="preserve">, </w:t>
      </w:r>
      <w:r w:rsidRPr="0060201E">
        <w:rPr>
          <w:rFonts w:ascii="Times New Roman" w:hAnsi="Times New Roman" w:cs="Times New Roman"/>
          <w:i/>
          <w:sz w:val="24"/>
          <w:szCs w:val="24"/>
        </w:rPr>
        <w:t>Insurance Act</w:t>
      </w:r>
      <w:r w:rsidR="00B44296" w:rsidRPr="0060201E">
        <w:rPr>
          <w:rFonts w:ascii="Times New Roman" w:hAnsi="Times New Roman" w:cs="Times New Roman"/>
          <w:i/>
          <w:sz w:val="24"/>
          <w:szCs w:val="24"/>
        </w:rPr>
        <w:t xml:space="preserve"> 1973</w:t>
      </w:r>
      <w:r>
        <w:rPr>
          <w:rFonts w:ascii="Times New Roman" w:hAnsi="Times New Roman" w:cs="Times New Roman"/>
          <w:sz w:val="24"/>
          <w:szCs w:val="24"/>
        </w:rPr>
        <w:t xml:space="preserve">, </w:t>
      </w:r>
      <w:r w:rsidRPr="0060201E">
        <w:rPr>
          <w:rFonts w:ascii="Times New Roman" w:hAnsi="Times New Roman" w:cs="Times New Roman"/>
          <w:i/>
          <w:sz w:val="24"/>
          <w:szCs w:val="24"/>
        </w:rPr>
        <w:t>Life Insurance Act</w:t>
      </w:r>
      <w:r w:rsidR="00B44296" w:rsidRPr="0060201E">
        <w:rPr>
          <w:rFonts w:ascii="Times New Roman" w:hAnsi="Times New Roman" w:cs="Times New Roman"/>
          <w:i/>
          <w:sz w:val="24"/>
          <w:szCs w:val="24"/>
        </w:rPr>
        <w:t xml:space="preserve"> 1995</w:t>
      </w:r>
      <w:r>
        <w:rPr>
          <w:rFonts w:ascii="Times New Roman" w:hAnsi="Times New Roman" w:cs="Times New Roman"/>
          <w:sz w:val="24"/>
          <w:szCs w:val="24"/>
        </w:rPr>
        <w:t xml:space="preserve"> and </w:t>
      </w:r>
      <w:r w:rsidRPr="0060201E">
        <w:rPr>
          <w:rFonts w:ascii="Times New Roman" w:hAnsi="Times New Roman" w:cs="Times New Roman"/>
          <w:i/>
          <w:sz w:val="24"/>
          <w:szCs w:val="24"/>
        </w:rPr>
        <w:t>P</w:t>
      </w:r>
      <w:r w:rsidR="00B458B8" w:rsidRPr="0060201E">
        <w:rPr>
          <w:rFonts w:ascii="Times New Roman" w:hAnsi="Times New Roman" w:cs="Times New Roman"/>
          <w:i/>
          <w:sz w:val="24"/>
          <w:szCs w:val="24"/>
        </w:rPr>
        <w:t xml:space="preserve">rivate </w:t>
      </w:r>
      <w:r w:rsidRPr="0060201E">
        <w:rPr>
          <w:rFonts w:ascii="Times New Roman" w:hAnsi="Times New Roman" w:cs="Times New Roman"/>
          <w:i/>
          <w:sz w:val="24"/>
          <w:szCs w:val="24"/>
        </w:rPr>
        <w:t>H</w:t>
      </w:r>
      <w:r w:rsidR="00B458B8" w:rsidRPr="0060201E">
        <w:rPr>
          <w:rFonts w:ascii="Times New Roman" w:hAnsi="Times New Roman" w:cs="Times New Roman"/>
          <w:i/>
          <w:sz w:val="24"/>
          <w:szCs w:val="24"/>
        </w:rPr>
        <w:t xml:space="preserve">ealth </w:t>
      </w:r>
      <w:r w:rsidRPr="0060201E">
        <w:rPr>
          <w:rFonts w:ascii="Times New Roman" w:hAnsi="Times New Roman" w:cs="Times New Roman"/>
          <w:i/>
          <w:sz w:val="24"/>
          <w:szCs w:val="24"/>
        </w:rPr>
        <w:t>I</w:t>
      </w:r>
      <w:r w:rsidR="00B458B8" w:rsidRPr="0060201E">
        <w:rPr>
          <w:rFonts w:ascii="Times New Roman" w:hAnsi="Times New Roman" w:cs="Times New Roman"/>
          <w:i/>
          <w:sz w:val="24"/>
          <w:szCs w:val="24"/>
        </w:rPr>
        <w:t>nsurance (</w:t>
      </w:r>
      <w:r w:rsidRPr="0060201E">
        <w:rPr>
          <w:rFonts w:ascii="Times New Roman" w:hAnsi="Times New Roman" w:cs="Times New Roman"/>
          <w:i/>
          <w:sz w:val="24"/>
          <w:szCs w:val="24"/>
        </w:rPr>
        <w:t>P</w:t>
      </w:r>
      <w:r w:rsidR="00B458B8" w:rsidRPr="0060201E">
        <w:rPr>
          <w:rFonts w:ascii="Times New Roman" w:hAnsi="Times New Roman" w:cs="Times New Roman"/>
          <w:i/>
          <w:sz w:val="24"/>
          <w:szCs w:val="24"/>
        </w:rPr>
        <w:t xml:space="preserve">rudential </w:t>
      </w:r>
      <w:r w:rsidRPr="0060201E">
        <w:rPr>
          <w:rFonts w:ascii="Times New Roman" w:hAnsi="Times New Roman" w:cs="Times New Roman"/>
          <w:i/>
          <w:sz w:val="24"/>
          <w:szCs w:val="24"/>
        </w:rPr>
        <w:t>S</w:t>
      </w:r>
      <w:r w:rsidR="00B458B8" w:rsidRPr="0060201E">
        <w:rPr>
          <w:rFonts w:ascii="Times New Roman" w:hAnsi="Times New Roman" w:cs="Times New Roman"/>
          <w:i/>
          <w:sz w:val="24"/>
          <w:szCs w:val="24"/>
        </w:rPr>
        <w:t>upervision)</w:t>
      </w:r>
      <w:r w:rsidRPr="0060201E">
        <w:rPr>
          <w:rFonts w:ascii="Times New Roman" w:hAnsi="Times New Roman" w:cs="Times New Roman"/>
          <w:i/>
          <w:sz w:val="24"/>
          <w:szCs w:val="24"/>
        </w:rPr>
        <w:t xml:space="preserve"> Act</w:t>
      </w:r>
      <w:r w:rsidR="0060201E" w:rsidRPr="0060201E">
        <w:rPr>
          <w:rFonts w:ascii="Times New Roman" w:hAnsi="Times New Roman" w:cs="Times New Roman"/>
          <w:i/>
          <w:sz w:val="24"/>
          <w:szCs w:val="24"/>
        </w:rPr>
        <w:t xml:space="preserve"> 2015</w:t>
      </w:r>
      <w:r>
        <w:rPr>
          <w:rFonts w:ascii="Times New Roman" w:hAnsi="Times New Roman" w:cs="Times New Roman"/>
          <w:sz w:val="24"/>
          <w:szCs w:val="24"/>
        </w:rPr>
        <w:t xml:space="preserve">, a breach of a prudential standard is a breach of the enabling legislation, as each enabling Act provides that regulated entities must comply with the standard. However, there are no penalties prescribed for breach of the prudential standards under any of these Acts. </w:t>
      </w:r>
      <w:r w:rsidR="00EF58C0">
        <w:rPr>
          <w:rFonts w:ascii="Times New Roman" w:hAnsi="Times New Roman" w:cs="Times New Roman"/>
          <w:sz w:val="24"/>
          <w:szCs w:val="24"/>
        </w:rPr>
        <w:t>Instead,</w:t>
      </w:r>
      <w:r>
        <w:rPr>
          <w:rFonts w:ascii="Times New Roman" w:hAnsi="Times New Roman" w:cs="Times New Roman"/>
          <w:sz w:val="24"/>
          <w:szCs w:val="24"/>
        </w:rPr>
        <w:t xml:space="preserve"> an entity’s breach of the enabling legislation is grounds for APRA to make further, substantive decisions under the relevant enabling legislation in relation to the entity. Those decisions may include the decision:</w:t>
      </w:r>
    </w:p>
    <w:p w14:paraId="013F1F9E" w14:textId="337BBA3D" w:rsidR="00D52566" w:rsidRDefault="00D52566" w:rsidP="00FC44D7">
      <w:pPr>
        <w:pStyle w:val="ListParagraph"/>
        <w:numPr>
          <w:ilvl w:val="0"/>
          <w:numId w:val="13"/>
        </w:numPr>
        <w:spacing w:after="24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to issue a direction to the regulated entity, including: a direction to comply with the whole or part of a prudential standard (section 11CA of the Banking Act, s</w:t>
      </w:r>
      <w:r w:rsidR="00D36FA8">
        <w:rPr>
          <w:rFonts w:ascii="Times New Roman" w:hAnsi="Times New Roman" w:cs="Times New Roman"/>
          <w:sz w:val="24"/>
          <w:szCs w:val="24"/>
        </w:rPr>
        <w:t>ection</w:t>
      </w:r>
      <w:r>
        <w:rPr>
          <w:rFonts w:ascii="Times New Roman" w:hAnsi="Times New Roman" w:cs="Times New Roman"/>
          <w:sz w:val="24"/>
          <w:szCs w:val="24"/>
        </w:rPr>
        <w:t>104 of the Insurance Act, section 230B of the Life Insurance Act); and a direction to comply with all, or specified obligations, which includes prudential standards (section 96 of the PHIPS Act); or</w:t>
      </w:r>
    </w:p>
    <w:p w14:paraId="6DACAC90" w14:textId="26FC288A" w:rsidR="00D52566" w:rsidRDefault="00D52566" w:rsidP="00FC44D7">
      <w:pPr>
        <w:pStyle w:val="ListParagraph"/>
        <w:numPr>
          <w:ilvl w:val="0"/>
          <w:numId w:val="13"/>
        </w:numPr>
        <w:spacing w:after="24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to revoke: an authority to carry on banking business (section 9A of the Banking Act); a banking NOHC authorisation (section 11AB of the Banking Act); an authority to carry on insurance business (section 15 of the Insurance Act); an insurance NOHC authorisation (section 21 of the Insurance Act); registration of life insurance business (section 26 of the Life Insurance Act); a life NOHC authorisation (section 28C of the Life Insurance Act)</w:t>
      </w:r>
      <w:r w:rsidR="00DA75B7">
        <w:rPr>
          <w:rFonts w:ascii="Times New Roman" w:hAnsi="Times New Roman" w:cs="Times New Roman"/>
          <w:sz w:val="24"/>
          <w:szCs w:val="24"/>
        </w:rPr>
        <w:t>.</w:t>
      </w:r>
    </w:p>
    <w:p w14:paraId="14650B0D" w14:textId="18F15FFF" w:rsidR="00D52566" w:rsidRDefault="00D52566" w:rsidP="007B47E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only at this stage that an entity is exposed to a penalty, loss of licence or imposition of a penalty if it breaches the direction (50 penalty units each day under section 11CG of the Banking Act, section 108 of the Insurance Act, and section 230F of the Life Insurance Act; </w:t>
      </w:r>
      <w:r w:rsidR="0084354F">
        <w:rPr>
          <w:rFonts w:ascii="Times New Roman" w:hAnsi="Times New Roman" w:cs="Times New Roman"/>
          <w:sz w:val="24"/>
          <w:szCs w:val="24"/>
        </w:rPr>
        <w:t xml:space="preserve">and </w:t>
      </w:r>
      <w:r>
        <w:rPr>
          <w:rFonts w:ascii="Times New Roman" w:hAnsi="Times New Roman" w:cs="Times New Roman"/>
          <w:sz w:val="24"/>
          <w:szCs w:val="24"/>
        </w:rPr>
        <w:t>30 penalty units each day under section 104 of the PHIPS Act). In nearly all cases,</w:t>
      </w:r>
      <w:r>
        <w:rPr>
          <w:rStyle w:val="FootnoteReference"/>
          <w:rFonts w:ascii="Times New Roman" w:hAnsi="Times New Roman" w:cs="Times New Roman"/>
          <w:szCs w:val="24"/>
        </w:rPr>
        <w:footnoteReference w:id="3"/>
      </w:r>
      <w:r>
        <w:rPr>
          <w:rFonts w:ascii="Times New Roman" w:hAnsi="Times New Roman" w:cs="Times New Roman"/>
          <w:sz w:val="24"/>
          <w:szCs w:val="24"/>
        </w:rPr>
        <w:t xml:space="preserve"> the decisions are preceded by a full consultation with the regulated entity to raise any concerns they may have in relation to the decision.</w:t>
      </w:r>
    </w:p>
    <w:p w14:paraId="03659E9C" w14:textId="6E274BBC" w:rsidR="00D52566" w:rsidRDefault="00D52566" w:rsidP="007B47E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decisions of APRA to impose a direction are subject to merits review (section 11CA of the Banking Act, section 104 of the Insurance Act, section 236 of the Life Insurance Act</w:t>
      </w:r>
      <w:r w:rsidR="00FE7CFC">
        <w:rPr>
          <w:rFonts w:ascii="Times New Roman" w:hAnsi="Times New Roman" w:cs="Times New Roman"/>
          <w:sz w:val="24"/>
          <w:szCs w:val="24"/>
        </w:rPr>
        <w:t xml:space="preserve"> and </w:t>
      </w:r>
      <w:r>
        <w:rPr>
          <w:rFonts w:ascii="Times New Roman" w:hAnsi="Times New Roman" w:cs="Times New Roman"/>
          <w:sz w:val="24"/>
          <w:szCs w:val="24"/>
        </w:rPr>
        <w:t>section 168 of the PHIPS Act), which is appropriately available at the point where an entity could be exposed to a penalty.</w:t>
      </w:r>
    </w:p>
    <w:p w14:paraId="6C827294" w14:textId="6D07B31A" w:rsidR="00D52566" w:rsidRDefault="00D52566" w:rsidP="007B47E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All decisions to revoke authorisations/registrations under the Banking Act, Insurance Act</w:t>
      </w:r>
      <w:r w:rsidR="3A417A04" w:rsidRPr="2B29FC10">
        <w:rPr>
          <w:rFonts w:ascii="Times New Roman" w:hAnsi="Times New Roman" w:cs="Times New Roman"/>
          <w:sz w:val="24"/>
          <w:szCs w:val="24"/>
        </w:rPr>
        <w:t xml:space="preserve">, </w:t>
      </w:r>
      <w:r>
        <w:rPr>
          <w:rFonts w:ascii="Times New Roman" w:hAnsi="Times New Roman" w:cs="Times New Roman"/>
          <w:sz w:val="24"/>
          <w:szCs w:val="24"/>
        </w:rPr>
        <w:t>Life Insurance Act are subject to merits review, unless specifically excluded by the enabling legislation.</w:t>
      </w:r>
    </w:p>
    <w:p w14:paraId="63728289" w14:textId="77777777" w:rsidR="00D52566" w:rsidRDefault="00D52566" w:rsidP="007B47E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Revocation of an authorisation to carry on banking business or a banking NOHC authorisation is subject to merits review unless either:</w:t>
      </w:r>
    </w:p>
    <w:p w14:paraId="3B06BBD4" w14:textId="77777777" w:rsidR="00D52566" w:rsidRDefault="00D52566" w:rsidP="00FC44D7">
      <w:pPr>
        <w:pStyle w:val="ListParagraph"/>
        <w:numPr>
          <w:ilvl w:val="0"/>
          <w:numId w:val="16"/>
        </w:numPr>
        <w:spacing w:after="24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APRA has determined that access to natural justice and merits review is contrary to the national interest or contrary to the interests of depositors with the body corporate; or</w:t>
      </w:r>
    </w:p>
    <w:p w14:paraId="0C6089BD" w14:textId="37962CFB" w:rsidR="00D52566" w:rsidRDefault="00D52566" w:rsidP="00FC44D7">
      <w:pPr>
        <w:pStyle w:val="ListParagraph"/>
        <w:numPr>
          <w:ilvl w:val="0"/>
          <w:numId w:val="16"/>
        </w:numPr>
        <w:spacing w:after="24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(in the case of ADIs only) the authority is an authority that is to cease to have effect on a day specified in the authority (</w:t>
      </w:r>
      <w:r w:rsidR="00566793">
        <w:rPr>
          <w:rFonts w:ascii="Times New Roman" w:hAnsi="Times New Roman" w:cs="Times New Roman"/>
          <w:sz w:val="24"/>
          <w:szCs w:val="24"/>
        </w:rPr>
        <w:t>sub</w:t>
      </w:r>
      <w:r>
        <w:rPr>
          <w:rFonts w:ascii="Times New Roman" w:hAnsi="Times New Roman" w:cs="Times New Roman"/>
          <w:sz w:val="24"/>
          <w:szCs w:val="24"/>
        </w:rPr>
        <w:t>section 9</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8) of the Banking Act).</w:t>
      </w:r>
    </w:p>
    <w:p w14:paraId="6E90C357" w14:textId="33C778FD" w:rsidR="00D52566" w:rsidRDefault="00D52566" w:rsidP="00F0014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Revocation of an authorisation to carry on insurance business or an insurance NOHC authorisation is subject to merits review (</w:t>
      </w:r>
      <w:r w:rsidR="007B47E1">
        <w:rPr>
          <w:rFonts w:ascii="Times New Roman" w:hAnsi="Times New Roman" w:cs="Times New Roman"/>
          <w:sz w:val="24"/>
          <w:szCs w:val="24"/>
        </w:rPr>
        <w:t>sections</w:t>
      </w:r>
      <w:r>
        <w:rPr>
          <w:rFonts w:ascii="Times New Roman" w:hAnsi="Times New Roman" w:cs="Times New Roman"/>
          <w:sz w:val="24"/>
          <w:szCs w:val="24"/>
        </w:rPr>
        <w:t xml:space="preserve"> 15 and 21 of the Insurance Act).</w:t>
      </w:r>
    </w:p>
    <w:p w14:paraId="42A2DCD6" w14:textId="5BA46DA0" w:rsidR="00D52566" w:rsidRDefault="00D52566" w:rsidP="00F0014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Revocation of registration as a life insurance company or a life NOHC authorisation is subject to merits review (section 236 of the Life Insurance Act). The situation in relation to cancellation of registration under the PHIPS Act is different to the other enabling legislation.</w:t>
      </w:r>
    </w:p>
    <w:p w14:paraId="233080FC" w14:textId="609FF2D1" w:rsidR="00CB6890" w:rsidRPr="004B5A1D" w:rsidRDefault="00936D3D" w:rsidP="002D7B6B">
      <w:pPr>
        <w:pStyle w:val="ListParagraph"/>
        <w:keepNext/>
        <w:numPr>
          <w:ilvl w:val="0"/>
          <w:numId w:val="10"/>
        </w:numPr>
        <w:spacing w:after="240" w:line="240" w:lineRule="auto"/>
        <w:ind w:left="567" w:hanging="567"/>
        <w:jc w:val="both"/>
        <w:rPr>
          <w:rFonts w:ascii="Times New Roman" w:hAnsi="Times New Roman" w:cs="Times New Roman"/>
          <w:b/>
          <w:bCs/>
          <w:i/>
          <w:iCs/>
          <w:sz w:val="24"/>
          <w:szCs w:val="24"/>
        </w:rPr>
      </w:pPr>
      <w:r w:rsidRPr="6BFD02B1">
        <w:rPr>
          <w:rFonts w:ascii="Times New Roman" w:hAnsi="Times New Roman" w:cs="Times New Roman"/>
          <w:b/>
          <w:bCs/>
          <w:i/>
          <w:iCs/>
          <w:sz w:val="24"/>
          <w:szCs w:val="24"/>
        </w:rPr>
        <w:lastRenderedPageBreak/>
        <w:t>Documents i</w:t>
      </w:r>
      <w:r w:rsidR="007A31E8" w:rsidRPr="6BFD02B1">
        <w:rPr>
          <w:rFonts w:ascii="Times New Roman" w:hAnsi="Times New Roman" w:cs="Times New Roman"/>
          <w:b/>
          <w:bCs/>
          <w:i/>
          <w:iCs/>
          <w:sz w:val="24"/>
          <w:szCs w:val="24"/>
        </w:rPr>
        <w:t>ncorporat</w:t>
      </w:r>
      <w:r w:rsidR="004B5A1D" w:rsidRPr="6BFD02B1">
        <w:rPr>
          <w:rFonts w:ascii="Times New Roman" w:hAnsi="Times New Roman" w:cs="Times New Roman"/>
          <w:b/>
          <w:bCs/>
          <w:i/>
          <w:iCs/>
          <w:sz w:val="24"/>
          <w:szCs w:val="24"/>
        </w:rPr>
        <w:t>ed</w:t>
      </w:r>
      <w:r w:rsidR="007A31E8" w:rsidRPr="6BFD02B1">
        <w:rPr>
          <w:rFonts w:ascii="Times New Roman" w:hAnsi="Times New Roman" w:cs="Times New Roman"/>
          <w:b/>
          <w:bCs/>
          <w:i/>
          <w:iCs/>
          <w:sz w:val="24"/>
          <w:szCs w:val="24"/>
        </w:rPr>
        <w:t xml:space="preserve"> by reference</w:t>
      </w:r>
    </w:p>
    <w:p w14:paraId="34EDEAE9" w14:textId="1CE01F98" w:rsidR="00B0208A" w:rsidRPr="007B74A4" w:rsidRDefault="00B0208A" w:rsidP="002D7B6B">
      <w:pPr>
        <w:pStyle w:val="paragraph"/>
        <w:keepNext/>
        <w:spacing w:before="0" w:beforeAutospacing="0" w:after="240" w:afterAutospacing="0"/>
        <w:jc w:val="both"/>
        <w:textAlignment w:val="baseline"/>
        <w:rPr>
          <w:rFonts w:ascii="Times New Roman" w:hAnsi="Times New Roman" w:cs="Times New Roman"/>
          <w:color w:val="000000"/>
          <w:sz w:val="28"/>
          <w:szCs w:val="28"/>
        </w:rPr>
      </w:pPr>
      <w:r w:rsidRPr="007B74A4">
        <w:rPr>
          <w:rStyle w:val="normaltextrun"/>
          <w:rFonts w:ascii="Times New Roman" w:hAnsi="Times New Roman" w:cs="Times New Roman"/>
          <w:color w:val="000000"/>
          <w:sz w:val="24"/>
          <w:szCs w:val="28"/>
        </w:rPr>
        <w:t xml:space="preserve">Under section 14(1)(a) of the </w:t>
      </w:r>
      <w:r w:rsidRPr="007B74A4">
        <w:rPr>
          <w:rStyle w:val="normaltextrun"/>
          <w:rFonts w:ascii="Times New Roman" w:hAnsi="Times New Roman" w:cs="Times New Roman"/>
          <w:i/>
          <w:iCs/>
          <w:color w:val="000000"/>
          <w:sz w:val="24"/>
          <w:szCs w:val="28"/>
        </w:rPr>
        <w:t>Legislation Act 2003</w:t>
      </w:r>
      <w:r w:rsidRPr="007B74A4">
        <w:rPr>
          <w:rStyle w:val="normaltextrun"/>
          <w:rFonts w:ascii="Times New Roman" w:hAnsi="Times New Roman" w:cs="Times New Roman"/>
          <w:color w:val="000000"/>
          <w:sz w:val="24"/>
          <w:szCs w:val="28"/>
        </w:rPr>
        <w:t>, the standard incorporates by reference as in force from time to time:</w:t>
      </w:r>
    </w:p>
    <w:p w14:paraId="2659BA0C" w14:textId="5BE3FD70" w:rsidR="00B0208A" w:rsidRPr="00FC44D7" w:rsidRDefault="00B0208A" w:rsidP="00535408">
      <w:pPr>
        <w:pStyle w:val="ListBullet"/>
        <w:spacing w:after="240" w:line="240" w:lineRule="auto"/>
        <w:ind w:left="714" w:hanging="357"/>
        <w:contextualSpacing/>
        <w:rPr>
          <w:rFonts w:ascii="Times New Roman" w:hAnsi="Times New Roman" w:cs="Times New Roman"/>
          <w:sz w:val="24"/>
          <w:szCs w:val="24"/>
          <w:lang w:eastAsia="en-US"/>
        </w:rPr>
      </w:pPr>
      <w:r w:rsidRPr="00FC44D7">
        <w:rPr>
          <w:rFonts w:ascii="Times New Roman" w:hAnsi="Times New Roman" w:cs="Times New Roman"/>
          <w:sz w:val="24"/>
          <w:szCs w:val="24"/>
          <w:lang w:eastAsia="en-US"/>
        </w:rPr>
        <w:t xml:space="preserve">Acts of Parliament and associated delegated </w:t>
      </w:r>
      <w:proofErr w:type="gramStart"/>
      <w:r w:rsidRPr="00FC44D7">
        <w:rPr>
          <w:rFonts w:ascii="Times New Roman" w:hAnsi="Times New Roman" w:cs="Times New Roman"/>
          <w:sz w:val="24"/>
          <w:szCs w:val="24"/>
          <w:lang w:eastAsia="en-US"/>
        </w:rPr>
        <w:t>laws;</w:t>
      </w:r>
      <w:proofErr w:type="gramEnd"/>
    </w:p>
    <w:p w14:paraId="5B432A2F" w14:textId="6ACD6C50" w:rsidR="00B0208A" w:rsidRPr="00FC44D7" w:rsidRDefault="00B0208A" w:rsidP="00535408">
      <w:pPr>
        <w:pStyle w:val="ListBullet"/>
        <w:spacing w:after="0" w:line="240" w:lineRule="auto"/>
        <w:ind w:left="714" w:hanging="357"/>
        <w:contextualSpacing/>
        <w:rPr>
          <w:rFonts w:ascii="Times New Roman" w:hAnsi="Times New Roman" w:cs="Times New Roman"/>
          <w:sz w:val="24"/>
          <w:szCs w:val="24"/>
          <w:lang w:eastAsia="en-US"/>
        </w:rPr>
      </w:pPr>
      <w:r w:rsidRPr="00FC44D7">
        <w:rPr>
          <w:rFonts w:ascii="Times New Roman" w:hAnsi="Times New Roman" w:cs="Times New Roman"/>
          <w:sz w:val="24"/>
          <w:szCs w:val="24"/>
          <w:lang w:eastAsia="en-US"/>
        </w:rPr>
        <w:t>Prudential Standards determined by APRA under:</w:t>
      </w:r>
    </w:p>
    <w:p w14:paraId="3AB64662" w14:textId="73753EAD" w:rsidR="00B0208A" w:rsidRPr="007B74A4" w:rsidRDefault="00B0208A" w:rsidP="00535408">
      <w:pPr>
        <w:pStyle w:val="paragraph"/>
        <w:numPr>
          <w:ilvl w:val="2"/>
          <w:numId w:val="12"/>
        </w:numPr>
        <w:tabs>
          <w:tab w:val="clear" w:pos="1440"/>
          <w:tab w:val="num" w:pos="300"/>
        </w:tabs>
        <w:spacing w:before="0" w:beforeAutospacing="0" w:after="240" w:afterAutospacing="0"/>
        <w:ind w:left="1701" w:hanging="567"/>
        <w:contextualSpacing/>
        <w:jc w:val="both"/>
        <w:textAlignment w:val="baseline"/>
        <w:rPr>
          <w:rStyle w:val="normaltextrun"/>
          <w:sz w:val="24"/>
          <w:szCs w:val="24"/>
        </w:rPr>
      </w:pPr>
      <w:r w:rsidRPr="007B74A4">
        <w:rPr>
          <w:rStyle w:val="normaltextrun"/>
          <w:rFonts w:ascii="Times New Roman" w:hAnsi="Times New Roman" w:cs="Times New Roman"/>
          <w:color w:val="000000"/>
          <w:sz w:val="24"/>
          <w:szCs w:val="28"/>
        </w:rPr>
        <w:t>subsection 11</w:t>
      </w:r>
      <w:proofErr w:type="gramStart"/>
      <w:r w:rsidRPr="007B74A4">
        <w:rPr>
          <w:rStyle w:val="normaltextrun"/>
          <w:rFonts w:ascii="Times New Roman" w:hAnsi="Times New Roman" w:cs="Times New Roman"/>
          <w:color w:val="000000"/>
          <w:sz w:val="24"/>
          <w:szCs w:val="28"/>
        </w:rPr>
        <w:t>AF(</w:t>
      </w:r>
      <w:proofErr w:type="gramEnd"/>
      <w:r w:rsidRPr="007B74A4">
        <w:rPr>
          <w:rStyle w:val="normaltextrun"/>
          <w:rFonts w:ascii="Times New Roman" w:hAnsi="Times New Roman" w:cs="Times New Roman"/>
          <w:color w:val="000000"/>
          <w:sz w:val="24"/>
          <w:szCs w:val="28"/>
        </w:rPr>
        <w:t>1) of the Banking Act;</w:t>
      </w:r>
    </w:p>
    <w:p w14:paraId="7DB6FA5C" w14:textId="73F26B2E" w:rsidR="00B0208A" w:rsidRPr="007B74A4" w:rsidRDefault="00B0208A" w:rsidP="00535408">
      <w:pPr>
        <w:pStyle w:val="paragraph"/>
        <w:numPr>
          <w:ilvl w:val="2"/>
          <w:numId w:val="12"/>
        </w:numPr>
        <w:tabs>
          <w:tab w:val="clear" w:pos="1440"/>
          <w:tab w:val="num" w:pos="300"/>
        </w:tabs>
        <w:spacing w:before="0" w:beforeAutospacing="0" w:after="240" w:afterAutospacing="0"/>
        <w:ind w:left="1701" w:hanging="567"/>
        <w:contextualSpacing/>
        <w:jc w:val="both"/>
        <w:textAlignment w:val="baseline"/>
        <w:rPr>
          <w:rStyle w:val="normaltextrun"/>
          <w:sz w:val="24"/>
          <w:szCs w:val="24"/>
        </w:rPr>
      </w:pPr>
      <w:r w:rsidRPr="007B74A4">
        <w:rPr>
          <w:rStyle w:val="normaltextrun"/>
          <w:rFonts w:ascii="Times New Roman" w:hAnsi="Times New Roman" w:cs="Times New Roman"/>
          <w:color w:val="000000"/>
          <w:sz w:val="24"/>
          <w:szCs w:val="28"/>
        </w:rPr>
        <w:t xml:space="preserve">subsection 32(1) of the Insurance </w:t>
      </w:r>
      <w:proofErr w:type="gramStart"/>
      <w:r w:rsidRPr="007B74A4">
        <w:rPr>
          <w:rStyle w:val="normaltextrun"/>
          <w:rFonts w:ascii="Times New Roman" w:hAnsi="Times New Roman" w:cs="Times New Roman"/>
          <w:color w:val="000000"/>
          <w:sz w:val="24"/>
          <w:szCs w:val="28"/>
        </w:rPr>
        <w:t>Act;</w:t>
      </w:r>
      <w:proofErr w:type="gramEnd"/>
    </w:p>
    <w:p w14:paraId="6FAF96AD" w14:textId="3606B920" w:rsidR="00B0208A" w:rsidRPr="007B74A4" w:rsidRDefault="00B0208A" w:rsidP="00535408">
      <w:pPr>
        <w:pStyle w:val="paragraph"/>
        <w:numPr>
          <w:ilvl w:val="2"/>
          <w:numId w:val="12"/>
        </w:numPr>
        <w:tabs>
          <w:tab w:val="clear" w:pos="1440"/>
          <w:tab w:val="num" w:pos="300"/>
        </w:tabs>
        <w:spacing w:before="0" w:beforeAutospacing="0" w:after="240" w:afterAutospacing="0"/>
        <w:ind w:left="1701" w:hanging="567"/>
        <w:contextualSpacing/>
        <w:jc w:val="both"/>
        <w:textAlignment w:val="baseline"/>
        <w:rPr>
          <w:rStyle w:val="normaltextrun"/>
          <w:sz w:val="24"/>
          <w:szCs w:val="24"/>
        </w:rPr>
      </w:pPr>
      <w:r w:rsidRPr="007B74A4">
        <w:rPr>
          <w:rStyle w:val="normaltextrun"/>
          <w:rFonts w:ascii="Times New Roman" w:hAnsi="Times New Roman" w:cs="Times New Roman"/>
          <w:color w:val="000000"/>
          <w:sz w:val="24"/>
          <w:szCs w:val="28"/>
        </w:rPr>
        <w:t>subsection 230</w:t>
      </w:r>
      <w:proofErr w:type="gramStart"/>
      <w:r w:rsidRPr="007B74A4">
        <w:rPr>
          <w:rStyle w:val="normaltextrun"/>
          <w:rFonts w:ascii="Times New Roman" w:hAnsi="Times New Roman" w:cs="Times New Roman"/>
          <w:color w:val="000000"/>
          <w:sz w:val="24"/>
          <w:szCs w:val="28"/>
        </w:rPr>
        <w:t>A(</w:t>
      </w:r>
      <w:proofErr w:type="gramEnd"/>
      <w:r w:rsidRPr="007B74A4">
        <w:rPr>
          <w:rStyle w:val="normaltextrun"/>
          <w:rFonts w:ascii="Times New Roman" w:hAnsi="Times New Roman" w:cs="Times New Roman"/>
          <w:color w:val="000000"/>
          <w:sz w:val="24"/>
          <w:szCs w:val="28"/>
        </w:rPr>
        <w:t>1) of the Life Insurance Act; and</w:t>
      </w:r>
    </w:p>
    <w:p w14:paraId="3E346368" w14:textId="49FDFD2D" w:rsidR="00B0208A" w:rsidRPr="00D3440C" w:rsidRDefault="00B0208A" w:rsidP="00535408">
      <w:pPr>
        <w:pStyle w:val="paragraph"/>
        <w:numPr>
          <w:ilvl w:val="2"/>
          <w:numId w:val="12"/>
        </w:numPr>
        <w:tabs>
          <w:tab w:val="clear" w:pos="1440"/>
        </w:tabs>
        <w:spacing w:before="0" w:beforeAutospacing="0" w:after="0" w:afterAutospacing="0"/>
        <w:ind w:left="1701" w:hanging="567"/>
        <w:contextualSpacing/>
        <w:jc w:val="both"/>
        <w:textAlignment w:val="baseline"/>
        <w:rPr>
          <w:rStyle w:val="normaltextrun"/>
          <w:rFonts w:ascii="Times New Roman" w:hAnsi="Times New Roman" w:cs="Times New Roman"/>
          <w:color w:val="000000"/>
          <w:sz w:val="28"/>
          <w:szCs w:val="28"/>
        </w:rPr>
      </w:pPr>
      <w:r w:rsidRPr="007B74A4">
        <w:rPr>
          <w:rStyle w:val="normaltextrun"/>
          <w:rFonts w:ascii="Times New Roman" w:hAnsi="Times New Roman" w:cs="Times New Roman"/>
          <w:color w:val="000000"/>
          <w:sz w:val="24"/>
          <w:szCs w:val="28"/>
        </w:rPr>
        <w:t>subsection 92(1) of the </w:t>
      </w:r>
      <w:r w:rsidRPr="007B74A4">
        <w:rPr>
          <w:rStyle w:val="normaltextrun"/>
          <w:rFonts w:ascii="Times New Roman" w:hAnsi="Times New Roman" w:cs="Times New Roman"/>
          <w:iCs/>
          <w:color w:val="000000"/>
          <w:sz w:val="24"/>
          <w:szCs w:val="28"/>
        </w:rPr>
        <w:t>PHIPS Act</w:t>
      </w:r>
      <w:r w:rsidR="00425446" w:rsidRPr="007B74A4">
        <w:rPr>
          <w:rStyle w:val="normaltextrun"/>
          <w:rFonts w:ascii="Times New Roman" w:hAnsi="Times New Roman" w:cs="Times New Roman"/>
          <w:color w:val="000000"/>
          <w:sz w:val="24"/>
          <w:szCs w:val="28"/>
        </w:rPr>
        <w:t>.</w:t>
      </w:r>
    </w:p>
    <w:p w14:paraId="24E6CF73" w14:textId="77777777" w:rsidR="00D3440C" w:rsidRPr="006B7ABD" w:rsidRDefault="00D3440C" w:rsidP="006B7ABD">
      <w:pPr>
        <w:pStyle w:val="ListBullet"/>
        <w:spacing w:after="240" w:line="240" w:lineRule="auto"/>
        <w:ind w:left="714" w:hanging="357"/>
        <w:contextualSpacing/>
        <w:rPr>
          <w:rFonts w:ascii="Times New Roman" w:hAnsi="Times New Roman" w:cs="Times New Roman"/>
          <w:sz w:val="24"/>
          <w:szCs w:val="24"/>
          <w:lang w:eastAsia="en-US"/>
        </w:rPr>
      </w:pPr>
      <w:r w:rsidRPr="006B7ABD">
        <w:rPr>
          <w:rFonts w:ascii="Times New Roman" w:hAnsi="Times New Roman" w:cs="Times New Roman"/>
          <w:sz w:val="24"/>
          <w:szCs w:val="24"/>
          <w:lang w:eastAsia="en-US"/>
        </w:rPr>
        <w:t xml:space="preserve">Reporting Standards determined by APRA under subsection 13(1) of the </w:t>
      </w:r>
      <w:r w:rsidRPr="006B7ABD">
        <w:rPr>
          <w:rFonts w:ascii="Times New Roman" w:hAnsi="Times New Roman" w:cs="Times New Roman"/>
          <w:i/>
          <w:sz w:val="24"/>
          <w:szCs w:val="24"/>
          <w:lang w:eastAsia="en-US"/>
        </w:rPr>
        <w:t xml:space="preserve">Financial Sector (Collection of Data) Act </w:t>
      </w:r>
      <w:proofErr w:type="gramStart"/>
      <w:r w:rsidRPr="006B7ABD">
        <w:rPr>
          <w:rFonts w:ascii="Times New Roman" w:hAnsi="Times New Roman" w:cs="Times New Roman"/>
          <w:i/>
          <w:sz w:val="24"/>
          <w:szCs w:val="24"/>
          <w:lang w:eastAsia="en-US"/>
        </w:rPr>
        <w:t>2001</w:t>
      </w:r>
      <w:r w:rsidRPr="006B7ABD">
        <w:rPr>
          <w:rFonts w:ascii="Times New Roman" w:hAnsi="Times New Roman" w:cs="Times New Roman"/>
          <w:sz w:val="24"/>
          <w:szCs w:val="24"/>
          <w:lang w:eastAsia="en-US"/>
        </w:rPr>
        <w:t>;</w:t>
      </w:r>
      <w:proofErr w:type="gramEnd"/>
    </w:p>
    <w:p w14:paraId="45B13296" w14:textId="77777777" w:rsidR="00D3440C" w:rsidRPr="00FD20BD" w:rsidRDefault="00D3440C" w:rsidP="00FD20BD">
      <w:pPr>
        <w:pStyle w:val="ListBullet"/>
        <w:spacing w:after="240" w:line="240" w:lineRule="auto"/>
        <w:ind w:left="714" w:hanging="357"/>
        <w:contextualSpacing/>
        <w:rPr>
          <w:rFonts w:ascii="Times New Roman" w:hAnsi="Times New Roman" w:cs="Times New Roman"/>
          <w:sz w:val="24"/>
          <w:szCs w:val="24"/>
          <w:lang w:eastAsia="en-US"/>
        </w:rPr>
      </w:pPr>
      <w:r w:rsidRPr="00FD20BD">
        <w:rPr>
          <w:rFonts w:ascii="Times New Roman" w:hAnsi="Times New Roman" w:cs="Times New Roman"/>
          <w:sz w:val="24"/>
          <w:szCs w:val="24"/>
          <w:lang w:eastAsia="en-US"/>
        </w:rPr>
        <w:t xml:space="preserve">the Australian Accounting Standards determined by the Australian Accounting Standards Board under section 334 of the </w:t>
      </w:r>
      <w:r w:rsidRPr="008C08C6">
        <w:rPr>
          <w:rFonts w:ascii="Times New Roman" w:hAnsi="Times New Roman" w:cs="Times New Roman"/>
          <w:i/>
          <w:sz w:val="24"/>
          <w:szCs w:val="24"/>
          <w:lang w:eastAsia="en-US"/>
        </w:rPr>
        <w:t>Corporations Act 2001</w:t>
      </w:r>
      <w:r w:rsidRPr="00FD20BD">
        <w:rPr>
          <w:rFonts w:ascii="Times New Roman" w:hAnsi="Times New Roman" w:cs="Times New Roman"/>
          <w:sz w:val="24"/>
          <w:szCs w:val="24"/>
          <w:lang w:eastAsia="en-US"/>
        </w:rPr>
        <w:t xml:space="preserve"> (Cth); and</w:t>
      </w:r>
    </w:p>
    <w:p w14:paraId="3702B69D" w14:textId="39EE8D18" w:rsidR="00D3440C" w:rsidRPr="00FD20BD" w:rsidRDefault="00D3440C" w:rsidP="00FD20BD">
      <w:pPr>
        <w:pStyle w:val="ListBullet"/>
        <w:spacing w:after="240" w:line="240" w:lineRule="auto"/>
        <w:ind w:left="714" w:hanging="357"/>
        <w:contextualSpacing/>
        <w:rPr>
          <w:rFonts w:ascii="Times New Roman" w:hAnsi="Times New Roman" w:cs="Times New Roman"/>
          <w:sz w:val="24"/>
          <w:szCs w:val="24"/>
          <w:lang w:eastAsia="en-US"/>
        </w:rPr>
      </w:pPr>
      <w:r w:rsidRPr="00FD20BD">
        <w:rPr>
          <w:rFonts w:ascii="Times New Roman" w:hAnsi="Times New Roman" w:cs="Times New Roman"/>
          <w:sz w:val="24"/>
          <w:szCs w:val="24"/>
          <w:lang w:eastAsia="en-US"/>
        </w:rPr>
        <w:t xml:space="preserve">the Australian Auditing Standards determined by the Auditing and Assurance Standards Board under section 336 of the </w:t>
      </w:r>
      <w:r w:rsidRPr="008C08C6">
        <w:rPr>
          <w:rFonts w:ascii="Times New Roman" w:hAnsi="Times New Roman" w:cs="Times New Roman"/>
          <w:i/>
          <w:sz w:val="24"/>
          <w:szCs w:val="24"/>
          <w:lang w:eastAsia="en-US"/>
        </w:rPr>
        <w:t>Corporations Act 2001</w:t>
      </w:r>
      <w:r w:rsidRPr="00FD20BD">
        <w:rPr>
          <w:rFonts w:ascii="Times New Roman" w:hAnsi="Times New Roman" w:cs="Times New Roman"/>
          <w:sz w:val="24"/>
          <w:szCs w:val="24"/>
          <w:lang w:eastAsia="en-US"/>
        </w:rPr>
        <w:t xml:space="preserve"> (Cth).</w:t>
      </w:r>
    </w:p>
    <w:p w14:paraId="28BF9847" w14:textId="427AEEF2" w:rsidR="00425446" w:rsidRPr="007B74A4" w:rsidRDefault="00E13428" w:rsidP="00535408">
      <w:pPr>
        <w:pStyle w:val="NormalWeb"/>
        <w:spacing w:before="0" w:beforeAutospacing="0" w:after="240" w:afterAutospacing="0"/>
        <w:rPr>
          <w:color w:val="000000"/>
        </w:rPr>
      </w:pPr>
      <w:r w:rsidRPr="00E13428">
        <w:rPr>
          <w:color w:val="000000"/>
        </w:rPr>
        <w:t>These documents may be freely obtained on the Federal Register of Legislation at www.legislation.gov.au (all documents listed above except for Australian Accounting and Auditing Standards), https://www.aasb.gov.au/pronouncements/accounting-standards/ (Australian Accounting Standards) and https://auasb.gov.au/standards-guidance/auasb-standards/auditing-standards/ (Australian Auditing Standards).</w:t>
      </w:r>
    </w:p>
    <w:p w14:paraId="3F6B8DFA" w14:textId="578FCB8F" w:rsidR="006D5632" w:rsidRPr="00D9085C" w:rsidRDefault="006D5632" w:rsidP="00FF28D9">
      <w:pPr>
        <w:keepNext/>
        <w:numPr>
          <w:ilvl w:val="0"/>
          <w:numId w:val="10"/>
        </w:numPr>
        <w:spacing w:after="240" w:line="240" w:lineRule="auto"/>
        <w:ind w:left="567" w:hanging="567"/>
        <w:jc w:val="both"/>
        <w:rPr>
          <w:rFonts w:ascii="Times New Roman" w:hAnsi="Times New Roman" w:cs="Times New Roman"/>
          <w:b/>
          <w:sz w:val="24"/>
          <w:szCs w:val="24"/>
          <w:lang w:eastAsia="en-US"/>
        </w:rPr>
      </w:pPr>
      <w:r w:rsidRPr="00D9085C">
        <w:rPr>
          <w:rFonts w:ascii="Times New Roman" w:hAnsi="Times New Roman" w:cs="Times New Roman"/>
          <w:b/>
          <w:sz w:val="24"/>
          <w:szCs w:val="24"/>
          <w:lang w:eastAsia="en-US"/>
        </w:rPr>
        <w:t xml:space="preserve">Impact </w:t>
      </w:r>
      <w:r w:rsidR="00E13428">
        <w:rPr>
          <w:rFonts w:ascii="Times New Roman" w:hAnsi="Times New Roman" w:cs="Times New Roman"/>
          <w:b/>
          <w:sz w:val="24"/>
          <w:szCs w:val="24"/>
          <w:lang w:eastAsia="en-US"/>
        </w:rPr>
        <w:t>Analysis</w:t>
      </w:r>
    </w:p>
    <w:p w14:paraId="4EC67988" w14:textId="5570F5BE" w:rsidR="00E540AF" w:rsidRPr="00D9085C" w:rsidRDefault="000A0E5F" w:rsidP="00FF28D9">
      <w:pPr>
        <w:keepNext/>
        <w:spacing w:after="240" w:line="240" w:lineRule="auto"/>
        <w:jc w:val="both"/>
        <w:rPr>
          <w:rFonts w:ascii="Times New Roman" w:hAnsi="Times New Roman" w:cs="Times New Roman"/>
          <w:sz w:val="24"/>
          <w:szCs w:val="24"/>
        </w:rPr>
      </w:pPr>
      <w:r w:rsidRPr="000A0E5F">
        <w:rPr>
          <w:rFonts w:ascii="Times New Roman" w:hAnsi="Times New Roman" w:cs="Times New Roman"/>
          <w:sz w:val="24"/>
          <w:szCs w:val="24"/>
        </w:rPr>
        <w:t xml:space="preserve">The Office of Impact Analysis has confirmed that an </w:t>
      </w:r>
      <w:r w:rsidR="00536AFE">
        <w:rPr>
          <w:rFonts w:ascii="Times New Roman" w:hAnsi="Times New Roman" w:cs="Times New Roman"/>
          <w:sz w:val="24"/>
          <w:szCs w:val="24"/>
        </w:rPr>
        <w:t>impact analysis</w:t>
      </w:r>
      <w:r w:rsidRPr="000A0E5F">
        <w:rPr>
          <w:rFonts w:ascii="Times New Roman" w:hAnsi="Times New Roman" w:cs="Times New Roman"/>
          <w:sz w:val="24"/>
          <w:szCs w:val="24"/>
        </w:rPr>
        <w:t xml:space="preserve"> is not required as the making of </w:t>
      </w:r>
      <w:r>
        <w:rPr>
          <w:rFonts w:ascii="Times New Roman" w:hAnsi="Times New Roman" w:cs="Times New Roman"/>
          <w:sz w:val="24"/>
          <w:szCs w:val="24"/>
        </w:rPr>
        <w:t>C</w:t>
      </w:r>
      <w:r w:rsidRPr="000A0E5F">
        <w:rPr>
          <w:rFonts w:ascii="Times New Roman" w:hAnsi="Times New Roman" w:cs="Times New Roman"/>
          <w:sz w:val="24"/>
          <w:szCs w:val="24"/>
        </w:rPr>
        <w:t>PS</w:t>
      </w:r>
      <w:r w:rsidR="00535408">
        <w:rPr>
          <w:rFonts w:ascii="Times New Roman" w:hAnsi="Times New Roman" w:cs="Times New Roman"/>
          <w:sz w:val="24"/>
          <w:szCs w:val="24"/>
        </w:rPr>
        <w:t xml:space="preserve"> </w:t>
      </w:r>
      <w:r w:rsidRPr="000A0E5F">
        <w:rPr>
          <w:rFonts w:ascii="Times New Roman" w:hAnsi="Times New Roman" w:cs="Times New Roman"/>
          <w:sz w:val="24"/>
          <w:szCs w:val="24"/>
        </w:rPr>
        <w:t>0</w:t>
      </w:r>
      <w:r>
        <w:rPr>
          <w:rFonts w:ascii="Times New Roman" w:hAnsi="Times New Roman" w:cs="Times New Roman"/>
          <w:sz w:val="24"/>
          <w:szCs w:val="24"/>
        </w:rPr>
        <w:t>01</w:t>
      </w:r>
      <w:r w:rsidRPr="000A0E5F">
        <w:rPr>
          <w:rFonts w:ascii="Times New Roman" w:hAnsi="Times New Roman" w:cs="Times New Roman"/>
          <w:sz w:val="24"/>
          <w:szCs w:val="24"/>
        </w:rPr>
        <w:t xml:space="preserve"> is unlikely to have more than a minor regulatory impact.</w:t>
      </w:r>
    </w:p>
    <w:p w14:paraId="61D7EE4B" w14:textId="607D5455" w:rsidR="00510C0E" w:rsidRPr="00D9085C" w:rsidRDefault="00510C0E" w:rsidP="00535408">
      <w:pPr>
        <w:keepNext/>
        <w:numPr>
          <w:ilvl w:val="0"/>
          <w:numId w:val="10"/>
        </w:numPr>
        <w:spacing w:after="240" w:line="240" w:lineRule="auto"/>
        <w:ind w:left="567" w:hanging="567"/>
        <w:jc w:val="both"/>
        <w:rPr>
          <w:rFonts w:ascii="Times New Roman" w:hAnsi="Times New Roman" w:cs="Times New Roman"/>
          <w:b/>
          <w:i/>
          <w:sz w:val="24"/>
          <w:szCs w:val="24"/>
          <w:lang w:eastAsia="en-US"/>
        </w:rPr>
      </w:pPr>
      <w:r w:rsidRPr="00D9085C">
        <w:rPr>
          <w:rFonts w:ascii="Times New Roman" w:hAnsi="Times New Roman" w:cs="Times New Roman"/>
          <w:b/>
          <w:sz w:val="24"/>
          <w:szCs w:val="24"/>
          <w:lang w:eastAsia="en-US"/>
        </w:rPr>
        <w:t xml:space="preserve">Statement of compatibility prepared in accordance with Part 3 of the </w:t>
      </w:r>
      <w:r w:rsidRPr="00D9085C">
        <w:rPr>
          <w:rFonts w:ascii="Times New Roman" w:hAnsi="Times New Roman" w:cs="Times New Roman"/>
          <w:b/>
          <w:i/>
          <w:sz w:val="24"/>
          <w:szCs w:val="24"/>
          <w:lang w:eastAsia="en-US"/>
        </w:rPr>
        <w:t>Human Rights (Parliamentary Scrutiny) Act 2011</w:t>
      </w:r>
    </w:p>
    <w:p w14:paraId="33DD8C56" w14:textId="263FD367" w:rsidR="00510C0E" w:rsidRPr="00D9085C" w:rsidRDefault="00510C0E" w:rsidP="00535408">
      <w:pPr>
        <w:pStyle w:val="Heading"/>
        <w:keepNext/>
        <w:spacing w:after="240"/>
        <w:rPr>
          <w:rFonts w:ascii="Times New Roman" w:hAnsi="Times New Roman"/>
          <w:b w:val="0"/>
          <w:sz w:val="24"/>
          <w:szCs w:val="24"/>
        </w:rPr>
      </w:pPr>
      <w:r w:rsidRPr="00D9085C">
        <w:rPr>
          <w:rFonts w:ascii="Times New Roman" w:hAnsi="Times New Roman"/>
          <w:b w:val="0"/>
          <w:sz w:val="24"/>
          <w:szCs w:val="24"/>
        </w:rPr>
        <w:t xml:space="preserve">A Statement of compatibility prepared in accordance with Part 3 of the </w:t>
      </w:r>
      <w:r w:rsidRPr="00D9085C">
        <w:rPr>
          <w:rFonts w:ascii="Times New Roman" w:hAnsi="Times New Roman"/>
          <w:b w:val="0"/>
          <w:i/>
          <w:sz w:val="24"/>
          <w:szCs w:val="24"/>
        </w:rPr>
        <w:t>Human Rights (Parliamentary Scrutiny) Act 2011</w:t>
      </w:r>
      <w:r w:rsidRPr="00D9085C">
        <w:rPr>
          <w:rFonts w:ascii="Times New Roman" w:hAnsi="Times New Roman"/>
          <w:b w:val="0"/>
          <w:sz w:val="24"/>
          <w:szCs w:val="24"/>
        </w:rPr>
        <w:t xml:space="preserve"> is provided at Attachment</w:t>
      </w:r>
      <w:r w:rsidR="009436A9">
        <w:rPr>
          <w:rFonts w:ascii="Times New Roman" w:hAnsi="Times New Roman"/>
          <w:b w:val="0"/>
          <w:sz w:val="24"/>
          <w:szCs w:val="24"/>
        </w:rPr>
        <w:t xml:space="preserve"> B</w:t>
      </w:r>
      <w:r w:rsidRPr="00D9085C">
        <w:rPr>
          <w:rFonts w:ascii="Times New Roman" w:hAnsi="Times New Roman"/>
          <w:b w:val="0"/>
          <w:sz w:val="24"/>
          <w:szCs w:val="24"/>
        </w:rPr>
        <w:t xml:space="preserve"> to this Explanatory Statement.</w:t>
      </w:r>
    </w:p>
    <w:p w14:paraId="214F10F0" w14:textId="1DA9A815" w:rsidR="009436A9" w:rsidRDefault="009436A9" w:rsidP="00777743">
      <w:pPr>
        <w:spacing w:after="360"/>
        <w:jc w:val="both"/>
        <w:outlineLvl w:val="0"/>
        <w:rPr>
          <w:rFonts w:ascii="Times New Roman" w:hAnsi="Times New Roman"/>
          <w:b/>
          <w:sz w:val="24"/>
          <w:szCs w:val="24"/>
        </w:rPr>
      </w:pPr>
    </w:p>
    <w:p w14:paraId="61824DDC" w14:textId="77777777" w:rsidR="009436A9" w:rsidRDefault="009436A9" w:rsidP="00777743">
      <w:pPr>
        <w:spacing w:after="360"/>
        <w:jc w:val="both"/>
        <w:outlineLvl w:val="0"/>
        <w:rPr>
          <w:rFonts w:ascii="Times New Roman" w:hAnsi="Times New Roman"/>
          <w:b/>
          <w:sz w:val="24"/>
          <w:szCs w:val="24"/>
        </w:rPr>
        <w:sectPr w:rsidR="009436A9" w:rsidSect="00801A23">
          <w:headerReference w:type="default" r:id="rId12"/>
          <w:footerReference w:type="default" r:id="rId13"/>
          <w:headerReference w:type="first" r:id="rId14"/>
          <w:footerReference w:type="first" r:id="rId15"/>
          <w:pgSz w:w="11906" w:h="16838" w:code="9"/>
          <w:pgMar w:top="1440" w:right="1440" w:bottom="1440" w:left="1440" w:header="567" w:footer="567" w:gutter="0"/>
          <w:cols w:space="708"/>
          <w:titlePg/>
          <w:docGrid w:linePitch="360"/>
        </w:sectPr>
      </w:pPr>
    </w:p>
    <w:p w14:paraId="2638B0B3" w14:textId="77777777" w:rsidR="00CE19F1" w:rsidRPr="00CE19F1" w:rsidRDefault="00CE19F1" w:rsidP="00FF28D9">
      <w:pPr>
        <w:spacing w:after="240" w:line="240" w:lineRule="auto"/>
        <w:jc w:val="center"/>
        <w:rPr>
          <w:rFonts w:ascii="Times New Roman" w:eastAsia="Arial" w:hAnsi="Times New Roman" w:cs="Times New Roman"/>
          <w:b/>
          <w:color w:val="000000"/>
          <w:sz w:val="24"/>
          <w:szCs w:val="24"/>
          <w:lang w:eastAsia="en-US"/>
        </w:rPr>
      </w:pPr>
      <w:r w:rsidRPr="00CE19F1">
        <w:rPr>
          <w:rFonts w:ascii="Times New Roman" w:eastAsia="Arial" w:hAnsi="Times New Roman" w:cs="Times New Roman"/>
          <w:b/>
          <w:color w:val="000000"/>
          <w:sz w:val="24"/>
          <w:szCs w:val="24"/>
          <w:lang w:eastAsia="en-US"/>
        </w:rPr>
        <w:lastRenderedPageBreak/>
        <w:t>ATTACHMENT A</w:t>
      </w:r>
    </w:p>
    <w:p w14:paraId="67DF9346" w14:textId="48314EFF" w:rsidR="00CE19F1" w:rsidRPr="00CE19F1" w:rsidRDefault="00CE19F1" w:rsidP="00FF28D9">
      <w:pPr>
        <w:spacing w:after="240" w:line="240" w:lineRule="auto"/>
        <w:jc w:val="center"/>
        <w:rPr>
          <w:rFonts w:ascii="Times New Roman" w:eastAsia="Arial" w:hAnsi="Times New Roman" w:cs="Times New Roman"/>
          <w:b/>
          <w:color w:val="000000"/>
          <w:sz w:val="24"/>
          <w:szCs w:val="24"/>
          <w:lang w:eastAsia="en-US"/>
        </w:rPr>
      </w:pPr>
      <w:r>
        <w:rPr>
          <w:rFonts w:ascii="Times New Roman" w:eastAsia="Arial" w:hAnsi="Times New Roman" w:cs="Times New Roman"/>
          <w:b/>
          <w:color w:val="000000"/>
          <w:sz w:val="24"/>
          <w:szCs w:val="24"/>
          <w:lang w:eastAsia="en-US"/>
        </w:rPr>
        <w:t xml:space="preserve">Description of </w:t>
      </w:r>
      <w:r w:rsidR="00681976">
        <w:rPr>
          <w:rFonts w:ascii="Times New Roman" w:eastAsia="Arial" w:hAnsi="Times New Roman" w:cs="Times New Roman"/>
          <w:b/>
          <w:color w:val="000000"/>
          <w:sz w:val="24"/>
          <w:szCs w:val="24"/>
          <w:lang w:eastAsia="en-US"/>
        </w:rPr>
        <w:t>p</w:t>
      </w:r>
      <w:r w:rsidR="002F7B53">
        <w:rPr>
          <w:rFonts w:ascii="Times New Roman" w:eastAsia="Arial" w:hAnsi="Times New Roman" w:cs="Times New Roman"/>
          <w:b/>
          <w:color w:val="000000"/>
          <w:sz w:val="24"/>
          <w:szCs w:val="24"/>
          <w:lang w:eastAsia="en-US"/>
        </w:rPr>
        <w:t xml:space="preserve">rovisions </w:t>
      </w:r>
      <w:r w:rsidR="00484BBA">
        <w:rPr>
          <w:rFonts w:ascii="Times New Roman" w:eastAsia="Arial" w:hAnsi="Times New Roman" w:cs="Times New Roman"/>
          <w:b/>
          <w:color w:val="000000"/>
          <w:sz w:val="24"/>
          <w:szCs w:val="24"/>
          <w:lang w:eastAsia="en-US"/>
        </w:rPr>
        <w:t xml:space="preserve">of </w:t>
      </w:r>
      <w:r>
        <w:rPr>
          <w:rFonts w:ascii="Times New Roman" w:eastAsia="Arial" w:hAnsi="Times New Roman" w:cs="Times New Roman"/>
          <w:b/>
          <w:color w:val="000000"/>
          <w:sz w:val="24"/>
          <w:szCs w:val="24"/>
          <w:lang w:eastAsia="en-US"/>
        </w:rPr>
        <w:t>C</w:t>
      </w:r>
      <w:r w:rsidRPr="00CE19F1">
        <w:rPr>
          <w:rFonts w:ascii="Times New Roman" w:eastAsia="Arial" w:hAnsi="Times New Roman" w:cs="Times New Roman"/>
          <w:b/>
          <w:color w:val="000000"/>
          <w:sz w:val="24"/>
          <w:szCs w:val="24"/>
          <w:lang w:eastAsia="en-US"/>
        </w:rPr>
        <w:t>PS 0</w:t>
      </w:r>
      <w:r>
        <w:rPr>
          <w:rFonts w:ascii="Times New Roman" w:eastAsia="Arial" w:hAnsi="Times New Roman" w:cs="Times New Roman"/>
          <w:b/>
          <w:color w:val="000000"/>
          <w:sz w:val="24"/>
          <w:szCs w:val="24"/>
          <w:lang w:eastAsia="en-US"/>
        </w:rPr>
        <w:t>01</w:t>
      </w:r>
    </w:p>
    <w:p w14:paraId="381C7B76" w14:textId="5B06A95B" w:rsidR="000A3587" w:rsidRPr="000A3587" w:rsidRDefault="000A3587" w:rsidP="00FF28D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CP</w:t>
      </w:r>
      <w:r w:rsidRPr="000A3587">
        <w:rPr>
          <w:rFonts w:ascii="Times New Roman" w:hAnsi="Times New Roman" w:cs="Times New Roman"/>
          <w:sz w:val="24"/>
          <w:szCs w:val="24"/>
        </w:rPr>
        <w:t>S 001 defines key terms that are used</w:t>
      </w:r>
      <w:r>
        <w:rPr>
          <w:rFonts w:ascii="Times New Roman" w:hAnsi="Times New Roman" w:cs="Times New Roman"/>
          <w:sz w:val="24"/>
          <w:szCs w:val="24"/>
        </w:rPr>
        <w:t xml:space="preserve"> in APRA’s prudential framework</w:t>
      </w:r>
      <w:r w:rsidRPr="000A3587">
        <w:rPr>
          <w:rFonts w:ascii="Times New Roman" w:hAnsi="Times New Roman" w:cs="Times New Roman"/>
          <w:sz w:val="24"/>
          <w:szCs w:val="24"/>
        </w:rPr>
        <w:t xml:space="preserve">. It applies to </w:t>
      </w:r>
      <w:r w:rsidR="00946FF8">
        <w:rPr>
          <w:rFonts w:ascii="Times New Roman" w:hAnsi="Times New Roman" w:cs="Times New Roman"/>
          <w:sz w:val="24"/>
          <w:szCs w:val="24"/>
        </w:rPr>
        <w:t>authorised deposit-taking institutions (ADIs), general insurers, life companies and private health insurers (collectively, APRA-regulated institutions).</w:t>
      </w:r>
    </w:p>
    <w:p w14:paraId="53FA8D33" w14:textId="5A5BFA39" w:rsidR="00946FF8" w:rsidRPr="000A3587" w:rsidRDefault="000A3587" w:rsidP="00FF28D9">
      <w:pPr>
        <w:spacing w:after="240" w:line="240" w:lineRule="auto"/>
        <w:jc w:val="both"/>
        <w:rPr>
          <w:rFonts w:ascii="Times New Roman" w:hAnsi="Times New Roman" w:cs="Times New Roman"/>
          <w:sz w:val="24"/>
          <w:szCs w:val="24"/>
        </w:rPr>
      </w:pPr>
      <w:r w:rsidRPr="000A3587">
        <w:rPr>
          <w:rFonts w:ascii="Times New Roman" w:hAnsi="Times New Roman" w:cs="Times New Roman"/>
          <w:sz w:val="24"/>
          <w:szCs w:val="24"/>
        </w:rPr>
        <w:t xml:space="preserve">Paragraphs 1 to </w:t>
      </w:r>
      <w:r w:rsidR="0061763C">
        <w:rPr>
          <w:rFonts w:ascii="Times New Roman" w:hAnsi="Times New Roman" w:cs="Times New Roman"/>
          <w:sz w:val="24"/>
          <w:szCs w:val="24"/>
        </w:rPr>
        <w:t>5</w:t>
      </w:r>
      <w:r w:rsidRPr="000A3587">
        <w:rPr>
          <w:rFonts w:ascii="Times New Roman" w:hAnsi="Times New Roman" w:cs="Times New Roman"/>
          <w:sz w:val="24"/>
          <w:szCs w:val="24"/>
        </w:rPr>
        <w:t xml:space="preserve"> state APRA’s authority to make the prudential standard, </w:t>
      </w:r>
      <w:r w:rsidR="00ED693D">
        <w:rPr>
          <w:rFonts w:ascii="Times New Roman" w:hAnsi="Times New Roman" w:cs="Times New Roman"/>
          <w:sz w:val="24"/>
          <w:szCs w:val="24"/>
        </w:rPr>
        <w:t xml:space="preserve">the </w:t>
      </w:r>
      <w:r w:rsidR="00946FF8">
        <w:rPr>
          <w:rFonts w:ascii="Times New Roman" w:hAnsi="Times New Roman" w:cs="Times New Roman"/>
          <w:sz w:val="24"/>
          <w:szCs w:val="24"/>
        </w:rPr>
        <w:t xml:space="preserve">application of the prudential standards to the APRA-regulated institutions and </w:t>
      </w:r>
      <w:r w:rsidRPr="000A3587">
        <w:rPr>
          <w:rFonts w:ascii="Times New Roman" w:hAnsi="Times New Roman" w:cs="Times New Roman"/>
          <w:sz w:val="24"/>
          <w:szCs w:val="24"/>
        </w:rPr>
        <w:t xml:space="preserve">the date </w:t>
      </w:r>
      <w:r w:rsidR="00946FF8">
        <w:rPr>
          <w:rFonts w:ascii="Times New Roman" w:hAnsi="Times New Roman" w:cs="Times New Roman"/>
          <w:sz w:val="24"/>
          <w:szCs w:val="24"/>
        </w:rPr>
        <w:t>at w</w:t>
      </w:r>
      <w:r w:rsidRPr="000A3587">
        <w:rPr>
          <w:rFonts w:ascii="Times New Roman" w:hAnsi="Times New Roman" w:cs="Times New Roman"/>
          <w:sz w:val="24"/>
          <w:szCs w:val="24"/>
        </w:rPr>
        <w:t>hich the standard commences</w:t>
      </w:r>
      <w:r w:rsidR="00946FF8">
        <w:rPr>
          <w:rFonts w:ascii="Times New Roman" w:hAnsi="Times New Roman" w:cs="Times New Roman"/>
          <w:sz w:val="24"/>
          <w:szCs w:val="24"/>
        </w:rPr>
        <w:t>.</w:t>
      </w:r>
    </w:p>
    <w:p w14:paraId="4E07C899" w14:textId="7DE771C5" w:rsidR="000A3587" w:rsidRPr="000A3587" w:rsidRDefault="00946FF8" w:rsidP="00FF28D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Paragraphs </w:t>
      </w:r>
      <w:r w:rsidR="0061763C">
        <w:rPr>
          <w:rFonts w:ascii="Times New Roman" w:hAnsi="Times New Roman" w:cs="Times New Roman"/>
          <w:sz w:val="24"/>
          <w:szCs w:val="24"/>
        </w:rPr>
        <w:t>6</w:t>
      </w:r>
      <w:r>
        <w:rPr>
          <w:rFonts w:ascii="Times New Roman" w:hAnsi="Times New Roman" w:cs="Times New Roman"/>
          <w:sz w:val="24"/>
          <w:szCs w:val="24"/>
        </w:rPr>
        <w:t xml:space="preserve"> and </w:t>
      </w:r>
      <w:r w:rsidR="0061763C">
        <w:rPr>
          <w:rFonts w:ascii="Times New Roman" w:hAnsi="Times New Roman" w:cs="Times New Roman"/>
          <w:sz w:val="24"/>
          <w:szCs w:val="24"/>
        </w:rPr>
        <w:t>7</w:t>
      </w:r>
      <w:r>
        <w:rPr>
          <w:rFonts w:ascii="Times New Roman" w:hAnsi="Times New Roman" w:cs="Times New Roman"/>
          <w:sz w:val="24"/>
          <w:szCs w:val="24"/>
        </w:rPr>
        <w:t xml:space="preserve"> </w:t>
      </w:r>
      <w:r w:rsidR="001E5787">
        <w:rPr>
          <w:rFonts w:ascii="Times New Roman" w:hAnsi="Times New Roman" w:cs="Times New Roman"/>
          <w:sz w:val="24"/>
          <w:szCs w:val="24"/>
        </w:rPr>
        <w:t>set out</w:t>
      </w:r>
      <w:r w:rsidR="00ED693D">
        <w:rPr>
          <w:rFonts w:ascii="Times New Roman" w:hAnsi="Times New Roman" w:cs="Times New Roman"/>
          <w:sz w:val="24"/>
          <w:szCs w:val="24"/>
        </w:rPr>
        <w:t xml:space="preserve"> how references </w:t>
      </w:r>
      <w:r w:rsidR="00ED693D" w:rsidRPr="00ED693D">
        <w:rPr>
          <w:rFonts w:ascii="Times New Roman" w:hAnsi="Times New Roman" w:cs="Times New Roman"/>
          <w:sz w:val="24"/>
          <w:szCs w:val="24"/>
        </w:rPr>
        <w:t>to an Act, Regulations, or Prudential Standard, Australian Accounting Standard or Australian Auditing and Assurance Standard</w:t>
      </w:r>
      <w:r w:rsidR="00ED693D">
        <w:rPr>
          <w:rFonts w:ascii="Times New Roman" w:hAnsi="Times New Roman" w:cs="Times New Roman"/>
          <w:sz w:val="24"/>
          <w:szCs w:val="24"/>
        </w:rPr>
        <w:t xml:space="preserve"> and the indicators in square brackets appearing before a defined term should be </w:t>
      </w:r>
      <w:r w:rsidR="001E5787">
        <w:rPr>
          <w:rFonts w:ascii="Times New Roman" w:hAnsi="Times New Roman" w:cs="Times New Roman"/>
          <w:sz w:val="24"/>
          <w:szCs w:val="24"/>
        </w:rPr>
        <w:t>interpreted.</w:t>
      </w:r>
    </w:p>
    <w:p w14:paraId="6650345E" w14:textId="330492EB" w:rsidR="000A3587" w:rsidRDefault="000A3587" w:rsidP="00FF28D9">
      <w:pPr>
        <w:spacing w:after="240" w:line="240" w:lineRule="auto"/>
        <w:jc w:val="both"/>
        <w:rPr>
          <w:rFonts w:ascii="Times New Roman" w:hAnsi="Times New Roman" w:cs="Times New Roman"/>
          <w:sz w:val="24"/>
          <w:szCs w:val="24"/>
        </w:rPr>
      </w:pPr>
      <w:r w:rsidRPr="000A3587">
        <w:rPr>
          <w:rFonts w:ascii="Times New Roman" w:hAnsi="Times New Roman" w:cs="Times New Roman"/>
          <w:sz w:val="24"/>
          <w:szCs w:val="24"/>
        </w:rPr>
        <w:t xml:space="preserve">Paragraph </w:t>
      </w:r>
      <w:r w:rsidR="003D35EE">
        <w:rPr>
          <w:rFonts w:ascii="Times New Roman" w:hAnsi="Times New Roman" w:cs="Times New Roman"/>
          <w:sz w:val="24"/>
          <w:szCs w:val="24"/>
        </w:rPr>
        <w:t>8</w:t>
      </w:r>
      <w:r w:rsidRPr="000A3587">
        <w:rPr>
          <w:rFonts w:ascii="Times New Roman" w:hAnsi="Times New Roman" w:cs="Times New Roman"/>
          <w:sz w:val="24"/>
          <w:szCs w:val="24"/>
        </w:rPr>
        <w:t xml:space="preserve"> states the definitions of key terms that are used in APRA’s prudential framework.</w:t>
      </w:r>
    </w:p>
    <w:p w14:paraId="4EDA5427" w14:textId="5185210E" w:rsidR="000A3587" w:rsidRDefault="001E5787" w:rsidP="00FF28D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Paragraph </w:t>
      </w:r>
      <w:r w:rsidR="003D35EE">
        <w:rPr>
          <w:rFonts w:ascii="Times New Roman" w:hAnsi="Times New Roman" w:cs="Times New Roman"/>
          <w:sz w:val="24"/>
          <w:szCs w:val="24"/>
        </w:rPr>
        <w:t>9</w:t>
      </w:r>
      <w:r>
        <w:rPr>
          <w:rFonts w:ascii="Times New Roman" w:hAnsi="Times New Roman" w:cs="Times New Roman"/>
          <w:sz w:val="24"/>
          <w:szCs w:val="24"/>
        </w:rPr>
        <w:t xml:space="preserve"> states what an APRA-regulated institution must do if it </w:t>
      </w:r>
      <w:r w:rsidRPr="001E5787">
        <w:rPr>
          <w:rFonts w:ascii="Times New Roman" w:hAnsi="Times New Roman" w:cs="Times New Roman"/>
          <w:sz w:val="24"/>
          <w:szCs w:val="24"/>
        </w:rPr>
        <w:t>seeks to place reliance</w:t>
      </w:r>
      <w:r>
        <w:rPr>
          <w:rFonts w:ascii="Times New Roman" w:hAnsi="Times New Roman" w:cs="Times New Roman"/>
          <w:sz w:val="24"/>
          <w:szCs w:val="24"/>
        </w:rPr>
        <w:t xml:space="preserve"> on a previous exercise of discretion by APRA under specified prudential standards.</w:t>
      </w:r>
    </w:p>
    <w:p w14:paraId="06FB1B63" w14:textId="1BEC4B57" w:rsidR="00724DEC" w:rsidRDefault="001E5787" w:rsidP="00FF28D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Attachment A of CPS </w:t>
      </w:r>
      <w:r w:rsidR="00724DEC">
        <w:rPr>
          <w:rFonts w:ascii="Times New Roman" w:hAnsi="Times New Roman" w:cs="Times New Roman"/>
          <w:sz w:val="24"/>
          <w:szCs w:val="24"/>
        </w:rPr>
        <w:t xml:space="preserve">001 </w:t>
      </w:r>
      <w:r>
        <w:rPr>
          <w:rFonts w:ascii="Times New Roman" w:hAnsi="Times New Roman" w:cs="Times New Roman"/>
          <w:sz w:val="24"/>
          <w:szCs w:val="24"/>
        </w:rPr>
        <w:t>sets out</w:t>
      </w:r>
      <w:r w:rsidR="00443327">
        <w:rPr>
          <w:rFonts w:ascii="Times New Roman" w:hAnsi="Times New Roman" w:cs="Times New Roman"/>
          <w:sz w:val="24"/>
          <w:szCs w:val="24"/>
        </w:rPr>
        <w:t xml:space="preserve"> definitions </w:t>
      </w:r>
      <w:r w:rsidR="00FD6EE2">
        <w:rPr>
          <w:rFonts w:ascii="Times New Roman" w:hAnsi="Times New Roman" w:cs="Times New Roman"/>
          <w:sz w:val="24"/>
          <w:szCs w:val="24"/>
        </w:rPr>
        <w:t xml:space="preserve">relevant to </w:t>
      </w:r>
      <w:r>
        <w:rPr>
          <w:rFonts w:ascii="Times New Roman" w:hAnsi="Times New Roman" w:cs="Times New Roman"/>
          <w:sz w:val="24"/>
          <w:szCs w:val="24"/>
        </w:rPr>
        <w:t xml:space="preserve">ADI conglomerate groups, </w:t>
      </w:r>
      <w:r w:rsidR="00724DEC">
        <w:rPr>
          <w:rFonts w:ascii="Times New Roman" w:hAnsi="Times New Roman" w:cs="Times New Roman"/>
          <w:sz w:val="24"/>
          <w:szCs w:val="24"/>
        </w:rPr>
        <w:t xml:space="preserve">consolidation and non-consolidation of </w:t>
      </w:r>
      <w:r>
        <w:rPr>
          <w:rFonts w:ascii="Times New Roman" w:hAnsi="Times New Roman" w:cs="Times New Roman"/>
          <w:sz w:val="24"/>
          <w:szCs w:val="24"/>
        </w:rPr>
        <w:t>ADI subsidiaries</w:t>
      </w:r>
      <w:r w:rsidR="00724DEC">
        <w:rPr>
          <w:rFonts w:ascii="Times New Roman" w:hAnsi="Times New Roman" w:cs="Times New Roman"/>
          <w:sz w:val="24"/>
          <w:szCs w:val="24"/>
        </w:rPr>
        <w:t xml:space="preserve"> and Level 2 insurance group</w:t>
      </w:r>
      <w:r w:rsidR="003F2CA1">
        <w:rPr>
          <w:rFonts w:ascii="Times New Roman" w:hAnsi="Times New Roman" w:cs="Times New Roman"/>
          <w:sz w:val="24"/>
          <w:szCs w:val="24"/>
        </w:rPr>
        <w:t>s</w:t>
      </w:r>
      <w:r w:rsidR="00724DEC">
        <w:rPr>
          <w:rFonts w:ascii="Times New Roman" w:hAnsi="Times New Roman" w:cs="Times New Roman"/>
          <w:sz w:val="24"/>
          <w:szCs w:val="24"/>
        </w:rPr>
        <w:t xml:space="preserve"> for general insurers</w:t>
      </w:r>
      <w:r>
        <w:rPr>
          <w:rFonts w:ascii="Times New Roman" w:hAnsi="Times New Roman" w:cs="Times New Roman"/>
          <w:sz w:val="24"/>
          <w:szCs w:val="24"/>
        </w:rPr>
        <w:t>.</w:t>
      </w:r>
    </w:p>
    <w:p w14:paraId="3B37E93F" w14:textId="0FA6297A" w:rsidR="001E5787" w:rsidRDefault="00724DEC" w:rsidP="00FF28D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Attachment B of CPS 001 set outs</w:t>
      </w:r>
      <w:r w:rsidR="001E5787">
        <w:rPr>
          <w:rFonts w:ascii="Times New Roman" w:hAnsi="Times New Roman" w:cs="Times New Roman"/>
          <w:sz w:val="24"/>
          <w:szCs w:val="24"/>
        </w:rPr>
        <w:t xml:space="preserve"> </w:t>
      </w:r>
      <w:r>
        <w:rPr>
          <w:rFonts w:ascii="Times New Roman" w:hAnsi="Times New Roman" w:cs="Times New Roman"/>
          <w:sz w:val="24"/>
          <w:szCs w:val="24"/>
        </w:rPr>
        <w:t>the different c</w:t>
      </w:r>
      <w:r w:rsidRPr="00724DEC">
        <w:rPr>
          <w:rFonts w:ascii="Times New Roman" w:hAnsi="Times New Roman" w:cs="Times New Roman"/>
          <w:sz w:val="24"/>
          <w:szCs w:val="24"/>
        </w:rPr>
        <w:t>lasses of business for a general insurer</w:t>
      </w:r>
      <w:r>
        <w:rPr>
          <w:rFonts w:ascii="Times New Roman" w:hAnsi="Times New Roman" w:cs="Times New Roman"/>
          <w:sz w:val="24"/>
          <w:szCs w:val="24"/>
        </w:rPr>
        <w:t>.</w:t>
      </w:r>
    </w:p>
    <w:p w14:paraId="7506C080" w14:textId="3AC34714" w:rsidR="00724DEC" w:rsidRDefault="00724DEC" w:rsidP="00FF28D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Attachment C of CPS 001 sets out the requirements for general insurers and Level 2 insurance groups, life companies and private health insurers in applying counterparty grades to assets subject to credit risk.</w:t>
      </w:r>
    </w:p>
    <w:p w14:paraId="2C918ACF" w14:textId="09292911" w:rsidR="009436A9" w:rsidRDefault="009436A9" w:rsidP="00B1114E">
      <w:pPr>
        <w:spacing w:after="360"/>
        <w:jc w:val="both"/>
        <w:outlineLvl w:val="0"/>
        <w:rPr>
          <w:rFonts w:ascii="Times New Roman" w:hAnsi="Times New Roman" w:cs="Times New Roman"/>
          <w:sz w:val="24"/>
          <w:szCs w:val="24"/>
        </w:rPr>
      </w:pPr>
    </w:p>
    <w:p w14:paraId="275A85D1" w14:textId="77777777" w:rsidR="00B1114E" w:rsidRDefault="00B1114E" w:rsidP="00B1114E">
      <w:pPr>
        <w:spacing w:after="360"/>
        <w:jc w:val="both"/>
        <w:outlineLvl w:val="0"/>
        <w:rPr>
          <w:rFonts w:ascii="Times New Roman" w:hAnsi="Times New Roman"/>
          <w:b/>
          <w:sz w:val="24"/>
          <w:szCs w:val="24"/>
        </w:rPr>
        <w:sectPr w:rsidR="00B1114E" w:rsidSect="00801A23">
          <w:pgSz w:w="11906" w:h="16838" w:code="9"/>
          <w:pgMar w:top="1440" w:right="1440" w:bottom="1440" w:left="1440" w:header="567" w:footer="567" w:gutter="0"/>
          <w:cols w:space="708"/>
          <w:titlePg/>
          <w:docGrid w:linePitch="360"/>
        </w:sectPr>
      </w:pPr>
    </w:p>
    <w:p w14:paraId="6A5D5CC6" w14:textId="77777777" w:rsidR="000A0E5F" w:rsidRPr="000A0E5F" w:rsidRDefault="000A0E5F" w:rsidP="00FF28D9">
      <w:pPr>
        <w:spacing w:after="240" w:line="240" w:lineRule="auto"/>
        <w:jc w:val="center"/>
        <w:rPr>
          <w:rFonts w:ascii="Times New Roman" w:hAnsi="Times New Roman"/>
          <w:b/>
          <w:sz w:val="24"/>
          <w:szCs w:val="24"/>
        </w:rPr>
      </w:pPr>
      <w:r w:rsidRPr="000A0E5F">
        <w:rPr>
          <w:rFonts w:ascii="Times New Roman" w:hAnsi="Times New Roman"/>
          <w:b/>
          <w:sz w:val="24"/>
          <w:szCs w:val="24"/>
        </w:rPr>
        <w:lastRenderedPageBreak/>
        <w:t>ATTACHMENT B</w:t>
      </w:r>
    </w:p>
    <w:p w14:paraId="1ABCFC09" w14:textId="77777777" w:rsidR="000A0E5F" w:rsidRPr="000A0E5F" w:rsidRDefault="000A0E5F" w:rsidP="00FF28D9">
      <w:pPr>
        <w:spacing w:after="240" w:line="240" w:lineRule="auto"/>
        <w:jc w:val="center"/>
        <w:rPr>
          <w:rFonts w:ascii="Times New Roman" w:hAnsi="Times New Roman"/>
          <w:b/>
          <w:sz w:val="24"/>
          <w:szCs w:val="24"/>
        </w:rPr>
      </w:pPr>
      <w:r w:rsidRPr="000A0E5F">
        <w:rPr>
          <w:rFonts w:ascii="Times New Roman" w:hAnsi="Times New Roman"/>
          <w:b/>
          <w:sz w:val="24"/>
          <w:szCs w:val="24"/>
        </w:rPr>
        <w:t>Statement of Compatibility with Human Rights</w:t>
      </w:r>
    </w:p>
    <w:p w14:paraId="5F1DB285" w14:textId="77777777" w:rsidR="000A0E5F" w:rsidRPr="000A0E5F" w:rsidRDefault="000A0E5F" w:rsidP="00FF28D9">
      <w:pPr>
        <w:spacing w:after="240" w:line="240" w:lineRule="auto"/>
        <w:jc w:val="center"/>
        <w:rPr>
          <w:rFonts w:ascii="Times New Roman" w:hAnsi="Times New Roman"/>
          <w:sz w:val="24"/>
          <w:szCs w:val="24"/>
        </w:rPr>
      </w:pPr>
      <w:r w:rsidRPr="000A0E5F">
        <w:rPr>
          <w:rFonts w:ascii="Times New Roman" w:hAnsi="Times New Roman"/>
          <w:sz w:val="24"/>
          <w:szCs w:val="24"/>
        </w:rPr>
        <w:t xml:space="preserve">Prepared in accordance with Part 3 of the </w:t>
      </w:r>
      <w:r w:rsidRPr="000A0E5F">
        <w:rPr>
          <w:rFonts w:ascii="Times New Roman" w:hAnsi="Times New Roman"/>
          <w:i/>
          <w:sz w:val="24"/>
          <w:szCs w:val="24"/>
        </w:rPr>
        <w:t>Human Rights (Parliamentary Scrutiny) Act 2011</w:t>
      </w:r>
    </w:p>
    <w:p w14:paraId="76DF34C0" w14:textId="3815820E" w:rsidR="000A0E5F" w:rsidRDefault="000A0E5F" w:rsidP="00FF28D9">
      <w:pPr>
        <w:pStyle w:val="Heading"/>
        <w:spacing w:after="240"/>
        <w:jc w:val="center"/>
        <w:rPr>
          <w:rFonts w:ascii="Times New Roman" w:hAnsi="Times New Roman"/>
          <w:sz w:val="24"/>
          <w:szCs w:val="24"/>
        </w:rPr>
      </w:pPr>
      <w:r w:rsidRPr="6BFD02B1">
        <w:rPr>
          <w:rFonts w:ascii="Times New Roman" w:hAnsi="Times New Roman"/>
          <w:sz w:val="24"/>
          <w:szCs w:val="24"/>
        </w:rPr>
        <w:t xml:space="preserve">Banking, Insurance, Life Insurance, Health Insurance and Superannuation (prudential standard) determination </w:t>
      </w:r>
      <w:r w:rsidRPr="006A4C63">
        <w:rPr>
          <w:rFonts w:ascii="Times New Roman" w:hAnsi="Times New Roman"/>
          <w:sz w:val="24"/>
          <w:szCs w:val="24"/>
        </w:rPr>
        <w:t xml:space="preserve">No. </w:t>
      </w:r>
      <w:r w:rsidR="006A4C63" w:rsidRPr="0042206F">
        <w:rPr>
          <w:rFonts w:ascii="Times New Roman" w:hAnsi="Times New Roman"/>
          <w:sz w:val="24"/>
          <w:szCs w:val="24"/>
        </w:rPr>
        <w:t>1</w:t>
      </w:r>
      <w:r w:rsidRPr="6BFD02B1">
        <w:rPr>
          <w:rFonts w:ascii="Times New Roman" w:hAnsi="Times New Roman"/>
          <w:sz w:val="24"/>
          <w:szCs w:val="24"/>
        </w:rPr>
        <w:t xml:space="preserve"> of 2024</w:t>
      </w:r>
    </w:p>
    <w:p w14:paraId="3DF5C83A" w14:textId="12B14EBB" w:rsidR="000A0E5F" w:rsidRPr="000A0E5F" w:rsidRDefault="000A0E5F" w:rsidP="00FF28D9">
      <w:pPr>
        <w:spacing w:after="240" w:line="240" w:lineRule="auto"/>
        <w:jc w:val="both"/>
        <w:rPr>
          <w:rFonts w:ascii="Times New Roman" w:hAnsi="Times New Roman"/>
          <w:sz w:val="24"/>
          <w:szCs w:val="24"/>
        </w:rPr>
      </w:pPr>
      <w:r w:rsidRPr="000A0E5F">
        <w:rPr>
          <w:rFonts w:ascii="Times New Roman" w:hAnsi="Times New Roman"/>
          <w:sz w:val="24"/>
          <w:szCs w:val="24"/>
        </w:rPr>
        <w:t xml:space="preserve">This </w:t>
      </w:r>
      <w:r w:rsidR="002E5590">
        <w:rPr>
          <w:rFonts w:ascii="Times New Roman" w:hAnsi="Times New Roman"/>
          <w:sz w:val="24"/>
          <w:szCs w:val="24"/>
        </w:rPr>
        <w:t xml:space="preserve">instrument </w:t>
      </w:r>
      <w:r w:rsidRPr="000A0E5F">
        <w:rPr>
          <w:rFonts w:ascii="Times New Roman" w:hAnsi="Times New Roman"/>
          <w:sz w:val="24"/>
          <w:szCs w:val="24"/>
        </w:rPr>
        <w:t xml:space="preserve">is compatible with the human rights and freedoms recognised or declared in the international instruments listed in section 3 of the </w:t>
      </w:r>
      <w:r w:rsidRPr="000A0E5F">
        <w:rPr>
          <w:rFonts w:ascii="Times New Roman" w:hAnsi="Times New Roman"/>
          <w:i/>
          <w:sz w:val="24"/>
          <w:szCs w:val="24"/>
        </w:rPr>
        <w:t xml:space="preserve">Human Rights (Parliamentary Scrutiny) Act 2011 </w:t>
      </w:r>
      <w:r w:rsidRPr="000A0E5F">
        <w:rPr>
          <w:rFonts w:ascii="Times New Roman" w:hAnsi="Times New Roman"/>
          <w:sz w:val="24"/>
          <w:szCs w:val="24"/>
        </w:rPr>
        <w:t>(HRPS Act).</w:t>
      </w:r>
    </w:p>
    <w:p w14:paraId="190F3516" w14:textId="77777777" w:rsidR="000A0E5F" w:rsidRPr="00C145E5" w:rsidRDefault="000A0E5F" w:rsidP="00FF28D9">
      <w:pPr>
        <w:spacing w:after="240" w:line="240" w:lineRule="auto"/>
        <w:jc w:val="both"/>
        <w:rPr>
          <w:rFonts w:ascii="Times New Roman" w:hAnsi="Times New Roman"/>
          <w:b/>
          <w:sz w:val="24"/>
          <w:szCs w:val="24"/>
        </w:rPr>
      </w:pPr>
      <w:r w:rsidRPr="00C145E5">
        <w:rPr>
          <w:rFonts w:ascii="Times New Roman" w:hAnsi="Times New Roman"/>
          <w:b/>
          <w:sz w:val="24"/>
          <w:szCs w:val="24"/>
        </w:rPr>
        <w:t>Overview of the Legislative Instrument</w:t>
      </w:r>
    </w:p>
    <w:p w14:paraId="77744290" w14:textId="77B54AD9" w:rsidR="000A0E5F" w:rsidRPr="000A0E5F" w:rsidRDefault="00C145E5" w:rsidP="00FF28D9">
      <w:pPr>
        <w:spacing w:after="240" w:line="240" w:lineRule="auto"/>
        <w:jc w:val="both"/>
        <w:rPr>
          <w:rFonts w:ascii="Times New Roman" w:hAnsi="Times New Roman"/>
          <w:sz w:val="24"/>
          <w:szCs w:val="24"/>
        </w:rPr>
      </w:pPr>
      <w:r w:rsidRPr="00C145E5">
        <w:rPr>
          <w:rFonts w:ascii="Times New Roman" w:hAnsi="Times New Roman"/>
          <w:sz w:val="24"/>
          <w:szCs w:val="24"/>
        </w:rPr>
        <w:t xml:space="preserve">The purpose of </w:t>
      </w:r>
      <w:r w:rsidR="000B0533">
        <w:rPr>
          <w:rFonts w:ascii="Times New Roman" w:hAnsi="Times New Roman"/>
          <w:sz w:val="24"/>
          <w:szCs w:val="24"/>
        </w:rPr>
        <w:t>this</w:t>
      </w:r>
      <w:r w:rsidRPr="00C145E5">
        <w:rPr>
          <w:rFonts w:ascii="Times New Roman" w:hAnsi="Times New Roman"/>
          <w:sz w:val="24"/>
          <w:szCs w:val="24"/>
        </w:rPr>
        <w:t xml:space="preserve"> instrument is to determine a new </w:t>
      </w:r>
      <w:r w:rsidRPr="0052212B">
        <w:rPr>
          <w:rFonts w:ascii="Times New Roman" w:hAnsi="Times New Roman"/>
          <w:i/>
          <w:sz w:val="24"/>
          <w:szCs w:val="24"/>
        </w:rPr>
        <w:t xml:space="preserve">Prudential Standard CPS </w:t>
      </w:r>
      <w:r w:rsidR="0052212B" w:rsidRPr="0052212B">
        <w:rPr>
          <w:rFonts w:ascii="Times New Roman" w:hAnsi="Times New Roman"/>
          <w:i/>
          <w:sz w:val="24"/>
          <w:szCs w:val="24"/>
        </w:rPr>
        <w:t>001</w:t>
      </w:r>
      <w:r w:rsidRPr="0052212B">
        <w:rPr>
          <w:rFonts w:ascii="Times New Roman" w:hAnsi="Times New Roman"/>
          <w:i/>
          <w:sz w:val="24"/>
          <w:szCs w:val="24"/>
        </w:rPr>
        <w:t xml:space="preserve"> </w:t>
      </w:r>
      <w:r w:rsidR="0052212B" w:rsidRPr="0052212B">
        <w:rPr>
          <w:rFonts w:ascii="Times New Roman" w:hAnsi="Times New Roman"/>
          <w:i/>
          <w:sz w:val="24"/>
          <w:szCs w:val="24"/>
        </w:rPr>
        <w:t>Defined terms</w:t>
      </w:r>
      <w:r w:rsidR="0052212B">
        <w:rPr>
          <w:rFonts w:ascii="Times New Roman" w:hAnsi="Times New Roman"/>
          <w:sz w:val="24"/>
          <w:szCs w:val="24"/>
        </w:rPr>
        <w:t xml:space="preserve"> and </w:t>
      </w:r>
      <w:r w:rsidR="000A0E5F" w:rsidRPr="000A0E5F">
        <w:rPr>
          <w:rFonts w:ascii="Times New Roman" w:hAnsi="Times New Roman"/>
          <w:sz w:val="24"/>
          <w:szCs w:val="24"/>
        </w:rPr>
        <w:t xml:space="preserve">revoke </w:t>
      </w:r>
      <w:r w:rsidR="000A0E5F" w:rsidRPr="0052212B">
        <w:rPr>
          <w:rFonts w:ascii="Times New Roman" w:hAnsi="Times New Roman"/>
          <w:i/>
          <w:sz w:val="24"/>
          <w:szCs w:val="24"/>
        </w:rPr>
        <w:t xml:space="preserve">Prudential Standard </w:t>
      </w:r>
      <w:r w:rsidRPr="0052212B">
        <w:rPr>
          <w:rFonts w:ascii="Times New Roman" w:hAnsi="Times New Roman"/>
          <w:i/>
          <w:sz w:val="24"/>
          <w:szCs w:val="24"/>
        </w:rPr>
        <w:t>APS 001 Definitions</w:t>
      </w:r>
      <w:r>
        <w:rPr>
          <w:rFonts w:ascii="Times New Roman" w:hAnsi="Times New Roman"/>
          <w:sz w:val="24"/>
          <w:szCs w:val="24"/>
        </w:rPr>
        <w:t xml:space="preserve">, </w:t>
      </w:r>
      <w:r w:rsidRPr="0052212B">
        <w:rPr>
          <w:rFonts w:ascii="Times New Roman" w:hAnsi="Times New Roman"/>
          <w:i/>
          <w:sz w:val="24"/>
          <w:szCs w:val="24"/>
        </w:rPr>
        <w:t xml:space="preserve">Prudential Standard </w:t>
      </w:r>
      <w:r w:rsidR="000A0E5F" w:rsidRPr="0052212B">
        <w:rPr>
          <w:rFonts w:ascii="Times New Roman" w:hAnsi="Times New Roman"/>
          <w:i/>
          <w:sz w:val="24"/>
          <w:szCs w:val="24"/>
        </w:rPr>
        <w:t xml:space="preserve">GPS </w:t>
      </w:r>
      <w:r w:rsidRPr="0052212B">
        <w:rPr>
          <w:rFonts w:ascii="Times New Roman" w:hAnsi="Times New Roman"/>
          <w:i/>
          <w:sz w:val="24"/>
          <w:szCs w:val="24"/>
        </w:rPr>
        <w:t>001 Definitions</w:t>
      </w:r>
      <w:r>
        <w:rPr>
          <w:rFonts w:ascii="Times New Roman" w:hAnsi="Times New Roman"/>
          <w:sz w:val="24"/>
          <w:szCs w:val="24"/>
        </w:rPr>
        <w:t xml:space="preserve">, </w:t>
      </w:r>
      <w:r w:rsidRPr="0052212B">
        <w:rPr>
          <w:rFonts w:ascii="Times New Roman" w:hAnsi="Times New Roman"/>
          <w:i/>
          <w:sz w:val="24"/>
          <w:szCs w:val="24"/>
        </w:rPr>
        <w:t>Prudential Standard LPS 001 Definitions</w:t>
      </w:r>
      <w:r>
        <w:rPr>
          <w:rFonts w:ascii="Times New Roman" w:hAnsi="Times New Roman"/>
          <w:sz w:val="24"/>
          <w:szCs w:val="24"/>
        </w:rPr>
        <w:t xml:space="preserve">, </w:t>
      </w:r>
      <w:r w:rsidRPr="0052212B">
        <w:rPr>
          <w:rFonts w:ascii="Times New Roman" w:hAnsi="Times New Roman"/>
          <w:i/>
          <w:sz w:val="24"/>
          <w:szCs w:val="24"/>
        </w:rPr>
        <w:t>Prudential Standard HPS 001 Definitions</w:t>
      </w:r>
      <w:r>
        <w:rPr>
          <w:rFonts w:ascii="Times New Roman" w:hAnsi="Times New Roman"/>
          <w:sz w:val="24"/>
          <w:szCs w:val="24"/>
        </w:rPr>
        <w:t xml:space="preserve"> and </w:t>
      </w:r>
      <w:r w:rsidRPr="0052212B">
        <w:rPr>
          <w:rFonts w:ascii="Times New Roman" w:hAnsi="Times New Roman"/>
          <w:i/>
          <w:sz w:val="24"/>
          <w:szCs w:val="24"/>
        </w:rPr>
        <w:t>Prudential Standard 3PS</w:t>
      </w:r>
      <w:r w:rsidR="0052212B" w:rsidRPr="0052212B">
        <w:rPr>
          <w:rFonts w:ascii="Times New Roman" w:hAnsi="Times New Roman"/>
          <w:i/>
          <w:sz w:val="24"/>
          <w:szCs w:val="24"/>
        </w:rPr>
        <w:t xml:space="preserve"> 001</w:t>
      </w:r>
      <w:r w:rsidR="0052212B">
        <w:rPr>
          <w:rFonts w:ascii="Times New Roman" w:hAnsi="Times New Roman"/>
          <w:i/>
          <w:sz w:val="24"/>
          <w:szCs w:val="24"/>
        </w:rPr>
        <w:t xml:space="preserve"> Definitions</w:t>
      </w:r>
      <w:r w:rsidR="000A0E5F" w:rsidRPr="000A0E5F">
        <w:rPr>
          <w:rFonts w:ascii="Times New Roman" w:hAnsi="Times New Roman"/>
          <w:sz w:val="24"/>
          <w:szCs w:val="24"/>
        </w:rPr>
        <w:t>.</w:t>
      </w:r>
    </w:p>
    <w:p w14:paraId="422A89A5" w14:textId="02B2D72E" w:rsidR="000A0E5F" w:rsidRPr="000A0E5F" w:rsidRDefault="0052212B" w:rsidP="00FF28D9">
      <w:pPr>
        <w:spacing w:after="240" w:line="240" w:lineRule="auto"/>
        <w:jc w:val="both"/>
        <w:rPr>
          <w:rFonts w:ascii="Times New Roman" w:hAnsi="Times New Roman"/>
          <w:sz w:val="24"/>
          <w:szCs w:val="24"/>
        </w:rPr>
      </w:pPr>
      <w:r>
        <w:rPr>
          <w:rFonts w:ascii="Times New Roman" w:hAnsi="Times New Roman"/>
          <w:sz w:val="24"/>
          <w:szCs w:val="24"/>
        </w:rPr>
        <w:t>C</w:t>
      </w:r>
      <w:r w:rsidR="000A0E5F" w:rsidRPr="000A0E5F">
        <w:rPr>
          <w:rFonts w:ascii="Times New Roman" w:hAnsi="Times New Roman"/>
          <w:sz w:val="24"/>
          <w:szCs w:val="24"/>
        </w:rPr>
        <w:t>PS</w:t>
      </w:r>
      <w:r>
        <w:rPr>
          <w:rFonts w:ascii="Times New Roman" w:hAnsi="Times New Roman"/>
          <w:sz w:val="24"/>
          <w:szCs w:val="24"/>
        </w:rPr>
        <w:t xml:space="preserve"> 001</w:t>
      </w:r>
      <w:r w:rsidR="000A0E5F" w:rsidRPr="000A0E5F">
        <w:rPr>
          <w:rFonts w:ascii="Times New Roman" w:hAnsi="Times New Roman"/>
          <w:sz w:val="24"/>
          <w:szCs w:val="24"/>
        </w:rPr>
        <w:t xml:space="preserve"> </w:t>
      </w:r>
      <w:r w:rsidRPr="0052212B">
        <w:rPr>
          <w:rFonts w:ascii="Times New Roman" w:hAnsi="Times New Roman"/>
          <w:sz w:val="24"/>
          <w:szCs w:val="24"/>
        </w:rPr>
        <w:t xml:space="preserve">centralises defined terms used in the </w:t>
      </w:r>
      <w:r w:rsidR="00226415">
        <w:rPr>
          <w:rFonts w:ascii="Times New Roman" w:hAnsi="Times New Roman" w:cs="Times New Roman"/>
          <w:sz w:val="24"/>
          <w:szCs w:val="24"/>
        </w:rPr>
        <w:t xml:space="preserve">banking </w:t>
      </w:r>
      <w:r w:rsidRPr="0052212B">
        <w:rPr>
          <w:rFonts w:ascii="Times New Roman" w:hAnsi="Times New Roman"/>
          <w:sz w:val="24"/>
          <w:szCs w:val="24"/>
        </w:rPr>
        <w:t>and insurance prudential frameworks within one prudential standard</w:t>
      </w:r>
      <w:r>
        <w:rPr>
          <w:rFonts w:ascii="Times New Roman" w:hAnsi="Times New Roman"/>
          <w:sz w:val="24"/>
          <w:szCs w:val="24"/>
        </w:rPr>
        <w:t xml:space="preserve"> to improve consistency</w:t>
      </w:r>
      <w:r w:rsidRPr="0052212B">
        <w:rPr>
          <w:rFonts w:ascii="Times New Roman" w:hAnsi="Times New Roman"/>
          <w:sz w:val="24"/>
          <w:szCs w:val="24"/>
        </w:rPr>
        <w:t>. The standard also explicitly links each defined term to the industries it applies to, making it easier to understand and apply the prudential framework</w:t>
      </w:r>
      <w:r>
        <w:rPr>
          <w:rFonts w:ascii="Times New Roman" w:hAnsi="Times New Roman"/>
          <w:sz w:val="24"/>
          <w:szCs w:val="24"/>
        </w:rPr>
        <w:t>.</w:t>
      </w:r>
    </w:p>
    <w:p w14:paraId="74EF582E" w14:textId="47EC8A01" w:rsidR="000A0E5F" w:rsidRPr="00C145E5" w:rsidRDefault="000A0E5F" w:rsidP="00FF28D9">
      <w:pPr>
        <w:spacing w:after="240" w:line="240" w:lineRule="auto"/>
        <w:jc w:val="both"/>
        <w:rPr>
          <w:rFonts w:ascii="Times New Roman" w:hAnsi="Times New Roman"/>
          <w:b/>
          <w:sz w:val="24"/>
          <w:szCs w:val="24"/>
        </w:rPr>
      </w:pPr>
      <w:r w:rsidRPr="00C145E5">
        <w:rPr>
          <w:rFonts w:ascii="Times New Roman" w:hAnsi="Times New Roman"/>
          <w:b/>
          <w:sz w:val="24"/>
          <w:szCs w:val="24"/>
        </w:rPr>
        <w:t>Human rights implications</w:t>
      </w:r>
    </w:p>
    <w:p w14:paraId="1D16C35D" w14:textId="5E4D2B37" w:rsidR="000A0E5F" w:rsidRPr="000A0E5F" w:rsidRDefault="000A0E5F" w:rsidP="00FF28D9">
      <w:pPr>
        <w:spacing w:after="240" w:line="240" w:lineRule="auto"/>
        <w:jc w:val="both"/>
        <w:rPr>
          <w:rFonts w:ascii="Times New Roman" w:hAnsi="Times New Roman"/>
          <w:sz w:val="24"/>
          <w:szCs w:val="24"/>
        </w:rPr>
      </w:pPr>
      <w:r w:rsidRPr="000A0E5F">
        <w:rPr>
          <w:rFonts w:ascii="Times New Roman" w:hAnsi="Times New Roman"/>
          <w:sz w:val="24"/>
          <w:szCs w:val="24"/>
        </w:rPr>
        <w:t xml:space="preserve">APRA has assessed </w:t>
      </w:r>
      <w:r w:rsidR="000B0533">
        <w:rPr>
          <w:rFonts w:ascii="Times New Roman" w:hAnsi="Times New Roman"/>
          <w:sz w:val="24"/>
          <w:szCs w:val="24"/>
        </w:rPr>
        <w:t xml:space="preserve">this instrument </w:t>
      </w:r>
      <w:r w:rsidRPr="000A0E5F">
        <w:rPr>
          <w:rFonts w:ascii="Times New Roman" w:hAnsi="Times New Roman"/>
          <w:sz w:val="24"/>
          <w:szCs w:val="24"/>
        </w:rPr>
        <w:t xml:space="preserve">and is of the view that it does not engage any of the applicable rights or freedoms recognised or declared in the international instruments listed in section 3 of the HRPS Act. Accordingly, in APRA’s assessment, </w:t>
      </w:r>
      <w:r w:rsidR="000B0533">
        <w:rPr>
          <w:rFonts w:ascii="Times New Roman" w:hAnsi="Times New Roman"/>
          <w:sz w:val="24"/>
          <w:szCs w:val="24"/>
        </w:rPr>
        <w:t xml:space="preserve">this instrument </w:t>
      </w:r>
      <w:r w:rsidRPr="000A0E5F">
        <w:rPr>
          <w:rFonts w:ascii="Times New Roman" w:hAnsi="Times New Roman"/>
          <w:sz w:val="24"/>
          <w:szCs w:val="24"/>
        </w:rPr>
        <w:t>is compatible with human rights.</w:t>
      </w:r>
    </w:p>
    <w:p w14:paraId="0D519AEF" w14:textId="77777777" w:rsidR="000A0E5F" w:rsidRPr="00C145E5" w:rsidRDefault="000A0E5F" w:rsidP="00FF28D9">
      <w:pPr>
        <w:spacing w:after="240" w:line="240" w:lineRule="auto"/>
        <w:jc w:val="both"/>
        <w:rPr>
          <w:rFonts w:ascii="Times New Roman" w:hAnsi="Times New Roman"/>
          <w:b/>
          <w:sz w:val="24"/>
          <w:szCs w:val="24"/>
        </w:rPr>
      </w:pPr>
      <w:r w:rsidRPr="00C145E5">
        <w:rPr>
          <w:rFonts w:ascii="Times New Roman" w:hAnsi="Times New Roman"/>
          <w:b/>
          <w:sz w:val="24"/>
          <w:szCs w:val="24"/>
        </w:rPr>
        <w:t>Conclusion</w:t>
      </w:r>
    </w:p>
    <w:p w14:paraId="331B40F4" w14:textId="70EE539B" w:rsidR="004C6B2D" w:rsidRPr="00D9085C" w:rsidRDefault="000A0E5F" w:rsidP="00FF28D9">
      <w:pPr>
        <w:spacing w:after="240" w:line="240" w:lineRule="auto"/>
        <w:jc w:val="both"/>
        <w:rPr>
          <w:rFonts w:ascii="Times New Roman" w:eastAsia="Times New Roman" w:hAnsi="Times New Roman" w:cs="Times New Roman"/>
          <w:sz w:val="24"/>
          <w:szCs w:val="24"/>
        </w:rPr>
      </w:pPr>
      <w:r w:rsidRPr="000A0E5F">
        <w:rPr>
          <w:rFonts w:ascii="Times New Roman" w:hAnsi="Times New Roman"/>
          <w:sz w:val="24"/>
          <w:szCs w:val="24"/>
        </w:rPr>
        <w:t xml:space="preserve">This </w:t>
      </w:r>
      <w:r w:rsidR="000B0533">
        <w:rPr>
          <w:rFonts w:ascii="Times New Roman" w:hAnsi="Times New Roman"/>
          <w:sz w:val="24"/>
          <w:szCs w:val="24"/>
        </w:rPr>
        <w:t xml:space="preserve">instrument </w:t>
      </w:r>
      <w:r w:rsidRPr="000A0E5F">
        <w:rPr>
          <w:rFonts w:ascii="Times New Roman" w:hAnsi="Times New Roman"/>
          <w:sz w:val="24"/>
          <w:szCs w:val="24"/>
        </w:rPr>
        <w:t>is compatible with human rights as it does not raise any human rights issues</w:t>
      </w:r>
      <w:r w:rsidR="00C145E5">
        <w:rPr>
          <w:rFonts w:ascii="Times New Roman" w:hAnsi="Times New Roman"/>
          <w:sz w:val="24"/>
          <w:szCs w:val="24"/>
        </w:rPr>
        <w:t>.</w:t>
      </w:r>
    </w:p>
    <w:sectPr w:rsidR="004C6B2D" w:rsidRPr="00D9085C" w:rsidSect="00801A23">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EEE6D" w14:textId="77777777" w:rsidR="00016A35" w:rsidRDefault="00016A35" w:rsidP="007A463E">
      <w:pPr>
        <w:spacing w:after="0" w:line="240" w:lineRule="auto"/>
      </w:pPr>
      <w:r>
        <w:separator/>
      </w:r>
    </w:p>
    <w:p w14:paraId="367DA0B8" w14:textId="77777777" w:rsidR="00016A35" w:rsidRDefault="00016A35"/>
  </w:endnote>
  <w:endnote w:type="continuationSeparator" w:id="0">
    <w:p w14:paraId="5CDB12B3" w14:textId="77777777" w:rsidR="00016A35" w:rsidRDefault="00016A35" w:rsidP="007A463E">
      <w:pPr>
        <w:spacing w:after="0" w:line="240" w:lineRule="auto"/>
      </w:pPr>
      <w:r>
        <w:continuationSeparator/>
      </w:r>
    </w:p>
    <w:p w14:paraId="5B693A03" w14:textId="77777777" w:rsidR="00016A35" w:rsidRDefault="00016A35"/>
  </w:endnote>
  <w:endnote w:type="continuationNotice" w:id="1">
    <w:p w14:paraId="2621E697" w14:textId="77777777" w:rsidR="00016A35" w:rsidRDefault="00016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tka Subheading Semibold">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7420" w14:textId="5B176238" w:rsidR="000868B7" w:rsidRPr="00777743" w:rsidRDefault="00916F73">
    <w:pPr>
      <w:pStyle w:val="Footer"/>
      <w:jc w:val="center"/>
      <w:rPr>
        <w:rFonts w:ascii="Times New Roman" w:hAnsi="Times New Roman" w:cs="Times New Roman"/>
        <w:sz w:val="24"/>
        <w:szCs w:val="24"/>
      </w:rPr>
    </w:pPr>
    <w:sdt>
      <w:sdtPr>
        <w:id w:val="1446969505"/>
        <w:docPartObj>
          <w:docPartGallery w:val="Page Numbers (Bottom of Page)"/>
          <w:docPartUnique/>
        </w:docPartObj>
      </w:sdtPr>
      <w:sdtEndPr>
        <w:rPr>
          <w:rFonts w:ascii="Times New Roman" w:hAnsi="Times New Roman" w:cs="Times New Roman"/>
          <w:noProof/>
          <w:sz w:val="24"/>
          <w:szCs w:val="24"/>
        </w:rPr>
      </w:sdtEndPr>
      <w:sdtContent>
        <w:r w:rsidR="000868B7" w:rsidRPr="00777743">
          <w:rPr>
            <w:rFonts w:ascii="Times New Roman" w:hAnsi="Times New Roman" w:cs="Times New Roman"/>
            <w:sz w:val="24"/>
            <w:szCs w:val="24"/>
          </w:rPr>
          <w:fldChar w:fldCharType="begin"/>
        </w:r>
        <w:r w:rsidR="000868B7" w:rsidRPr="00777743">
          <w:rPr>
            <w:rFonts w:ascii="Times New Roman" w:hAnsi="Times New Roman" w:cs="Times New Roman"/>
            <w:sz w:val="24"/>
            <w:szCs w:val="24"/>
          </w:rPr>
          <w:instrText xml:space="preserve"> PAGE   \* MERGEFORMAT </w:instrText>
        </w:r>
        <w:r w:rsidR="000868B7" w:rsidRPr="00777743">
          <w:rPr>
            <w:rFonts w:ascii="Times New Roman" w:hAnsi="Times New Roman" w:cs="Times New Roman"/>
            <w:sz w:val="24"/>
            <w:szCs w:val="24"/>
          </w:rPr>
          <w:fldChar w:fldCharType="separate"/>
        </w:r>
        <w:r w:rsidR="000868B7" w:rsidRPr="00777743">
          <w:rPr>
            <w:rFonts w:ascii="Times New Roman" w:hAnsi="Times New Roman" w:cs="Times New Roman"/>
            <w:noProof/>
            <w:sz w:val="24"/>
            <w:szCs w:val="24"/>
          </w:rPr>
          <w:t>2</w:t>
        </w:r>
        <w:r w:rsidR="000868B7" w:rsidRPr="00777743">
          <w:rPr>
            <w:rFonts w:ascii="Times New Roman" w:hAnsi="Times New Roman" w:cs="Times New Roman"/>
            <w:noProof/>
            <w:sz w:val="24"/>
            <w:szCs w:val="24"/>
          </w:rPr>
          <w:fldChar w:fldCharType="end"/>
        </w:r>
      </w:sdtContent>
    </w:sdt>
  </w:p>
  <w:p w14:paraId="4F1966D8" w14:textId="77777777" w:rsidR="000868B7" w:rsidRDefault="0008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848C" w14:textId="0F4CFD86" w:rsidR="000868B7" w:rsidRPr="00777743" w:rsidRDefault="000868B7">
    <w:pPr>
      <w:pStyle w:val="Footer"/>
      <w:jc w:val="center"/>
      <w:rPr>
        <w:rFonts w:ascii="Times New Roman" w:hAnsi="Times New Roman" w:cs="Times New Roman"/>
        <w:sz w:val="24"/>
      </w:rPr>
    </w:pPr>
    <w:r w:rsidRPr="00777743">
      <w:rPr>
        <w:rFonts w:ascii="Times New Roman" w:hAnsi="Times New Roman" w:cs="Times New Roman"/>
        <w:sz w:val="24"/>
      </w:rPr>
      <w:fldChar w:fldCharType="begin"/>
    </w:r>
    <w:r w:rsidRPr="00777743">
      <w:rPr>
        <w:rFonts w:ascii="Times New Roman" w:hAnsi="Times New Roman" w:cs="Times New Roman"/>
        <w:sz w:val="24"/>
      </w:rPr>
      <w:instrText xml:space="preserve"> PAGE   \* MERGEFORMAT </w:instrText>
    </w:r>
    <w:r w:rsidRPr="00777743">
      <w:rPr>
        <w:rFonts w:ascii="Times New Roman" w:hAnsi="Times New Roman" w:cs="Times New Roman"/>
        <w:sz w:val="24"/>
      </w:rPr>
      <w:fldChar w:fldCharType="separate"/>
    </w:r>
    <w:r w:rsidRPr="00777743">
      <w:rPr>
        <w:rFonts w:ascii="Times New Roman" w:hAnsi="Times New Roman" w:cs="Times New Roman"/>
        <w:noProof/>
        <w:sz w:val="24"/>
      </w:rPr>
      <w:t>2</w:t>
    </w:r>
    <w:r w:rsidRPr="00777743">
      <w:rPr>
        <w:rFonts w:ascii="Times New Roman" w:hAnsi="Times New Roman" w:cs="Times New Roman"/>
        <w:noProof/>
        <w:sz w:val="24"/>
      </w:rPr>
      <w:fldChar w:fldCharType="end"/>
    </w:r>
  </w:p>
  <w:p w14:paraId="26D3848D" w14:textId="77777777" w:rsidR="000868B7" w:rsidRDefault="0008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A2E0B" w14:textId="77777777" w:rsidR="00016A35" w:rsidRDefault="00016A35" w:rsidP="007A463E">
      <w:pPr>
        <w:spacing w:after="0" w:line="240" w:lineRule="auto"/>
      </w:pPr>
      <w:r>
        <w:separator/>
      </w:r>
    </w:p>
    <w:p w14:paraId="0F053D55" w14:textId="77777777" w:rsidR="00016A35" w:rsidRDefault="00016A35"/>
  </w:footnote>
  <w:footnote w:type="continuationSeparator" w:id="0">
    <w:p w14:paraId="65D90CD5" w14:textId="77777777" w:rsidR="00016A35" w:rsidRDefault="00016A35" w:rsidP="007A463E">
      <w:pPr>
        <w:spacing w:after="0" w:line="240" w:lineRule="auto"/>
      </w:pPr>
      <w:r>
        <w:continuationSeparator/>
      </w:r>
    </w:p>
    <w:p w14:paraId="52CE36F2" w14:textId="77777777" w:rsidR="00016A35" w:rsidRDefault="00016A35"/>
  </w:footnote>
  <w:footnote w:type="continuationNotice" w:id="1">
    <w:p w14:paraId="54BEEE22" w14:textId="77777777" w:rsidR="00016A35" w:rsidRDefault="00016A35">
      <w:pPr>
        <w:spacing w:after="0" w:line="240" w:lineRule="auto"/>
      </w:pPr>
    </w:p>
  </w:footnote>
  <w:footnote w:id="2">
    <w:p w14:paraId="51D3CD27" w14:textId="220DEE84" w:rsidR="00D8288D" w:rsidRPr="00D36FA8" w:rsidRDefault="00D8288D">
      <w:pPr>
        <w:pStyle w:val="FootnoteText"/>
        <w:rPr>
          <w:rFonts w:ascii="Times New Roman" w:hAnsi="Times New Roman" w:cs="Times New Roman"/>
          <w:szCs w:val="18"/>
        </w:rPr>
      </w:pPr>
      <w:r w:rsidRPr="00D36FA8">
        <w:rPr>
          <w:rStyle w:val="FootnoteReference"/>
          <w:rFonts w:ascii="Times New Roman" w:hAnsi="Times New Roman" w:cs="Times New Roman"/>
          <w:szCs w:val="18"/>
        </w:rPr>
        <w:footnoteRef/>
      </w:r>
      <w:r w:rsidRPr="00D36FA8">
        <w:rPr>
          <w:rFonts w:ascii="Times New Roman" w:hAnsi="Times New Roman" w:cs="Times New Roman"/>
          <w:szCs w:val="18"/>
        </w:rPr>
        <w:t xml:space="preserve"> </w:t>
      </w:r>
      <w:r w:rsidR="00A70777" w:rsidRPr="00A70777">
        <w:rPr>
          <w:rFonts w:ascii="Times New Roman" w:hAnsi="Times New Roman" w:cs="Times New Roman"/>
          <w:szCs w:val="18"/>
        </w:rPr>
        <w:t>https://www.apra.gov.au/new-cross-industry-prudential-standard-on-definitions-for-adis-and-insurers</w:t>
      </w:r>
    </w:p>
  </w:footnote>
  <w:footnote w:id="3">
    <w:p w14:paraId="5892B5F0" w14:textId="377D0203" w:rsidR="00D52566" w:rsidRDefault="00D52566" w:rsidP="00D52566">
      <w:pPr>
        <w:pStyle w:val="FootnoteText"/>
        <w:jc w:val="both"/>
        <w:rPr>
          <w:rFonts w:ascii="Trebuchet MS" w:hAnsi="Trebuchet MS"/>
        </w:rPr>
      </w:pPr>
      <w:r>
        <w:rPr>
          <w:rStyle w:val="FootnoteReference"/>
          <w:rFonts w:ascii="Times New Roman" w:hAnsi="Times New Roman"/>
        </w:rPr>
        <w:footnoteRef/>
      </w:r>
      <w:r>
        <w:rPr>
          <w:rFonts w:ascii="Times New Roman" w:hAnsi="Times New Roman"/>
        </w:rPr>
        <w:t xml:space="preserve"> 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(subsection 9A(4) of the Banking Act), contrary to the national interest (subsection 15(4) of the Insurance Act), or contrary to the public interest (subsection 26(5) of the Life Insurance Act),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848A" w14:textId="77777777" w:rsidR="000868B7" w:rsidRPr="00665727" w:rsidRDefault="000868B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848B" w14:textId="77777777" w:rsidR="000868B7" w:rsidRDefault="000868B7"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75191"/>
    <w:multiLevelType w:val="multilevel"/>
    <w:tmpl w:val="EA7C24C0"/>
    <w:lvl w:ilvl="0">
      <w:start w:val="1"/>
      <w:numFmt w:val="bullet"/>
      <w:lvlText w:val="o"/>
      <w:lvlJc w:val="left"/>
      <w:pPr>
        <w:tabs>
          <w:tab w:val="num" w:pos="0"/>
        </w:tabs>
        <w:ind w:left="0" w:hanging="360"/>
      </w:pPr>
      <w:rPr>
        <w:rFonts w:ascii="Courier New" w:hAnsi="Courier New" w:cs="Times New Roman"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o"/>
      <w:lvlJc w:val="left"/>
      <w:pPr>
        <w:tabs>
          <w:tab w:val="num" w:pos="1440"/>
        </w:tabs>
        <w:ind w:left="1440" w:hanging="360"/>
      </w:pPr>
      <w:rPr>
        <w:rFonts w:ascii="Courier New" w:hAnsi="Courier New" w:cs="Times New Roman" w:hint="default"/>
        <w:sz w:val="20"/>
      </w:rPr>
    </w:lvl>
    <w:lvl w:ilvl="3">
      <w:start w:val="1"/>
      <w:numFmt w:val="bullet"/>
      <w:lvlText w:val="o"/>
      <w:lvlJc w:val="left"/>
      <w:pPr>
        <w:tabs>
          <w:tab w:val="num" w:pos="2160"/>
        </w:tabs>
        <w:ind w:left="2160" w:hanging="360"/>
      </w:pPr>
      <w:rPr>
        <w:rFonts w:ascii="Courier New" w:hAnsi="Courier New" w:cs="Times New Roman" w:hint="default"/>
        <w:sz w:val="20"/>
      </w:rPr>
    </w:lvl>
    <w:lvl w:ilvl="4">
      <w:start w:val="1"/>
      <w:numFmt w:val="bullet"/>
      <w:lvlText w:val="o"/>
      <w:lvlJc w:val="left"/>
      <w:pPr>
        <w:tabs>
          <w:tab w:val="num" w:pos="2880"/>
        </w:tabs>
        <w:ind w:left="2880" w:hanging="360"/>
      </w:pPr>
      <w:rPr>
        <w:rFonts w:ascii="Courier New" w:hAnsi="Courier New" w:cs="Times New Roman" w:hint="default"/>
        <w:sz w:val="20"/>
      </w:rPr>
    </w:lvl>
    <w:lvl w:ilvl="5">
      <w:start w:val="1"/>
      <w:numFmt w:val="bullet"/>
      <w:lvlText w:val="o"/>
      <w:lvlJc w:val="left"/>
      <w:pPr>
        <w:tabs>
          <w:tab w:val="num" w:pos="3600"/>
        </w:tabs>
        <w:ind w:left="3600" w:hanging="360"/>
      </w:pPr>
      <w:rPr>
        <w:rFonts w:ascii="Courier New" w:hAnsi="Courier New" w:cs="Times New Roman" w:hint="default"/>
        <w:sz w:val="20"/>
      </w:rPr>
    </w:lvl>
    <w:lvl w:ilvl="6">
      <w:start w:val="1"/>
      <w:numFmt w:val="bullet"/>
      <w:lvlText w:val="o"/>
      <w:lvlJc w:val="left"/>
      <w:pPr>
        <w:tabs>
          <w:tab w:val="num" w:pos="4320"/>
        </w:tabs>
        <w:ind w:left="4320" w:hanging="360"/>
      </w:pPr>
      <w:rPr>
        <w:rFonts w:ascii="Courier New" w:hAnsi="Courier New" w:cs="Times New Roman" w:hint="default"/>
        <w:sz w:val="20"/>
      </w:rPr>
    </w:lvl>
    <w:lvl w:ilvl="7">
      <w:start w:val="1"/>
      <w:numFmt w:val="bullet"/>
      <w:lvlText w:val="o"/>
      <w:lvlJc w:val="left"/>
      <w:pPr>
        <w:tabs>
          <w:tab w:val="num" w:pos="5040"/>
        </w:tabs>
        <w:ind w:left="5040" w:hanging="360"/>
      </w:pPr>
      <w:rPr>
        <w:rFonts w:ascii="Courier New" w:hAnsi="Courier New" w:cs="Times New Roman" w:hint="default"/>
        <w:sz w:val="20"/>
      </w:rPr>
    </w:lvl>
    <w:lvl w:ilvl="8">
      <w:start w:val="1"/>
      <w:numFmt w:val="bullet"/>
      <w:lvlText w:val="o"/>
      <w:lvlJc w:val="left"/>
      <w:pPr>
        <w:tabs>
          <w:tab w:val="num" w:pos="5760"/>
        </w:tabs>
        <w:ind w:left="5760" w:hanging="360"/>
      </w:pPr>
      <w:rPr>
        <w:rFonts w:ascii="Courier New" w:hAnsi="Courier New" w:cs="Times New Roman" w:hint="default"/>
        <w:sz w:val="20"/>
      </w:rPr>
    </w:lvl>
  </w:abstractNum>
  <w:abstractNum w:abstractNumId="7" w15:restartNumberingAfterBreak="0">
    <w:nsid w:val="1E1409B1"/>
    <w:multiLevelType w:val="multilevel"/>
    <w:tmpl w:val="0C09001F"/>
    <w:numStyleLink w:val="111111"/>
  </w:abstractNum>
  <w:abstractNum w:abstractNumId="8"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40983"/>
    <w:multiLevelType w:val="hybridMultilevel"/>
    <w:tmpl w:val="6AAE1FFE"/>
    <w:lvl w:ilvl="0" w:tplc="FFFFFFFF">
      <w:start w:val="1"/>
      <w:numFmt w:val="lowerLetter"/>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A174CD"/>
    <w:multiLevelType w:val="hybridMultilevel"/>
    <w:tmpl w:val="55FCF532"/>
    <w:lvl w:ilvl="0" w:tplc="31C22928">
      <w:start w:val="2"/>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3F2167"/>
    <w:multiLevelType w:val="hybridMultilevel"/>
    <w:tmpl w:val="57282F24"/>
    <w:lvl w:ilvl="0" w:tplc="702CB01A">
      <w:start w:val="1"/>
      <w:numFmt w:val="bullet"/>
      <w:pStyle w:val="List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493D6612"/>
    <w:multiLevelType w:val="hybridMultilevel"/>
    <w:tmpl w:val="2D28E658"/>
    <w:lvl w:ilvl="0" w:tplc="6FBAB7A2">
      <w:start w:val="1"/>
      <w:numFmt w:val="decimal"/>
      <w:lvlText w:val="%1)"/>
      <w:lvlJc w:val="left"/>
      <w:pPr>
        <w:ind w:left="1020" w:hanging="360"/>
      </w:pPr>
    </w:lvl>
    <w:lvl w:ilvl="1" w:tplc="34040A04">
      <w:start w:val="1"/>
      <w:numFmt w:val="decimal"/>
      <w:lvlText w:val="%2)"/>
      <w:lvlJc w:val="left"/>
      <w:pPr>
        <w:ind w:left="1020" w:hanging="360"/>
      </w:pPr>
    </w:lvl>
    <w:lvl w:ilvl="2" w:tplc="8BB4E2FE">
      <w:start w:val="1"/>
      <w:numFmt w:val="decimal"/>
      <w:lvlText w:val="%3)"/>
      <w:lvlJc w:val="left"/>
      <w:pPr>
        <w:ind w:left="1020" w:hanging="360"/>
      </w:pPr>
    </w:lvl>
    <w:lvl w:ilvl="3" w:tplc="CBCE4798">
      <w:start w:val="1"/>
      <w:numFmt w:val="decimal"/>
      <w:lvlText w:val="%4)"/>
      <w:lvlJc w:val="left"/>
      <w:pPr>
        <w:ind w:left="1020" w:hanging="360"/>
      </w:pPr>
    </w:lvl>
    <w:lvl w:ilvl="4" w:tplc="ECC283CE">
      <w:start w:val="1"/>
      <w:numFmt w:val="decimal"/>
      <w:lvlText w:val="%5)"/>
      <w:lvlJc w:val="left"/>
      <w:pPr>
        <w:ind w:left="1020" w:hanging="360"/>
      </w:pPr>
    </w:lvl>
    <w:lvl w:ilvl="5" w:tplc="EBE2ED3E">
      <w:start w:val="1"/>
      <w:numFmt w:val="decimal"/>
      <w:lvlText w:val="%6)"/>
      <w:lvlJc w:val="left"/>
      <w:pPr>
        <w:ind w:left="1020" w:hanging="360"/>
      </w:pPr>
    </w:lvl>
    <w:lvl w:ilvl="6" w:tplc="00DEBF36">
      <w:start w:val="1"/>
      <w:numFmt w:val="decimal"/>
      <w:lvlText w:val="%7)"/>
      <w:lvlJc w:val="left"/>
      <w:pPr>
        <w:ind w:left="1020" w:hanging="360"/>
      </w:pPr>
    </w:lvl>
    <w:lvl w:ilvl="7" w:tplc="273CAF6E">
      <w:start w:val="1"/>
      <w:numFmt w:val="decimal"/>
      <w:lvlText w:val="%8)"/>
      <w:lvlJc w:val="left"/>
      <w:pPr>
        <w:ind w:left="1020" w:hanging="360"/>
      </w:pPr>
    </w:lvl>
    <w:lvl w:ilvl="8" w:tplc="9B242314">
      <w:start w:val="1"/>
      <w:numFmt w:val="decimal"/>
      <w:lvlText w:val="%9)"/>
      <w:lvlJc w:val="left"/>
      <w:pPr>
        <w:ind w:left="1020" w:hanging="360"/>
      </w:pPr>
    </w:lvl>
  </w:abstractNum>
  <w:abstractNum w:abstractNumId="13" w15:restartNumberingAfterBreak="0">
    <w:nsid w:val="56250AA9"/>
    <w:multiLevelType w:val="hybridMultilevel"/>
    <w:tmpl w:val="9606E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49428058">
    <w:abstractNumId w:val="15"/>
  </w:num>
  <w:num w:numId="2" w16cid:durableId="551574034">
    <w:abstractNumId w:val="4"/>
  </w:num>
  <w:num w:numId="3" w16cid:durableId="1527401293">
    <w:abstractNumId w:val="3"/>
  </w:num>
  <w:num w:numId="4" w16cid:durableId="1230966636">
    <w:abstractNumId w:val="2"/>
  </w:num>
  <w:num w:numId="5" w16cid:durableId="241334553">
    <w:abstractNumId w:val="1"/>
  </w:num>
  <w:num w:numId="6" w16cid:durableId="1602756968">
    <w:abstractNumId w:val="0"/>
  </w:num>
  <w:num w:numId="7" w16cid:durableId="1071007089">
    <w:abstractNumId w:val="8"/>
  </w:num>
  <w:num w:numId="8" w16cid:durableId="396243191">
    <w:abstractNumId w:val="7"/>
  </w:num>
  <w:num w:numId="9" w16cid:durableId="173542638">
    <w:abstractNumId w:val="11"/>
  </w:num>
  <w:num w:numId="10" w16cid:durableId="992031649">
    <w:abstractNumId w:val="10"/>
  </w:num>
  <w:num w:numId="11" w16cid:durableId="2142572495">
    <w:abstractNumId w:val="13"/>
  </w:num>
  <w:num w:numId="12" w16cid:durableId="784270405">
    <w:abstractNumId w:val="6"/>
  </w:num>
  <w:num w:numId="13" w16cid:durableId="753862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8104784">
    <w:abstractNumId w:val="14"/>
  </w:num>
  <w:num w:numId="15" w16cid:durableId="521628712">
    <w:abstractNumId w:val="12"/>
  </w:num>
  <w:num w:numId="16" w16cid:durableId="200091232">
    <w:abstractNumId w:val="9"/>
  </w:num>
  <w:num w:numId="17" w16cid:durableId="2035112285">
    <w:abstractNumId w:val="11"/>
  </w:num>
  <w:num w:numId="18" w16cid:durableId="196708332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124F"/>
    <w:rsid w:val="00001370"/>
    <w:rsid w:val="00002B22"/>
    <w:rsid w:val="00003065"/>
    <w:rsid w:val="00003092"/>
    <w:rsid w:val="00003673"/>
    <w:rsid w:val="000056ED"/>
    <w:rsid w:val="00005A24"/>
    <w:rsid w:val="00007BFD"/>
    <w:rsid w:val="00011B0A"/>
    <w:rsid w:val="000125E4"/>
    <w:rsid w:val="000140BB"/>
    <w:rsid w:val="000163BE"/>
    <w:rsid w:val="00016A35"/>
    <w:rsid w:val="000179FA"/>
    <w:rsid w:val="00020529"/>
    <w:rsid w:val="00020FD3"/>
    <w:rsid w:val="000241FA"/>
    <w:rsid w:val="0002447B"/>
    <w:rsid w:val="00025B91"/>
    <w:rsid w:val="00025B97"/>
    <w:rsid w:val="000269DE"/>
    <w:rsid w:val="00027229"/>
    <w:rsid w:val="00027BF0"/>
    <w:rsid w:val="00027F3F"/>
    <w:rsid w:val="000316BF"/>
    <w:rsid w:val="00036739"/>
    <w:rsid w:val="000369A2"/>
    <w:rsid w:val="00036D48"/>
    <w:rsid w:val="00036FA9"/>
    <w:rsid w:val="00037622"/>
    <w:rsid w:val="000408CA"/>
    <w:rsid w:val="00042929"/>
    <w:rsid w:val="00043ADC"/>
    <w:rsid w:val="00051568"/>
    <w:rsid w:val="000528DD"/>
    <w:rsid w:val="00052C35"/>
    <w:rsid w:val="00053F0B"/>
    <w:rsid w:val="0005564F"/>
    <w:rsid w:val="0006007B"/>
    <w:rsid w:val="00063BDC"/>
    <w:rsid w:val="0006491E"/>
    <w:rsid w:val="00064ED4"/>
    <w:rsid w:val="00065E1F"/>
    <w:rsid w:val="00067FE4"/>
    <w:rsid w:val="00070369"/>
    <w:rsid w:val="00070394"/>
    <w:rsid w:val="0007055B"/>
    <w:rsid w:val="00070BF1"/>
    <w:rsid w:val="00071BC4"/>
    <w:rsid w:val="00074557"/>
    <w:rsid w:val="00074908"/>
    <w:rsid w:val="00075490"/>
    <w:rsid w:val="00075CDC"/>
    <w:rsid w:val="000776E1"/>
    <w:rsid w:val="00077716"/>
    <w:rsid w:val="000779F5"/>
    <w:rsid w:val="00080284"/>
    <w:rsid w:val="00085496"/>
    <w:rsid w:val="00085EC3"/>
    <w:rsid w:val="000868B7"/>
    <w:rsid w:val="00086A16"/>
    <w:rsid w:val="00086CB1"/>
    <w:rsid w:val="0009047D"/>
    <w:rsid w:val="0009497B"/>
    <w:rsid w:val="00094D96"/>
    <w:rsid w:val="00095BA9"/>
    <w:rsid w:val="00095D01"/>
    <w:rsid w:val="00097D1C"/>
    <w:rsid w:val="000A0D8A"/>
    <w:rsid w:val="000A0E5F"/>
    <w:rsid w:val="000A1989"/>
    <w:rsid w:val="000A1A18"/>
    <w:rsid w:val="000A3587"/>
    <w:rsid w:val="000A3D6A"/>
    <w:rsid w:val="000A4B21"/>
    <w:rsid w:val="000A6D82"/>
    <w:rsid w:val="000A7966"/>
    <w:rsid w:val="000B0533"/>
    <w:rsid w:val="000B43DC"/>
    <w:rsid w:val="000B49D8"/>
    <w:rsid w:val="000B50AF"/>
    <w:rsid w:val="000B75F7"/>
    <w:rsid w:val="000C170D"/>
    <w:rsid w:val="000C3814"/>
    <w:rsid w:val="000C3FF9"/>
    <w:rsid w:val="000C498D"/>
    <w:rsid w:val="000C67B1"/>
    <w:rsid w:val="000C6AC7"/>
    <w:rsid w:val="000C71B2"/>
    <w:rsid w:val="000D0484"/>
    <w:rsid w:val="000D07B5"/>
    <w:rsid w:val="000D08AA"/>
    <w:rsid w:val="000D09FA"/>
    <w:rsid w:val="000D0B87"/>
    <w:rsid w:val="000D1C0A"/>
    <w:rsid w:val="000D2D92"/>
    <w:rsid w:val="000D5863"/>
    <w:rsid w:val="000E06B7"/>
    <w:rsid w:val="000E15D4"/>
    <w:rsid w:val="000E328E"/>
    <w:rsid w:val="000E345B"/>
    <w:rsid w:val="000E34A2"/>
    <w:rsid w:val="000E3C6B"/>
    <w:rsid w:val="000E47ED"/>
    <w:rsid w:val="000E76C9"/>
    <w:rsid w:val="000F0978"/>
    <w:rsid w:val="000F0E0F"/>
    <w:rsid w:val="000F20CF"/>
    <w:rsid w:val="000F2976"/>
    <w:rsid w:val="000F35B2"/>
    <w:rsid w:val="000F6CC0"/>
    <w:rsid w:val="000F6DCD"/>
    <w:rsid w:val="000F7ACB"/>
    <w:rsid w:val="0010042B"/>
    <w:rsid w:val="00101B90"/>
    <w:rsid w:val="00101E27"/>
    <w:rsid w:val="00104ABA"/>
    <w:rsid w:val="0010593E"/>
    <w:rsid w:val="0010600D"/>
    <w:rsid w:val="00106A17"/>
    <w:rsid w:val="00106BAD"/>
    <w:rsid w:val="00106D14"/>
    <w:rsid w:val="0011153B"/>
    <w:rsid w:val="00111D7A"/>
    <w:rsid w:val="00116FE0"/>
    <w:rsid w:val="001179EA"/>
    <w:rsid w:val="00121604"/>
    <w:rsid w:val="001216AE"/>
    <w:rsid w:val="00121F4D"/>
    <w:rsid w:val="0012246A"/>
    <w:rsid w:val="00122BEA"/>
    <w:rsid w:val="00122D8A"/>
    <w:rsid w:val="00124C18"/>
    <w:rsid w:val="00124F53"/>
    <w:rsid w:val="0012596F"/>
    <w:rsid w:val="00126673"/>
    <w:rsid w:val="00132ABE"/>
    <w:rsid w:val="00135327"/>
    <w:rsid w:val="00135C94"/>
    <w:rsid w:val="00135EA7"/>
    <w:rsid w:val="00137A6C"/>
    <w:rsid w:val="00137D89"/>
    <w:rsid w:val="00140383"/>
    <w:rsid w:val="00142787"/>
    <w:rsid w:val="00142968"/>
    <w:rsid w:val="001434D4"/>
    <w:rsid w:val="0014530C"/>
    <w:rsid w:val="00145D97"/>
    <w:rsid w:val="001464AC"/>
    <w:rsid w:val="00147CE5"/>
    <w:rsid w:val="001502F1"/>
    <w:rsid w:val="00150A83"/>
    <w:rsid w:val="00153232"/>
    <w:rsid w:val="00154D30"/>
    <w:rsid w:val="0015578D"/>
    <w:rsid w:val="00155B7C"/>
    <w:rsid w:val="001616DE"/>
    <w:rsid w:val="0016256B"/>
    <w:rsid w:val="0016313B"/>
    <w:rsid w:val="00164BB7"/>
    <w:rsid w:val="00165C5D"/>
    <w:rsid w:val="00167DEA"/>
    <w:rsid w:val="00172F91"/>
    <w:rsid w:val="00173F4B"/>
    <w:rsid w:val="001749F1"/>
    <w:rsid w:val="00175C64"/>
    <w:rsid w:val="001771C4"/>
    <w:rsid w:val="0017757B"/>
    <w:rsid w:val="001800FB"/>
    <w:rsid w:val="001812BB"/>
    <w:rsid w:val="001821DB"/>
    <w:rsid w:val="00183B36"/>
    <w:rsid w:val="0018471C"/>
    <w:rsid w:val="00186B12"/>
    <w:rsid w:val="00186C8C"/>
    <w:rsid w:val="00187A6C"/>
    <w:rsid w:val="001942A1"/>
    <w:rsid w:val="00194FF2"/>
    <w:rsid w:val="00197A23"/>
    <w:rsid w:val="001A0265"/>
    <w:rsid w:val="001A1CC0"/>
    <w:rsid w:val="001A2168"/>
    <w:rsid w:val="001A32D4"/>
    <w:rsid w:val="001A370D"/>
    <w:rsid w:val="001A4658"/>
    <w:rsid w:val="001A6043"/>
    <w:rsid w:val="001A7D91"/>
    <w:rsid w:val="001A7F5D"/>
    <w:rsid w:val="001B2D90"/>
    <w:rsid w:val="001B422C"/>
    <w:rsid w:val="001B5875"/>
    <w:rsid w:val="001C4B8E"/>
    <w:rsid w:val="001C6290"/>
    <w:rsid w:val="001C6F44"/>
    <w:rsid w:val="001C7426"/>
    <w:rsid w:val="001D3046"/>
    <w:rsid w:val="001D3B1C"/>
    <w:rsid w:val="001D3D9C"/>
    <w:rsid w:val="001D457D"/>
    <w:rsid w:val="001D505A"/>
    <w:rsid w:val="001D7D3C"/>
    <w:rsid w:val="001E00D2"/>
    <w:rsid w:val="001E2225"/>
    <w:rsid w:val="001E3A14"/>
    <w:rsid w:val="001E3AD1"/>
    <w:rsid w:val="001E54EA"/>
    <w:rsid w:val="001E5787"/>
    <w:rsid w:val="001E6273"/>
    <w:rsid w:val="001E6993"/>
    <w:rsid w:val="001E71EC"/>
    <w:rsid w:val="001E7618"/>
    <w:rsid w:val="001F1B48"/>
    <w:rsid w:val="001F2E39"/>
    <w:rsid w:val="001F30FC"/>
    <w:rsid w:val="001F5210"/>
    <w:rsid w:val="001F55AD"/>
    <w:rsid w:val="001F61D0"/>
    <w:rsid w:val="00200401"/>
    <w:rsid w:val="0020293F"/>
    <w:rsid w:val="00204408"/>
    <w:rsid w:val="0020555F"/>
    <w:rsid w:val="00206D85"/>
    <w:rsid w:val="002077D0"/>
    <w:rsid w:val="002104AB"/>
    <w:rsid w:val="0021143E"/>
    <w:rsid w:val="00211C6D"/>
    <w:rsid w:val="0021212A"/>
    <w:rsid w:val="0021219A"/>
    <w:rsid w:val="00212AC5"/>
    <w:rsid w:val="00212C99"/>
    <w:rsid w:val="002139BA"/>
    <w:rsid w:val="00213A10"/>
    <w:rsid w:val="00213AFD"/>
    <w:rsid w:val="0021490D"/>
    <w:rsid w:val="0021777C"/>
    <w:rsid w:val="002229DB"/>
    <w:rsid w:val="00222A74"/>
    <w:rsid w:val="00225E5B"/>
    <w:rsid w:val="00226415"/>
    <w:rsid w:val="00226AB0"/>
    <w:rsid w:val="00231BE8"/>
    <w:rsid w:val="002320F2"/>
    <w:rsid w:val="00233F57"/>
    <w:rsid w:val="0023400A"/>
    <w:rsid w:val="0023419C"/>
    <w:rsid w:val="00234A55"/>
    <w:rsid w:val="002359BA"/>
    <w:rsid w:val="00236503"/>
    <w:rsid w:val="00237493"/>
    <w:rsid w:val="00237CD9"/>
    <w:rsid w:val="00237FF5"/>
    <w:rsid w:val="002403C8"/>
    <w:rsid w:val="00240863"/>
    <w:rsid w:val="00242ED7"/>
    <w:rsid w:val="0024300D"/>
    <w:rsid w:val="0024339D"/>
    <w:rsid w:val="002433F1"/>
    <w:rsid w:val="002448E0"/>
    <w:rsid w:val="00245132"/>
    <w:rsid w:val="00246DEE"/>
    <w:rsid w:val="00247811"/>
    <w:rsid w:val="002479D0"/>
    <w:rsid w:val="00250752"/>
    <w:rsid w:val="00252CE6"/>
    <w:rsid w:val="00257E33"/>
    <w:rsid w:val="00260911"/>
    <w:rsid w:val="002611C2"/>
    <w:rsid w:val="00261DCE"/>
    <w:rsid w:val="002621DA"/>
    <w:rsid w:val="00263ED3"/>
    <w:rsid w:val="00264048"/>
    <w:rsid w:val="002640D4"/>
    <w:rsid w:val="0026542C"/>
    <w:rsid w:val="00266195"/>
    <w:rsid w:val="00267EBC"/>
    <w:rsid w:val="00273799"/>
    <w:rsid w:val="0027493D"/>
    <w:rsid w:val="00274F21"/>
    <w:rsid w:val="00275A88"/>
    <w:rsid w:val="00276387"/>
    <w:rsid w:val="002767C9"/>
    <w:rsid w:val="002802EC"/>
    <w:rsid w:val="002805B3"/>
    <w:rsid w:val="00281CCC"/>
    <w:rsid w:val="00284A48"/>
    <w:rsid w:val="00284AF8"/>
    <w:rsid w:val="002873D2"/>
    <w:rsid w:val="00291353"/>
    <w:rsid w:val="00293F7C"/>
    <w:rsid w:val="0029491D"/>
    <w:rsid w:val="00294FF4"/>
    <w:rsid w:val="002958BD"/>
    <w:rsid w:val="00296BA4"/>
    <w:rsid w:val="002A0897"/>
    <w:rsid w:val="002A305F"/>
    <w:rsid w:val="002A31CE"/>
    <w:rsid w:val="002A5EB1"/>
    <w:rsid w:val="002B007E"/>
    <w:rsid w:val="002B0B89"/>
    <w:rsid w:val="002B12FA"/>
    <w:rsid w:val="002B1D36"/>
    <w:rsid w:val="002B31BA"/>
    <w:rsid w:val="002B3C8E"/>
    <w:rsid w:val="002B6CD8"/>
    <w:rsid w:val="002B6F5E"/>
    <w:rsid w:val="002B77A4"/>
    <w:rsid w:val="002C1DCF"/>
    <w:rsid w:val="002C22BB"/>
    <w:rsid w:val="002C2397"/>
    <w:rsid w:val="002C2B98"/>
    <w:rsid w:val="002C2F6A"/>
    <w:rsid w:val="002C3320"/>
    <w:rsid w:val="002C33E6"/>
    <w:rsid w:val="002C5E39"/>
    <w:rsid w:val="002C689A"/>
    <w:rsid w:val="002D0517"/>
    <w:rsid w:val="002D259B"/>
    <w:rsid w:val="002D3389"/>
    <w:rsid w:val="002D3749"/>
    <w:rsid w:val="002D4431"/>
    <w:rsid w:val="002D499A"/>
    <w:rsid w:val="002D4B35"/>
    <w:rsid w:val="002D6599"/>
    <w:rsid w:val="002D6BF0"/>
    <w:rsid w:val="002D7A12"/>
    <w:rsid w:val="002D7B6B"/>
    <w:rsid w:val="002E271F"/>
    <w:rsid w:val="002E2867"/>
    <w:rsid w:val="002E2B42"/>
    <w:rsid w:val="002E43D3"/>
    <w:rsid w:val="002E5590"/>
    <w:rsid w:val="002E5E7D"/>
    <w:rsid w:val="002F0157"/>
    <w:rsid w:val="002F1ECD"/>
    <w:rsid w:val="002F2165"/>
    <w:rsid w:val="002F2DAC"/>
    <w:rsid w:val="002F3DBA"/>
    <w:rsid w:val="002F5035"/>
    <w:rsid w:val="002F6A03"/>
    <w:rsid w:val="002F7B53"/>
    <w:rsid w:val="003001E7"/>
    <w:rsid w:val="00300DF9"/>
    <w:rsid w:val="003040B2"/>
    <w:rsid w:val="003054D7"/>
    <w:rsid w:val="00306693"/>
    <w:rsid w:val="0031192B"/>
    <w:rsid w:val="00312B5B"/>
    <w:rsid w:val="00317949"/>
    <w:rsid w:val="0032058D"/>
    <w:rsid w:val="00320E0A"/>
    <w:rsid w:val="003242E3"/>
    <w:rsid w:val="003249EA"/>
    <w:rsid w:val="0032520F"/>
    <w:rsid w:val="003258C0"/>
    <w:rsid w:val="00325A4A"/>
    <w:rsid w:val="00325B07"/>
    <w:rsid w:val="00326056"/>
    <w:rsid w:val="00326576"/>
    <w:rsid w:val="00326E07"/>
    <w:rsid w:val="003316B0"/>
    <w:rsid w:val="0033202B"/>
    <w:rsid w:val="00333D42"/>
    <w:rsid w:val="003367EB"/>
    <w:rsid w:val="00337231"/>
    <w:rsid w:val="00340359"/>
    <w:rsid w:val="0034413A"/>
    <w:rsid w:val="00351B48"/>
    <w:rsid w:val="003532E3"/>
    <w:rsid w:val="00353350"/>
    <w:rsid w:val="00353DE2"/>
    <w:rsid w:val="003552F7"/>
    <w:rsid w:val="00355413"/>
    <w:rsid w:val="003573CA"/>
    <w:rsid w:val="00357A15"/>
    <w:rsid w:val="00360B56"/>
    <w:rsid w:val="00361FD2"/>
    <w:rsid w:val="00362276"/>
    <w:rsid w:val="003622B8"/>
    <w:rsid w:val="00363DC5"/>
    <w:rsid w:val="003652CF"/>
    <w:rsid w:val="00365761"/>
    <w:rsid w:val="00366E82"/>
    <w:rsid w:val="00367A5D"/>
    <w:rsid w:val="003707EE"/>
    <w:rsid w:val="00373B0D"/>
    <w:rsid w:val="0037430E"/>
    <w:rsid w:val="00376BF3"/>
    <w:rsid w:val="00380FEE"/>
    <w:rsid w:val="003826C9"/>
    <w:rsid w:val="00382A40"/>
    <w:rsid w:val="003830D9"/>
    <w:rsid w:val="00383B77"/>
    <w:rsid w:val="003855D8"/>
    <w:rsid w:val="0038605E"/>
    <w:rsid w:val="0038713B"/>
    <w:rsid w:val="003872D0"/>
    <w:rsid w:val="00392705"/>
    <w:rsid w:val="00392A63"/>
    <w:rsid w:val="003947B5"/>
    <w:rsid w:val="00395267"/>
    <w:rsid w:val="00395454"/>
    <w:rsid w:val="00396FD5"/>
    <w:rsid w:val="00397F8A"/>
    <w:rsid w:val="003A2249"/>
    <w:rsid w:val="003A3BD3"/>
    <w:rsid w:val="003A5564"/>
    <w:rsid w:val="003A6463"/>
    <w:rsid w:val="003A7272"/>
    <w:rsid w:val="003B1104"/>
    <w:rsid w:val="003B1E2F"/>
    <w:rsid w:val="003B25F3"/>
    <w:rsid w:val="003B3AD8"/>
    <w:rsid w:val="003C0AF0"/>
    <w:rsid w:val="003C1296"/>
    <w:rsid w:val="003C1F0E"/>
    <w:rsid w:val="003C3116"/>
    <w:rsid w:val="003C34BC"/>
    <w:rsid w:val="003C5548"/>
    <w:rsid w:val="003C562D"/>
    <w:rsid w:val="003C6269"/>
    <w:rsid w:val="003C69D5"/>
    <w:rsid w:val="003C6CBE"/>
    <w:rsid w:val="003C7194"/>
    <w:rsid w:val="003C726C"/>
    <w:rsid w:val="003D1CAB"/>
    <w:rsid w:val="003D1CE3"/>
    <w:rsid w:val="003D3099"/>
    <w:rsid w:val="003D3232"/>
    <w:rsid w:val="003D35EE"/>
    <w:rsid w:val="003D3C5A"/>
    <w:rsid w:val="003D51FA"/>
    <w:rsid w:val="003D56CB"/>
    <w:rsid w:val="003D5DD5"/>
    <w:rsid w:val="003D6738"/>
    <w:rsid w:val="003D6CEC"/>
    <w:rsid w:val="003D742B"/>
    <w:rsid w:val="003E0E5E"/>
    <w:rsid w:val="003E44CA"/>
    <w:rsid w:val="003E700E"/>
    <w:rsid w:val="003F08D0"/>
    <w:rsid w:val="003F0B12"/>
    <w:rsid w:val="003F1203"/>
    <w:rsid w:val="003F282D"/>
    <w:rsid w:val="003F28C6"/>
    <w:rsid w:val="003F2CA1"/>
    <w:rsid w:val="003F3B86"/>
    <w:rsid w:val="003F6729"/>
    <w:rsid w:val="003F6904"/>
    <w:rsid w:val="003F6ACB"/>
    <w:rsid w:val="003F700A"/>
    <w:rsid w:val="003F782F"/>
    <w:rsid w:val="004028C8"/>
    <w:rsid w:val="00404B5F"/>
    <w:rsid w:val="0040524A"/>
    <w:rsid w:val="00405416"/>
    <w:rsid w:val="00405B1C"/>
    <w:rsid w:val="004112EA"/>
    <w:rsid w:val="004119C3"/>
    <w:rsid w:val="004145E1"/>
    <w:rsid w:val="00416395"/>
    <w:rsid w:val="0042206F"/>
    <w:rsid w:val="004227F7"/>
    <w:rsid w:val="00424780"/>
    <w:rsid w:val="00425446"/>
    <w:rsid w:val="00425470"/>
    <w:rsid w:val="004255BC"/>
    <w:rsid w:val="00425FB6"/>
    <w:rsid w:val="0042682B"/>
    <w:rsid w:val="0042685E"/>
    <w:rsid w:val="0042765E"/>
    <w:rsid w:val="0043062D"/>
    <w:rsid w:val="00432611"/>
    <w:rsid w:val="00432F7A"/>
    <w:rsid w:val="0043440F"/>
    <w:rsid w:val="00435048"/>
    <w:rsid w:val="00440659"/>
    <w:rsid w:val="0044107A"/>
    <w:rsid w:val="00441CE4"/>
    <w:rsid w:val="00442EB7"/>
    <w:rsid w:val="004432DE"/>
    <w:rsid w:val="00443327"/>
    <w:rsid w:val="00443E9D"/>
    <w:rsid w:val="00444BF0"/>
    <w:rsid w:val="004458BA"/>
    <w:rsid w:val="00445EB8"/>
    <w:rsid w:val="004462E7"/>
    <w:rsid w:val="00450864"/>
    <w:rsid w:val="00453916"/>
    <w:rsid w:val="00453FAD"/>
    <w:rsid w:val="004541DC"/>
    <w:rsid w:val="004554FF"/>
    <w:rsid w:val="0045763D"/>
    <w:rsid w:val="00457868"/>
    <w:rsid w:val="004614B5"/>
    <w:rsid w:val="00462257"/>
    <w:rsid w:val="00463C5D"/>
    <w:rsid w:val="004665D8"/>
    <w:rsid w:val="00477366"/>
    <w:rsid w:val="00480432"/>
    <w:rsid w:val="00480AE9"/>
    <w:rsid w:val="00482288"/>
    <w:rsid w:val="0048316F"/>
    <w:rsid w:val="004844EF"/>
    <w:rsid w:val="00484BBA"/>
    <w:rsid w:val="004864CC"/>
    <w:rsid w:val="00486982"/>
    <w:rsid w:val="00487899"/>
    <w:rsid w:val="00491297"/>
    <w:rsid w:val="00492449"/>
    <w:rsid w:val="00493784"/>
    <w:rsid w:val="00496A6D"/>
    <w:rsid w:val="004A045F"/>
    <w:rsid w:val="004A099D"/>
    <w:rsid w:val="004A18BF"/>
    <w:rsid w:val="004A1DC8"/>
    <w:rsid w:val="004A1FA6"/>
    <w:rsid w:val="004A2951"/>
    <w:rsid w:val="004A3350"/>
    <w:rsid w:val="004A39F4"/>
    <w:rsid w:val="004A3C9E"/>
    <w:rsid w:val="004A4A27"/>
    <w:rsid w:val="004A671C"/>
    <w:rsid w:val="004B2F5A"/>
    <w:rsid w:val="004B3087"/>
    <w:rsid w:val="004B3A5E"/>
    <w:rsid w:val="004B4492"/>
    <w:rsid w:val="004B56D8"/>
    <w:rsid w:val="004B584B"/>
    <w:rsid w:val="004B5A1D"/>
    <w:rsid w:val="004B6906"/>
    <w:rsid w:val="004B7541"/>
    <w:rsid w:val="004C0E2E"/>
    <w:rsid w:val="004C10F8"/>
    <w:rsid w:val="004C1DA0"/>
    <w:rsid w:val="004C2EC4"/>
    <w:rsid w:val="004C57EA"/>
    <w:rsid w:val="004C583F"/>
    <w:rsid w:val="004C6B2D"/>
    <w:rsid w:val="004C6F79"/>
    <w:rsid w:val="004D02C5"/>
    <w:rsid w:val="004D2122"/>
    <w:rsid w:val="004D31EB"/>
    <w:rsid w:val="004D534E"/>
    <w:rsid w:val="004D5A79"/>
    <w:rsid w:val="004D616D"/>
    <w:rsid w:val="004D6FEE"/>
    <w:rsid w:val="004D7117"/>
    <w:rsid w:val="004E0AEB"/>
    <w:rsid w:val="004E13AF"/>
    <w:rsid w:val="004E1925"/>
    <w:rsid w:val="004E3129"/>
    <w:rsid w:val="004E356C"/>
    <w:rsid w:val="004E5535"/>
    <w:rsid w:val="004E62EF"/>
    <w:rsid w:val="004E6304"/>
    <w:rsid w:val="004E6BA3"/>
    <w:rsid w:val="004F098F"/>
    <w:rsid w:val="004F27CF"/>
    <w:rsid w:val="004F47A6"/>
    <w:rsid w:val="004F514F"/>
    <w:rsid w:val="004F525A"/>
    <w:rsid w:val="004F5935"/>
    <w:rsid w:val="004F6333"/>
    <w:rsid w:val="00500F36"/>
    <w:rsid w:val="0050112B"/>
    <w:rsid w:val="00501213"/>
    <w:rsid w:val="00504865"/>
    <w:rsid w:val="00504CCE"/>
    <w:rsid w:val="0050545B"/>
    <w:rsid w:val="00505F1B"/>
    <w:rsid w:val="00510C0E"/>
    <w:rsid w:val="00511ED8"/>
    <w:rsid w:val="00512903"/>
    <w:rsid w:val="00513A67"/>
    <w:rsid w:val="00513D45"/>
    <w:rsid w:val="00517A7B"/>
    <w:rsid w:val="0052212B"/>
    <w:rsid w:val="005231D6"/>
    <w:rsid w:val="00523288"/>
    <w:rsid w:val="005233B4"/>
    <w:rsid w:val="005239E3"/>
    <w:rsid w:val="00523D4D"/>
    <w:rsid w:val="005242B6"/>
    <w:rsid w:val="00525233"/>
    <w:rsid w:val="00531E40"/>
    <w:rsid w:val="00532F0A"/>
    <w:rsid w:val="0053462C"/>
    <w:rsid w:val="00534C8B"/>
    <w:rsid w:val="00535041"/>
    <w:rsid w:val="00535408"/>
    <w:rsid w:val="00535465"/>
    <w:rsid w:val="005369F4"/>
    <w:rsid w:val="00536AFE"/>
    <w:rsid w:val="005379C6"/>
    <w:rsid w:val="00537D38"/>
    <w:rsid w:val="005441A3"/>
    <w:rsid w:val="00545C28"/>
    <w:rsid w:val="00547263"/>
    <w:rsid w:val="00550DE4"/>
    <w:rsid w:val="0055253D"/>
    <w:rsid w:val="00552CA7"/>
    <w:rsid w:val="005537D0"/>
    <w:rsid w:val="00554BE4"/>
    <w:rsid w:val="00554D6D"/>
    <w:rsid w:val="00560FD9"/>
    <w:rsid w:val="005618F1"/>
    <w:rsid w:val="0056342C"/>
    <w:rsid w:val="00563599"/>
    <w:rsid w:val="00563BFE"/>
    <w:rsid w:val="005661C3"/>
    <w:rsid w:val="00566793"/>
    <w:rsid w:val="00567044"/>
    <w:rsid w:val="0056731D"/>
    <w:rsid w:val="005734F4"/>
    <w:rsid w:val="005753F1"/>
    <w:rsid w:val="0057722F"/>
    <w:rsid w:val="0058237F"/>
    <w:rsid w:val="005823ED"/>
    <w:rsid w:val="005829DB"/>
    <w:rsid w:val="0058447B"/>
    <w:rsid w:val="00584A8F"/>
    <w:rsid w:val="00585DBA"/>
    <w:rsid w:val="00586E1C"/>
    <w:rsid w:val="00592CD8"/>
    <w:rsid w:val="00592F34"/>
    <w:rsid w:val="005936EB"/>
    <w:rsid w:val="005A342E"/>
    <w:rsid w:val="005B0A1A"/>
    <w:rsid w:val="005B0F84"/>
    <w:rsid w:val="005B256D"/>
    <w:rsid w:val="005B3AB8"/>
    <w:rsid w:val="005B498C"/>
    <w:rsid w:val="005B5364"/>
    <w:rsid w:val="005B705D"/>
    <w:rsid w:val="005B71DF"/>
    <w:rsid w:val="005C08C3"/>
    <w:rsid w:val="005C307E"/>
    <w:rsid w:val="005C4E48"/>
    <w:rsid w:val="005C5EC8"/>
    <w:rsid w:val="005C6F04"/>
    <w:rsid w:val="005C75AE"/>
    <w:rsid w:val="005C7699"/>
    <w:rsid w:val="005C7A7C"/>
    <w:rsid w:val="005D1F3E"/>
    <w:rsid w:val="005D32A9"/>
    <w:rsid w:val="005D365A"/>
    <w:rsid w:val="005D4818"/>
    <w:rsid w:val="005D538F"/>
    <w:rsid w:val="005D646E"/>
    <w:rsid w:val="005E06E9"/>
    <w:rsid w:val="005E0764"/>
    <w:rsid w:val="005E1370"/>
    <w:rsid w:val="005E53B9"/>
    <w:rsid w:val="005E53E5"/>
    <w:rsid w:val="005E56BE"/>
    <w:rsid w:val="005E61A6"/>
    <w:rsid w:val="005E6AF8"/>
    <w:rsid w:val="005F0D99"/>
    <w:rsid w:val="005F1C71"/>
    <w:rsid w:val="005F2300"/>
    <w:rsid w:val="005F2D9F"/>
    <w:rsid w:val="005F4124"/>
    <w:rsid w:val="005F5268"/>
    <w:rsid w:val="005F5747"/>
    <w:rsid w:val="005F58F9"/>
    <w:rsid w:val="006018E3"/>
    <w:rsid w:val="0060201E"/>
    <w:rsid w:val="00602044"/>
    <w:rsid w:val="00602A01"/>
    <w:rsid w:val="00603A98"/>
    <w:rsid w:val="00604FE1"/>
    <w:rsid w:val="00605604"/>
    <w:rsid w:val="0060613D"/>
    <w:rsid w:val="00606F5A"/>
    <w:rsid w:val="0060742D"/>
    <w:rsid w:val="006128BA"/>
    <w:rsid w:val="00615AEF"/>
    <w:rsid w:val="00616BB5"/>
    <w:rsid w:val="0061763C"/>
    <w:rsid w:val="006210D2"/>
    <w:rsid w:val="0062121A"/>
    <w:rsid w:val="00623083"/>
    <w:rsid w:val="00623F53"/>
    <w:rsid w:val="00624786"/>
    <w:rsid w:val="00626247"/>
    <w:rsid w:val="00630275"/>
    <w:rsid w:val="00630507"/>
    <w:rsid w:val="00630B20"/>
    <w:rsid w:val="00630F41"/>
    <w:rsid w:val="00631004"/>
    <w:rsid w:val="006332A4"/>
    <w:rsid w:val="006337AC"/>
    <w:rsid w:val="006352A2"/>
    <w:rsid w:val="00636EE1"/>
    <w:rsid w:val="00636FD1"/>
    <w:rsid w:val="00637B99"/>
    <w:rsid w:val="0064034F"/>
    <w:rsid w:val="006410F1"/>
    <w:rsid w:val="00641114"/>
    <w:rsid w:val="00641582"/>
    <w:rsid w:val="006454EA"/>
    <w:rsid w:val="00645879"/>
    <w:rsid w:val="00646436"/>
    <w:rsid w:val="00646C7A"/>
    <w:rsid w:val="00646E77"/>
    <w:rsid w:val="00647788"/>
    <w:rsid w:val="00647C24"/>
    <w:rsid w:val="0065156E"/>
    <w:rsid w:val="0065157D"/>
    <w:rsid w:val="006527C2"/>
    <w:rsid w:val="00657262"/>
    <w:rsid w:val="006572FF"/>
    <w:rsid w:val="006607AF"/>
    <w:rsid w:val="006607CF"/>
    <w:rsid w:val="00663290"/>
    <w:rsid w:val="00665727"/>
    <w:rsid w:val="0066599C"/>
    <w:rsid w:val="00672456"/>
    <w:rsid w:val="00672822"/>
    <w:rsid w:val="00673AD9"/>
    <w:rsid w:val="0067556B"/>
    <w:rsid w:val="0067761C"/>
    <w:rsid w:val="00677A36"/>
    <w:rsid w:val="00680203"/>
    <w:rsid w:val="006804DC"/>
    <w:rsid w:val="006806E8"/>
    <w:rsid w:val="00681823"/>
    <w:rsid w:val="00681976"/>
    <w:rsid w:val="0068645C"/>
    <w:rsid w:val="00686723"/>
    <w:rsid w:val="0068743E"/>
    <w:rsid w:val="00690260"/>
    <w:rsid w:val="006902F6"/>
    <w:rsid w:val="006923A1"/>
    <w:rsid w:val="00692467"/>
    <w:rsid w:val="0069669D"/>
    <w:rsid w:val="00696951"/>
    <w:rsid w:val="006976F3"/>
    <w:rsid w:val="006A04A6"/>
    <w:rsid w:val="006A050B"/>
    <w:rsid w:val="006A394F"/>
    <w:rsid w:val="006A3BB4"/>
    <w:rsid w:val="006A3D31"/>
    <w:rsid w:val="006A4106"/>
    <w:rsid w:val="006A4C63"/>
    <w:rsid w:val="006A5169"/>
    <w:rsid w:val="006B36B4"/>
    <w:rsid w:val="006B3BDE"/>
    <w:rsid w:val="006B482B"/>
    <w:rsid w:val="006B6EB6"/>
    <w:rsid w:val="006B7ABD"/>
    <w:rsid w:val="006B7EA4"/>
    <w:rsid w:val="006C000B"/>
    <w:rsid w:val="006C1429"/>
    <w:rsid w:val="006C45D2"/>
    <w:rsid w:val="006C4DC3"/>
    <w:rsid w:val="006C7C86"/>
    <w:rsid w:val="006D072F"/>
    <w:rsid w:val="006D1141"/>
    <w:rsid w:val="006D4826"/>
    <w:rsid w:val="006D5632"/>
    <w:rsid w:val="006D6C81"/>
    <w:rsid w:val="006E1272"/>
    <w:rsid w:val="006E1B5F"/>
    <w:rsid w:val="006E344E"/>
    <w:rsid w:val="006E4003"/>
    <w:rsid w:val="006E4541"/>
    <w:rsid w:val="006E540C"/>
    <w:rsid w:val="006E5BC1"/>
    <w:rsid w:val="006E5EF7"/>
    <w:rsid w:val="006E7527"/>
    <w:rsid w:val="006E762A"/>
    <w:rsid w:val="006F0B39"/>
    <w:rsid w:val="006F0BA7"/>
    <w:rsid w:val="006F1482"/>
    <w:rsid w:val="006F5C0A"/>
    <w:rsid w:val="006F5E95"/>
    <w:rsid w:val="006F6D00"/>
    <w:rsid w:val="006F7E4A"/>
    <w:rsid w:val="0070055F"/>
    <w:rsid w:val="00700569"/>
    <w:rsid w:val="007023A1"/>
    <w:rsid w:val="007068FE"/>
    <w:rsid w:val="007074C9"/>
    <w:rsid w:val="00707614"/>
    <w:rsid w:val="007078E2"/>
    <w:rsid w:val="007109C5"/>
    <w:rsid w:val="00713D59"/>
    <w:rsid w:val="007222E3"/>
    <w:rsid w:val="00722777"/>
    <w:rsid w:val="00723029"/>
    <w:rsid w:val="007236E2"/>
    <w:rsid w:val="0072421A"/>
    <w:rsid w:val="00724251"/>
    <w:rsid w:val="0072439F"/>
    <w:rsid w:val="0072475A"/>
    <w:rsid w:val="00724DEC"/>
    <w:rsid w:val="00731DCD"/>
    <w:rsid w:val="007324BD"/>
    <w:rsid w:val="00736CBB"/>
    <w:rsid w:val="00736CE8"/>
    <w:rsid w:val="00736F8B"/>
    <w:rsid w:val="007403DD"/>
    <w:rsid w:val="0074166D"/>
    <w:rsid w:val="00741AEF"/>
    <w:rsid w:val="00741CA1"/>
    <w:rsid w:val="007437FF"/>
    <w:rsid w:val="00744B60"/>
    <w:rsid w:val="00745376"/>
    <w:rsid w:val="0074761E"/>
    <w:rsid w:val="00747F59"/>
    <w:rsid w:val="0075041A"/>
    <w:rsid w:val="00750661"/>
    <w:rsid w:val="007507FB"/>
    <w:rsid w:val="007514F9"/>
    <w:rsid w:val="00753018"/>
    <w:rsid w:val="00753424"/>
    <w:rsid w:val="00754980"/>
    <w:rsid w:val="00755E65"/>
    <w:rsid w:val="0075638B"/>
    <w:rsid w:val="00756CE4"/>
    <w:rsid w:val="00757098"/>
    <w:rsid w:val="007614D1"/>
    <w:rsid w:val="0076159B"/>
    <w:rsid w:val="00762341"/>
    <w:rsid w:val="007635FA"/>
    <w:rsid w:val="00764258"/>
    <w:rsid w:val="007661B8"/>
    <w:rsid w:val="0076758F"/>
    <w:rsid w:val="00771CEF"/>
    <w:rsid w:val="00772117"/>
    <w:rsid w:val="00772207"/>
    <w:rsid w:val="0077388E"/>
    <w:rsid w:val="00775815"/>
    <w:rsid w:val="007763F1"/>
    <w:rsid w:val="00776F71"/>
    <w:rsid w:val="00777743"/>
    <w:rsid w:val="00777B17"/>
    <w:rsid w:val="007817EE"/>
    <w:rsid w:val="00781FF4"/>
    <w:rsid w:val="00782A22"/>
    <w:rsid w:val="00782AA9"/>
    <w:rsid w:val="00783555"/>
    <w:rsid w:val="00783E39"/>
    <w:rsid w:val="007853D4"/>
    <w:rsid w:val="0078557E"/>
    <w:rsid w:val="0078666A"/>
    <w:rsid w:val="00786B63"/>
    <w:rsid w:val="00787BB4"/>
    <w:rsid w:val="0079200A"/>
    <w:rsid w:val="00792F41"/>
    <w:rsid w:val="00793B9B"/>
    <w:rsid w:val="007963BF"/>
    <w:rsid w:val="007963DC"/>
    <w:rsid w:val="007A0146"/>
    <w:rsid w:val="007A06E7"/>
    <w:rsid w:val="007A090E"/>
    <w:rsid w:val="007A11E4"/>
    <w:rsid w:val="007A217F"/>
    <w:rsid w:val="007A31E8"/>
    <w:rsid w:val="007A392B"/>
    <w:rsid w:val="007A395B"/>
    <w:rsid w:val="007A3F69"/>
    <w:rsid w:val="007A4445"/>
    <w:rsid w:val="007A463E"/>
    <w:rsid w:val="007A6F90"/>
    <w:rsid w:val="007A7F9C"/>
    <w:rsid w:val="007B04BB"/>
    <w:rsid w:val="007B47E1"/>
    <w:rsid w:val="007B5534"/>
    <w:rsid w:val="007B5A68"/>
    <w:rsid w:val="007B6752"/>
    <w:rsid w:val="007B74A4"/>
    <w:rsid w:val="007C0962"/>
    <w:rsid w:val="007C1798"/>
    <w:rsid w:val="007C1CF9"/>
    <w:rsid w:val="007C223D"/>
    <w:rsid w:val="007C287F"/>
    <w:rsid w:val="007C2C74"/>
    <w:rsid w:val="007C2D39"/>
    <w:rsid w:val="007C2DBF"/>
    <w:rsid w:val="007C334C"/>
    <w:rsid w:val="007C3BF8"/>
    <w:rsid w:val="007C3D9D"/>
    <w:rsid w:val="007C5820"/>
    <w:rsid w:val="007C6ACC"/>
    <w:rsid w:val="007C7186"/>
    <w:rsid w:val="007D0A3E"/>
    <w:rsid w:val="007D297B"/>
    <w:rsid w:val="007D34E6"/>
    <w:rsid w:val="007D430C"/>
    <w:rsid w:val="007D5855"/>
    <w:rsid w:val="007D5E4B"/>
    <w:rsid w:val="007D694C"/>
    <w:rsid w:val="007E161A"/>
    <w:rsid w:val="007E2743"/>
    <w:rsid w:val="007E6359"/>
    <w:rsid w:val="007E74F5"/>
    <w:rsid w:val="007F0FB9"/>
    <w:rsid w:val="007F120B"/>
    <w:rsid w:val="007F41E4"/>
    <w:rsid w:val="007F4870"/>
    <w:rsid w:val="007F4B73"/>
    <w:rsid w:val="007F671D"/>
    <w:rsid w:val="00800597"/>
    <w:rsid w:val="00801A23"/>
    <w:rsid w:val="008076E8"/>
    <w:rsid w:val="0080772A"/>
    <w:rsid w:val="00807908"/>
    <w:rsid w:val="008110AB"/>
    <w:rsid w:val="008117CF"/>
    <w:rsid w:val="008120F2"/>
    <w:rsid w:val="008129AB"/>
    <w:rsid w:val="0081438C"/>
    <w:rsid w:val="0081475E"/>
    <w:rsid w:val="00816255"/>
    <w:rsid w:val="00820182"/>
    <w:rsid w:val="008204C0"/>
    <w:rsid w:val="00821668"/>
    <w:rsid w:val="0082273B"/>
    <w:rsid w:val="00822890"/>
    <w:rsid w:val="00824B1C"/>
    <w:rsid w:val="00832578"/>
    <w:rsid w:val="00832F45"/>
    <w:rsid w:val="00834A73"/>
    <w:rsid w:val="008351C8"/>
    <w:rsid w:val="0083608A"/>
    <w:rsid w:val="00840D8E"/>
    <w:rsid w:val="00841D79"/>
    <w:rsid w:val="00842247"/>
    <w:rsid w:val="00843256"/>
    <w:rsid w:val="0084354F"/>
    <w:rsid w:val="0084386F"/>
    <w:rsid w:val="00844AB1"/>
    <w:rsid w:val="008461C0"/>
    <w:rsid w:val="00846656"/>
    <w:rsid w:val="00846FA6"/>
    <w:rsid w:val="00852FFC"/>
    <w:rsid w:val="00856BAF"/>
    <w:rsid w:val="00857313"/>
    <w:rsid w:val="00857706"/>
    <w:rsid w:val="00857EE6"/>
    <w:rsid w:val="0086006D"/>
    <w:rsid w:val="00861136"/>
    <w:rsid w:val="00864319"/>
    <w:rsid w:val="00864A4A"/>
    <w:rsid w:val="00864D65"/>
    <w:rsid w:val="00865D68"/>
    <w:rsid w:val="00866289"/>
    <w:rsid w:val="00866379"/>
    <w:rsid w:val="00866B55"/>
    <w:rsid w:val="00867F6E"/>
    <w:rsid w:val="00870FFC"/>
    <w:rsid w:val="0087102D"/>
    <w:rsid w:val="00871179"/>
    <w:rsid w:val="00872E1D"/>
    <w:rsid w:val="00872EC5"/>
    <w:rsid w:val="00872F49"/>
    <w:rsid w:val="00872F57"/>
    <w:rsid w:val="00873AFE"/>
    <w:rsid w:val="00874CCC"/>
    <w:rsid w:val="0087527B"/>
    <w:rsid w:val="00875964"/>
    <w:rsid w:val="00875AB2"/>
    <w:rsid w:val="00876ABE"/>
    <w:rsid w:val="0087747C"/>
    <w:rsid w:val="00881B14"/>
    <w:rsid w:val="0088398E"/>
    <w:rsid w:val="00884471"/>
    <w:rsid w:val="00884E3B"/>
    <w:rsid w:val="0088559A"/>
    <w:rsid w:val="00886704"/>
    <w:rsid w:val="008877CC"/>
    <w:rsid w:val="00887F29"/>
    <w:rsid w:val="008923C1"/>
    <w:rsid w:val="00893C43"/>
    <w:rsid w:val="00893C55"/>
    <w:rsid w:val="00894900"/>
    <w:rsid w:val="00894DF2"/>
    <w:rsid w:val="0089680C"/>
    <w:rsid w:val="008A0B2D"/>
    <w:rsid w:val="008A1BD4"/>
    <w:rsid w:val="008A1CDD"/>
    <w:rsid w:val="008A2605"/>
    <w:rsid w:val="008A2957"/>
    <w:rsid w:val="008A3C1E"/>
    <w:rsid w:val="008A4346"/>
    <w:rsid w:val="008A5047"/>
    <w:rsid w:val="008A50DD"/>
    <w:rsid w:val="008A5A89"/>
    <w:rsid w:val="008A62E3"/>
    <w:rsid w:val="008A770E"/>
    <w:rsid w:val="008B0EB8"/>
    <w:rsid w:val="008B1E62"/>
    <w:rsid w:val="008B23C1"/>
    <w:rsid w:val="008B29BF"/>
    <w:rsid w:val="008B39D8"/>
    <w:rsid w:val="008B46C4"/>
    <w:rsid w:val="008B4DC8"/>
    <w:rsid w:val="008B5C38"/>
    <w:rsid w:val="008B5DBD"/>
    <w:rsid w:val="008B693E"/>
    <w:rsid w:val="008B6AC5"/>
    <w:rsid w:val="008B700D"/>
    <w:rsid w:val="008B7353"/>
    <w:rsid w:val="008B735C"/>
    <w:rsid w:val="008B7C70"/>
    <w:rsid w:val="008C0177"/>
    <w:rsid w:val="008C08C6"/>
    <w:rsid w:val="008C2180"/>
    <w:rsid w:val="008C2FD8"/>
    <w:rsid w:val="008C3960"/>
    <w:rsid w:val="008C536B"/>
    <w:rsid w:val="008C58D7"/>
    <w:rsid w:val="008C782E"/>
    <w:rsid w:val="008D1A15"/>
    <w:rsid w:val="008D2E0F"/>
    <w:rsid w:val="008D3739"/>
    <w:rsid w:val="008D38C9"/>
    <w:rsid w:val="008D3E78"/>
    <w:rsid w:val="008D4665"/>
    <w:rsid w:val="008D4D65"/>
    <w:rsid w:val="008E04DA"/>
    <w:rsid w:val="008E0906"/>
    <w:rsid w:val="008E3030"/>
    <w:rsid w:val="008E3335"/>
    <w:rsid w:val="008E3C24"/>
    <w:rsid w:val="008E5D30"/>
    <w:rsid w:val="008F2175"/>
    <w:rsid w:val="008F2F7D"/>
    <w:rsid w:val="008F4CC6"/>
    <w:rsid w:val="00900518"/>
    <w:rsid w:val="009006C7"/>
    <w:rsid w:val="009021FB"/>
    <w:rsid w:val="00902B94"/>
    <w:rsid w:val="009038E2"/>
    <w:rsid w:val="009045A9"/>
    <w:rsid w:val="00905BD7"/>
    <w:rsid w:val="00905EAA"/>
    <w:rsid w:val="0090639F"/>
    <w:rsid w:val="009072D6"/>
    <w:rsid w:val="00907579"/>
    <w:rsid w:val="00910073"/>
    <w:rsid w:val="009100C8"/>
    <w:rsid w:val="009101DA"/>
    <w:rsid w:val="009104EE"/>
    <w:rsid w:val="00914D5D"/>
    <w:rsid w:val="00915397"/>
    <w:rsid w:val="00915536"/>
    <w:rsid w:val="009159DC"/>
    <w:rsid w:val="009161A5"/>
    <w:rsid w:val="009177A5"/>
    <w:rsid w:val="0091792E"/>
    <w:rsid w:val="00917F85"/>
    <w:rsid w:val="00920FF9"/>
    <w:rsid w:val="009211A0"/>
    <w:rsid w:val="00921312"/>
    <w:rsid w:val="00921341"/>
    <w:rsid w:val="00922ADE"/>
    <w:rsid w:val="00923BF1"/>
    <w:rsid w:val="009247C9"/>
    <w:rsid w:val="0092635A"/>
    <w:rsid w:val="00930E65"/>
    <w:rsid w:val="00931D7D"/>
    <w:rsid w:val="00932402"/>
    <w:rsid w:val="00933E7B"/>
    <w:rsid w:val="00936D3D"/>
    <w:rsid w:val="00936D58"/>
    <w:rsid w:val="00937529"/>
    <w:rsid w:val="00937609"/>
    <w:rsid w:val="009423E6"/>
    <w:rsid w:val="009436A9"/>
    <w:rsid w:val="00946FF8"/>
    <w:rsid w:val="009507BC"/>
    <w:rsid w:val="00951DC2"/>
    <w:rsid w:val="00952120"/>
    <w:rsid w:val="00955011"/>
    <w:rsid w:val="009558C8"/>
    <w:rsid w:val="0095622F"/>
    <w:rsid w:val="00957744"/>
    <w:rsid w:val="0096201D"/>
    <w:rsid w:val="00966695"/>
    <w:rsid w:val="009701E9"/>
    <w:rsid w:val="00970588"/>
    <w:rsid w:val="00970A4C"/>
    <w:rsid w:val="00973C47"/>
    <w:rsid w:val="00974A43"/>
    <w:rsid w:val="00976332"/>
    <w:rsid w:val="0097654B"/>
    <w:rsid w:val="00980164"/>
    <w:rsid w:val="00980AA8"/>
    <w:rsid w:val="00980CE7"/>
    <w:rsid w:val="0098213D"/>
    <w:rsid w:val="009825C7"/>
    <w:rsid w:val="00983285"/>
    <w:rsid w:val="00983DEC"/>
    <w:rsid w:val="009863BB"/>
    <w:rsid w:val="009870EA"/>
    <w:rsid w:val="00990264"/>
    <w:rsid w:val="00990876"/>
    <w:rsid w:val="00992437"/>
    <w:rsid w:val="00997550"/>
    <w:rsid w:val="00997884"/>
    <w:rsid w:val="009A56A8"/>
    <w:rsid w:val="009A6415"/>
    <w:rsid w:val="009A6476"/>
    <w:rsid w:val="009A7420"/>
    <w:rsid w:val="009B0235"/>
    <w:rsid w:val="009B0250"/>
    <w:rsid w:val="009B30FA"/>
    <w:rsid w:val="009B4812"/>
    <w:rsid w:val="009B57CE"/>
    <w:rsid w:val="009B5D16"/>
    <w:rsid w:val="009B6A64"/>
    <w:rsid w:val="009B6E6D"/>
    <w:rsid w:val="009B7B89"/>
    <w:rsid w:val="009C0409"/>
    <w:rsid w:val="009C19C5"/>
    <w:rsid w:val="009C1A33"/>
    <w:rsid w:val="009C64A5"/>
    <w:rsid w:val="009C66A6"/>
    <w:rsid w:val="009D0EB6"/>
    <w:rsid w:val="009D1729"/>
    <w:rsid w:val="009D17C5"/>
    <w:rsid w:val="009D3A05"/>
    <w:rsid w:val="009D4E64"/>
    <w:rsid w:val="009D5463"/>
    <w:rsid w:val="009D63AA"/>
    <w:rsid w:val="009D655A"/>
    <w:rsid w:val="009D7527"/>
    <w:rsid w:val="009D7B71"/>
    <w:rsid w:val="009E2348"/>
    <w:rsid w:val="009E3475"/>
    <w:rsid w:val="009E3A28"/>
    <w:rsid w:val="009E3BF9"/>
    <w:rsid w:val="009E4D50"/>
    <w:rsid w:val="009E53BB"/>
    <w:rsid w:val="009E7E59"/>
    <w:rsid w:val="009F1036"/>
    <w:rsid w:val="009F20C4"/>
    <w:rsid w:val="009F210E"/>
    <w:rsid w:val="009F2493"/>
    <w:rsid w:val="009F4EFD"/>
    <w:rsid w:val="009F77FE"/>
    <w:rsid w:val="00A00652"/>
    <w:rsid w:val="00A012D2"/>
    <w:rsid w:val="00A016DE"/>
    <w:rsid w:val="00A04327"/>
    <w:rsid w:val="00A04F47"/>
    <w:rsid w:val="00A06B35"/>
    <w:rsid w:val="00A06EE8"/>
    <w:rsid w:val="00A07049"/>
    <w:rsid w:val="00A072FD"/>
    <w:rsid w:val="00A107AF"/>
    <w:rsid w:val="00A10CB9"/>
    <w:rsid w:val="00A10D3C"/>
    <w:rsid w:val="00A10D67"/>
    <w:rsid w:val="00A125DE"/>
    <w:rsid w:val="00A134CE"/>
    <w:rsid w:val="00A14116"/>
    <w:rsid w:val="00A144BA"/>
    <w:rsid w:val="00A1584D"/>
    <w:rsid w:val="00A15BFB"/>
    <w:rsid w:val="00A16425"/>
    <w:rsid w:val="00A1669D"/>
    <w:rsid w:val="00A16887"/>
    <w:rsid w:val="00A16F37"/>
    <w:rsid w:val="00A17022"/>
    <w:rsid w:val="00A17687"/>
    <w:rsid w:val="00A200A9"/>
    <w:rsid w:val="00A2191D"/>
    <w:rsid w:val="00A23744"/>
    <w:rsid w:val="00A25E37"/>
    <w:rsid w:val="00A26A42"/>
    <w:rsid w:val="00A304F1"/>
    <w:rsid w:val="00A30827"/>
    <w:rsid w:val="00A30B90"/>
    <w:rsid w:val="00A33883"/>
    <w:rsid w:val="00A3427A"/>
    <w:rsid w:val="00A352E1"/>
    <w:rsid w:val="00A35C15"/>
    <w:rsid w:val="00A35CC0"/>
    <w:rsid w:val="00A35DAB"/>
    <w:rsid w:val="00A37017"/>
    <w:rsid w:val="00A4063D"/>
    <w:rsid w:val="00A421B4"/>
    <w:rsid w:val="00A4330D"/>
    <w:rsid w:val="00A43DAB"/>
    <w:rsid w:val="00A43E76"/>
    <w:rsid w:val="00A443C5"/>
    <w:rsid w:val="00A509F8"/>
    <w:rsid w:val="00A53A53"/>
    <w:rsid w:val="00A548BE"/>
    <w:rsid w:val="00A55A56"/>
    <w:rsid w:val="00A6129B"/>
    <w:rsid w:val="00A628BD"/>
    <w:rsid w:val="00A65084"/>
    <w:rsid w:val="00A66F93"/>
    <w:rsid w:val="00A672A8"/>
    <w:rsid w:val="00A67EC8"/>
    <w:rsid w:val="00A70777"/>
    <w:rsid w:val="00A707CD"/>
    <w:rsid w:val="00A70DB1"/>
    <w:rsid w:val="00A7130F"/>
    <w:rsid w:val="00A71EF1"/>
    <w:rsid w:val="00A72A44"/>
    <w:rsid w:val="00A737B7"/>
    <w:rsid w:val="00A75C58"/>
    <w:rsid w:val="00A76747"/>
    <w:rsid w:val="00A81601"/>
    <w:rsid w:val="00A832DF"/>
    <w:rsid w:val="00A83728"/>
    <w:rsid w:val="00A83A91"/>
    <w:rsid w:val="00A83B38"/>
    <w:rsid w:val="00A85349"/>
    <w:rsid w:val="00A906E9"/>
    <w:rsid w:val="00A90BD4"/>
    <w:rsid w:val="00A910D9"/>
    <w:rsid w:val="00A93895"/>
    <w:rsid w:val="00A93C05"/>
    <w:rsid w:val="00A943FF"/>
    <w:rsid w:val="00A9446C"/>
    <w:rsid w:val="00A94C63"/>
    <w:rsid w:val="00A958B1"/>
    <w:rsid w:val="00A96291"/>
    <w:rsid w:val="00A96571"/>
    <w:rsid w:val="00A965CB"/>
    <w:rsid w:val="00A97BB1"/>
    <w:rsid w:val="00AA0393"/>
    <w:rsid w:val="00AA23DF"/>
    <w:rsid w:val="00AA4A87"/>
    <w:rsid w:val="00AA4F68"/>
    <w:rsid w:val="00AA5085"/>
    <w:rsid w:val="00AA5A68"/>
    <w:rsid w:val="00AA7E2F"/>
    <w:rsid w:val="00AB1806"/>
    <w:rsid w:val="00AB1B0F"/>
    <w:rsid w:val="00AB488F"/>
    <w:rsid w:val="00AB7CCC"/>
    <w:rsid w:val="00AC1C95"/>
    <w:rsid w:val="00AC433A"/>
    <w:rsid w:val="00AC6535"/>
    <w:rsid w:val="00AD0487"/>
    <w:rsid w:val="00AD0DF4"/>
    <w:rsid w:val="00AD1A20"/>
    <w:rsid w:val="00AD1D8D"/>
    <w:rsid w:val="00AD24E5"/>
    <w:rsid w:val="00AD26C3"/>
    <w:rsid w:val="00AD284F"/>
    <w:rsid w:val="00AD3747"/>
    <w:rsid w:val="00AD5CDC"/>
    <w:rsid w:val="00AD686F"/>
    <w:rsid w:val="00AD77C4"/>
    <w:rsid w:val="00AD795C"/>
    <w:rsid w:val="00AE01CA"/>
    <w:rsid w:val="00AE11B8"/>
    <w:rsid w:val="00AE1F40"/>
    <w:rsid w:val="00AE340D"/>
    <w:rsid w:val="00AE42A5"/>
    <w:rsid w:val="00AE52FB"/>
    <w:rsid w:val="00AF0D6A"/>
    <w:rsid w:val="00AF2BD7"/>
    <w:rsid w:val="00AF3BD5"/>
    <w:rsid w:val="00B00DBA"/>
    <w:rsid w:val="00B01EA8"/>
    <w:rsid w:val="00B01EC4"/>
    <w:rsid w:val="00B0208A"/>
    <w:rsid w:val="00B04769"/>
    <w:rsid w:val="00B052E3"/>
    <w:rsid w:val="00B05A24"/>
    <w:rsid w:val="00B1114E"/>
    <w:rsid w:val="00B11D48"/>
    <w:rsid w:val="00B12C9A"/>
    <w:rsid w:val="00B13CBE"/>
    <w:rsid w:val="00B1503B"/>
    <w:rsid w:val="00B153B2"/>
    <w:rsid w:val="00B16FC8"/>
    <w:rsid w:val="00B16FD2"/>
    <w:rsid w:val="00B20803"/>
    <w:rsid w:val="00B20CD1"/>
    <w:rsid w:val="00B20F13"/>
    <w:rsid w:val="00B214CC"/>
    <w:rsid w:val="00B21518"/>
    <w:rsid w:val="00B2195D"/>
    <w:rsid w:val="00B21A37"/>
    <w:rsid w:val="00B2293C"/>
    <w:rsid w:val="00B22A57"/>
    <w:rsid w:val="00B22E51"/>
    <w:rsid w:val="00B2455D"/>
    <w:rsid w:val="00B25C22"/>
    <w:rsid w:val="00B25D54"/>
    <w:rsid w:val="00B25D67"/>
    <w:rsid w:val="00B26B9A"/>
    <w:rsid w:val="00B2743B"/>
    <w:rsid w:val="00B300E1"/>
    <w:rsid w:val="00B30A6B"/>
    <w:rsid w:val="00B310AA"/>
    <w:rsid w:val="00B34A64"/>
    <w:rsid w:val="00B356B9"/>
    <w:rsid w:val="00B36507"/>
    <w:rsid w:val="00B366DB"/>
    <w:rsid w:val="00B36731"/>
    <w:rsid w:val="00B37BAE"/>
    <w:rsid w:val="00B37C65"/>
    <w:rsid w:val="00B44296"/>
    <w:rsid w:val="00B45054"/>
    <w:rsid w:val="00B458B8"/>
    <w:rsid w:val="00B47932"/>
    <w:rsid w:val="00B50B07"/>
    <w:rsid w:val="00B51497"/>
    <w:rsid w:val="00B5204D"/>
    <w:rsid w:val="00B52067"/>
    <w:rsid w:val="00B53E86"/>
    <w:rsid w:val="00B54175"/>
    <w:rsid w:val="00B54462"/>
    <w:rsid w:val="00B54862"/>
    <w:rsid w:val="00B558A5"/>
    <w:rsid w:val="00B61735"/>
    <w:rsid w:val="00B63607"/>
    <w:rsid w:val="00B637D6"/>
    <w:rsid w:val="00B65B1D"/>
    <w:rsid w:val="00B65FE1"/>
    <w:rsid w:val="00B67709"/>
    <w:rsid w:val="00B73211"/>
    <w:rsid w:val="00B7328D"/>
    <w:rsid w:val="00B7483C"/>
    <w:rsid w:val="00B75466"/>
    <w:rsid w:val="00B757A9"/>
    <w:rsid w:val="00B75A8B"/>
    <w:rsid w:val="00B76102"/>
    <w:rsid w:val="00B7686A"/>
    <w:rsid w:val="00B7696B"/>
    <w:rsid w:val="00B76CBC"/>
    <w:rsid w:val="00B770DD"/>
    <w:rsid w:val="00B77D76"/>
    <w:rsid w:val="00B80A8F"/>
    <w:rsid w:val="00B8112B"/>
    <w:rsid w:val="00B81B4A"/>
    <w:rsid w:val="00B81E7C"/>
    <w:rsid w:val="00B85101"/>
    <w:rsid w:val="00B85D43"/>
    <w:rsid w:val="00B86EF7"/>
    <w:rsid w:val="00B870E8"/>
    <w:rsid w:val="00B873C8"/>
    <w:rsid w:val="00B9083D"/>
    <w:rsid w:val="00B908B1"/>
    <w:rsid w:val="00B92EE9"/>
    <w:rsid w:val="00B94464"/>
    <w:rsid w:val="00B972D4"/>
    <w:rsid w:val="00B975BF"/>
    <w:rsid w:val="00BA1629"/>
    <w:rsid w:val="00BA3027"/>
    <w:rsid w:val="00BA44FB"/>
    <w:rsid w:val="00BA5BA6"/>
    <w:rsid w:val="00BA6E24"/>
    <w:rsid w:val="00BA7589"/>
    <w:rsid w:val="00BB38E6"/>
    <w:rsid w:val="00BB43DC"/>
    <w:rsid w:val="00BB5E60"/>
    <w:rsid w:val="00BB69EC"/>
    <w:rsid w:val="00BB7708"/>
    <w:rsid w:val="00BC0ABF"/>
    <w:rsid w:val="00BC1FA6"/>
    <w:rsid w:val="00BC38B4"/>
    <w:rsid w:val="00BC3F37"/>
    <w:rsid w:val="00BC4DAC"/>
    <w:rsid w:val="00BC5085"/>
    <w:rsid w:val="00BC53FA"/>
    <w:rsid w:val="00BC57DE"/>
    <w:rsid w:val="00BD07B5"/>
    <w:rsid w:val="00BD13C4"/>
    <w:rsid w:val="00BD1CD4"/>
    <w:rsid w:val="00BD1E97"/>
    <w:rsid w:val="00BD4DFE"/>
    <w:rsid w:val="00BD5A75"/>
    <w:rsid w:val="00BD7B47"/>
    <w:rsid w:val="00BD7D53"/>
    <w:rsid w:val="00BE3CF4"/>
    <w:rsid w:val="00BE5059"/>
    <w:rsid w:val="00BE5420"/>
    <w:rsid w:val="00BE60D9"/>
    <w:rsid w:val="00BE611B"/>
    <w:rsid w:val="00BF10BE"/>
    <w:rsid w:val="00BF1BF7"/>
    <w:rsid w:val="00BF2881"/>
    <w:rsid w:val="00BF2F61"/>
    <w:rsid w:val="00BF30E5"/>
    <w:rsid w:val="00BF413D"/>
    <w:rsid w:val="00BF4FDA"/>
    <w:rsid w:val="00BF572C"/>
    <w:rsid w:val="00BF631F"/>
    <w:rsid w:val="00BF70BB"/>
    <w:rsid w:val="00BF72B1"/>
    <w:rsid w:val="00C0070C"/>
    <w:rsid w:val="00C00751"/>
    <w:rsid w:val="00C00DDB"/>
    <w:rsid w:val="00C025DE"/>
    <w:rsid w:val="00C06100"/>
    <w:rsid w:val="00C07BAF"/>
    <w:rsid w:val="00C10F6E"/>
    <w:rsid w:val="00C1184D"/>
    <w:rsid w:val="00C11B21"/>
    <w:rsid w:val="00C12221"/>
    <w:rsid w:val="00C145E5"/>
    <w:rsid w:val="00C14A5A"/>
    <w:rsid w:val="00C161A1"/>
    <w:rsid w:val="00C17B70"/>
    <w:rsid w:val="00C208CA"/>
    <w:rsid w:val="00C2233C"/>
    <w:rsid w:val="00C223B4"/>
    <w:rsid w:val="00C24ED0"/>
    <w:rsid w:val="00C25F05"/>
    <w:rsid w:val="00C25FA1"/>
    <w:rsid w:val="00C264ED"/>
    <w:rsid w:val="00C268EE"/>
    <w:rsid w:val="00C26A30"/>
    <w:rsid w:val="00C26E5E"/>
    <w:rsid w:val="00C27FA0"/>
    <w:rsid w:val="00C30660"/>
    <w:rsid w:val="00C30D11"/>
    <w:rsid w:val="00C310A9"/>
    <w:rsid w:val="00C3319A"/>
    <w:rsid w:val="00C33761"/>
    <w:rsid w:val="00C33D5E"/>
    <w:rsid w:val="00C34409"/>
    <w:rsid w:val="00C3536A"/>
    <w:rsid w:val="00C377B5"/>
    <w:rsid w:val="00C402EE"/>
    <w:rsid w:val="00C40ED4"/>
    <w:rsid w:val="00C41385"/>
    <w:rsid w:val="00C413A3"/>
    <w:rsid w:val="00C41A91"/>
    <w:rsid w:val="00C41E6D"/>
    <w:rsid w:val="00C4329D"/>
    <w:rsid w:val="00C43E34"/>
    <w:rsid w:val="00C44989"/>
    <w:rsid w:val="00C44997"/>
    <w:rsid w:val="00C45051"/>
    <w:rsid w:val="00C45BC9"/>
    <w:rsid w:val="00C4635A"/>
    <w:rsid w:val="00C466A5"/>
    <w:rsid w:val="00C5285C"/>
    <w:rsid w:val="00C52CD3"/>
    <w:rsid w:val="00C52D89"/>
    <w:rsid w:val="00C533D3"/>
    <w:rsid w:val="00C54D46"/>
    <w:rsid w:val="00C571D1"/>
    <w:rsid w:val="00C6103A"/>
    <w:rsid w:val="00C614C0"/>
    <w:rsid w:val="00C62913"/>
    <w:rsid w:val="00C66D3C"/>
    <w:rsid w:val="00C66EEA"/>
    <w:rsid w:val="00C70493"/>
    <w:rsid w:val="00C7129E"/>
    <w:rsid w:val="00C74B23"/>
    <w:rsid w:val="00C75A9D"/>
    <w:rsid w:val="00C75F3B"/>
    <w:rsid w:val="00C769CE"/>
    <w:rsid w:val="00C769F6"/>
    <w:rsid w:val="00C76CEE"/>
    <w:rsid w:val="00C76DE1"/>
    <w:rsid w:val="00C807B9"/>
    <w:rsid w:val="00C80CD7"/>
    <w:rsid w:val="00C81648"/>
    <w:rsid w:val="00C82A0D"/>
    <w:rsid w:val="00C82F1A"/>
    <w:rsid w:val="00C84036"/>
    <w:rsid w:val="00C848E8"/>
    <w:rsid w:val="00C90126"/>
    <w:rsid w:val="00C91F02"/>
    <w:rsid w:val="00C95FF9"/>
    <w:rsid w:val="00C97F58"/>
    <w:rsid w:val="00CA31B4"/>
    <w:rsid w:val="00CA3EAA"/>
    <w:rsid w:val="00CA4CF2"/>
    <w:rsid w:val="00CA517E"/>
    <w:rsid w:val="00CA6863"/>
    <w:rsid w:val="00CA7F40"/>
    <w:rsid w:val="00CB0B93"/>
    <w:rsid w:val="00CB0C51"/>
    <w:rsid w:val="00CB0E11"/>
    <w:rsid w:val="00CB1037"/>
    <w:rsid w:val="00CB16AE"/>
    <w:rsid w:val="00CB4D4C"/>
    <w:rsid w:val="00CB5122"/>
    <w:rsid w:val="00CB6890"/>
    <w:rsid w:val="00CB78A9"/>
    <w:rsid w:val="00CB7D52"/>
    <w:rsid w:val="00CC05EA"/>
    <w:rsid w:val="00CC0B16"/>
    <w:rsid w:val="00CC17ED"/>
    <w:rsid w:val="00CC1C25"/>
    <w:rsid w:val="00CC201A"/>
    <w:rsid w:val="00CC3AF6"/>
    <w:rsid w:val="00CC4C09"/>
    <w:rsid w:val="00CC4F42"/>
    <w:rsid w:val="00CC5117"/>
    <w:rsid w:val="00CC6738"/>
    <w:rsid w:val="00CD0EA9"/>
    <w:rsid w:val="00CD4A23"/>
    <w:rsid w:val="00CD5C11"/>
    <w:rsid w:val="00CD5C52"/>
    <w:rsid w:val="00CD6391"/>
    <w:rsid w:val="00CD6BA2"/>
    <w:rsid w:val="00CD78A9"/>
    <w:rsid w:val="00CD7D6C"/>
    <w:rsid w:val="00CE0A90"/>
    <w:rsid w:val="00CE10ED"/>
    <w:rsid w:val="00CE19F1"/>
    <w:rsid w:val="00CE54A1"/>
    <w:rsid w:val="00CE5D14"/>
    <w:rsid w:val="00CE6CEC"/>
    <w:rsid w:val="00CF1A9E"/>
    <w:rsid w:val="00CF1FC4"/>
    <w:rsid w:val="00CF2682"/>
    <w:rsid w:val="00CF2848"/>
    <w:rsid w:val="00CF2D41"/>
    <w:rsid w:val="00CF3057"/>
    <w:rsid w:val="00CF4141"/>
    <w:rsid w:val="00CF4283"/>
    <w:rsid w:val="00CF6AF9"/>
    <w:rsid w:val="00CF7FD6"/>
    <w:rsid w:val="00D0009B"/>
    <w:rsid w:val="00D01633"/>
    <w:rsid w:val="00D02242"/>
    <w:rsid w:val="00D0486C"/>
    <w:rsid w:val="00D052F9"/>
    <w:rsid w:val="00D0587F"/>
    <w:rsid w:val="00D0773D"/>
    <w:rsid w:val="00D078ED"/>
    <w:rsid w:val="00D079B4"/>
    <w:rsid w:val="00D102AB"/>
    <w:rsid w:val="00D11508"/>
    <w:rsid w:val="00D1293A"/>
    <w:rsid w:val="00D13880"/>
    <w:rsid w:val="00D14049"/>
    <w:rsid w:val="00D15602"/>
    <w:rsid w:val="00D162CC"/>
    <w:rsid w:val="00D167F5"/>
    <w:rsid w:val="00D16D4D"/>
    <w:rsid w:val="00D17F53"/>
    <w:rsid w:val="00D22378"/>
    <w:rsid w:val="00D22B8B"/>
    <w:rsid w:val="00D22F71"/>
    <w:rsid w:val="00D23215"/>
    <w:rsid w:val="00D23BCE"/>
    <w:rsid w:val="00D24F2E"/>
    <w:rsid w:val="00D270F6"/>
    <w:rsid w:val="00D3028F"/>
    <w:rsid w:val="00D31C3A"/>
    <w:rsid w:val="00D3369B"/>
    <w:rsid w:val="00D3440C"/>
    <w:rsid w:val="00D35433"/>
    <w:rsid w:val="00D359D9"/>
    <w:rsid w:val="00D359F3"/>
    <w:rsid w:val="00D36FA8"/>
    <w:rsid w:val="00D37451"/>
    <w:rsid w:val="00D375C3"/>
    <w:rsid w:val="00D37A23"/>
    <w:rsid w:val="00D40CCB"/>
    <w:rsid w:val="00D44074"/>
    <w:rsid w:val="00D4433A"/>
    <w:rsid w:val="00D4478D"/>
    <w:rsid w:val="00D46140"/>
    <w:rsid w:val="00D47A45"/>
    <w:rsid w:val="00D502AE"/>
    <w:rsid w:val="00D51234"/>
    <w:rsid w:val="00D52566"/>
    <w:rsid w:val="00D53953"/>
    <w:rsid w:val="00D56E69"/>
    <w:rsid w:val="00D574CD"/>
    <w:rsid w:val="00D60550"/>
    <w:rsid w:val="00D60675"/>
    <w:rsid w:val="00D629EB"/>
    <w:rsid w:val="00D63D2C"/>
    <w:rsid w:val="00D65CAF"/>
    <w:rsid w:val="00D65EB8"/>
    <w:rsid w:val="00D65FCE"/>
    <w:rsid w:val="00D66741"/>
    <w:rsid w:val="00D675D1"/>
    <w:rsid w:val="00D707D2"/>
    <w:rsid w:val="00D721C3"/>
    <w:rsid w:val="00D73FFA"/>
    <w:rsid w:val="00D75D70"/>
    <w:rsid w:val="00D772EA"/>
    <w:rsid w:val="00D77E81"/>
    <w:rsid w:val="00D803C2"/>
    <w:rsid w:val="00D8131D"/>
    <w:rsid w:val="00D8288D"/>
    <w:rsid w:val="00D850A3"/>
    <w:rsid w:val="00D86752"/>
    <w:rsid w:val="00D903DC"/>
    <w:rsid w:val="00D9085C"/>
    <w:rsid w:val="00D91A34"/>
    <w:rsid w:val="00D92A40"/>
    <w:rsid w:val="00D92B39"/>
    <w:rsid w:val="00D95999"/>
    <w:rsid w:val="00DA0A68"/>
    <w:rsid w:val="00DA2529"/>
    <w:rsid w:val="00DA360D"/>
    <w:rsid w:val="00DA461B"/>
    <w:rsid w:val="00DA65F0"/>
    <w:rsid w:val="00DA75B7"/>
    <w:rsid w:val="00DA78EA"/>
    <w:rsid w:val="00DB1329"/>
    <w:rsid w:val="00DB332B"/>
    <w:rsid w:val="00DB4D06"/>
    <w:rsid w:val="00DB52B7"/>
    <w:rsid w:val="00DC0028"/>
    <w:rsid w:val="00DC20BF"/>
    <w:rsid w:val="00DC2E31"/>
    <w:rsid w:val="00DC4B24"/>
    <w:rsid w:val="00DC5682"/>
    <w:rsid w:val="00DC68DE"/>
    <w:rsid w:val="00DC706D"/>
    <w:rsid w:val="00DC74D3"/>
    <w:rsid w:val="00DC7C9B"/>
    <w:rsid w:val="00DC7EF3"/>
    <w:rsid w:val="00DD039C"/>
    <w:rsid w:val="00DD1AAF"/>
    <w:rsid w:val="00DD231B"/>
    <w:rsid w:val="00DD358B"/>
    <w:rsid w:val="00DD4C39"/>
    <w:rsid w:val="00DD4CC4"/>
    <w:rsid w:val="00DD512C"/>
    <w:rsid w:val="00DD5262"/>
    <w:rsid w:val="00DD62A9"/>
    <w:rsid w:val="00DD6EF3"/>
    <w:rsid w:val="00DE035B"/>
    <w:rsid w:val="00DE0A59"/>
    <w:rsid w:val="00DE0D72"/>
    <w:rsid w:val="00DE1DD8"/>
    <w:rsid w:val="00DE48B6"/>
    <w:rsid w:val="00DE5FF5"/>
    <w:rsid w:val="00DE6684"/>
    <w:rsid w:val="00DF08FC"/>
    <w:rsid w:val="00DF2906"/>
    <w:rsid w:val="00DF49D8"/>
    <w:rsid w:val="00E00EFF"/>
    <w:rsid w:val="00E01CC7"/>
    <w:rsid w:val="00E01D64"/>
    <w:rsid w:val="00E0282A"/>
    <w:rsid w:val="00E1225E"/>
    <w:rsid w:val="00E13428"/>
    <w:rsid w:val="00E1358E"/>
    <w:rsid w:val="00E1430F"/>
    <w:rsid w:val="00E14AC5"/>
    <w:rsid w:val="00E17281"/>
    <w:rsid w:val="00E174F1"/>
    <w:rsid w:val="00E2123A"/>
    <w:rsid w:val="00E22CA8"/>
    <w:rsid w:val="00E2325B"/>
    <w:rsid w:val="00E23F3D"/>
    <w:rsid w:val="00E24BE1"/>
    <w:rsid w:val="00E24BFF"/>
    <w:rsid w:val="00E24CC8"/>
    <w:rsid w:val="00E25AB3"/>
    <w:rsid w:val="00E264C5"/>
    <w:rsid w:val="00E2674A"/>
    <w:rsid w:val="00E268EE"/>
    <w:rsid w:val="00E300F0"/>
    <w:rsid w:val="00E30EE8"/>
    <w:rsid w:val="00E31952"/>
    <w:rsid w:val="00E32070"/>
    <w:rsid w:val="00E32CE9"/>
    <w:rsid w:val="00E33EA6"/>
    <w:rsid w:val="00E35938"/>
    <w:rsid w:val="00E36C9E"/>
    <w:rsid w:val="00E36D6C"/>
    <w:rsid w:val="00E40167"/>
    <w:rsid w:val="00E40669"/>
    <w:rsid w:val="00E4199A"/>
    <w:rsid w:val="00E41A0F"/>
    <w:rsid w:val="00E4202C"/>
    <w:rsid w:val="00E42303"/>
    <w:rsid w:val="00E437FF"/>
    <w:rsid w:val="00E439DD"/>
    <w:rsid w:val="00E43BB3"/>
    <w:rsid w:val="00E448C7"/>
    <w:rsid w:val="00E45488"/>
    <w:rsid w:val="00E50BC1"/>
    <w:rsid w:val="00E5183C"/>
    <w:rsid w:val="00E53240"/>
    <w:rsid w:val="00E540AF"/>
    <w:rsid w:val="00E55A7E"/>
    <w:rsid w:val="00E560FB"/>
    <w:rsid w:val="00E60A8D"/>
    <w:rsid w:val="00E611D8"/>
    <w:rsid w:val="00E63012"/>
    <w:rsid w:val="00E63AB3"/>
    <w:rsid w:val="00E6478B"/>
    <w:rsid w:val="00E64C73"/>
    <w:rsid w:val="00E71019"/>
    <w:rsid w:val="00E754B8"/>
    <w:rsid w:val="00E814B4"/>
    <w:rsid w:val="00E82C2C"/>
    <w:rsid w:val="00E83D82"/>
    <w:rsid w:val="00E83FE2"/>
    <w:rsid w:val="00E848F4"/>
    <w:rsid w:val="00E85B3A"/>
    <w:rsid w:val="00E874A6"/>
    <w:rsid w:val="00E87FB3"/>
    <w:rsid w:val="00E9096B"/>
    <w:rsid w:val="00E9168A"/>
    <w:rsid w:val="00E93B2E"/>
    <w:rsid w:val="00E93C9B"/>
    <w:rsid w:val="00E96618"/>
    <w:rsid w:val="00E9667E"/>
    <w:rsid w:val="00EA0D55"/>
    <w:rsid w:val="00EA14DD"/>
    <w:rsid w:val="00EA2FDC"/>
    <w:rsid w:val="00EA3B79"/>
    <w:rsid w:val="00EA3E64"/>
    <w:rsid w:val="00EA604F"/>
    <w:rsid w:val="00EA606D"/>
    <w:rsid w:val="00EA69B8"/>
    <w:rsid w:val="00EA71B8"/>
    <w:rsid w:val="00EB038C"/>
    <w:rsid w:val="00EB0FC4"/>
    <w:rsid w:val="00EB19D4"/>
    <w:rsid w:val="00EB6452"/>
    <w:rsid w:val="00EB6DB3"/>
    <w:rsid w:val="00EC013D"/>
    <w:rsid w:val="00EC43C4"/>
    <w:rsid w:val="00EC5602"/>
    <w:rsid w:val="00EC5982"/>
    <w:rsid w:val="00EC66EB"/>
    <w:rsid w:val="00ED0263"/>
    <w:rsid w:val="00ED1A31"/>
    <w:rsid w:val="00ED3079"/>
    <w:rsid w:val="00ED3926"/>
    <w:rsid w:val="00ED48F3"/>
    <w:rsid w:val="00ED50EA"/>
    <w:rsid w:val="00ED58FB"/>
    <w:rsid w:val="00ED6407"/>
    <w:rsid w:val="00ED693D"/>
    <w:rsid w:val="00EE02B2"/>
    <w:rsid w:val="00EE032B"/>
    <w:rsid w:val="00EE1552"/>
    <w:rsid w:val="00EE3BE2"/>
    <w:rsid w:val="00EE5082"/>
    <w:rsid w:val="00EE69E6"/>
    <w:rsid w:val="00EE6DF4"/>
    <w:rsid w:val="00EE73D3"/>
    <w:rsid w:val="00EF0C4C"/>
    <w:rsid w:val="00EF1A58"/>
    <w:rsid w:val="00EF2F9B"/>
    <w:rsid w:val="00EF3320"/>
    <w:rsid w:val="00EF4831"/>
    <w:rsid w:val="00EF496F"/>
    <w:rsid w:val="00EF58C0"/>
    <w:rsid w:val="00EF5EE9"/>
    <w:rsid w:val="00F00147"/>
    <w:rsid w:val="00F00A13"/>
    <w:rsid w:val="00F03D33"/>
    <w:rsid w:val="00F063B6"/>
    <w:rsid w:val="00F07582"/>
    <w:rsid w:val="00F10548"/>
    <w:rsid w:val="00F111CF"/>
    <w:rsid w:val="00F12FD3"/>
    <w:rsid w:val="00F13500"/>
    <w:rsid w:val="00F13676"/>
    <w:rsid w:val="00F13C47"/>
    <w:rsid w:val="00F14287"/>
    <w:rsid w:val="00F1468C"/>
    <w:rsid w:val="00F149B7"/>
    <w:rsid w:val="00F15B2A"/>
    <w:rsid w:val="00F17216"/>
    <w:rsid w:val="00F1755F"/>
    <w:rsid w:val="00F17D8A"/>
    <w:rsid w:val="00F20835"/>
    <w:rsid w:val="00F2124C"/>
    <w:rsid w:val="00F21925"/>
    <w:rsid w:val="00F21D11"/>
    <w:rsid w:val="00F2455D"/>
    <w:rsid w:val="00F26582"/>
    <w:rsid w:val="00F26854"/>
    <w:rsid w:val="00F27474"/>
    <w:rsid w:val="00F32CE7"/>
    <w:rsid w:val="00F337AC"/>
    <w:rsid w:val="00F33888"/>
    <w:rsid w:val="00F34227"/>
    <w:rsid w:val="00F34F34"/>
    <w:rsid w:val="00F37391"/>
    <w:rsid w:val="00F37778"/>
    <w:rsid w:val="00F402A0"/>
    <w:rsid w:val="00F422C5"/>
    <w:rsid w:val="00F44556"/>
    <w:rsid w:val="00F453F4"/>
    <w:rsid w:val="00F459F0"/>
    <w:rsid w:val="00F463FF"/>
    <w:rsid w:val="00F46B97"/>
    <w:rsid w:val="00F46EFC"/>
    <w:rsid w:val="00F506AD"/>
    <w:rsid w:val="00F52E18"/>
    <w:rsid w:val="00F53708"/>
    <w:rsid w:val="00F54FFE"/>
    <w:rsid w:val="00F577AB"/>
    <w:rsid w:val="00F60F7C"/>
    <w:rsid w:val="00F63FC1"/>
    <w:rsid w:val="00F6460D"/>
    <w:rsid w:val="00F6556C"/>
    <w:rsid w:val="00F65B60"/>
    <w:rsid w:val="00F66744"/>
    <w:rsid w:val="00F674DE"/>
    <w:rsid w:val="00F711AF"/>
    <w:rsid w:val="00F715F6"/>
    <w:rsid w:val="00F71E65"/>
    <w:rsid w:val="00F7386B"/>
    <w:rsid w:val="00F751F4"/>
    <w:rsid w:val="00F75A8D"/>
    <w:rsid w:val="00F7768A"/>
    <w:rsid w:val="00F77F5D"/>
    <w:rsid w:val="00F801B9"/>
    <w:rsid w:val="00F81176"/>
    <w:rsid w:val="00F84675"/>
    <w:rsid w:val="00F85FB6"/>
    <w:rsid w:val="00F865EB"/>
    <w:rsid w:val="00F86D7A"/>
    <w:rsid w:val="00F87036"/>
    <w:rsid w:val="00F875D9"/>
    <w:rsid w:val="00F87CB6"/>
    <w:rsid w:val="00F93C2D"/>
    <w:rsid w:val="00F94230"/>
    <w:rsid w:val="00F942DF"/>
    <w:rsid w:val="00F94E9B"/>
    <w:rsid w:val="00F96B6E"/>
    <w:rsid w:val="00FA261A"/>
    <w:rsid w:val="00FA2921"/>
    <w:rsid w:val="00FA2F99"/>
    <w:rsid w:val="00FA41B6"/>
    <w:rsid w:val="00FA48B0"/>
    <w:rsid w:val="00FA4EF5"/>
    <w:rsid w:val="00FA6D19"/>
    <w:rsid w:val="00FA714D"/>
    <w:rsid w:val="00FB0488"/>
    <w:rsid w:val="00FB1A9B"/>
    <w:rsid w:val="00FB2471"/>
    <w:rsid w:val="00FB3CF3"/>
    <w:rsid w:val="00FB42C3"/>
    <w:rsid w:val="00FB4563"/>
    <w:rsid w:val="00FB7251"/>
    <w:rsid w:val="00FC0FD0"/>
    <w:rsid w:val="00FC1108"/>
    <w:rsid w:val="00FC2184"/>
    <w:rsid w:val="00FC30EE"/>
    <w:rsid w:val="00FC3D42"/>
    <w:rsid w:val="00FC44D7"/>
    <w:rsid w:val="00FC5425"/>
    <w:rsid w:val="00FC5DA4"/>
    <w:rsid w:val="00FC6FDB"/>
    <w:rsid w:val="00FC745A"/>
    <w:rsid w:val="00FC7C2B"/>
    <w:rsid w:val="00FD005A"/>
    <w:rsid w:val="00FD09D6"/>
    <w:rsid w:val="00FD207E"/>
    <w:rsid w:val="00FD20BD"/>
    <w:rsid w:val="00FD3495"/>
    <w:rsid w:val="00FD57FD"/>
    <w:rsid w:val="00FD6EE2"/>
    <w:rsid w:val="00FD7FF8"/>
    <w:rsid w:val="00FE0A88"/>
    <w:rsid w:val="00FE1C5B"/>
    <w:rsid w:val="00FE2047"/>
    <w:rsid w:val="00FE4249"/>
    <w:rsid w:val="00FE55BC"/>
    <w:rsid w:val="00FE56FA"/>
    <w:rsid w:val="00FE64BD"/>
    <w:rsid w:val="00FE776C"/>
    <w:rsid w:val="00FE7CFC"/>
    <w:rsid w:val="00FF0BE1"/>
    <w:rsid w:val="00FF149D"/>
    <w:rsid w:val="00FF1B80"/>
    <w:rsid w:val="00FF28D9"/>
    <w:rsid w:val="00FF2A62"/>
    <w:rsid w:val="00FF2E47"/>
    <w:rsid w:val="00FF423A"/>
    <w:rsid w:val="00FF4B20"/>
    <w:rsid w:val="00FF566F"/>
    <w:rsid w:val="00FF6B0F"/>
    <w:rsid w:val="00FF6C5F"/>
    <w:rsid w:val="00FF7FD2"/>
    <w:rsid w:val="072FEDE1"/>
    <w:rsid w:val="2B29FC10"/>
    <w:rsid w:val="3A417A04"/>
    <w:rsid w:val="41DB39EC"/>
    <w:rsid w:val="52414DCB"/>
    <w:rsid w:val="57E30FAD"/>
    <w:rsid w:val="62103300"/>
    <w:rsid w:val="642AB9E1"/>
    <w:rsid w:val="6BFD02B1"/>
    <w:rsid w:val="7BC456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8404"/>
  <w15:chartTrackingRefBased/>
  <w15:docId w15:val="{DE3DF217-6C47-4EAA-AC94-BF47123D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qFormat="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rFonts w:asciiTheme="minorHAnsi" w:eastAsiaTheme="minorEastAsia" w:hAnsiTheme="minorHAnsi" w:cstheme="minorBidi"/>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qFormat/>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17"/>
    <w:unhideWhenUsed/>
    <w:qFormat/>
    <w:rsid w:val="006C1429"/>
    <w:pPr>
      <w:ind w:left="283" w:hanging="283"/>
      <w:contextualSpacing/>
    </w:pPr>
  </w:style>
  <w:style w:type="paragraph" w:styleId="List2">
    <w:name w:val="List 2"/>
    <w:basedOn w:val="Normal"/>
    <w:uiPriority w:val="17"/>
    <w:unhideWhenUsed/>
    <w:qFormat/>
    <w:rsid w:val="006C1429"/>
    <w:pPr>
      <w:ind w:left="566" w:hanging="283"/>
      <w:contextualSpacing/>
    </w:pPr>
  </w:style>
  <w:style w:type="paragraph" w:styleId="List3">
    <w:name w:val="List 3"/>
    <w:basedOn w:val="Normal"/>
    <w:uiPriority w:val="17"/>
    <w:unhideWhenUsed/>
    <w:qFormat/>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heme="minorHAnsi" w:eastAsiaTheme="minorEastAsia" w:hAnsiTheme="minorHAnsi" w:cstheme="minorBidi"/>
      <w:lang w:eastAsia="en-AU"/>
    </w:rPr>
  </w:style>
  <w:style w:type="character" w:customStyle="1" w:styleId="NumberedListChar">
    <w:name w:val="Numbered List Char"/>
    <w:basedOn w:val="ListNumber3Char"/>
    <w:link w:val="NumberedList"/>
    <w:rsid w:val="00373B0D"/>
    <w:rPr>
      <w:rFonts w:asciiTheme="minorHAnsi" w:eastAsiaTheme="minorEastAsia" w:hAnsiTheme="minorHAnsi" w:cstheme="minorBidi"/>
      <w:lang w:eastAsia="en-AU"/>
    </w:rPr>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Sitka Subheading Semibold" w:hAnsi="Sitka Subheading Semibold"/>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character" w:styleId="UnresolvedMention">
    <w:name w:val="Unresolved Mention"/>
    <w:basedOn w:val="DefaultParagraphFont"/>
    <w:uiPriority w:val="99"/>
    <w:semiHidden/>
    <w:unhideWhenUsed/>
    <w:rsid w:val="00CE6CEC"/>
    <w:rPr>
      <w:color w:val="605E5C"/>
      <w:shd w:val="clear" w:color="auto" w:fill="E1DFDD"/>
    </w:rPr>
  </w:style>
  <w:style w:type="paragraph" w:styleId="Revision">
    <w:name w:val="Revision"/>
    <w:hidden/>
    <w:uiPriority w:val="99"/>
    <w:semiHidden/>
    <w:rsid w:val="003532E3"/>
    <w:pPr>
      <w:spacing w:after="0" w:line="240" w:lineRule="auto"/>
    </w:pPr>
    <w:rPr>
      <w:rFonts w:asciiTheme="minorHAnsi" w:eastAsiaTheme="minorEastAsia" w:hAnsiTheme="minorHAnsi" w:cstheme="minorBidi"/>
      <w:lang w:eastAsia="en-AU"/>
    </w:rPr>
  </w:style>
  <w:style w:type="paragraph" w:customStyle="1" w:styleId="paragraph">
    <w:name w:val="paragraph"/>
    <w:basedOn w:val="Normal"/>
    <w:rsid w:val="00B0208A"/>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B0208A"/>
  </w:style>
  <w:style w:type="character" w:customStyle="1" w:styleId="eop">
    <w:name w:val="eop"/>
    <w:basedOn w:val="DefaultParagraphFont"/>
    <w:rsid w:val="00B0208A"/>
  </w:style>
  <w:style w:type="paragraph" w:styleId="NormalWeb">
    <w:name w:val="Normal (Web)"/>
    <w:basedOn w:val="Normal"/>
    <w:uiPriority w:val="99"/>
    <w:unhideWhenUsed/>
    <w:rsid w:val="0042544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BA44FB"/>
    <w:pPr>
      <w:spacing w:after="240" w:line="240" w:lineRule="auto"/>
      <w:jc w:val="both"/>
    </w:pPr>
    <w:rPr>
      <w:rFonts w:ascii="Arial" w:eastAsiaTheme="minorHAnsi" w:hAnsi="Arial"/>
      <w:color w:val="000000"/>
      <w:lang w:eastAsia="en-US"/>
    </w:rPr>
  </w:style>
  <w:style w:type="character" w:customStyle="1" w:styleId="DateChar">
    <w:name w:val="Date Char"/>
    <w:basedOn w:val="DefaultParagraphFont"/>
    <w:link w:val="Date"/>
    <w:uiPriority w:val="99"/>
    <w:semiHidden/>
    <w:rsid w:val="00BA44FB"/>
    <w:rPr>
      <w:rFonts w:ascii="Arial" w:hAnsi="Arial" w:cstheme="minorBidi"/>
      <w:color w:val="000000"/>
    </w:rPr>
  </w:style>
  <w:style w:type="numbering" w:styleId="1ai">
    <w:name w:val="Outline List 1"/>
    <w:basedOn w:val="NoList"/>
    <w:uiPriority w:val="99"/>
    <w:semiHidden/>
    <w:unhideWhenUsed/>
    <w:rsid w:val="00BA44FB"/>
    <w:pPr>
      <w:numPr>
        <w:numId w:val="14"/>
      </w:numPr>
    </w:pPr>
  </w:style>
  <w:style w:type="character" w:styleId="Mention">
    <w:name w:val="Mention"/>
    <w:basedOn w:val="DefaultParagraphFont"/>
    <w:uiPriority w:val="99"/>
    <w:unhideWhenUsed/>
    <w:rsid w:val="001942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4966">
      <w:bodyDiv w:val="1"/>
      <w:marLeft w:val="0"/>
      <w:marRight w:val="0"/>
      <w:marTop w:val="0"/>
      <w:marBottom w:val="0"/>
      <w:divBdr>
        <w:top w:val="none" w:sz="0" w:space="0" w:color="auto"/>
        <w:left w:val="none" w:sz="0" w:space="0" w:color="auto"/>
        <w:bottom w:val="none" w:sz="0" w:space="0" w:color="auto"/>
        <w:right w:val="none" w:sz="0" w:space="0" w:color="auto"/>
      </w:divBdr>
    </w:div>
    <w:div w:id="322974072">
      <w:bodyDiv w:val="1"/>
      <w:marLeft w:val="0"/>
      <w:marRight w:val="0"/>
      <w:marTop w:val="0"/>
      <w:marBottom w:val="0"/>
      <w:divBdr>
        <w:top w:val="none" w:sz="0" w:space="0" w:color="auto"/>
        <w:left w:val="none" w:sz="0" w:space="0" w:color="auto"/>
        <w:bottom w:val="none" w:sz="0" w:space="0" w:color="auto"/>
        <w:right w:val="none" w:sz="0" w:space="0" w:color="auto"/>
      </w:divBdr>
    </w:div>
    <w:div w:id="531191637">
      <w:bodyDiv w:val="1"/>
      <w:marLeft w:val="0"/>
      <w:marRight w:val="0"/>
      <w:marTop w:val="0"/>
      <w:marBottom w:val="0"/>
      <w:divBdr>
        <w:top w:val="none" w:sz="0" w:space="0" w:color="auto"/>
        <w:left w:val="none" w:sz="0" w:space="0" w:color="auto"/>
        <w:bottom w:val="none" w:sz="0" w:space="0" w:color="auto"/>
        <w:right w:val="none" w:sz="0" w:space="0" w:color="auto"/>
      </w:divBdr>
    </w:div>
    <w:div w:id="584613491">
      <w:bodyDiv w:val="1"/>
      <w:marLeft w:val="0"/>
      <w:marRight w:val="0"/>
      <w:marTop w:val="0"/>
      <w:marBottom w:val="0"/>
      <w:divBdr>
        <w:top w:val="none" w:sz="0" w:space="0" w:color="auto"/>
        <w:left w:val="none" w:sz="0" w:space="0" w:color="auto"/>
        <w:bottom w:val="none" w:sz="0" w:space="0" w:color="auto"/>
        <w:right w:val="none" w:sz="0" w:space="0" w:color="auto"/>
      </w:divBdr>
    </w:div>
    <w:div w:id="618730242">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842816107">
      <w:bodyDiv w:val="1"/>
      <w:marLeft w:val="0"/>
      <w:marRight w:val="0"/>
      <w:marTop w:val="0"/>
      <w:marBottom w:val="0"/>
      <w:divBdr>
        <w:top w:val="none" w:sz="0" w:space="0" w:color="auto"/>
        <w:left w:val="none" w:sz="0" w:space="0" w:color="auto"/>
        <w:bottom w:val="none" w:sz="0" w:space="0" w:color="auto"/>
        <w:right w:val="none" w:sz="0" w:space="0" w:color="auto"/>
      </w:divBdr>
    </w:div>
    <w:div w:id="951935146">
      <w:bodyDiv w:val="1"/>
      <w:marLeft w:val="0"/>
      <w:marRight w:val="0"/>
      <w:marTop w:val="0"/>
      <w:marBottom w:val="0"/>
      <w:divBdr>
        <w:top w:val="none" w:sz="0" w:space="0" w:color="auto"/>
        <w:left w:val="none" w:sz="0" w:space="0" w:color="auto"/>
        <w:bottom w:val="none" w:sz="0" w:space="0" w:color="auto"/>
        <w:right w:val="none" w:sz="0" w:space="0" w:color="auto"/>
      </w:divBdr>
    </w:div>
    <w:div w:id="1306743631">
      <w:bodyDiv w:val="1"/>
      <w:marLeft w:val="0"/>
      <w:marRight w:val="0"/>
      <w:marTop w:val="0"/>
      <w:marBottom w:val="0"/>
      <w:divBdr>
        <w:top w:val="none" w:sz="0" w:space="0" w:color="auto"/>
        <w:left w:val="none" w:sz="0" w:space="0" w:color="auto"/>
        <w:bottom w:val="none" w:sz="0" w:space="0" w:color="auto"/>
        <w:right w:val="none" w:sz="0" w:space="0" w:color="auto"/>
      </w:divBdr>
    </w:div>
    <w:div w:id="1655986114">
      <w:bodyDiv w:val="1"/>
      <w:marLeft w:val="0"/>
      <w:marRight w:val="0"/>
      <w:marTop w:val="0"/>
      <w:marBottom w:val="0"/>
      <w:divBdr>
        <w:top w:val="none" w:sz="0" w:space="0" w:color="auto"/>
        <w:left w:val="none" w:sz="0" w:space="0" w:color="auto"/>
        <w:bottom w:val="none" w:sz="0" w:space="0" w:color="auto"/>
        <w:right w:val="none" w:sz="0" w:space="0" w:color="auto"/>
      </w:divBdr>
    </w:div>
    <w:div w:id="1828742525">
      <w:bodyDiv w:val="1"/>
      <w:marLeft w:val="0"/>
      <w:marRight w:val="0"/>
      <w:marTop w:val="0"/>
      <w:marBottom w:val="0"/>
      <w:divBdr>
        <w:top w:val="none" w:sz="0" w:space="0" w:color="auto"/>
        <w:left w:val="none" w:sz="0" w:space="0" w:color="auto"/>
        <w:bottom w:val="none" w:sz="0" w:space="0" w:color="auto"/>
        <w:right w:val="none" w:sz="0" w:space="0" w:color="auto"/>
      </w:divBdr>
    </w:div>
    <w:div w:id="2072725519">
      <w:bodyDiv w:val="1"/>
      <w:marLeft w:val="0"/>
      <w:marRight w:val="0"/>
      <w:marTop w:val="0"/>
      <w:marBottom w:val="0"/>
      <w:divBdr>
        <w:top w:val="none" w:sz="0" w:space="0" w:color="auto"/>
        <w:left w:val="none" w:sz="0" w:space="0" w:color="auto"/>
        <w:bottom w:val="none" w:sz="0" w:space="0" w:color="auto"/>
        <w:right w:val="none" w:sz="0" w:space="0" w:color="auto"/>
      </w:divBdr>
    </w:div>
    <w:div w:id="20936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Vicky Kim</DisplayName>
        <AccountId>332</AccountId>
        <AccountType/>
      </UserInfo>
      <UserInfo>
        <DisplayName>Eisha Farrukh</DisplayName>
        <AccountId>144</AccountId>
        <AccountType/>
      </UserInfo>
      <UserInfo>
        <DisplayName>Nicky Tran</DisplayName>
        <AccountId>184</AccountId>
        <AccountType/>
      </UserInfo>
      <UserInfo>
        <DisplayName>Gavin Maunder</DisplayName>
        <AccountId>20</AccountId>
        <AccountType/>
      </UserInfo>
      <UserInfo>
        <DisplayName>John Lonsdale</DisplayName>
        <AccountId>44</AccountId>
        <AccountType/>
      </UserInfo>
      <UserInfo>
        <DisplayName>Meredith Swain</DisplayName>
        <AccountId>437</AccountId>
        <AccountType/>
      </UserInfo>
      <UserInfo>
        <DisplayName>Gideon Holland</DisplayName>
        <AccountId>23</AccountId>
        <AccountType/>
      </UserInfo>
      <UserInfo>
        <DisplayName>Denis Gorey</DisplayName>
        <AccountId>22</AccountId>
        <AccountType/>
      </UserInfo>
    </SharedWithUsers>
    <TaxCatchAll xmlns="92a8a7e8-49a1-4017-acf0-0edc7cce208b">
      <Value>137</Value>
      <Value>234</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0E6D15BF-4BB5-4087-9493-B8AE47302AEF}"/>
</file>

<file path=customXml/itemProps3.xml><?xml version="1.0" encoding="utf-8"?>
<ds:datastoreItem xmlns:ds="http://schemas.openxmlformats.org/officeDocument/2006/customXml" ds:itemID="{E646863B-615E-46D4-8766-D66ACA95F23A}">
  <ds:schemaRefs>
    <ds:schemaRef ds:uri="http://schemas.microsoft.com/sharepoint/v3/contenttype/forms"/>
  </ds:schemaRefs>
</ds:datastoreItem>
</file>

<file path=customXml/itemProps4.xml><?xml version="1.0" encoding="utf-8"?>
<ds:datastoreItem xmlns:ds="http://schemas.openxmlformats.org/officeDocument/2006/customXml" ds:itemID="{B172A89B-D21B-4D53-AAF6-892FA8EAFC25}">
  <ds:schemaRefs>
    <ds:schemaRef ds:uri="http://schemas.microsoft.com/sharepoint/v4"/>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22d2dd9a-2852-4d8c-8b5d-027249abf292"/>
    <ds:schemaRef ds:uri="79530295-9eea-494d-b82a-9ff74409eafc"/>
  </ds:schemaRefs>
</ds:datastoreItem>
</file>

<file path=customXml/itemProps5.xml><?xml version="1.0" encoding="utf-8"?>
<ds:datastoreItem xmlns:ds="http://schemas.openxmlformats.org/officeDocument/2006/customXml" ds:itemID="{DF6008C3-B8B3-4A11-8719-F5BAFE2A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9926</Characters>
  <Application>Microsoft Office Word</Application>
  <DocSecurity>0</DocSecurity>
  <Lines>175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Michalis</dc:creator>
  <cp:keywords>[SEC=OFFICIAL]</cp:keywords>
  <dc:description/>
  <cp:lastModifiedBy>Toni Michalis</cp:lastModifiedBy>
  <cp:revision>3</cp:revision>
  <dcterms:created xsi:type="dcterms:W3CDTF">2024-08-22T03:12:00Z</dcterms:created>
  <dcterms:modified xsi:type="dcterms:W3CDTF">2024-08-22T03:12:00Z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HMAC">
    <vt:lpwstr>v=2022.1;a=SHA256;h=D2BB22835AB69C31E70E0E1F09C69DFEEBE4E7071B2665BA1233622111DF8C1B</vt:lpwstr>
  </property>
  <property fmtid="{D5CDD505-2E9C-101B-9397-08002B2CF9AE}" pid="3" name="PM_Qualifier">
    <vt:lpwstr/>
  </property>
  <property fmtid="{D5CDD505-2E9C-101B-9397-08002B2CF9AE}" pid="4" name="PM_DisplayValueSecClassificationWithQualifier">
    <vt:lpwstr>OFFICIAL</vt:lpwstr>
  </property>
  <property fmtid="{D5CDD505-2E9C-101B-9397-08002B2CF9AE}" pid="5" name="MSIP_Label_c0129afb-6481-4f92-bc9f-5a4a6346364d_Method">
    <vt:lpwstr>Privileged</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onTimeStamp">
    <vt:lpwstr>2021-11-29T05:57:41Z</vt:lpwstr>
  </property>
  <property fmtid="{D5CDD505-2E9C-101B-9397-08002B2CF9AE}" pid="9" name="PM_ProtectiveMarkingValue_Header">
    <vt:lpwstr>OFFICIAL</vt:lpwstr>
  </property>
  <property fmtid="{D5CDD505-2E9C-101B-9397-08002B2CF9AE}" pid="10" name="PM_Hash_Version">
    <vt:lpwstr>2022.1</vt:lpwstr>
  </property>
  <property fmtid="{D5CDD505-2E9C-101B-9397-08002B2CF9AE}" pid="11" name="PM_Qualifier_Prev">
    <vt:lpwstr/>
  </property>
  <property fmtid="{D5CDD505-2E9C-101B-9397-08002B2CF9AE}" pid="12" name="PM_SecurityClassification_Prev">
    <vt:lpwstr>OFFICIAL</vt:lpwstr>
  </property>
  <property fmtid="{D5CDD505-2E9C-101B-9397-08002B2CF9AE}" pid="13" name="PM_ProtectiveMarkingValue_Footer">
    <vt:lpwstr>OFFICIAL</vt:lpwstr>
  </property>
  <property fmtid="{D5CDD505-2E9C-101B-9397-08002B2CF9AE}" pid="14" name="PM_Originating_FileId">
    <vt:lpwstr>4451D0D830E24AA59738A77E8D34CD91</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2018.3</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_Hash_Salt_Prev">
    <vt:lpwstr>375C255FECA723DCF1830883B7691739</vt:lpwstr>
  </property>
  <property fmtid="{D5CDD505-2E9C-101B-9397-08002B2CF9AE}" pid="24" name="MSIP_Label_c0129afb-6481-4f92-bc9f-5a4a6346364d_SetDate">
    <vt:lpwstr>2021-11-29T05:57:41Z</vt:lpwstr>
  </property>
  <property fmtid="{D5CDD505-2E9C-101B-9397-08002B2CF9AE}" pid="25" name="MSIP_Label_c0129afb-6481-4f92-bc9f-5a4a6346364d_Name">
    <vt:lpwstr>OFFICIAL</vt:lpwstr>
  </property>
  <property fmtid="{D5CDD505-2E9C-101B-9397-08002B2CF9AE}" pid="26" name="MSIP_Label_c0129afb-6481-4f92-bc9f-5a4a6346364d_SiteId">
    <vt:lpwstr>c05e3ffd-b491-4431-9809-e61d4dc78816</vt:lpwstr>
  </property>
  <property fmtid="{D5CDD505-2E9C-101B-9397-08002B2CF9AE}" pid="27" name="MSIP_Label_c0129afb-6481-4f92-bc9f-5a4a6346364d_Enabled">
    <vt:lpwstr>true</vt:lpwstr>
  </property>
  <property fmtid="{D5CDD505-2E9C-101B-9397-08002B2CF9AE}" pid="28" name="MSIP_Label_c0129afb-6481-4f92-bc9f-5a4a6346364d_ContentBits">
    <vt:lpwstr>0</vt:lpwstr>
  </property>
  <property fmtid="{D5CDD505-2E9C-101B-9397-08002B2CF9AE}" pid="29" name="PMUuid">
    <vt:lpwstr>v=2022.2;d=gov.au;g=46DD6D7C-8107-577B-BC6E-F348953B2E44</vt:lpwstr>
  </property>
  <property fmtid="{D5CDD505-2E9C-101B-9397-08002B2CF9AE}" pid="30" name="PM_Originator_Hash_SHA1">
    <vt:lpwstr>C3AD57350F36D8E1BD75F8F67CB06D435C9C43CA</vt:lpwstr>
  </property>
  <property fmtid="{D5CDD505-2E9C-101B-9397-08002B2CF9AE}" pid="31" name="PM_OriginatorUserAccountName_SHA256">
    <vt:lpwstr>6E3018F28A186D2E5FF5207C041E7A82E907C3008E071057026A53705873B72E</vt:lpwstr>
  </property>
  <property fmtid="{D5CDD505-2E9C-101B-9397-08002B2CF9AE}" pid="32" name="PM_Hash_SHA1">
    <vt:lpwstr>48BEBBEB7D923E3CD041AABB20D5D21C89E0267E</vt:lpwstr>
  </property>
  <property fmtid="{D5CDD505-2E9C-101B-9397-08002B2CF9AE}" pid="33" name="PM_Hash_Salt">
    <vt:lpwstr>5DE7EC7E8534CEA802A92902D7DFA159</vt:lpwstr>
  </property>
  <property fmtid="{D5CDD505-2E9C-101B-9397-08002B2CF9AE}" pid="34" name="MSIP_Label_c0129afb-6481-4f92-bc9f-5a4a6346364d_ActionId">
    <vt:lpwstr>e3338447e45e42db8798ca58939ae504</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
  </property>
  <property fmtid="{D5CDD505-2E9C-101B-9397-08002B2CF9AE}" pid="38" name="APRACostCentre">
    <vt:lpwstr/>
  </property>
  <property fmtid="{D5CDD505-2E9C-101B-9397-08002B2CF9AE}" pid="39" name="MediaServiceImageTags">
    <vt:lpwstr/>
  </property>
  <property fmtid="{D5CDD505-2E9C-101B-9397-08002B2CF9AE}" pid="40" name="ContentTypeId">
    <vt:lpwstr>0x01010080D163DB4DEE504FAB457909715FEC45</vt:lpwstr>
  </property>
  <property fmtid="{D5CDD505-2E9C-101B-9397-08002B2CF9AE}" pid="41" name="RecordPoint_WorkflowType">
    <vt:lpwstr>ActiveSubmitStub</vt:lpwstr>
  </property>
  <property fmtid="{D5CDD505-2E9C-101B-9397-08002B2CF9AE}" pid="42" name="RecordPoint_ActiveItemSiteId">
    <vt:lpwstr>{88691c01-5bbb-4215-adc0-66cb7065b0af}</vt:lpwstr>
  </property>
  <property fmtid="{D5CDD505-2E9C-101B-9397-08002B2CF9AE}" pid="43" name="APRADocumentType">
    <vt:lpwstr>234;#Explanatory statement|b22f2e2f-3f73-411b-9a7c-34264d26fa25</vt:lpwstr>
  </property>
  <property fmtid="{D5CDD505-2E9C-101B-9397-08002B2CF9AE}" pid="44" name="APRAPRSG">
    <vt:lpwstr/>
  </property>
  <property fmtid="{D5CDD505-2E9C-101B-9397-08002B2CF9AE}" pid="45" name="APRAActivity">
    <vt:lpwstr>137;#Prudential standard development|fbeb3364-1425-47e2-8200-3b7f3a245dfe</vt:lpwstr>
  </property>
  <property fmtid="{D5CDD505-2E9C-101B-9397-08002B2CF9AE}" pid="46" name="RecordPoint_ActiveItemListId">
    <vt:lpwstr>{8987d8f8-681a-4384-8d1b-abc41ebe4f5e}</vt:lpwstr>
  </property>
  <property fmtid="{D5CDD505-2E9C-101B-9397-08002B2CF9AE}" pid="47" name="APRALegislation">
    <vt:lpwstr/>
  </property>
  <property fmtid="{D5CDD505-2E9C-101B-9397-08002B2CF9AE}" pid="48" name="RecordPoint_ActiveItemMoved">
    <vt:lpwstr/>
  </property>
  <property fmtid="{D5CDD505-2E9C-101B-9397-08002B2CF9AE}" pid="49" name="RecordPoint_SubmissionCompleted">
    <vt:lpwstr/>
  </property>
  <property fmtid="{D5CDD505-2E9C-101B-9397-08002B2CF9AE}" pid="50" name="_docset_NoMedatataSyncRequired">
    <vt:lpwstr>False</vt:lpwstr>
  </property>
  <property fmtid="{D5CDD505-2E9C-101B-9397-08002B2CF9AE}" pid="51" name="j724204a644741eb9f777fcb03fe8840">
    <vt:lpwstr/>
  </property>
  <property fmtid="{D5CDD505-2E9C-101B-9397-08002B2CF9AE}" pid="52" name="APRAExternalOrganisation">
    <vt:lpwstr/>
  </property>
  <property fmtid="{D5CDD505-2E9C-101B-9397-08002B2CF9AE}" pid="53" name="APRAPrecedentCategory">
    <vt:lpwstr/>
  </property>
  <property fmtid="{D5CDD505-2E9C-101B-9397-08002B2CF9AE}" pid="54" name="APRAIRTR">
    <vt:lpwstr/>
  </property>
  <property fmtid="{D5CDD505-2E9C-101B-9397-08002B2CF9AE}" pid="55" name="d9a849fd1b8e46ada0321eb0681a10ee">
    <vt:lpwstr/>
  </property>
  <property fmtid="{D5CDD505-2E9C-101B-9397-08002B2CF9AE}" pid="56" name="APRAPeriod">
    <vt:lpwstr/>
  </property>
  <property fmtid="{D5CDD505-2E9C-101B-9397-08002B2CF9AE}" pid="57" name="RecordPoint_ActiveItemWebId">
    <vt:lpwstr>{75a71c27-8d66-4282-ae60-1bfc22a83be1}</vt:lpwstr>
  </property>
  <property fmtid="{D5CDD505-2E9C-101B-9397-08002B2CF9AE}" pid="58" name="APRAPrecedentSubCategory">
    <vt:lpwstr/>
  </property>
  <property fmtid="{D5CDD505-2E9C-101B-9397-08002B2CF9AE}" pid="59" name="IT system type">
    <vt:lpwstr/>
  </property>
  <property fmtid="{D5CDD505-2E9C-101B-9397-08002B2CF9AE}" pid="60" name="_dlc_DocIdItemGuid">
    <vt:lpwstr>3f5062d2-cf13-4fba-9cba-bb62f49b6b12</vt:lpwstr>
  </property>
  <property fmtid="{D5CDD505-2E9C-101B-9397-08002B2CF9AE}" pid="61" name="APRACategory">
    <vt:lpwstr/>
  </property>
  <property fmtid="{D5CDD505-2E9C-101B-9397-08002B2CF9AE}" pid="62" name="APRAStatus">
    <vt:lpwstr>1;#Draft|0e1556d2-3fe8-443a-ada7-3620563b46b3</vt:lpwstr>
  </property>
  <property fmtid="{D5CDD505-2E9C-101B-9397-08002B2CF9AE}" pid="63" name="APRAEntityAdviceSupport">
    <vt:lpwstr/>
  </property>
  <property fmtid="{D5CDD505-2E9C-101B-9397-08002B2CF9AE}" pid="64" name="ic4067bd02f14cf3a95ad35878404a71">
    <vt:lpwstr/>
  </property>
  <property fmtid="{D5CDD505-2E9C-101B-9397-08002B2CF9AE}" pid="65" name="APRAYear">
    <vt:lpwstr/>
  </property>
  <property fmtid="{D5CDD505-2E9C-101B-9397-08002B2CF9AE}" pid="66" name="APRAIndustry">
    <vt:lpwstr/>
  </property>
  <property fmtid="{D5CDD505-2E9C-101B-9397-08002B2CF9AE}" pid="67" name="RecordPoint_RecordFormat">
    <vt:lpwstr/>
  </property>
  <property fmtid="{D5CDD505-2E9C-101B-9397-08002B2CF9AE}" pid="68" name="RecordPoint_ActiveItemUniqueId">
    <vt:lpwstr>{3f5062d2-cf13-4fba-9cba-bb62f49b6b12}</vt:lpwstr>
  </property>
  <property fmtid="{D5CDD505-2E9C-101B-9397-08002B2CF9AE}" pid="69" name="IsLocked">
    <vt:lpwstr>Yes</vt:lpwstr>
  </property>
</Properties>
</file>