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E00835" w:rsidRDefault="00A31D73" w:rsidP="00850F56">
      <w:pPr>
        <w:spacing w:after="600"/>
        <w:rPr>
          <w:sz w:val="28"/>
        </w:rPr>
      </w:pPr>
      <w:r w:rsidRPr="00E00835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4E83F4A5" w:rsidR="00243EC0" w:rsidRPr="00E00835" w:rsidRDefault="00447DB4" w:rsidP="00B16067">
      <w:pPr>
        <w:pStyle w:val="LI-Title"/>
        <w:pBdr>
          <w:bottom w:val="single" w:sz="4" w:space="1" w:color="auto"/>
        </w:pBdr>
      </w:pPr>
      <w:r w:rsidRPr="00E00835">
        <w:t>A</w:t>
      </w:r>
      <w:r w:rsidR="00327DDF" w:rsidRPr="00E00835">
        <w:t xml:space="preserve">SIC Corporations </w:t>
      </w:r>
      <w:r w:rsidR="00C11452" w:rsidRPr="00E00835">
        <w:t>(</w:t>
      </w:r>
      <w:r w:rsidR="000B4DB7" w:rsidRPr="00E00835">
        <w:t xml:space="preserve">CCIV </w:t>
      </w:r>
      <w:r w:rsidR="00DF7019" w:rsidRPr="00E00835">
        <w:t>A</w:t>
      </w:r>
      <w:r w:rsidR="000B4DB7" w:rsidRPr="00E00835">
        <w:t>uditors</w:t>
      </w:r>
      <w:r w:rsidR="00C11452" w:rsidRPr="00E00835">
        <w:t xml:space="preserve">) Instrument </w:t>
      </w:r>
      <w:r w:rsidR="00460999" w:rsidRPr="00E00835">
        <w:t>2024</w:t>
      </w:r>
      <w:r w:rsidR="00132B7B" w:rsidRPr="00E00835">
        <w:t>/</w:t>
      </w:r>
      <w:r w:rsidR="0010283F" w:rsidRPr="00E00835">
        <w:t>668</w:t>
      </w:r>
    </w:p>
    <w:p w14:paraId="09CED424" w14:textId="3A1C8841" w:rsidR="00F171A1" w:rsidRPr="00E00835" w:rsidRDefault="00F171A1" w:rsidP="00005446">
      <w:pPr>
        <w:pStyle w:val="LI-Fronttext"/>
        <w:rPr>
          <w:sz w:val="24"/>
          <w:szCs w:val="24"/>
        </w:rPr>
      </w:pPr>
      <w:r w:rsidRPr="00E00835">
        <w:rPr>
          <w:sz w:val="24"/>
          <w:szCs w:val="24"/>
        </w:rPr>
        <w:t xml:space="preserve">I, </w:t>
      </w:r>
      <w:r w:rsidR="00B9088F" w:rsidRPr="00E00835">
        <w:rPr>
          <w:sz w:val="24"/>
          <w:szCs w:val="24"/>
        </w:rPr>
        <w:t>Kate Metz</w:t>
      </w:r>
      <w:r w:rsidR="00C0544A" w:rsidRPr="00E00835">
        <w:rPr>
          <w:sz w:val="24"/>
          <w:szCs w:val="24"/>
        </w:rPr>
        <w:t>, delegate of the Australian Securities and Investments Commission</w:t>
      </w:r>
      <w:r w:rsidRPr="00E00835">
        <w:rPr>
          <w:sz w:val="24"/>
          <w:szCs w:val="24"/>
        </w:rPr>
        <w:t xml:space="preserve">, make the following </w:t>
      </w:r>
      <w:r w:rsidR="008C0F29" w:rsidRPr="00E00835">
        <w:rPr>
          <w:sz w:val="24"/>
          <w:szCs w:val="24"/>
        </w:rPr>
        <w:t>legislative instrument</w:t>
      </w:r>
      <w:r w:rsidRPr="00E00835">
        <w:rPr>
          <w:sz w:val="24"/>
          <w:szCs w:val="24"/>
        </w:rPr>
        <w:t>.</w:t>
      </w:r>
    </w:p>
    <w:p w14:paraId="5EAD13B6" w14:textId="77777777" w:rsidR="003A2A48" w:rsidRPr="00E00835" w:rsidRDefault="003A2A48" w:rsidP="00005446">
      <w:pPr>
        <w:pStyle w:val="LI-Fronttext"/>
      </w:pPr>
    </w:p>
    <w:p w14:paraId="30DA1485" w14:textId="79C8490A" w:rsidR="006554FF" w:rsidRPr="00E00835" w:rsidRDefault="00F171A1" w:rsidP="00005446">
      <w:pPr>
        <w:pStyle w:val="LI-Fronttext"/>
        <w:rPr>
          <w:sz w:val="24"/>
          <w:szCs w:val="24"/>
        </w:rPr>
      </w:pPr>
      <w:r w:rsidRPr="00E00835">
        <w:rPr>
          <w:sz w:val="24"/>
          <w:szCs w:val="24"/>
        </w:rPr>
        <w:t>Date</w:t>
      </w:r>
      <w:r w:rsidRPr="00E00835">
        <w:rPr>
          <w:sz w:val="24"/>
          <w:szCs w:val="24"/>
        </w:rPr>
        <w:tab/>
      </w:r>
      <w:bookmarkStart w:id="0" w:name="BKCheck15B_1"/>
      <w:bookmarkEnd w:id="0"/>
      <w:r w:rsidR="007D4118" w:rsidRPr="00E00835">
        <w:rPr>
          <w:sz w:val="24"/>
          <w:szCs w:val="24"/>
        </w:rPr>
        <w:t xml:space="preserve">29 August </w:t>
      </w:r>
      <w:r w:rsidR="00255007" w:rsidRPr="00E00835">
        <w:rPr>
          <w:sz w:val="24"/>
          <w:szCs w:val="24"/>
        </w:rPr>
        <w:t>20</w:t>
      </w:r>
      <w:r w:rsidR="00053940" w:rsidRPr="00E00835">
        <w:rPr>
          <w:sz w:val="24"/>
          <w:szCs w:val="24"/>
        </w:rPr>
        <w:t>2</w:t>
      </w:r>
      <w:r w:rsidR="00460999" w:rsidRPr="00E00835">
        <w:rPr>
          <w:sz w:val="24"/>
          <w:szCs w:val="24"/>
        </w:rPr>
        <w:t>4</w:t>
      </w:r>
    </w:p>
    <w:p w14:paraId="3951FF45" w14:textId="77777777" w:rsidR="00C22264" w:rsidRPr="00E00835" w:rsidRDefault="00C22264" w:rsidP="00C22264">
      <w:pPr>
        <w:rPr>
          <w:lang w:eastAsia="en-AU"/>
        </w:rPr>
      </w:pPr>
    </w:p>
    <w:p w14:paraId="19BAC273" w14:textId="61362470" w:rsidR="00C22264" w:rsidRPr="00E00835" w:rsidRDefault="00C22264" w:rsidP="00C22264">
      <w:pPr>
        <w:rPr>
          <w:color w:val="FF0000"/>
          <w:lang w:eastAsia="en-AU"/>
        </w:rPr>
      </w:pPr>
    </w:p>
    <w:p w14:paraId="048E1921" w14:textId="77777777" w:rsidR="00CF1D2C" w:rsidRPr="00E00835" w:rsidRDefault="00CF1D2C" w:rsidP="00C22264">
      <w:pPr>
        <w:rPr>
          <w:color w:val="FF0000"/>
          <w:lang w:eastAsia="en-AU"/>
        </w:rPr>
      </w:pPr>
    </w:p>
    <w:p w14:paraId="3BF8D582" w14:textId="73A403B8" w:rsidR="00F171A1" w:rsidRPr="00BB5C17" w:rsidRDefault="00B9088F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00835">
        <w:rPr>
          <w:sz w:val="24"/>
          <w:szCs w:val="24"/>
        </w:rPr>
        <w:t>Kate Metz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36078B2B" w14:textId="38E5DC53" w:rsidR="00CF1D2C" w:rsidRPr="00AD033A" w:rsidRDefault="00CF1D2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AD033A">
        <w:rPr>
          <w:rStyle w:val="Hyperlink"/>
          <w:noProof/>
          <w:color w:val="auto"/>
          <w:u w:val="none"/>
        </w:rPr>
        <w:t>Part 1—Preliminary</w:t>
      </w:r>
      <w:r w:rsidRPr="00AD033A">
        <w:rPr>
          <w:noProof/>
          <w:webHidden/>
        </w:rPr>
        <w:tab/>
        <w:t>3</w:t>
      </w:r>
    </w:p>
    <w:p w14:paraId="5A72C5F7" w14:textId="5E6ECFB6" w:rsidR="00CF1D2C" w:rsidRPr="00AD033A" w:rsidRDefault="00CF1D2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1</w:t>
      </w:r>
      <w:r w:rsidRPr="00AD03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D033A">
        <w:rPr>
          <w:rStyle w:val="Hyperlink"/>
          <w:noProof/>
          <w:color w:val="auto"/>
          <w:u w:val="none"/>
        </w:rPr>
        <w:t>Name of legislative instrument</w:t>
      </w:r>
      <w:r w:rsidRPr="00AD033A">
        <w:rPr>
          <w:noProof/>
          <w:webHidden/>
        </w:rPr>
        <w:tab/>
        <w:t>3</w:t>
      </w:r>
    </w:p>
    <w:p w14:paraId="00216A4E" w14:textId="1264CF68" w:rsidR="00CF1D2C" w:rsidRPr="00AD033A" w:rsidRDefault="00CF1D2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2</w:t>
      </w:r>
      <w:r w:rsidRPr="00AD03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D033A">
        <w:rPr>
          <w:rStyle w:val="Hyperlink"/>
          <w:noProof/>
          <w:color w:val="auto"/>
          <w:u w:val="none"/>
        </w:rPr>
        <w:t>Commencement</w:t>
      </w:r>
      <w:r w:rsidRPr="00AD033A">
        <w:rPr>
          <w:noProof/>
          <w:webHidden/>
        </w:rPr>
        <w:tab/>
        <w:t>3</w:t>
      </w:r>
    </w:p>
    <w:p w14:paraId="1CF7D016" w14:textId="1C64091B" w:rsidR="00CF1D2C" w:rsidRPr="00AD033A" w:rsidRDefault="00CF1D2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3</w:t>
      </w:r>
      <w:r w:rsidRPr="00AD03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D033A">
        <w:rPr>
          <w:rStyle w:val="Hyperlink"/>
          <w:noProof/>
          <w:color w:val="auto"/>
          <w:u w:val="none"/>
        </w:rPr>
        <w:t>Authority</w:t>
      </w:r>
      <w:r w:rsidRPr="00AD033A">
        <w:rPr>
          <w:noProof/>
          <w:webHidden/>
        </w:rPr>
        <w:tab/>
        <w:t>3</w:t>
      </w:r>
    </w:p>
    <w:p w14:paraId="69F693BD" w14:textId="45E7BA1B" w:rsidR="00CF1D2C" w:rsidRPr="00AD033A" w:rsidRDefault="00CF1D2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4</w:t>
      </w:r>
      <w:r w:rsidRPr="00AD03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D033A">
        <w:rPr>
          <w:rStyle w:val="Hyperlink"/>
          <w:noProof/>
          <w:color w:val="auto"/>
          <w:u w:val="none"/>
        </w:rPr>
        <w:t>Definitions</w:t>
      </w:r>
      <w:r w:rsidRPr="00AD033A">
        <w:rPr>
          <w:noProof/>
          <w:webHidden/>
        </w:rPr>
        <w:tab/>
        <w:t>3</w:t>
      </w:r>
    </w:p>
    <w:p w14:paraId="338EA748" w14:textId="340B5F66" w:rsidR="00CF1D2C" w:rsidRPr="00AD033A" w:rsidRDefault="00CF1D2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Part 2—Declaration</w:t>
      </w:r>
      <w:r w:rsidRPr="00AD033A">
        <w:rPr>
          <w:noProof/>
          <w:webHidden/>
        </w:rPr>
        <w:tab/>
        <w:t>3</w:t>
      </w:r>
    </w:p>
    <w:p w14:paraId="02B44509" w14:textId="28984399" w:rsidR="00CF1D2C" w:rsidRPr="00AD033A" w:rsidRDefault="00CF1D2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5</w:t>
      </w:r>
      <w:r w:rsidRPr="00AD03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D033A">
        <w:rPr>
          <w:rStyle w:val="Hyperlink"/>
          <w:noProof/>
          <w:color w:val="auto"/>
          <w:u w:val="none"/>
        </w:rPr>
        <w:t>Appointment, removal and fees of auditors for CCIVs</w:t>
      </w:r>
      <w:r w:rsidRPr="00AD033A">
        <w:rPr>
          <w:noProof/>
          <w:webHidden/>
        </w:rPr>
        <w:tab/>
        <w:t>3</w:t>
      </w:r>
    </w:p>
    <w:p w14:paraId="58C90F82" w14:textId="698BACF2" w:rsidR="00CF1D2C" w:rsidRPr="00AD033A" w:rsidRDefault="00CF1D2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Part 3—Repeal</w:t>
      </w:r>
      <w:r w:rsidRPr="00AD033A">
        <w:rPr>
          <w:noProof/>
          <w:webHidden/>
        </w:rPr>
        <w:tab/>
        <w:t>3</w:t>
      </w:r>
    </w:p>
    <w:p w14:paraId="3464D2A2" w14:textId="1053AB52" w:rsidR="00CF1D2C" w:rsidRPr="00AD033A" w:rsidRDefault="00CF1D2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D033A">
        <w:rPr>
          <w:rStyle w:val="Hyperlink"/>
          <w:noProof/>
          <w:color w:val="auto"/>
          <w:u w:val="none"/>
        </w:rPr>
        <w:t>6</w:t>
      </w:r>
      <w:r w:rsidRPr="00AD03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D033A">
        <w:rPr>
          <w:rStyle w:val="Hyperlink"/>
          <w:noProof/>
          <w:color w:val="auto"/>
          <w:u w:val="none"/>
        </w:rPr>
        <w:t>Repeal</w:t>
      </w:r>
      <w:r w:rsidRPr="00AD033A">
        <w:rPr>
          <w:noProof/>
          <w:webHidden/>
        </w:rPr>
        <w:tab/>
        <w:t>3</w:t>
      </w:r>
    </w:p>
    <w:p w14:paraId="20C7EE7B" w14:textId="4AB9119F" w:rsidR="00670EA1" w:rsidRPr="00AD033A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582517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582517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2DDEF9EC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976199">
        <w:rPr>
          <w:i/>
          <w:szCs w:val="24"/>
        </w:rPr>
        <w:t xml:space="preserve">CCIV </w:t>
      </w:r>
      <w:r w:rsidR="00DF7019">
        <w:rPr>
          <w:i/>
          <w:szCs w:val="24"/>
        </w:rPr>
        <w:t>A</w:t>
      </w:r>
      <w:r w:rsidR="00925683">
        <w:rPr>
          <w:i/>
          <w:szCs w:val="24"/>
        </w:rPr>
        <w:t>uditors</w:t>
      </w:r>
      <w:r w:rsidR="00C11452" w:rsidRPr="00AC3E7B">
        <w:rPr>
          <w:i/>
          <w:szCs w:val="24"/>
        </w:rPr>
        <w:t xml:space="preserve">) Instrument </w:t>
      </w:r>
      <w:r w:rsidR="00460999">
        <w:rPr>
          <w:i/>
          <w:szCs w:val="24"/>
        </w:rPr>
        <w:t>2024</w:t>
      </w:r>
      <w:r w:rsidR="00530968">
        <w:rPr>
          <w:i/>
          <w:szCs w:val="24"/>
        </w:rPr>
        <w:t>/</w:t>
      </w:r>
      <w:r w:rsidR="006B269A">
        <w:rPr>
          <w:i/>
          <w:szCs w:val="24"/>
        </w:rPr>
        <w:t>668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582517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582518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36B6049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1C2138">
        <w:rPr>
          <w:szCs w:val="24"/>
        </w:rPr>
        <w:t>paragraph</w:t>
      </w:r>
      <w:r w:rsidR="0004477D">
        <w:rPr>
          <w:szCs w:val="24"/>
        </w:rPr>
        <w:t xml:space="preserve"> </w:t>
      </w:r>
      <w:r w:rsidR="009877D7">
        <w:rPr>
          <w:szCs w:val="24"/>
        </w:rPr>
        <w:t>1243</w:t>
      </w:r>
      <w:r w:rsidR="0004522D">
        <w:rPr>
          <w:szCs w:val="24"/>
        </w:rPr>
        <w:t>(2)(</w:t>
      </w:r>
      <w:r w:rsidR="001C2138">
        <w:rPr>
          <w:szCs w:val="24"/>
        </w:rPr>
        <w:t xml:space="preserve">b) of the </w:t>
      </w:r>
      <w:r w:rsidR="001C2138" w:rsidRPr="001C2138">
        <w:rPr>
          <w:i/>
          <w:iCs/>
          <w:szCs w:val="24"/>
        </w:rPr>
        <w:t>Corporations Act 2001</w:t>
      </w:r>
      <w:r w:rsidR="001C2138">
        <w:rPr>
          <w:szCs w:val="24"/>
        </w:rPr>
        <w:t xml:space="preserve">. </w:t>
      </w:r>
    </w:p>
    <w:p w14:paraId="6FBBAAAA" w14:textId="77777777" w:rsidR="00B9687D" w:rsidRPr="00BB5C17" w:rsidRDefault="00B9687D" w:rsidP="00B9687D">
      <w:pPr>
        <w:pStyle w:val="LI-Heading2"/>
        <w:spacing w:before="240"/>
        <w:rPr>
          <w:szCs w:val="24"/>
        </w:rPr>
      </w:pPr>
      <w:bookmarkStart w:id="7" w:name="_Toc128727145"/>
      <w:bookmarkStart w:id="8" w:name="_Toc175825181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7"/>
      <w:bookmarkEnd w:id="8"/>
    </w:p>
    <w:p w14:paraId="0D8F2483" w14:textId="77777777" w:rsidR="00B9687D" w:rsidRPr="00005446" w:rsidRDefault="00B9687D" w:rsidP="00B9687D">
      <w:pPr>
        <w:pStyle w:val="LI-BodyTextUnnumbered"/>
      </w:pPr>
      <w:r w:rsidRPr="00005446">
        <w:t>In this instrument:</w:t>
      </w:r>
    </w:p>
    <w:p w14:paraId="477866AB" w14:textId="37C739D7" w:rsidR="00B9687D" w:rsidRDefault="00B9687D" w:rsidP="00B9687D">
      <w:pPr>
        <w:pStyle w:val="LI-BodyTextUnnumbered"/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1C2138" w:rsidRPr="001C2138">
        <w:rPr>
          <w:i/>
          <w:iCs/>
          <w:szCs w:val="24"/>
        </w:rPr>
        <w:t>Corporations Act 2001</w:t>
      </w:r>
      <w:r>
        <w:t xml:space="preserve">. </w:t>
      </w:r>
    </w:p>
    <w:p w14:paraId="073E374F" w14:textId="6C2A2D87" w:rsidR="00D97E2C" w:rsidRPr="002E589E" w:rsidRDefault="00D97E2C" w:rsidP="00B9687D">
      <w:pPr>
        <w:pStyle w:val="LI-BodyTextUnnumbered"/>
        <w:rPr>
          <w:bCs/>
          <w:iCs/>
        </w:rPr>
      </w:pPr>
      <w:r>
        <w:rPr>
          <w:b/>
          <w:i/>
        </w:rPr>
        <w:t xml:space="preserve">CCIV provisions </w:t>
      </w:r>
      <w:r w:rsidRPr="002E589E">
        <w:rPr>
          <w:bCs/>
          <w:iCs/>
        </w:rPr>
        <w:t xml:space="preserve">has the </w:t>
      </w:r>
      <w:r w:rsidR="002E589E" w:rsidRPr="002E589E">
        <w:rPr>
          <w:bCs/>
          <w:iCs/>
        </w:rPr>
        <w:t>same meaning as in section 1243 of the Act</w:t>
      </w:r>
      <w:r w:rsidR="002E589E">
        <w:rPr>
          <w:bCs/>
          <w:iCs/>
        </w:rPr>
        <w:t>.</w:t>
      </w:r>
    </w:p>
    <w:p w14:paraId="0803C083" w14:textId="0030EFDE" w:rsidR="000B4DB7" w:rsidRPr="00F61B09" w:rsidRDefault="000B4DB7" w:rsidP="000B4DB7">
      <w:pPr>
        <w:pStyle w:val="LI-Heading1"/>
      </w:pPr>
      <w:bookmarkStart w:id="9" w:name="_Toc128727149"/>
      <w:bookmarkStart w:id="10" w:name="_Toc175825182"/>
      <w:r w:rsidRPr="006E5320">
        <w:t>Part </w:t>
      </w:r>
      <w:r>
        <w:t>2</w:t>
      </w:r>
      <w:r w:rsidRPr="006554FF">
        <w:t>—</w:t>
      </w:r>
      <w:r>
        <w:t>Declaration</w:t>
      </w:r>
      <w:bookmarkEnd w:id="9"/>
      <w:bookmarkEnd w:id="10"/>
    </w:p>
    <w:p w14:paraId="12FD240E" w14:textId="3519CB2F" w:rsidR="000B4DB7" w:rsidRPr="005D3D41" w:rsidRDefault="00DF7019" w:rsidP="000B4DB7">
      <w:pPr>
        <w:pStyle w:val="LI-Heading2"/>
      </w:pPr>
      <w:bookmarkStart w:id="11" w:name="_Toc128727150"/>
      <w:bookmarkStart w:id="12" w:name="_Toc175825183"/>
      <w:r>
        <w:t>5</w:t>
      </w:r>
      <w:r w:rsidR="000B4DB7">
        <w:tab/>
      </w:r>
      <w:bookmarkEnd w:id="11"/>
      <w:r w:rsidR="00EB30BB">
        <w:t>Appointment, removal and fees of auditors for CCIVs</w:t>
      </w:r>
      <w:bookmarkEnd w:id="12"/>
    </w:p>
    <w:p w14:paraId="4AC95E5B" w14:textId="4357D5C5" w:rsidR="000B4DB7" w:rsidRPr="005D3D41" w:rsidRDefault="00B37433" w:rsidP="00E4146E">
      <w:pPr>
        <w:pStyle w:val="LI-BodyTextNumbered"/>
        <w:ind w:firstLine="0"/>
      </w:pPr>
      <w:r>
        <w:t>The CCIV provisions apply</w:t>
      </w:r>
      <w:r w:rsidR="00363E58">
        <w:t xml:space="preserve"> in relation to </w:t>
      </w:r>
      <w:r w:rsidR="00E87D91">
        <w:t>retail</w:t>
      </w:r>
      <w:r w:rsidR="00363E58">
        <w:t xml:space="preserve"> CCIVs as if </w:t>
      </w:r>
      <w:r w:rsidR="00730B1B">
        <w:t>section 1232R</w:t>
      </w:r>
      <w:r w:rsidR="002E589E">
        <w:t xml:space="preserve"> of the Act</w:t>
      </w:r>
      <w:r w:rsidR="00730B1B">
        <w:t xml:space="preserve"> were modified or varied by inserting after </w:t>
      </w:r>
      <w:r w:rsidR="00F02B1A">
        <w:t>subsection 1232R(2):</w:t>
      </w:r>
    </w:p>
    <w:p w14:paraId="2A35957D" w14:textId="77D0A613" w:rsidR="000B4DB7" w:rsidRPr="005D3D41" w:rsidRDefault="00F02B1A" w:rsidP="00E4146E">
      <w:pPr>
        <w:pStyle w:val="LI-BodyTextParaa"/>
        <w:ind w:left="2268"/>
      </w:pPr>
      <w:r>
        <w:t>“</w:t>
      </w:r>
      <w:r w:rsidR="000B4DB7" w:rsidRPr="005D3D41">
        <w:t>(</w:t>
      </w:r>
      <w:r>
        <w:t>3</w:t>
      </w:r>
      <w:r w:rsidR="000B4DB7" w:rsidRPr="005D3D41">
        <w:t>)</w:t>
      </w:r>
      <w:r w:rsidR="000B4DB7" w:rsidRPr="005D3D41">
        <w:tab/>
      </w:r>
      <w:r w:rsidR="0063401A">
        <w:t>T</w:t>
      </w:r>
      <w:r w:rsidR="00116EAC" w:rsidRPr="00116EAC">
        <w:t xml:space="preserve">he </w:t>
      </w:r>
      <w:r w:rsidR="00AB469C">
        <w:t xml:space="preserve">corporate </w:t>
      </w:r>
      <w:r w:rsidR="00223304">
        <w:t xml:space="preserve">director of </w:t>
      </w:r>
      <w:r w:rsidR="0063401A">
        <w:t>a</w:t>
      </w:r>
      <w:r w:rsidR="00223304">
        <w:t xml:space="preserve"> </w:t>
      </w:r>
      <w:r w:rsidR="00E9614E">
        <w:t xml:space="preserve">retail </w:t>
      </w:r>
      <w:r w:rsidR="00223304">
        <w:t>CCIV</w:t>
      </w:r>
      <w:r w:rsidR="0063401A">
        <w:t xml:space="preserve"> must lodge a notice in the </w:t>
      </w:r>
      <w:r w:rsidR="00116EAC" w:rsidRPr="00116EAC">
        <w:t xml:space="preserve">approved form telling ASIC of the appointment by the </w:t>
      </w:r>
      <w:r w:rsidR="0063401A">
        <w:t>CCIV</w:t>
      </w:r>
      <w:r w:rsidR="00116EAC" w:rsidRPr="00116EAC">
        <w:t xml:space="preserve"> of an auditor of the </w:t>
      </w:r>
      <w:r w:rsidR="0063401A">
        <w:t>CCIV</w:t>
      </w:r>
      <w:r w:rsidR="00116EAC" w:rsidRPr="00116EAC">
        <w:t xml:space="preserve"> under section 331AAA or 331AAB of the Act </w:t>
      </w:r>
      <w:r w:rsidR="00E9614E">
        <w:t xml:space="preserve">(as applicable to the </w:t>
      </w:r>
      <w:r w:rsidR="00EE7507">
        <w:t xml:space="preserve">CCIV because of subsection (2)) </w:t>
      </w:r>
      <w:r w:rsidR="00116EAC" w:rsidRPr="00116EAC">
        <w:t>within 14 days of the appointment.</w:t>
      </w:r>
      <w:r>
        <w:t>”.</w:t>
      </w:r>
      <w:r w:rsidR="0030605E">
        <w:t xml:space="preserve"> </w:t>
      </w:r>
    </w:p>
    <w:p w14:paraId="00868520" w14:textId="58CCCB0A" w:rsidR="00A108ED" w:rsidRDefault="00A108ED" w:rsidP="00A108ED">
      <w:pPr>
        <w:pStyle w:val="LI-Heading1"/>
      </w:pPr>
      <w:bookmarkStart w:id="13" w:name="_Toc161214184"/>
      <w:bookmarkStart w:id="14" w:name="_Toc175825184"/>
      <w:r>
        <w:t>Part 3—Repeal</w:t>
      </w:r>
      <w:bookmarkEnd w:id="13"/>
      <w:bookmarkEnd w:id="14"/>
    </w:p>
    <w:p w14:paraId="43ADCEAD" w14:textId="72467DC1" w:rsidR="00A108ED" w:rsidRDefault="00A108ED" w:rsidP="00A108ED">
      <w:pPr>
        <w:pStyle w:val="LI-Heading2"/>
        <w:rPr>
          <w:szCs w:val="24"/>
        </w:rPr>
      </w:pPr>
      <w:bookmarkStart w:id="15" w:name="_Toc161214185"/>
      <w:bookmarkStart w:id="16" w:name="_Toc175825185"/>
      <w:r>
        <w:rPr>
          <w:szCs w:val="24"/>
        </w:rPr>
        <w:t>6</w:t>
      </w:r>
      <w:r>
        <w:rPr>
          <w:szCs w:val="24"/>
        </w:rPr>
        <w:tab/>
        <w:t>Repeal</w:t>
      </w:r>
      <w:bookmarkEnd w:id="15"/>
      <w:bookmarkEnd w:id="16"/>
    </w:p>
    <w:p w14:paraId="7DDEA992" w14:textId="4F3AEAC4" w:rsidR="00A108ED" w:rsidRDefault="00A108ED" w:rsidP="00A108ED">
      <w:pPr>
        <w:pStyle w:val="LI-BodyTextUnnumbered"/>
      </w:pPr>
      <w:r>
        <w:t xml:space="preserve">This </w:t>
      </w:r>
      <w:r>
        <w:rPr>
          <w:szCs w:val="24"/>
        </w:rPr>
        <w:t>instrument</w:t>
      </w:r>
      <w:r>
        <w:t xml:space="preserve"> is repealed at the start of </w:t>
      </w:r>
      <w:r w:rsidRPr="00362968">
        <w:t xml:space="preserve">1 </w:t>
      </w:r>
      <w:r w:rsidR="008E3FA8" w:rsidRPr="00362968">
        <w:t xml:space="preserve">October </w:t>
      </w:r>
      <w:r w:rsidRPr="00362968">
        <w:t>2029.</w:t>
      </w:r>
    </w:p>
    <w:p w14:paraId="41CC968B" w14:textId="3C1B1E53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27"/>
      <w:headerReference w:type="default" r:id="rId28"/>
      <w:headerReference w:type="first" r:id="rId29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A2C4" w14:textId="77777777" w:rsidR="007D25E7" w:rsidRDefault="007D25E7" w:rsidP="00715914">
      <w:pPr>
        <w:spacing w:line="240" w:lineRule="auto"/>
      </w:pPr>
      <w:r>
        <w:separator/>
      </w:r>
    </w:p>
  </w:endnote>
  <w:endnote w:type="continuationSeparator" w:id="0">
    <w:p w14:paraId="5AFFB39E" w14:textId="77777777" w:rsidR="007D25E7" w:rsidRDefault="007D25E7" w:rsidP="00715914">
      <w:pPr>
        <w:spacing w:line="240" w:lineRule="auto"/>
      </w:pPr>
      <w:r>
        <w:continuationSeparator/>
      </w:r>
    </w:p>
  </w:endnote>
  <w:endnote w:type="continuationNotice" w:id="1">
    <w:p w14:paraId="2C8E71F8" w14:textId="77777777" w:rsidR="007D25E7" w:rsidRDefault="007D25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EC62" w14:textId="77777777" w:rsidR="007D25E7" w:rsidRDefault="007D25E7" w:rsidP="00715914">
      <w:pPr>
        <w:spacing w:line="240" w:lineRule="auto"/>
      </w:pPr>
      <w:r>
        <w:separator/>
      </w:r>
    </w:p>
  </w:footnote>
  <w:footnote w:type="continuationSeparator" w:id="0">
    <w:p w14:paraId="6F2BA001" w14:textId="77777777" w:rsidR="007D25E7" w:rsidRDefault="007D25E7" w:rsidP="00715914">
      <w:pPr>
        <w:spacing w:line="240" w:lineRule="auto"/>
      </w:pPr>
      <w:r>
        <w:continuationSeparator/>
      </w:r>
    </w:p>
  </w:footnote>
  <w:footnote w:type="continuationNotice" w:id="1">
    <w:p w14:paraId="3CC0AA88" w14:textId="77777777" w:rsidR="007D25E7" w:rsidRDefault="007D25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3A2FDDE1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595FD99A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0183D931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2706DAB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6882DE5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00835">
            <w:rPr>
              <w:noProof/>
            </w:rPr>
            <w:t>ASIC Corporations (CCIV Auditors) Instrument 2024/668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4D015720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4D2BDE95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6D2551B1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29682C1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00835">
            <w:rPr>
              <w:noProof/>
            </w:rPr>
            <w:t>ASIC Corporations (CCIV Auditors) Instrument 2024/668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4827CAA5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00835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FF3730B" w14:textId="4BBBDB60" w:rsidR="0040053F" w:rsidRPr="00F4215A" w:rsidRDefault="0040053F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2ED6" w14:textId="47784CC1" w:rsidR="00362968" w:rsidRDefault="00362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BF9"/>
    <w:rsid w:val="00004470"/>
    <w:rsid w:val="00005446"/>
    <w:rsid w:val="000136AF"/>
    <w:rsid w:val="00013B8D"/>
    <w:rsid w:val="00023D53"/>
    <w:rsid w:val="000437C1"/>
    <w:rsid w:val="0004477D"/>
    <w:rsid w:val="0004522D"/>
    <w:rsid w:val="0005365D"/>
    <w:rsid w:val="00053940"/>
    <w:rsid w:val="000614BF"/>
    <w:rsid w:val="0006250C"/>
    <w:rsid w:val="00073C95"/>
    <w:rsid w:val="00081794"/>
    <w:rsid w:val="000A0D6F"/>
    <w:rsid w:val="000A142F"/>
    <w:rsid w:val="000A1655"/>
    <w:rsid w:val="000A6C39"/>
    <w:rsid w:val="000B4DB7"/>
    <w:rsid w:val="000B58FA"/>
    <w:rsid w:val="000C55A0"/>
    <w:rsid w:val="000C7C77"/>
    <w:rsid w:val="000D05EF"/>
    <w:rsid w:val="000E2261"/>
    <w:rsid w:val="000E3C2E"/>
    <w:rsid w:val="000F0358"/>
    <w:rsid w:val="000F0C7B"/>
    <w:rsid w:val="000F21C1"/>
    <w:rsid w:val="000F5421"/>
    <w:rsid w:val="00102307"/>
    <w:rsid w:val="0010283F"/>
    <w:rsid w:val="00102CA6"/>
    <w:rsid w:val="0010668B"/>
    <w:rsid w:val="0010745C"/>
    <w:rsid w:val="0011620F"/>
    <w:rsid w:val="00116EAC"/>
    <w:rsid w:val="00120985"/>
    <w:rsid w:val="00132B7B"/>
    <w:rsid w:val="00132CEB"/>
    <w:rsid w:val="00142B62"/>
    <w:rsid w:val="00157B8B"/>
    <w:rsid w:val="00157D51"/>
    <w:rsid w:val="00166C2F"/>
    <w:rsid w:val="00171A6E"/>
    <w:rsid w:val="0017467F"/>
    <w:rsid w:val="001809D7"/>
    <w:rsid w:val="00180AA6"/>
    <w:rsid w:val="001850D6"/>
    <w:rsid w:val="0018688D"/>
    <w:rsid w:val="001939E1"/>
    <w:rsid w:val="00194C3E"/>
    <w:rsid w:val="00195382"/>
    <w:rsid w:val="00195BD4"/>
    <w:rsid w:val="001C2138"/>
    <w:rsid w:val="001C61C5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0E5C"/>
    <w:rsid w:val="00206C4D"/>
    <w:rsid w:val="0021053C"/>
    <w:rsid w:val="00215AF1"/>
    <w:rsid w:val="00223304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855CE"/>
    <w:rsid w:val="00297853"/>
    <w:rsid w:val="00297ECB"/>
    <w:rsid w:val="002A7BCF"/>
    <w:rsid w:val="002B19F3"/>
    <w:rsid w:val="002B4A0D"/>
    <w:rsid w:val="002C40C9"/>
    <w:rsid w:val="002D043A"/>
    <w:rsid w:val="002D6224"/>
    <w:rsid w:val="002E0D0B"/>
    <w:rsid w:val="002E3F4B"/>
    <w:rsid w:val="002E589E"/>
    <w:rsid w:val="003017B3"/>
    <w:rsid w:val="00303CAB"/>
    <w:rsid w:val="00304F8B"/>
    <w:rsid w:val="0030605E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2968"/>
    <w:rsid w:val="00363E58"/>
    <w:rsid w:val="00365497"/>
    <w:rsid w:val="003708CA"/>
    <w:rsid w:val="00374DDD"/>
    <w:rsid w:val="00387A96"/>
    <w:rsid w:val="00390A86"/>
    <w:rsid w:val="003A2065"/>
    <w:rsid w:val="003A2A48"/>
    <w:rsid w:val="003B732F"/>
    <w:rsid w:val="003C3D7D"/>
    <w:rsid w:val="003C6231"/>
    <w:rsid w:val="003D0BFE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999"/>
    <w:rsid w:val="00460F1D"/>
    <w:rsid w:val="00467661"/>
    <w:rsid w:val="004705B7"/>
    <w:rsid w:val="00472DBE"/>
    <w:rsid w:val="00474A19"/>
    <w:rsid w:val="004823C0"/>
    <w:rsid w:val="0048276B"/>
    <w:rsid w:val="0048691E"/>
    <w:rsid w:val="00496B5F"/>
    <w:rsid w:val="00496F97"/>
    <w:rsid w:val="004A44FC"/>
    <w:rsid w:val="004A5986"/>
    <w:rsid w:val="004D13BD"/>
    <w:rsid w:val="004E063A"/>
    <w:rsid w:val="004E5704"/>
    <w:rsid w:val="004E7BEC"/>
    <w:rsid w:val="004F4845"/>
    <w:rsid w:val="0050044F"/>
    <w:rsid w:val="00505D3D"/>
    <w:rsid w:val="00506AF6"/>
    <w:rsid w:val="00514F93"/>
    <w:rsid w:val="00516B8D"/>
    <w:rsid w:val="00517B20"/>
    <w:rsid w:val="00517E56"/>
    <w:rsid w:val="00530968"/>
    <w:rsid w:val="00532049"/>
    <w:rsid w:val="0053409D"/>
    <w:rsid w:val="005356A7"/>
    <w:rsid w:val="00536926"/>
    <w:rsid w:val="00537FBC"/>
    <w:rsid w:val="005574D1"/>
    <w:rsid w:val="005657FE"/>
    <w:rsid w:val="00565A35"/>
    <w:rsid w:val="00572BB1"/>
    <w:rsid w:val="00584811"/>
    <w:rsid w:val="00585784"/>
    <w:rsid w:val="00593AA6"/>
    <w:rsid w:val="00594161"/>
    <w:rsid w:val="00594749"/>
    <w:rsid w:val="005A1D0E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0362"/>
    <w:rsid w:val="005F65CD"/>
    <w:rsid w:val="00600219"/>
    <w:rsid w:val="00603DC4"/>
    <w:rsid w:val="00604E20"/>
    <w:rsid w:val="00607A71"/>
    <w:rsid w:val="0061693F"/>
    <w:rsid w:val="00620076"/>
    <w:rsid w:val="0063401A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B269A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6F6E7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0B1B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D25E7"/>
    <w:rsid w:val="007D4118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3FA8"/>
    <w:rsid w:val="008E6067"/>
    <w:rsid w:val="008F54E7"/>
    <w:rsid w:val="00902B9E"/>
    <w:rsid w:val="00903422"/>
    <w:rsid w:val="009157B9"/>
    <w:rsid w:val="00915DF9"/>
    <w:rsid w:val="009232C9"/>
    <w:rsid w:val="009254C3"/>
    <w:rsid w:val="00925683"/>
    <w:rsid w:val="00930A0A"/>
    <w:rsid w:val="00932377"/>
    <w:rsid w:val="00942303"/>
    <w:rsid w:val="00947D5A"/>
    <w:rsid w:val="009532A5"/>
    <w:rsid w:val="0095528E"/>
    <w:rsid w:val="00962120"/>
    <w:rsid w:val="0096753E"/>
    <w:rsid w:val="00976199"/>
    <w:rsid w:val="00982242"/>
    <w:rsid w:val="009868E9"/>
    <w:rsid w:val="009877D7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08ED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954C9"/>
    <w:rsid w:val="00AA66AC"/>
    <w:rsid w:val="00AA671D"/>
    <w:rsid w:val="00AB469C"/>
    <w:rsid w:val="00AB4847"/>
    <w:rsid w:val="00AC0886"/>
    <w:rsid w:val="00AC1F70"/>
    <w:rsid w:val="00AC3E7B"/>
    <w:rsid w:val="00AD033A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37433"/>
    <w:rsid w:val="00B50ADC"/>
    <w:rsid w:val="00B566B1"/>
    <w:rsid w:val="00B63834"/>
    <w:rsid w:val="00B722AB"/>
    <w:rsid w:val="00B72734"/>
    <w:rsid w:val="00B80199"/>
    <w:rsid w:val="00B82D81"/>
    <w:rsid w:val="00B83204"/>
    <w:rsid w:val="00B9088F"/>
    <w:rsid w:val="00B9687D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D74DA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6222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D4AB9"/>
    <w:rsid w:val="00CE051D"/>
    <w:rsid w:val="00CE1335"/>
    <w:rsid w:val="00CE3D2A"/>
    <w:rsid w:val="00CE493D"/>
    <w:rsid w:val="00CF07FA"/>
    <w:rsid w:val="00CF0BB2"/>
    <w:rsid w:val="00CF1D2C"/>
    <w:rsid w:val="00CF3EE8"/>
    <w:rsid w:val="00D003F4"/>
    <w:rsid w:val="00D02647"/>
    <w:rsid w:val="00D050E6"/>
    <w:rsid w:val="00D13441"/>
    <w:rsid w:val="00D150E7"/>
    <w:rsid w:val="00D32F65"/>
    <w:rsid w:val="00D341C4"/>
    <w:rsid w:val="00D37E5C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97E2C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DF7019"/>
    <w:rsid w:val="00E00835"/>
    <w:rsid w:val="00E05704"/>
    <w:rsid w:val="00E06CC3"/>
    <w:rsid w:val="00E11E44"/>
    <w:rsid w:val="00E13AFA"/>
    <w:rsid w:val="00E2168B"/>
    <w:rsid w:val="00E21F03"/>
    <w:rsid w:val="00E338EF"/>
    <w:rsid w:val="00E40FF8"/>
    <w:rsid w:val="00E4146E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3D9E"/>
    <w:rsid w:val="00E86920"/>
    <w:rsid w:val="00E87D91"/>
    <w:rsid w:val="00E94D5E"/>
    <w:rsid w:val="00E9614E"/>
    <w:rsid w:val="00EA1445"/>
    <w:rsid w:val="00EA7100"/>
    <w:rsid w:val="00EA7F9F"/>
    <w:rsid w:val="00EB1274"/>
    <w:rsid w:val="00EB30BB"/>
    <w:rsid w:val="00EC40B7"/>
    <w:rsid w:val="00EC4757"/>
    <w:rsid w:val="00EC7EDB"/>
    <w:rsid w:val="00ED2BB6"/>
    <w:rsid w:val="00ED34E1"/>
    <w:rsid w:val="00ED3B8D"/>
    <w:rsid w:val="00EE7507"/>
    <w:rsid w:val="00EE772F"/>
    <w:rsid w:val="00EF2E3A"/>
    <w:rsid w:val="00F02B1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622CE2E0-B521-4429-A06F-188086C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10283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000853-1726373233-1631</_dlc_DocId>
    <_dlc_DocIdUrl xmlns="eb44715b-cd74-4c79-92c4-f0e9f1a86440">
      <Url>https://asiclink.sharepoint.com/teams/000853/_layouts/15/DocIdRedir.aspx?ID=000853-1726373233-1631</Url>
      <Description>000853-1726373233-1631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0702DE6C-DF96-485F-8619-EA5EBCAB0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5F6203-2EAF-46DA-BA30-AC3937AC3EC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3</Pages>
  <Words>239</Words>
  <Characters>1365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1601</CharactersWithSpaces>
  <SharedDoc>false</SharedDoc>
  <HyperlinkBase/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_Toc161218797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_Toc161218796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_Toc161218795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_Toc161218794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_Toc161218793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_Toc161218792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_Toc161218791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_Toc161218790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_Toc161218789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2</cp:revision>
  <cp:lastPrinted>2014-06-13T23:38:00Z</cp:lastPrinted>
  <dcterms:created xsi:type="dcterms:W3CDTF">2024-08-29T05:14:00Z</dcterms:created>
  <dcterms:modified xsi:type="dcterms:W3CDTF">2024-08-29T05:14:00Z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0f61a8e4-c9dc-4522-a493-1111b178441b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lcf76f155ced4ddcb4097134ff3c332f">
    <vt:lpwstr/>
  </property>
</Properties>
</file>